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C90" w:rsidRDefault="006E1C90" w:rsidP="006E1C90">
      <w:pPr>
        <w:pStyle w:val="ListParagraph"/>
      </w:pPr>
      <w:r>
        <w:t xml:space="preserve">                   </w:t>
      </w:r>
    </w:p>
    <w:p w:rsidR="006E1C90" w:rsidRDefault="006E1C90" w:rsidP="006E1C90">
      <w:pPr>
        <w:pStyle w:val="western"/>
        <w:spacing w:before="0" w:beforeAutospacing="0" w:after="80" w:afterAutospacing="0"/>
        <w:contextualSpacing/>
        <w:rPr>
          <w:b/>
        </w:rPr>
      </w:pPr>
    </w:p>
    <w:p w:rsidR="00AB43F6" w:rsidRDefault="00AB43F6" w:rsidP="00AB43F6">
      <w:pPr>
        <w:spacing w:line="480" w:lineRule="auto"/>
        <w:ind w:left="720"/>
        <w:jc w:val="center"/>
        <w:rPr>
          <w:b/>
          <w:caps/>
        </w:rPr>
      </w:pPr>
      <w:bookmarkStart w:id="0" w:name="Text1"/>
      <w:bookmarkStart w:id="1" w:name="_Hlk520128132"/>
      <w:r>
        <w:rPr>
          <w:b/>
          <w:caps/>
        </w:rPr>
        <w:t xml:space="preserve">Epidemiology and </w:t>
      </w:r>
      <w:bookmarkEnd w:id="0"/>
      <w:r>
        <w:rPr>
          <w:b/>
          <w:caps/>
        </w:rPr>
        <w:t>epigentic</w:t>
      </w:r>
      <w:r w:rsidR="00F307D7">
        <w:rPr>
          <w:b/>
          <w:caps/>
        </w:rPr>
        <w:t xml:space="preserve">s </w:t>
      </w:r>
      <w:r>
        <w:rPr>
          <w:b/>
          <w:caps/>
        </w:rPr>
        <w:t xml:space="preserve">of type 2 diabetes </w:t>
      </w:r>
    </w:p>
    <w:p w:rsidR="00AB43F6" w:rsidRDefault="00AB43F6" w:rsidP="00AB43F6">
      <w:pPr>
        <w:spacing w:line="480" w:lineRule="auto"/>
        <w:ind w:left="720"/>
        <w:jc w:val="center"/>
        <w:rPr>
          <w:b/>
          <w:caps/>
        </w:rPr>
      </w:pPr>
      <w:r>
        <w:rPr>
          <w:b/>
          <w:caps/>
        </w:rPr>
        <w:t>among ethipian immigrants in the united states</w:t>
      </w:r>
    </w:p>
    <w:bookmarkEnd w:id="1"/>
    <w:p w:rsidR="00354313" w:rsidRPr="00AE3F41" w:rsidRDefault="00354313" w:rsidP="00354313">
      <w:pPr>
        <w:spacing w:line="480" w:lineRule="auto"/>
        <w:ind w:left="720"/>
        <w:contextualSpacing/>
        <w:jc w:val="center"/>
      </w:pPr>
      <w:r w:rsidRPr="00AE3F41">
        <w:t>by</w:t>
      </w:r>
    </w:p>
    <w:p w:rsidR="00354313" w:rsidRDefault="00AB43F6" w:rsidP="00354313">
      <w:pPr>
        <w:spacing w:line="480" w:lineRule="auto"/>
        <w:ind w:left="720"/>
        <w:contextualSpacing/>
        <w:jc w:val="center"/>
      </w:pPr>
      <w:r>
        <w:t>Sewnet K. Mengistu</w:t>
      </w:r>
    </w:p>
    <w:p w:rsidR="00354313" w:rsidRPr="00AE3F41" w:rsidRDefault="00AB43F6" w:rsidP="00354313">
      <w:pPr>
        <w:spacing w:line="480" w:lineRule="auto"/>
        <w:ind w:left="720"/>
        <w:contextualSpacing/>
        <w:jc w:val="center"/>
      </w:pPr>
      <w:r>
        <w:t>B.S.</w:t>
      </w:r>
      <w:r w:rsidR="00354313">
        <w:t xml:space="preserve"> </w:t>
      </w:r>
      <w:r w:rsidR="00354313" w:rsidRPr="00AE3F41">
        <w:t>(</w:t>
      </w:r>
      <w:r>
        <w:t>University of Maryland, Baltimore County</w:t>
      </w:r>
      <w:r w:rsidR="00354313" w:rsidRPr="00AE3F41">
        <w:t xml:space="preserve">) </w:t>
      </w:r>
      <w:r>
        <w:t>2010</w:t>
      </w:r>
    </w:p>
    <w:p w:rsidR="00354313" w:rsidRPr="00AE3F41" w:rsidRDefault="00354313" w:rsidP="00354313">
      <w:pPr>
        <w:spacing w:line="480" w:lineRule="auto"/>
        <w:ind w:left="720"/>
        <w:contextualSpacing/>
        <w:jc w:val="center"/>
      </w:pPr>
      <w:r>
        <w:t>MOCK GRANT PROPOSAL</w:t>
      </w:r>
    </w:p>
    <w:p w:rsidR="00354313" w:rsidRPr="00AE3F41" w:rsidRDefault="00354313" w:rsidP="00354313">
      <w:pPr>
        <w:spacing w:line="480" w:lineRule="auto"/>
        <w:ind w:left="720"/>
        <w:contextualSpacing/>
        <w:jc w:val="center"/>
      </w:pPr>
      <w:r>
        <w:t>Submitted in</w:t>
      </w:r>
      <w:r w:rsidRPr="00AE3F41">
        <w:t xml:space="preserve"> partial satisfaction of the requirements</w:t>
      </w:r>
    </w:p>
    <w:p w:rsidR="00354313" w:rsidRPr="00AE3F41" w:rsidRDefault="00354313" w:rsidP="00354313">
      <w:pPr>
        <w:spacing w:line="480" w:lineRule="auto"/>
        <w:ind w:left="720"/>
        <w:contextualSpacing/>
        <w:jc w:val="center"/>
      </w:pPr>
      <w:r w:rsidRPr="00AE3F41">
        <w:t xml:space="preserve">for the degree of </w:t>
      </w:r>
    </w:p>
    <w:p w:rsidR="00354313" w:rsidRPr="00AE3F41" w:rsidRDefault="00354313" w:rsidP="00354313">
      <w:pPr>
        <w:spacing w:line="480" w:lineRule="auto"/>
        <w:ind w:left="720"/>
        <w:contextualSpacing/>
        <w:jc w:val="center"/>
      </w:pPr>
      <w:r w:rsidRPr="00AE3F41">
        <w:t>MASTER OF SCIENCE</w:t>
      </w:r>
    </w:p>
    <w:p w:rsidR="00354313" w:rsidRPr="00AE3F41" w:rsidRDefault="00354313" w:rsidP="00354313">
      <w:pPr>
        <w:spacing w:line="480" w:lineRule="auto"/>
        <w:ind w:left="720"/>
        <w:contextualSpacing/>
        <w:jc w:val="center"/>
      </w:pPr>
      <w:r w:rsidRPr="00AE3F41">
        <w:t>in</w:t>
      </w:r>
    </w:p>
    <w:p w:rsidR="00354313" w:rsidRPr="00AE3F41" w:rsidRDefault="00354313" w:rsidP="00354313">
      <w:pPr>
        <w:spacing w:line="480" w:lineRule="auto"/>
        <w:ind w:left="720"/>
        <w:contextualSpacing/>
        <w:jc w:val="center"/>
      </w:pPr>
      <w:r w:rsidRPr="00AE3F41">
        <w:t>BIOMEDICAL SCIENCE</w:t>
      </w:r>
    </w:p>
    <w:p w:rsidR="00354313" w:rsidRPr="00AE3F41" w:rsidRDefault="00354313" w:rsidP="00354313">
      <w:pPr>
        <w:spacing w:line="480" w:lineRule="auto"/>
        <w:ind w:left="720"/>
        <w:contextualSpacing/>
        <w:jc w:val="center"/>
      </w:pPr>
      <w:r w:rsidRPr="00AE3F41">
        <w:t>in the</w:t>
      </w:r>
    </w:p>
    <w:p w:rsidR="00354313" w:rsidRPr="00AE3F41" w:rsidRDefault="00354313" w:rsidP="00354313">
      <w:pPr>
        <w:spacing w:line="480" w:lineRule="auto"/>
        <w:ind w:left="720"/>
        <w:contextualSpacing/>
        <w:jc w:val="center"/>
      </w:pPr>
      <w:r w:rsidRPr="00AE3F41">
        <w:t>GRADUATE SCHOOL</w:t>
      </w:r>
    </w:p>
    <w:p w:rsidR="00354313" w:rsidRPr="00AE3F41" w:rsidRDefault="00354313" w:rsidP="00354313">
      <w:pPr>
        <w:spacing w:line="480" w:lineRule="auto"/>
        <w:ind w:left="720"/>
        <w:contextualSpacing/>
        <w:jc w:val="center"/>
      </w:pPr>
      <w:r w:rsidRPr="00AE3F41">
        <w:t>of</w:t>
      </w:r>
    </w:p>
    <w:p w:rsidR="00354313" w:rsidRPr="00AE3F41" w:rsidRDefault="00354313" w:rsidP="00354313">
      <w:pPr>
        <w:spacing w:line="480" w:lineRule="auto"/>
        <w:ind w:left="720"/>
        <w:contextualSpacing/>
        <w:jc w:val="center"/>
      </w:pPr>
      <w:r w:rsidRPr="00AE3F41">
        <w:t>HOOD COLLEGE</w:t>
      </w:r>
    </w:p>
    <w:p w:rsidR="00354313" w:rsidRPr="00AE3F41" w:rsidRDefault="00AB43F6" w:rsidP="00354313">
      <w:pPr>
        <w:spacing w:line="480" w:lineRule="auto"/>
        <w:ind w:left="720"/>
        <w:contextualSpacing/>
        <w:jc w:val="center"/>
      </w:pPr>
      <w:r>
        <w:t>September</w:t>
      </w:r>
      <w:r w:rsidR="00354313">
        <w:t xml:space="preserve"> </w:t>
      </w:r>
      <w:r>
        <w:t>2018</w:t>
      </w:r>
    </w:p>
    <w:p w:rsidR="00354313" w:rsidRPr="00AE3F41" w:rsidRDefault="00354313" w:rsidP="00354313">
      <w:pPr>
        <w:ind w:left="720"/>
      </w:pPr>
      <w:r w:rsidRPr="00AE3F41">
        <w:t>Accepted:</w:t>
      </w:r>
    </w:p>
    <w:p w:rsidR="00354313" w:rsidRPr="00AE3F41" w:rsidRDefault="00354313" w:rsidP="00354313">
      <w:pPr>
        <w:ind w:left="720"/>
      </w:pPr>
    </w:p>
    <w:p w:rsidR="00354313" w:rsidRPr="00AE3F41" w:rsidRDefault="00354313" w:rsidP="00354313">
      <w:pPr>
        <w:ind w:left="720"/>
      </w:pPr>
      <w:r w:rsidRPr="00AE3F41">
        <w:t>_________________________</w:t>
      </w:r>
      <w:r>
        <w:t>_______</w:t>
      </w:r>
      <w:r>
        <w:tab/>
      </w:r>
      <w:r w:rsidRPr="00AE3F41">
        <w:t>_________________________</w:t>
      </w:r>
      <w:r>
        <w:t>_______</w:t>
      </w:r>
    </w:p>
    <w:p w:rsidR="00354313" w:rsidRPr="00AE3F41" w:rsidRDefault="00AB43F6" w:rsidP="00354313">
      <w:pPr>
        <w:ind w:left="720"/>
      </w:pPr>
      <w:r>
        <w:t>Rachel Beyer</w:t>
      </w:r>
      <w:r w:rsidR="00354313">
        <w:t>, Ph.D.</w:t>
      </w:r>
      <w:r w:rsidR="00354313">
        <w:tab/>
      </w:r>
      <w:r w:rsidR="00354313">
        <w:tab/>
      </w:r>
      <w:r w:rsidR="00354313">
        <w:tab/>
      </w:r>
      <w:r w:rsidR="00354313">
        <w:tab/>
      </w:r>
      <w:r>
        <w:t>Ann L. Boyd</w:t>
      </w:r>
      <w:r w:rsidR="00354313" w:rsidRPr="00AE3F41">
        <w:t>, Ph.D.</w:t>
      </w:r>
    </w:p>
    <w:p w:rsidR="00354313" w:rsidRPr="00AE3F41" w:rsidRDefault="00354313" w:rsidP="00354313">
      <w:pPr>
        <w:ind w:left="720"/>
      </w:pPr>
      <w:r>
        <w:t>Committee Member</w:t>
      </w:r>
      <w:r>
        <w:tab/>
      </w:r>
      <w:r>
        <w:tab/>
      </w:r>
      <w:r>
        <w:tab/>
      </w:r>
      <w:r>
        <w:tab/>
      </w:r>
      <w:r w:rsidRPr="00AE3F41">
        <w:t>Director, Biomedical Science Program</w:t>
      </w:r>
    </w:p>
    <w:p w:rsidR="00E91E06" w:rsidRDefault="00E91E06" w:rsidP="00354313">
      <w:pPr>
        <w:ind w:left="720"/>
      </w:pPr>
    </w:p>
    <w:p w:rsidR="00354313" w:rsidRDefault="00354313" w:rsidP="00354313">
      <w:pPr>
        <w:ind w:left="720"/>
      </w:pPr>
      <w:r w:rsidRPr="00AE3F41">
        <w:t>_________________________</w:t>
      </w:r>
      <w:r>
        <w:t>_______</w:t>
      </w:r>
      <w:r>
        <w:tab/>
      </w:r>
    </w:p>
    <w:p w:rsidR="00354313" w:rsidRPr="00AE3F41" w:rsidRDefault="00AB43F6" w:rsidP="00354313">
      <w:pPr>
        <w:ind w:left="720"/>
      </w:pPr>
      <w:r>
        <w:t>Ann L. Boyd</w:t>
      </w:r>
      <w:r w:rsidR="00354313">
        <w:t>, Ph.D.</w:t>
      </w:r>
      <w:r w:rsidR="00354313">
        <w:tab/>
      </w:r>
      <w:r w:rsidR="00354313">
        <w:tab/>
      </w:r>
      <w:r w:rsidR="00354313">
        <w:tab/>
      </w:r>
    </w:p>
    <w:p w:rsidR="00354313" w:rsidRDefault="00354313" w:rsidP="00354313">
      <w:pPr>
        <w:ind w:left="720"/>
      </w:pPr>
      <w:r>
        <w:t>Committee Member</w:t>
      </w:r>
      <w:r>
        <w:tab/>
      </w:r>
      <w:r>
        <w:tab/>
      </w:r>
      <w:r>
        <w:tab/>
      </w:r>
      <w:r>
        <w:tab/>
      </w:r>
    </w:p>
    <w:p w:rsidR="00E91E06" w:rsidRDefault="00E91E06" w:rsidP="00354313">
      <w:pPr>
        <w:ind w:left="720"/>
      </w:pPr>
    </w:p>
    <w:p w:rsidR="00354313" w:rsidRPr="00AE3F41" w:rsidRDefault="00354313" w:rsidP="00354313">
      <w:pPr>
        <w:ind w:left="720"/>
      </w:pPr>
      <w:r w:rsidRPr="00AE3F41">
        <w:t>_________________________</w:t>
      </w:r>
      <w:r>
        <w:t>_______</w:t>
      </w:r>
      <w:r>
        <w:tab/>
      </w:r>
      <w:r w:rsidRPr="00AE3F41">
        <w:t>_________________________</w:t>
      </w:r>
      <w:r>
        <w:t>_______</w:t>
      </w:r>
    </w:p>
    <w:p w:rsidR="00354313" w:rsidRPr="00AE3F41" w:rsidRDefault="00AB43F6" w:rsidP="00354313">
      <w:pPr>
        <w:ind w:left="720"/>
      </w:pPr>
      <w:proofErr w:type="spellStart"/>
      <w:r>
        <w:t>Nazzarena</w:t>
      </w:r>
      <w:proofErr w:type="spellEnd"/>
      <w:r>
        <w:t xml:space="preserve"> </w:t>
      </w:r>
      <w:proofErr w:type="spellStart"/>
      <w:r>
        <w:t>Labo</w:t>
      </w:r>
      <w:proofErr w:type="spellEnd"/>
      <w:r w:rsidR="00354313">
        <w:t xml:space="preserve">, </w:t>
      </w:r>
      <w:r w:rsidR="00F307D7">
        <w:t>MD, MPH.</w:t>
      </w:r>
      <w:r w:rsidR="00354313">
        <w:tab/>
      </w:r>
      <w:r w:rsidR="00354313">
        <w:tab/>
      </w:r>
      <w:r w:rsidR="00354313">
        <w:tab/>
      </w:r>
      <w:r>
        <w:t>April Boulton</w:t>
      </w:r>
      <w:r w:rsidR="00354313" w:rsidRPr="00AE3F41">
        <w:t>, Ph.D.</w:t>
      </w:r>
    </w:p>
    <w:p w:rsidR="00354313" w:rsidRDefault="00884B58" w:rsidP="00354313">
      <w:pPr>
        <w:ind w:left="720"/>
      </w:pPr>
      <w:r>
        <w:t>Project</w:t>
      </w:r>
      <w:r w:rsidR="00354313">
        <w:t xml:space="preserve"> Adviser</w:t>
      </w:r>
      <w:r w:rsidR="00354313">
        <w:tab/>
      </w:r>
      <w:r w:rsidR="00354313">
        <w:tab/>
      </w:r>
      <w:r w:rsidR="00354313">
        <w:tab/>
      </w:r>
      <w:r w:rsidR="00354313">
        <w:tab/>
        <w:t>Dean of the Graduate School</w:t>
      </w:r>
    </w:p>
    <w:p w:rsidR="00F333FF" w:rsidRDefault="00354313" w:rsidP="00F333FF">
      <w:pPr>
        <w:ind w:left="720"/>
        <w:jc w:val="center"/>
        <w:rPr>
          <w:b/>
        </w:rPr>
      </w:pPr>
      <w:r>
        <w:rPr>
          <w:b/>
        </w:rPr>
        <w:br w:type="page"/>
      </w:r>
    </w:p>
    <w:p w:rsidR="00F333FF" w:rsidRDefault="00F333FF" w:rsidP="00F333FF">
      <w:pPr>
        <w:ind w:left="720"/>
        <w:jc w:val="center"/>
        <w:rPr>
          <w:b/>
        </w:rPr>
      </w:pPr>
    </w:p>
    <w:p w:rsidR="00963357" w:rsidRDefault="00963357" w:rsidP="00F333FF">
      <w:pPr>
        <w:ind w:left="720"/>
        <w:jc w:val="center"/>
        <w:rPr>
          <w:b/>
        </w:rPr>
      </w:pPr>
      <w:r>
        <w:rPr>
          <w:b/>
        </w:rPr>
        <w:t xml:space="preserve">STATEMENT OF USE AND </w:t>
      </w:r>
      <w:r w:rsidRPr="00AE3F41">
        <w:rPr>
          <w:b/>
        </w:rPr>
        <w:t>COPYRIGHT WAIVER</w:t>
      </w:r>
    </w:p>
    <w:p w:rsidR="00963357" w:rsidRDefault="00963357" w:rsidP="00963357">
      <w:pPr>
        <w:ind w:left="720" w:firstLine="720"/>
        <w:jc w:val="center"/>
        <w:rPr>
          <w:b/>
        </w:rPr>
      </w:pPr>
    </w:p>
    <w:p w:rsidR="00963357" w:rsidRDefault="00963357" w:rsidP="00963357">
      <w:pPr>
        <w:ind w:left="720" w:firstLine="720"/>
        <w:jc w:val="center"/>
        <w:rPr>
          <w:b/>
        </w:rPr>
      </w:pPr>
    </w:p>
    <w:p w:rsidR="00963357" w:rsidRPr="0071335E" w:rsidRDefault="00963357" w:rsidP="00963357">
      <w:pPr>
        <w:spacing w:line="480" w:lineRule="auto"/>
        <w:ind w:left="720" w:firstLine="720"/>
        <w:contextualSpacing/>
        <w:jc w:val="both"/>
        <w:rPr>
          <w:b/>
        </w:rPr>
      </w:pPr>
      <w:r>
        <w:t xml:space="preserve">I </w:t>
      </w:r>
      <w:sdt>
        <w:sdtPr>
          <w:id w:val="1704413150"/>
          <w:placeholder>
            <w:docPart w:val="5D22AB76B18246A493A6AD2D1BBE2F3C"/>
          </w:placeholder>
          <w:dropDownList>
            <w:listItem w:value="choose an item"/>
            <w:listItem w:displayText="do" w:value="do"/>
            <w:listItem w:displayText="do not" w:value="do not"/>
          </w:dropDownList>
        </w:sdtPr>
        <w:sdtEndPr/>
        <w:sdtContent>
          <w:r w:rsidR="004A6A68">
            <w:t>do</w:t>
          </w:r>
        </w:sdtContent>
      </w:sdt>
      <w:r w:rsidRPr="00AE3F41">
        <w:t xml:space="preserve"> </w:t>
      </w:r>
      <w:r>
        <w:t xml:space="preserve">authorize </w:t>
      </w:r>
      <w:r w:rsidR="00884B58">
        <w:t>Hood College to lend this mock grant proposal</w:t>
      </w:r>
      <w:r w:rsidRPr="00AE3F41">
        <w:t>, or reproductions of it, in total or in part, at the request of other institutions or individuals for the purpose of scholarly research.</w:t>
      </w:r>
    </w:p>
    <w:p w:rsidR="00354313" w:rsidRDefault="00354313" w:rsidP="002E4513">
      <w:pPr>
        <w:ind w:left="720"/>
      </w:pPr>
    </w:p>
    <w:p w:rsidR="00963357" w:rsidRPr="00AE3F41" w:rsidRDefault="00963357" w:rsidP="002E4513">
      <w:pPr>
        <w:ind w:left="720"/>
      </w:pPr>
    </w:p>
    <w:p w:rsidR="00354313" w:rsidRPr="00AE3F41" w:rsidRDefault="00354313" w:rsidP="00354313">
      <w:pPr>
        <w:spacing w:line="480" w:lineRule="auto"/>
      </w:pPr>
    </w:p>
    <w:p w:rsidR="00354313" w:rsidRPr="00AE3F41" w:rsidRDefault="00354313" w:rsidP="00354313">
      <w:pPr>
        <w:spacing w:line="480" w:lineRule="auto"/>
      </w:pPr>
    </w:p>
    <w:p w:rsidR="00354313" w:rsidRPr="00AE3F41" w:rsidRDefault="00354313" w:rsidP="00354313">
      <w:pPr>
        <w:spacing w:line="480" w:lineRule="auto"/>
      </w:pPr>
    </w:p>
    <w:p w:rsidR="00354313" w:rsidRDefault="00354313" w:rsidP="00354313">
      <w:pPr>
        <w:spacing w:line="480" w:lineRule="auto"/>
      </w:pPr>
    </w:p>
    <w:p w:rsidR="00354313" w:rsidRDefault="00354313" w:rsidP="00354313">
      <w:pPr>
        <w:spacing w:line="480" w:lineRule="auto"/>
        <w:jc w:val="center"/>
      </w:pPr>
    </w:p>
    <w:p w:rsidR="00827156" w:rsidRDefault="00827156">
      <w:pPr>
        <w:rPr>
          <w:b/>
        </w:rPr>
      </w:pPr>
      <w:r>
        <w:rPr>
          <w:b/>
        </w:rPr>
        <w:br w:type="page"/>
      </w:r>
    </w:p>
    <w:p w:rsidR="00A71CC2" w:rsidRDefault="00A71CC2">
      <w:pPr>
        <w:rPr>
          <w:b/>
        </w:rPr>
      </w:pPr>
    </w:p>
    <w:p w:rsidR="00354313" w:rsidRDefault="00354313" w:rsidP="00354313">
      <w:pPr>
        <w:jc w:val="center"/>
        <w:rPr>
          <w:b/>
        </w:rPr>
      </w:pPr>
      <w:r>
        <w:rPr>
          <w:b/>
        </w:rPr>
        <w:t>DEDICATION</w:t>
      </w:r>
    </w:p>
    <w:p w:rsidR="00354313" w:rsidRDefault="00354313" w:rsidP="00354313">
      <w:pPr>
        <w:jc w:val="center"/>
        <w:rPr>
          <w:b/>
        </w:rPr>
      </w:pPr>
    </w:p>
    <w:p w:rsidR="00354313" w:rsidRPr="00E45C92" w:rsidRDefault="00354313" w:rsidP="00354313">
      <w:pPr>
        <w:jc w:val="center"/>
      </w:pPr>
    </w:p>
    <w:p w:rsidR="0098093A" w:rsidRPr="0071335E" w:rsidRDefault="0098093A" w:rsidP="0098093A">
      <w:pPr>
        <w:spacing w:line="480" w:lineRule="auto"/>
        <w:ind w:left="720" w:firstLine="720"/>
        <w:contextualSpacing/>
        <w:jc w:val="both"/>
        <w:rPr>
          <w:b/>
        </w:rPr>
      </w:pPr>
      <w:r>
        <w:t>I would like to dedicate this work to my family and friends.  I thank you for your support, encouragement, and contribution to this project.  I am very grateful to my parents</w:t>
      </w:r>
      <w:r w:rsidR="005B7FF0">
        <w:t xml:space="preserve">, </w:t>
      </w:r>
      <w:r>
        <w:t>for their love and support throughout my life.  Also, to my sisters, Woodie</w:t>
      </w:r>
      <w:r w:rsidR="00F303D7">
        <w:t xml:space="preserve">, </w:t>
      </w:r>
      <w:proofErr w:type="spellStart"/>
      <w:r>
        <w:t>Melekam</w:t>
      </w:r>
      <w:proofErr w:type="spellEnd"/>
      <w:r>
        <w:t>,</w:t>
      </w:r>
      <w:r w:rsidR="006C4D3C">
        <w:t xml:space="preserve"> </w:t>
      </w:r>
      <w:proofErr w:type="spellStart"/>
      <w:r w:rsidR="00F303D7">
        <w:t>Asmarech</w:t>
      </w:r>
      <w:proofErr w:type="spellEnd"/>
      <w:r w:rsidR="006C4D3C">
        <w:t xml:space="preserve">, and </w:t>
      </w:r>
      <w:proofErr w:type="spellStart"/>
      <w:r w:rsidR="006C4D3C">
        <w:t>Beleynesh</w:t>
      </w:r>
      <w:proofErr w:type="spellEnd"/>
      <w:r>
        <w:t xml:space="preserve"> &amp; my brothers, </w:t>
      </w:r>
      <w:proofErr w:type="spellStart"/>
      <w:r>
        <w:t>Azanaw</w:t>
      </w:r>
      <w:proofErr w:type="spellEnd"/>
      <w:r>
        <w:t xml:space="preserve">, Getachew, </w:t>
      </w:r>
      <w:proofErr w:type="spellStart"/>
      <w:r>
        <w:t>Fikre</w:t>
      </w:r>
      <w:proofErr w:type="spellEnd"/>
      <w:r>
        <w:t xml:space="preserve">, and </w:t>
      </w:r>
      <w:proofErr w:type="spellStart"/>
      <w:r>
        <w:t>Aderajew</w:t>
      </w:r>
      <w:proofErr w:type="spellEnd"/>
      <w:r>
        <w:t xml:space="preserve"> for whom I am truly grateful for having in my life.  Especial thanks to my sisters and my brothers who have always been a constant source of support and encouragement during the challenges of my college years, and for spending time proofreading my papers with a willing attitude.</w:t>
      </w:r>
    </w:p>
    <w:p w:rsidR="00354313" w:rsidRPr="00CF72E7" w:rsidRDefault="00354313" w:rsidP="007F33FD">
      <w:pPr>
        <w:spacing w:line="480" w:lineRule="auto"/>
        <w:ind w:firstLine="720"/>
        <w:contextualSpacing/>
        <w:jc w:val="both"/>
        <w:rPr>
          <w:b/>
        </w:rPr>
      </w:pPr>
    </w:p>
    <w:p w:rsidR="00354313" w:rsidRPr="00AE3F41" w:rsidRDefault="00354313" w:rsidP="00354313">
      <w:pPr>
        <w:spacing w:line="480" w:lineRule="auto"/>
        <w:jc w:val="center"/>
      </w:pPr>
    </w:p>
    <w:p w:rsidR="00354313" w:rsidRPr="00AE3F41" w:rsidRDefault="00354313" w:rsidP="00354313">
      <w:pPr>
        <w:spacing w:line="480" w:lineRule="auto"/>
      </w:pPr>
    </w:p>
    <w:p w:rsidR="00354313" w:rsidRDefault="00354313" w:rsidP="00354313">
      <w:pPr>
        <w:spacing w:line="480" w:lineRule="auto"/>
      </w:pPr>
    </w:p>
    <w:p w:rsidR="00354313" w:rsidRPr="00F333FF" w:rsidRDefault="00354313" w:rsidP="00F333FF">
      <w:r>
        <w:br w:type="page"/>
      </w:r>
    </w:p>
    <w:p w:rsidR="00F333FF" w:rsidRDefault="00F333FF" w:rsidP="00354313">
      <w:pPr>
        <w:jc w:val="center"/>
        <w:rPr>
          <w:b/>
        </w:rPr>
      </w:pPr>
    </w:p>
    <w:p w:rsidR="00354313" w:rsidRDefault="00354313" w:rsidP="00354313">
      <w:pPr>
        <w:jc w:val="center"/>
        <w:rPr>
          <w:b/>
        </w:rPr>
      </w:pPr>
      <w:r>
        <w:rPr>
          <w:b/>
        </w:rPr>
        <w:t>ACKNOWLEDGEMENTS</w:t>
      </w:r>
    </w:p>
    <w:p w:rsidR="00354313" w:rsidRDefault="00354313" w:rsidP="00354313">
      <w:pPr>
        <w:jc w:val="center"/>
        <w:rPr>
          <w:b/>
        </w:rPr>
      </w:pPr>
    </w:p>
    <w:p w:rsidR="00354313" w:rsidRPr="00E45C92" w:rsidRDefault="00354313" w:rsidP="00354313">
      <w:pPr>
        <w:jc w:val="center"/>
      </w:pPr>
    </w:p>
    <w:p w:rsidR="007274A4" w:rsidRPr="00CF72E7" w:rsidRDefault="007274A4" w:rsidP="007274A4">
      <w:pPr>
        <w:spacing w:line="480" w:lineRule="auto"/>
        <w:ind w:left="720" w:firstLine="720"/>
        <w:contextualSpacing/>
        <w:jc w:val="both"/>
        <w:rPr>
          <w:b/>
        </w:rPr>
      </w:pPr>
      <w:r>
        <w:t xml:space="preserve">I would like to acknowledge and express my sincere gratitude to all my capstone committee members for their feedback, dedication, and support for this project.  First, I would like to thank Dr. Ann L. Boyd for her enthusiasm, intellectual guidance, and tireless support at every stage of this work.  I am very grateful to have her as my advisor and teacher, and for being available with answers whenever I need help since the beginning of my school year.  Second, I would like to thank my project advisor, Dr. </w:t>
      </w:r>
      <w:proofErr w:type="spellStart"/>
      <w:r>
        <w:t>Nazzarena</w:t>
      </w:r>
      <w:proofErr w:type="spellEnd"/>
      <w:r>
        <w:t xml:space="preserve"> </w:t>
      </w:r>
      <w:proofErr w:type="spellStart"/>
      <w:r>
        <w:t>Labo</w:t>
      </w:r>
      <w:proofErr w:type="spellEnd"/>
      <w:r>
        <w:t xml:space="preserve">, for her support, intellectual feedback, and invaluable contributions to make the success of this project.  I would not have done this project without her guidance.  Third, I would like to thank Dr. Rachel Beyer for her support and intellectual feedback, and for choosing my project advisor.  I sincerely appreciate for all your support and contribution to this project.  </w:t>
      </w:r>
    </w:p>
    <w:p w:rsidR="006E1C90" w:rsidRDefault="006E1C90" w:rsidP="006E1C90">
      <w:pPr>
        <w:rPr>
          <w:sz w:val="20"/>
          <w:szCs w:val="20"/>
        </w:rPr>
        <w:sectPr w:rsidR="006E1C90" w:rsidSect="00A71CC2">
          <w:headerReference w:type="default" r:id="rId8"/>
          <w:footerReference w:type="default" r:id="rId9"/>
          <w:pgSz w:w="12240" w:h="15840"/>
          <w:pgMar w:top="720" w:right="1440" w:bottom="720" w:left="1440" w:header="720" w:footer="720" w:gutter="0"/>
          <w:pgNumType w:fmt="lowerRoman" w:start="1"/>
          <w:cols w:space="720"/>
          <w:titlePg/>
          <w:docGrid w:linePitch="360"/>
        </w:sectPr>
      </w:pPr>
    </w:p>
    <w:tbl>
      <w:tblPr>
        <w:tblW w:w="10800" w:type="dxa"/>
        <w:tblInd w:w="-1051" w:type="dxa"/>
        <w:tblLayout w:type="fixed"/>
        <w:tblCellMar>
          <w:top w:w="29" w:type="dxa"/>
          <w:left w:w="29" w:type="dxa"/>
          <w:right w:w="29" w:type="dxa"/>
        </w:tblCellMar>
        <w:tblLook w:val="0000" w:firstRow="0" w:lastRow="0" w:firstColumn="0" w:lastColumn="0" w:noHBand="0" w:noVBand="0"/>
      </w:tblPr>
      <w:tblGrid>
        <w:gridCol w:w="554"/>
        <w:gridCol w:w="270"/>
        <w:gridCol w:w="87"/>
        <w:gridCol w:w="940"/>
        <w:gridCol w:w="938"/>
        <w:gridCol w:w="180"/>
        <w:gridCol w:w="279"/>
        <w:gridCol w:w="270"/>
        <w:gridCol w:w="122"/>
        <w:gridCol w:w="63"/>
        <w:gridCol w:w="175"/>
        <w:gridCol w:w="1897"/>
        <w:gridCol w:w="454"/>
        <w:gridCol w:w="270"/>
        <w:gridCol w:w="49"/>
        <w:gridCol w:w="131"/>
        <w:gridCol w:w="317"/>
        <w:gridCol w:w="195"/>
        <w:gridCol w:w="130"/>
        <w:gridCol w:w="24"/>
        <w:gridCol w:w="954"/>
        <w:gridCol w:w="180"/>
        <w:gridCol w:w="87"/>
        <w:gridCol w:w="418"/>
        <w:gridCol w:w="35"/>
        <w:gridCol w:w="360"/>
        <w:gridCol w:w="232"/>
        <w:gridCol w:w="1189"/>
      </w:tblGrid>
      <w:tr w:rsidR="006E1C90" w:rsidTr="00B126BB">
        <w:trPr>
          <w:cantSplit/>
        </w:trPr>
        <w:tc>
          <w:tcPr>
            <w:tcW w:w="10800" w:type="dxa"/>
            <w:gridSpan w:val="28"/>
            <w:tcBorders>
              <w:bottom w:val="single" w:sz="6" w:space="0" w:color="auto"/>
            </w:tcBorders>
          </w:tcPr>
          <w:p w:rsidR="006E1C90" w:rsidRPr="000336EB" w:rsidRDefault="006E1C90" w:rsidP="000336EB">
            <w:pPr>
              <w:pStyle w:val="FormHeader"/>
              <w:tabs>
                <w:tab w:val="clear" w:pos="10656"/>
              </w:tabs>
              <w:ind w:right="61"/>
              <w:jc w:val="right"/>
              <w:rPr>
                <w:bCs/>
                <w:sz w:val="14"/>
                <w:szCs w:val="14"/>
              </w:rPr>
            </w:pPr>
          </w:p>
        </w:tc>
      </w:tr>
      <w:tr w:rsidR="006E1C90" w:rsidTr="00B126BB">
        <w:trPr>
          <w:cantSplit/>
        </w:trPr>
        <w:tc>
          <w:tcPr>
            <w:tcW w:w="5775" w:type="dxa"/>
            <w:gridSpan w:val="12"/>
            <w:vMerge w:val="restart"/>
            <w:tcBorders>
              <w:top w:val="single" w:sz="6" w:space="0" w:color="auto"/>
              <w:left w:val="single" w:sz="6" w:space="0" w:color="auto"/>
              <w:right w:val="single" w:sz="6" w:space="0" w:color="auto"/>
            </w:tcBorders>
            <w:vAlign w:val="center"/>
          </w:tcPr>
          <w:p w:rsidR="002E1B15" w:rsidRPr="002E1B15" w:rsidRDefault="008B766A" w:rsidP="002E1B15">
            <w:pPr>
              <w:pStyle w:val="Heading2"/>
              <w:jc w:val="center"/>
              <w:rPr>
                <w:rFonts w:ascii="Arial" w:hAnsi="Arial" w:cs="Arial"/>
                <w:color w:val="000000"/>
                <w:sz w:val="22"/>
                <w:szCs w:val="22"/>
              </w:rPr>
            </w:pPr>
            <w:r>
              <w:rPr>
                <w:rFonts w:ascii="Arial" w:hAnsi="Arial" w:cs="Arial"/>
                <w:color w:val="000000"/>
                <w:sz w:val="22"/>
                <w:szCs w:val="22"/>
              </w:rPr>
              <w:t>Mock G</w:t>
            </w:r>
            <w:r w:rsidR="006E1C90" w:rsidRPr="005D2F6A">
              <w:rPr>
                <w:rFonts w:ascii="Arial" w:hAnsi="Arial" w:cs="Arial"/>
                <w:color w:val="000000"/>
                <w:sz w:val="22"/>
                <w:szCs w:val="22"/>
              </w:rPr>
              <w:t>rant Application</w:t>
            </w:r>
          </w:p>
          <w:p w:rsidR="006E1C90" w:rsidRPr="002E1B15" w:rsidRDefault="008B766A" w:rsidP="002E1B15">
            <w:pPr>
              <w:jc w:val="center"/>
              <w:rPr>
                <w:rFonts w:ascii="Arial" w:hAnsi="Arial" w:cs="Arial"/>
                <w:sz w:val="16"/>
                <w:szCs w:val="16"/>
              </w:rPr>
            </w:pPr>
            <w:r w:rsidRPr="002E1B15">
              <w:rPr>
                <w:rFonts w:ascii="Arial" w:hAnsi="Arial" w:cs="Arial"/>
                <w:sz w:val="16"/>
                <w:szCs w:val="16"/>
              </w:rPr>
              <w:t>Modeled af</w:t>
            </w:r>
            <w:r w:rsidR="002E1B15" w:rsidRPr="002E1B15">
              <w:rPr>
                <w:rFonts w:ascii="Arial" w:hAnsi="Arial" w:cs="Arial"/>
                <w:sz w:val="16"/>
                <w:szCs w:val="16"/>
              </w:rPr>
              <w:t>ter Department of Health and Human Services</w:t>
            </w:r>
          </w:p>
          <w:p w:rsidR="002E1B15" w:rsidRPr="002E1B15" w:rsidRDefault="002E1B15" w:rsidP="002E1B15">
            <w:pPr>
              <w:jc w:val="center"/>
              <w:rPr>
                <w:rFonts w:ascii="Arial" w:hAnsi="Arial" w:cs="Arial"/>
                <w:sz w:val="16"/>
                <w:szCs w:val="16"/>
              </w:rPr>
            </w:pPr>
            <w:r w:rsidRPr="002E1B15">
              <w:rPr>
                <w:rFonts w:ascii="Arial" w:hAnsi="Arial" w:cs="Arial"/>
                <w:sz w:val="16"/>
                <w:szCs w:val="16"/>
              </w:rPr>
              <w:t>Public Health Services</w:t>
            </w:r>
          </w:p>
          <w:p w:rsidR="002E1B15" w:rsidRPr="002E1B15" w:rsidRDefault="00A13863" w:rsidP="002E1B15">
            <w:pPr>
              <w:jc w:val="center"/>
              <w:rPr>
                <w:rFonts w:ascii="Arial" w:hAnsi="Arial" w:cs="Arial"/>
                <w:sz w:val="18"/>
                <w:szCs w:val="18"/>
              </w:rPr>
            </w:pPr>
            <w:r>
              <w:rPr>
                <w:rFonts w:ascii="Arial" w:hAnsi="Arial" w:cs="Arial"/>
                <w:sz w:val="16"/>
                <w:szCs w:val="16"/>
              </w:rPr>
              <w:t>(</w:t>
            </w:r>
            <w:r w:rsidR="00BE4013">
              <w:rPr>
                <w:rFonts w:ascii="Arial" w:hAnsi="Arial" w:cs="Arial"/>
                <w:sz w:val="16"/>
                <w:szCs w:val="16"/>
              </w:rPr>
              <w:t xml:space="preserve">based on </w:t>
            </w:r>
            <w:r w:rsidR="002E1B15" w:rsidRPr="002E1B15">
              <w:rPr>
                <w:rFonts w:ascii="Arial" w:hAnsi="Arial" w:cs="Arial"/>
                <w:sz w:val="16"/>
                <w:szCs w:val="16"/>
              </w:rPr>
              <w:t>Form</w:t>
            </w:r>
            <w:r w:rsidR="002E1B15">
              <w:rPr>
                <w:rFonts w:ascii="Arial" w:hAnsi="Arial" w:cs="Arial"/>
                <w:sz w:val="16"/>
                <w:szCs w:val="16"/>
              </w:rPr>
              <w:t xml:space="preserve"> PHS 398</w:t>
            </w:r>
            <w:r>
              <w:rPr>
                <w:rFonts w:ascii="Arial" w:hAnsi="Arial" w:cs="Arial"/>
                <w:sz w:val="16"/>
                <w:szCs w:val="16"/>
              </w:rPr>
              <w:t>)</w:t>
            </w:r>
          </w:p>
        </w:tc>
        <w:tc>
          <w:tcPr>
            <w:tcW w:w="5025" w:type="dxa"/>
            <w:gridSpan w:val="16"/>
            <w:tcBorders>
              <w:top w:val="single" w:sz="6" w:space="0" w:color="auto"/>
              <w:left w:val="nil"/>
              <w:bottom w:val="nil"/>
              <w:right w:val="single" w:sz="6" w:space="0" w:color="auto"/>
            </w:tcBorders>
          </w:tcPr>
          <w:p w:rsidR="006E1C90" w:rsidRDefault="006E1C90" w:rsidP="00AB71B9">
            <w:pPr>
              <w:pStyle w:val="FormFieldCaption"/>
            </w:pPr>
            <w:r>
              <w:rPr>
                <w:b/>
                <w:bCs/>
              </w:rPr>
              <w:t xml:space="preserve">LEAVE BLANK—FOR </w:t>
            </w:r>
            <w:r w:rsidR="00AB71B9">
              <w:rPr>
                <w:b/>
                <w:bCs/>
              </w:rPr>
              <w:t xml:space="preserve">OFFICIAL </w:t>
            </w:r>
            <w:r>
              <w:rPr>
                <w:b/>
                <w:bCs/>
              </w:rPr>
              <w:t>USE ONLY</w:t>
            </w:r>
            <w:r>
              <w:t>.</w:t>
            </w:r>
          </w:p>
        </w:tc>
      </w:tr>
      <w:tr w:rsidR="006E1C90" w:rsidTr="00B126BB">
        <w:trPr>
          <w:cantSplit/>
          <w:trHeight w:val="173"/>
        </w:trPr>
        <w:tc>
          <w:tcPr>
            <w:tcW w:w="5775" w:type="dxa"/>
            <w:gridSpan w:val="12"/>
            <w:vMerge/>
            <w:tcBorders>
              <w:left w:val="single" w:sz="6" w:space="0" w:color="auto"/>
              <w:right w:val="single" w:sz="6" w:space="0" w:color="auto"/>
            </w:tcBorders>
          </w:tcPr>
          <w:p w:rsidR="006E1C90" w:rsidRDefault="006E1C90" w:rsidP="00F40F58">
            <w:pPr>
              <w:pStyle w:val="HeadingNote"/>
            </w:pPr>
          </w:p>
        </w:tc>
        <w:tc>
          <w:tcPr>
            <w:tcW w:w="1221" w:type="dxa"/>
            <w:gridSpan w:val="5"/>
            <w:tcBorders>
              <w:top w:val="single" w:sz="6" w:space="0" w:color="auto"/>
              <w:left w:val="nil"/>
              <w:bottom w:val="single" w:sz="6" w:space="0" w:color="auto"/>
              <w:right w:val="single" w:sz="6" w:space="0" w:color="auto"/>
            </w:tcBorders>
          </w:tcPr>
          <w:p w:rsidR="006E1C90" w:rsidRDefault="006E1C90" w:rsidP="00F40F58">
            <w:pPr>
              <w:pStyle w:val="FormFieldCaption"/>
            </w:pPr>
            <w:r>
              <w:t>Type</w:t>
            </w:r>
          </w:p>
        </w:tc>
        <w:tc>
          <w:tcPr>
            <w:tcW w:w="1483" w:type="dxa"/>
            <w:gridSpan w:val="5"/>
            <w:tcBorders>
              <w:top w:val="single" w:sz="6" w:space="0" w:color="auto"/>
              <w:left w:val="single" w:sz="6" w:space="0" w:color="auto"/>
              <w:bottom w:val="single" w:sz="6" w:space="0" w:color="auto"/>
              <w:right w:val="single" w:sz="6" w:space="0" w:color="auto"/>
            </w:tcBorders>
          </w:tcPr>
          <w:p w:rsidR="006E1C90" w:rsidRDefault="006E1C90" w:rsidP="00F40F58">
            <w:pPr>
              <w:pStyle w:val="FormFieldCaption"/>
            </w:pPr>
            <w:r>
              <w:t>Activity</w:t>
            </w:r>
          </w:p>
        </w:tc>
        <w:tc>
          <w:tcPr>
            <w:tcW w:w="2321" w:type="dxa"/>
            <w:gridSpan w:val="6"/>
            <w:tcBorders>
              <w:top w:val="single" w:sz="6" w:space="0" w:color="auto"/>
              <w:left w:val="single" w:sz="6" w:space="0" w:color="auto"/>
              <w:bottom w:val="nil"/>
              <w:right w:val="single" w:sz="6" w:space="0" w:color="auto"/>
            </w:tcBorders>
          </w:tcPr>
          <w:p w:rsidR="006E1C90" w:rsidRDefault="000336EB" w:rsidP="00F901CA">
            <w:pPr>
              <w:pStyle w:val="FormFieldCaption"/>
            </w:pPr>
            <w:r>
              <w:t xml:space="preserve">Version  –  </w:t>
            </w:r>
            <w:r w:rsidR="00F901CA">
              <w:t>HC</w:t>
            </w:r>
            <w:r w:rsidR="004A46C0">
              <w:t>BMS.</w:t>
            </w:r>
            <w:r w:rsidR="00F901CA">
              <w:t>0117</w:t>
            </w:r>
            <w:r>
              <w:t>12</w:t>
            </w:r>
          </w:p>
        </w:tc>
      </w:tr>
      <w:tr w:rsidR="006E1C90" w:rsidTr="00B126BB">
        <w:trPr>
          <w:cantSplit/>
          <w:trHeight w:val="317"/>
        </w:trPr>
        <w:tc>
          <w:tcPr>
            <w:tcW w:w="5775" w:type="dxa"/>
            <w:gridSpan w:val="12"/>
            <w:vMerge/>
            <w:tcBorders>
              <w:left w:val="single" w:sz="6" w:space="0" w:color="auto"/>
              <w:right w:val="single" w:sz="6" w:space="0" w:color="auto"/>
            </w:tcBorders>
          </w:tcPr>
          <w:p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rsidR="006E1C90" w:rsidRDefault="006E1C90" w:rsidP="00F40F58">
            <w:pPr>
              <w:pStyle w:val="FormFieldCaption"/>
            </w:pPr>
            <w:r>
              <w:t>Review Group</w:t>
            </w:r>
          </w:p>
        </w:tc>
        <w:tc>
          <w:tcPr>
            <w:tcW w:w="2321" w:type="dxa"/>
            <w:gridSpan w:val="6"/>
            <w:tcBorders>
              <w:top w:val="single" w:sz="6" w:space="0" w:color="auto"/>
              <w:left w:val="nil"/>
              <w:bottom w:val="single" w:sz="6" w:space="0" w:color="auto"/>
              <w:right w:val="single" w:sz="6" w:space="0" w:color="auto"/>
            </w:tcBorders>
          </w:tcPr>
          <w:p w:rsidR="006E1C90" w:rsidRDefault="006E1C90" w:rsidP="00F40F58">
            <w:pPr>
              <w:pStyle w:val="FormFieldCaption"/>
            </w:pPr>
            <w:r>
              <w:t>Formerly</w:t>
            </w:r>
          </w:p>
        </w:tc>
      </w:tr>
      <w:tr w:rsidR="006E1C90" w:rsidTr="00B126BB">
        <w:trPr>
          <w:cantSplit/>
          <w:trHeight w:val="361"/>
        </w:trPr>
        <w:tc>
          <w:tcPr>
            <w:tcW w:w="5775" w:type="dxa"/>
            <w:gridSpan w:val="12"/>
            <w:vMerge/>
            <w:tcBorders>
              <w:left w:val="single" w:sz="6" w:space="0" w:color="auto"/>
              <w:bottom w:val="single" w:sz="6" w:space="0" w:color="auto"/>
              <w:right w:val="single" w:sz="6" w:space="0" w:color="auto"/>
            </w:tcBorders>
          </w:tcPr>
          <w:p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rsidR="006E1C90" w:rsidRDefault="006E1C90" w:rsidP="00F40F58">
            <w:pPr>
              <w:pStyle w:val="FormFieldCaption"/>
            </w:pPr>
            <w:r>
              <w:t>Council/Board (Month, Year)</w:t>
            </w:r>
          </w:p>
        </w:tc>
        <w:tc>
          <w:tcPr>
            <w:tcW w:w="2321" w:type="dxa"/>
            <w:gridSpan w:val="6"/>
            <w:tcBorders>
              <w:top w:val="nil"/>
              <w:left w:val="single" w:sz="6" w:space="0" w:color="auto"/>
              <w:bottom w:val="single" w:sz="6" w:space="0" w:color="auto"/>
              <w:right w:val="single" w:sz="6" w:space="0" w:color="auto"/>
            </w:tcBorders>
          </w:tcPr>
          <w:p w:rsidR="006E1C90" w:rsidRDefault="006E1C90" w:rsidP="00F40F58">
            <w:pPr>
              <w:pStyle w:val="FormFieldCaption"/>
            </w:pPr>
            <w:r>
              <w:t>Date Received</w:t>
            </w:r>
          </w:p>
        </w:tc>
      </w:tr>
      <w:tr w:rsidR="006E1C90" w:rsidTr="00B126BB">
        <w:trPr>
          <w:trHeight w:hRule="exact" w:val="576"/>
        </w:trPr>
        <w:tc>
          <w:tcPr>
            <w:tcW w:w="10800" w:type="dxa"/>
            <w:gridSpan w:val="28"/>
            <w:tcBorders>
              <w:top w:val="nil"/>
              <w:left w:val="single" w:sz="6" w:space="0" w:color="auto"/>
              <w:bottom w:val="single" w:sz="6" w:space="0" w:color="auto"/>
              <w:right w:val="single" w:sz="6" w:space="0" w:color="auto"/>
            </w:tcBorders>
          </w:tcPr>
          <w:p w:rsidR="006E1C90" w:rsidRDefault="006E1C90" w:rsidP="00F40F58">
            <w:pPr>
              <w:pStyle w:val="FormFieldCaption"/>
            </w:pPr>
            <w:r>
              <w:t>1.</w:t>
            </w:r>
            <w:r>
              <w:tab/>
              <w:t xml:space="preserve">TITLE OF PROJECT </w:t>
            </w:r>
            <w:r>
              <w:rPr>
                <w:i/>
                <w:iCs/>
              </w:rPr>
              <w:t>(Do not exceed 81 characters, including spaces and punctuation.)</w:t>
            </w:r>
          </w:p>
          <w:p w:rsidR="006E1C90" w:rsidRPr="00997FE1" w:rsidRDefault="001D23FA" w:rsidP="00B126BB">
            <w:pPr>
              <w:pStyle w:val="DataField11pt"/>
              <w:tabs>
                <w:tab w:val="left" w:pos="3600"/>
              </w:tabs>
              <w:ind w:left="259"/>
              <w:rPr>
                <w:sz w:val="20"/>
              </w:rPr>
            </w:pPr>
            <w:r>
              <w:t>Epidemiology and Epigenetic</w:t>
            </w:r>
            <w:r w:rsidR="00F307D7">
              <w:t xml:space="preserve">s </w:t>
            </w:r>
            <w:r>
              <w:t>of Type 2 Diabetes Among Ethiopian Immigrants in the United States</w:t>
            </w:r>
          </w:p>
        </w:tc>
      </w:tr>
      <w:tr w:rsidR="006E1C90" w:rsidTr="00B126BB">
        <w:trPr>
          <w:trHeight w:hRule="exact" w:val="432"/>
        </w:trPr>
        <w:tc>
          <w:tcPr>
            <w:tcW w:w="10800" w:type="dxa"/>
            <w:gridSpan w:val="28"/>
            <w:tcBorders>
              <w:top w:val="single" w:sz="6" w:space="0" w:color="auto"/>
              <w:left w:val="single" w:sz="6" w:space="0" w:color="auto"/>
              <w:right w:val="single" w:sz="6" w:space="0" w:color="auto"/>
            </w:tcBorders>
            <w:tcMar>
              <w:top w:w="0" w:type="dxa"/>
            </w:tcMar>
          </w:tcPr>
          <w:p w:rsidR="006E1C90" w:rsidRDefault="006E1C90" w:rsidP="00F40F58">
            <w:pPr>
              <w:pStyle w:val="FormFieldCaption"/>
            </w:pPr>
            <w:r>
              <w:t>2.</w:t>
            </w:r>
            <w:r>
              <w:tab/>
              <w:t xml:space="preserve">RESPONSE TO SPECIFIC REQUEST FOR APPLICATIONS OR PROGRAM ANNOUNCEMENT OR SOLICITATION  </w:t>
            </w:r>
            <w:r>
              <w:rPr>
                <w:sz w:val="20"/>
                <w:szCs w:val="20"/>
              </w:rPr>
              <w:t xml:space="preserve"> </w:t>
            </w:r>
            <w:r w:rsidR="0077261E">
              <w:rPr>
                <w:sz w:val="20"/>
                <w:szCs w:val="20"/>
              </w:rPr>
              <w:fldChar w:fldCharType="begin">
                <w:ffData>
                  <w:name w:val=""/>
                  <w:enabled/>
                  <w:calcOnExit w:val="0"/>
                  <w:checkBox>
                    <w:size w:val="20"/>
                    <w:default w:val="1"/>
                  </w:checkBox>
                </w:ffData>
              </w:fldChar>
            </w:r>
            <w:r w:rsidR="0050789A">
              <w:rPr>
                <w:sz w:val="20"/>
                <w:szCs w:val="20"/>
              </w:rPr>
              <w:instrText xml:space="preserve"> FORMCHECKBOX </w:instrText>
            </w:r>
            <w:r w:rsidR="000D3DF5">
              <w:rPr>
                <w:sz w:val="20"/>
                <w:szCs w:val="20"/>
              </w:rPr>
            </w:r>
            <w:r w:rsidR="000D3DF5">
              <w:rPr>
                <w:sz w:val="20"/>
                <w:szCs w:val="20"/>
              </w:rPr>
              <w:fldChar w:fldCharType="separate"/>
            </w:r>
            <w:r w:rsidR="0077261E">
              <w:rPr>
                <w:sz w:val="20"/>
                <w:szCs w:val="20"/>
              </w:rPr>
              <w:fldChar w:fldCharType="end"/>
            </w:r>
            <w:r>
              <w:t xml:space="preserve"> NO  </w:t>
            </w:r>
            <w:r w:rsidR="0077261E">
              <w:rPr>
                <w:sz w:val="20"/>
                <w:szCs w:val="20"/>
              </w:rPr>
              <w:fldChar w:fldCharType="begin">
                <w:ffData>
                  <w:name w:val=""/>
                  <w:enabled/>
                  <w:calcOnExit w:val="0"/>
                  <w:checkBox>
                    <w:size w:val="20"/>
                    <w:default w:val="0"/>
                  </w:checkBox>
                </w:ffData>
              </w:fldChar>
            </w:r>
            <w:r>
              <w:rPr>
                <w:sz w:val="20"/>
                <w:szCs w:val="20"/>
              </w:rPr>
              <w:instrText xml:space="preserve"> FORMCHECKBOX </w:instrText>
            </w:r>
            <w:r w:rsidR="000D3DF5">
              <w:rPr>
                <w:sz w:val="20"/>
                <w:szCs w:val="20"/>
              </w:rPr>
            </w:r>
            <w:r w:rsidR="000D3DF5">
              <w:rPr>
                <w:sz w:val="20"/>
                <w:szCs w:val="20"/>
              </w:rPr>
              <w:fldChar w:fldCharType="separate"/>
            </w:r>
            <w:r w:rsidR="0077261E">
              <w:rPr>
                <w:sz w:val="20"/>
                <w:szCs w:val="20"/>
              </w:rPr>
              <w:fldChar w:fldCharType="end"/>
            </w:r>
            <w:r>
              <w:t xml:space="preserve"> YES </w:t>
            </w:r>
          </w:p>
          <w:p w:rsidR="006E1C90" w:rsidRDefault="006E1C90" w:rsidP="00F40F58">
            <w:pPr>
              <w:pStyle w:val="FormFieldCaption"/>
              <w:rPr>
                <w:i/>
                <w:iCs/>
              </w:rPr>
            </w:pPr>
            <w:r>
              <w:tab/>
            </w:r>
            <w:r>
              <w:rPr>
                <w:i/>
                <w:iCs/>
              </w:rPr>
              <w:t>(If “Yes,” state number and title)</w:t>
            </w:r>
          </w:p>
        </w:tc>
      </w:tr>
      <w:tr w:rsidR="006E1C90" w:rsidTr="00B126BB">
        <w:trPr>
          <w:trHeight w:hRule="exact" w:val="346"/>
        </w:trPr>
        <w:tc>
          <w:tcPr>
            <w:tcW w:w="824" w:type="dxa"/>
            <w:gridSpan w:val="2"/>
            <w:tcBorders>
              <w:left w:val="single" w:sz="6" w:space="0" w:color="auto"/>
              <w:bottom w:val="single" w:sz="6" w:space="0" w:color="auto"/>
            </w:tcBorders>
          </w:tcPr>
          <w:p w:rsidR="006E1C90" w:rsidRDefault="006E1C90" w:rsidP="00F40F58">
            <w:pPr>
              <w:tabs>
                <w:tab w:val="left" w:pos="270"/>
              </w:tabs>
              <w:spacing w:before="20"/>
              <w:rPr>
                <w:rFonts w:ascii="Arial" w:hAnsi="Arial" w:cs="Arial"/>
                <w:sz w:val="16"/>
                <w:szCs w:val="16"/>
              </w:rPr>
            </w:pPr>
            <w:r>
              <w:rPr>
                <w:rFonts w:ascii="Arial" w:hAnsi="Arial" w:cs="Arial"/>
                <w:sz w:val="16"/>
                <w:szCs w:val="16"/>
              </w:rPr>
              <w:t>Number:</w:t>
            </w:r>
          </w:p>
        </w:tc>
        <w:tc>
          <w:tcPr>
            <w:tcW w:w="1965" w:type="dxa"/>
            <w:gridSpan w:val="3"/>
            <w:tcBorders>
              <w:bottom w:val="single" w:sz="6" w:space="0" w:color="auto"/>
            </w:tcBorders>
          </w:tcPr>
          <w:p w:rsidR="006E1C90" w:rsidRDefault="006E1C90" w:rsidP="00F40F58">
            <w:pPr>
              <w:pStyle w:val="DataField10pt"/>
              <w:rPr>
                <w:sz w:val="16"/>
                <w:szCs w:val="16"/>
              </w:rPr>
            </w:pPr>
          </w:p>
        </w:tc>
        <w:tc>
          <w:tcPr>
            <w:tcW w:w="459" w:type="dxa"/>
            <w:gridSpan w:val="2"/>
            <w:tcBorders>
              <w:bottom w:val="single" w:sz="6" w:space="0" w:color="auto"/>
            </w:tcBorders>
          </w:tcPr>
          <w:p w:rsidR="006E1C90" w:rsidRDefault="006E1C90" w:rsidP="00F40F58">
            <w:pPr>
              <w:tabs>
                <w:tab w:val="left" w:pos="270"/>
              </w:tabs>
              <w:spacing w:before="20"/>
              <w:rPr>
                <w:rFonts w:ascii="Arial" w:hAnsi="Arial" w:cs="Arial"/>
                <w:sz w:val="16"/>
                <w:szCs w:val="16"/>
              </w:rPr>
            </w:pPr>
            <w:r>
              <w:rPr>
                <w:rFonts w:ascii="Arial" w:hAnsi="Arial" w:cs="Arial"/>
                <w:sz w:val="16"/>
                <w:szCs w:val="16"/>
              </w:rPr>
              <w:t>Title:</w:t>
            </w:r>
          </w:p>
        </w:tc>
        <w:tc>
          <w:tcPr>
            <w:tcW w:w="7552" w:type="dxa"/>
            <w:gridSpan w:val="21"/>
            <w:tcBorders>
              <w:bottom w:val="single" w:sz="6" w:space="0" w:color="auto"/>
              <w:right w:val="single" w:sz="6" w:space="0" w:color="auto"/>
            </w:tcBorders>
          </w:tcPr>
          <w:p w:rsidR="006E1C90" w:rsidRDefault="006E1C90" w:rsidP="00F40F58">
            <w:pPr>
              <w:pStyle w:val="DataField10pt"/>
              <w:rPr>
                <w:sz w:val="16"/>
                <w:szCs w:val="16"/>
              </w:rPr>
            </w:pPr>
          </w:p>
        </w:tc>
      </w:tr>
      <w:tr w:rsidR="006E1C90" w:rsidTr="00B126BB">
        <w:trPr>
          <w:trHeight w:hRule="exact" w:val="346"/>
        </w:trPr>
        <w:tc>
          <w:tcPr>
            <w:tcW w:w="5775" w:type="dxa"/>
            <w:gridSpan w:val="12"/>
            <w:tcBorders>
              <w:top w:val="single" w:sz="6" w:space="0" w:color="auto"/>
              <w:left w:val="single" w:sz="6" w:space="0" w:color="auto"/>
              <w:bottom w:val="single" w:sz="6" w:space="0" w:color="auto"/>
              <w:right w:val="single" w:sz="6" w:space="0" w:color="auto"/>
            </w:tcBorders>
            <w:vAlign w:val="center"/>
          </w:tcPr>
          <w:p w:rsidR="006E1C90" w:rsidRDefault="006E1C90" w:rsidP="00F40F58">
            <w:pPr>
              <w:pStyle w:val="FormFieldCaption"/>
              <w:rPr>
                <w:b/>
                <w:bCs/>
                <w:sz w:val="20"/>
                <w:szCs w:val="20"/>
              </w:rPr>
            </w:pPr>
            <w:r>
              <w:rPr>
                <w:b/>
                <w:bCs/>
              </w:rPr>
              <w:t>3.  PROGRAM DIRECTOR/PRINCIPAL INVESTIGATOR</w:t>
            </w:r>
          </w:p>
        </w:tc>
        <w:tc>
          <w:tcPr>
            <w:tcW w:w="5025" w:type="dxa"/>
            <w:gridSpan w:val="16"/>
            <w:tcBorders>
              <w:top w:val="single" w:sz="6" w:space="0" w:color="auto"/>
              <w:left w:val="single" w:sz="6" w:space="0" w:color="auto"/>
              <w:bottom w:val="single" w:sz="6" w:space="0" w:color="auto"/>
              <w:right w:val="single" w:sz="6" w:space="0" w:color="auto"/>
            </w:tcBorders>
            <w:tcMar>
              <w:top w:w="0" w:type="dxa"/>
            </w:tcMar>
          </w:tcPr>
          <w:p w:rsidR="006E1C90" w:rsidRDefault="006E1C90" w:rsidP="0050789A">
            <w:pPr>
              <w:pStyle w:val="FormFieldCaption"/>
              <w:rPr>
                <w:b/>
                <w:bCs/>
              </w:rPr>
            </w:pPr>
            <w:r>
              <w:rPr>
                <w:b/>
                <w:bCs/>
              </w:rPr>
              <w:t xml:space="preserve">New Investigator    </w:t>
            </w:r>
            <w:bookmarkStart w:id="2" w:name="Check1"/>
            <w:r w:rsidR="0077261E">
              <w:rPr>
                <w:b/>
                <w:bCs/>
                <w:sz w:val="20"/>
                <w:szCs w:val="20"/>
              </w:rPr>
              <w:fldChar w:fldCharType="begin">
                <w:ffData>
                  <w:name w:val="Check1"/>
                  <w:enabled/>
                  <w:calcOnExit w:val="0"/>
                  <w:checkBox>
                    <w:size w:val="22"/>
                    <w:default w:val="0"/>
                  </w:checkBox>
                </w:ffData>
              </w:fldChar>
            </w:r>
            <w:r>
              <w:rPr>
                <w:b/>
                <w:bCs/>
                <w:sz w:val="20"/>
                <w:szCs w:val="20"/>
              </w:rPr>
              <w:instrText xml:space="preserve"> FORMCHECKBOX </w:instrText>
            </w:r>
            <w:r w:rsidR="000D3DF5">
              <w:rPr>
                <w:b/>
                <w:bCs/>
                <w:sz w:val="20"/>
                <w:szCs w:val="20"/>
              </w:rPr>
            </w:r>
            <w:r w:rsidR="000D3DF5">
              <w:rPr>
                <w:b/>
                <w:bCs/>
                <w:sz w:val="20"/>
                <w:szCs w:val="20"/>
              </w:rPr>
              <w:fldChar w:fldCharType="separate"/>
            </w:r>
            <w:r w:rsidR="0077261E">
              <w:rPr>
                <w:b/>
                <w:bCs/>
                <w:sz w:val="20"/>
                <w:szCs w:val="20"/>
              </w:rPr>
              <w:fldChar w:fldCharType="end"/>
            </w:r>
            <w:bookmarkEnd w:id="2"/>
            <w:r>
              <w:rPr>
                <w:b/>
                <w:bCs/>
              </w:rPr>
              <w:t xml:space="preserve"> No      </w:t>
            </w:r>
            <w:r w:rsidR="0077261E">
              <w:rPr>
                <w:b/>
                <w:bCs/>
                <w:sz w:val="20"/>
                <w:szCs w:val="20"/>
              </w:rPr>
              <w:fldChar w:fldCharType="begin">
                <w:ffData>
                  <w:name w:val=""/>
                  <w:enabled/>
                  <w:calcOnExit w:val="0"/>
                  <w:checkBox>
                    <w:size w:val="22"/>
                    <w:default w:val="1"/>
                  </w:checkBox>
                </w:ffData>
              </w:fldChar>
            </w:r>
            <w:r w:rsidR="0050789A">
              <w:rPr>
                <w:b/>
                <w:bCs/>
                <w:sz w:val="20"/>
                <w:szCs w:val="20"/>
              </w:rPr>
              <w:instrText xml:space="preserve"> FORMCHECKBOX </w:instrText>
            </w:r>
            <w:r w:rsidR="000D3DF5">
              <w:rPr>
                <w:b/>
                <w:bCs/>
                <w:sz w:val="20"/>
                <w:szCs w:val="20"/>
              </w:rPr>
            </w:r>
            <w:r w:rsidR="000D3DF5">
              <w:rPr>
                <w:b/>
                <w:bCs/>
                <w:sz w:val="20"/>
                <w:szCs w:val="20"/>
              </w:rPr>
              <w:fldChar w:fldCharType="separate"/>
            </w:r>
            <w:r w:rsidR="0077261E">
              <w:rPr>
                <w:b/>
                <w:bCs/>
                <w:sz w:val="20"/>
                <w:szCs w:val="20"/>
              </w:rPr>
              <w:fldChar w:fldCharType="end"/>
            </w:r>
            <w:r>
              <w:rPr>
                <w:b/>
                <w:bCs/>
              </w:rPr>
              <w:t xml:space="preserve"> Yes</w:t>
            </w:r>
          </w:p>
        </w:tc>
      </w:tr>
      <w:tr w:rsidR="006E1C90" w:rsidTr="00B126BB">
        <w:trPr>
          <w:cantSplit/>
          <w:trHeight w:hRule="exact" w:val="242"/>
        </w:trPr>
        <w:tc>
          <w:tcPr>
            <w:tcW w:w="5775" w:type="dxa"/>
            <w:gridSpan w:val="12"/>
            <w:tcBorders>
              <w:top w:val="nil"/>
              <w:left w:val="single" w:sz="6" w:space="0" w:color="auto"/>
              <w:right w:val="single" w:sz="6" w:space="0" w:color="auto"/>
            </w:tcBorders>
          </w:tcPr>
          <w:p w:rsidR="006E1C90" w:rsidRDefault="006E1C90" w:rsidP="00F40F58">
            <w:pPr>
              <w:pStyle w:val="FormFieldCaption"/>
            </w:pPr>
            <w:r>
              <w:t>3a.</w:t>
            </w:r>
            <w:r>
              <w:tab/>
              <w:t>NAME  (Last, first, middle)</w:t>
            </w:r>
          </w:p>
        </w:tc>
        <w:tc>
          <w:tcPr>
            <w:tcW w:w="2524" w:type="dxa"/>
            <w:gridSpan w:val="9"/>
            <w:tcBorders>
              <w:top w:val="single" w:sz="6" w:space="0" w:color="auto"/>
              <w:left w:val="nil"/>
              <w:right w:val="nil"/>
            </w:tcBorders>
          </w:tcPr>
          <w:p w:rsidR="006E1C90" w:rsidRDefault="006E1C90" w:rsidP="00F40F58">
            <w:pPr>
              <w:pStyle w:val="FormFieldCaption"/>
              <w:rPr>
                <w:sz w:val="20"/>
                <w:szCs w:val="20"/>
              </w:rPr>
            </w:pPr>
            <w:r>
              <w:t>3b.</w:t>
            </w:r>
            <w:r>
              <w:tab/>
              <w:t>DEGREE(S)</w:t>
            </w:r>
          </w:p>
        </w:tc>
        <w:tc>
          <w:tcPr>
            <w:tcW w:w="2501" w:type="dxa"/>
            <w:gridSpan w:val="7"/>
            <w:tcBorders>
              <w:top w:val="single" w:sz="6" w:space="0" w:color="auto"/>
              <w:left w:val="single" w:sz="6" w:space="0" w:color="auto"/>
              <w:right w:val="single" w:sz="6" w:space="0" w:color="auto"/>
            </w:tcBorders>
          </w:tcPr>
          <w:p w:rsidR="006E1C90" w:rsidRDefault="006E1C90" w:rsidP="00F40F58">
            <w:pPr>
              <w:pStyle w:val="FormFieldCaption"/>
            </w:pPr>
            <w:r>
              <w:rPr>
                <w:rStyle w:val="FormFieldCaptionChar"/>
              </w:rPr>
              <w:t>3h.</w:t>
            </w:r>
            <w:r>
              <w:rPr>
                <w:rStyle w:val="FormFieldCaptionChar"/>
              </w:rPr>
              <w:tab/>
              <w:t xml:space="preserve"> </w:t>
            </w:r>
            <w:proofErr w:type="spellStart"/>
            <w:r>
              <w:rPr>
                <w:rStyle w:val="FormFieldCaptionChar"/>
              </w:rPr>
              <w:t>eRA</w:t>
            </w:r>
            <w:proofErr w:type="spellEnd"/>
            <w:r>
              <w:rPr>
                <w:rStyle w:val="FormFieldCaptionChar"/>
              </w:rPr>
              <w:t xml:space="preserve"> Commons User Name</w:t>
            </w:r>
          </w:p>
        </w:tc>
      </w:tr>
      <w:tr w:rsidR="006E1C90" w:rsidTr="00B126BB">
        <w:trPr>
          <w:cantSplit/>
          <w:trHeight w:hRule="exact" w:val="346"/>
        </w:trPr>
        <w:tc>
          <w:tcPr>
            <w:tcW w:w="5775" w:type="dxa"/>
            <w:gridSpan w:val="12"/>
            <w:tcBorders>
              <w:left w:val="single" w:sz="6" w:space="0" w:color="auto"/>
              <w:bottom w:val="single" w:sz="6" w:space="0" w:color="auto"/>
              <w:right w:val="single" w:sz="6" w:space="0" w:color="auto"/>
            </w:tcBorders>
          </w:tcPr>
          <w:p w:rsidR="006E1C90" w:rsidRDefault="001D23FA" w:rsidP="00F40F58">
            <w:pPr>
              <w:pStyle w:val="DataField10pt"/>
              <w:ind w:left="259"/>
              <w:rPr>
                <w:sz w:val="16"/>
                <w:szCs w:val="16"/>
              </w:rPr>
            </w:pPr>
            <w:r>
              <w:t>Mengistu, Sewnet K.</w:t>
            </w:r>
          </w:p>
        </w:tc>
        <w:tc>
          <w:tcPr>
            <w:tcW w:w="773" w:type="dxa"/>
            <w:gridSpan w:val="3"/>
            <w:tcBorders>
              <w:left w:val="nil"/>
              <w:bottom w:val="single" w:sz="6" w:space="0" w:color="auto"/>
              <w:right w:val="nil"/>
            </w:tcBorders>
          </w:tcPr>
          <w:p w:rsidR="006E1C90" w:rsidRDefault="006E1C90" w:rsidP="00F40F58">
            <w:pPr>
              <w:pStyle w:val="DataField10pt"/>
              <w:rPr>
                <w:sz w:val="16"/>
                <w:szCs w:val="16"/>
              </w:rPr>
            </w:pPr>
          </w:p>
        </w:tc>
        <w:tc>
          <w:tcPr>
            <w:tcW w:w="773" w:type="dxa"/>
            <w:gridSpan w:val="4"/>
            <w:tcBorders>
              <w:left w:val="nil"/>
              <w:bottom w:val="single" w:sz="6" w:space="0" w:color="auto"/>
              <w:right w:val="nil"/>
            </w:tcBorders>
          </w:tcPr>
          <w:p w:rsidR="006E1C90" w:rsidRDefault="001D23FA" w:rsidP="00F40F58">
            <w:pPr>
              <w:pStyle w:val="DataField10pt"/>
              <w:rPr>
                <w:sz w:val="16"/>
                <w:szCs w:val="16"/>
              </w:rPr>
            </w:pPr>
            <w:r>
              <w:t>B.S.</w:t>
            </w:r>
          </w:p>
        </w:tc>
        <w:tc>
          <w:tcPr>
            <w:tcW w:w="978" w:type="dxa"/>
            <w:gridSpan w:val="2"/>
            <w:tcBorders>
              <w:left w:val="nil"/>
              <w:bottom w:val="single" w:sz="6" w:space="0" w:color="auto"/>
              <w:right w:val="nil"/>
            </w:tcBorders>
          </w:tcPr>
          <w:p w:rsidR="006E1C90" w:rsidRDefault="006E1C90" w:rsidP="00F40F58">
            <w:pPr>
              <w:pStyle w:val="DataField10pt"/>
              <w:rPr>
                <w:sz w:val="16"/>
                <w:szCs w:val="16"/>
              </w:rPr>
            </w:pPr>
          </w:p>
        </w:tc>
        <w:tc>
          <w:tcPr>
            <w:tcW w:w="2501" w:type="dxa"/>
            <w:gridSpan w:val="7"/>
            <w:tcBorders>
              <w:left w:val="single" w:sz="6" w:space="0" w:color="auto"/>
              <w:bottom w:val="single" w:sz="6" w:space="0" w:color="auto"/>
              <w:right w:val="single" w:sz="6" w:space="0" w:color="auto"/>
            </w:tcBorders>
          </w:tcPr>
          <w:p w:rsidR="006E1C90" w:rsidRDefault="0050789A" w:rsidP="00F40F58">
            <w:pPr>
              <w:pStyle w:val="DataField10pt"/>
            </w:pPr>
            <w:r>
              <w:t xml:space="preserve">                </w:t>
            </w:r>
            <w:r w:rsidRPr="0050789A">
              <w:t>N/A</w:t>
            </w:r>
          </w:p>
        </w:tc>
      </w:tr>
      <w:tr w:rsidR="006E1C90"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rsidR="006E1C90" w:rsidRDefault="006E1C90" w:rsidP="00F40F58">
            <w:pPr>
              <w:pStyle w:val="FormFieldCaption"/>
            </w:pPr>
            <w:r>
              <w:t>3c.</w:t>
            </w:r>
            <w:r>
              <w:tab/>
              <w:t>POSITION TITLE</w:t>
            </w:r>
          </w:p>
          <w:p w:rsidR="006E1C90" w:rsidRDefault="006C1A66" w:rsidP="00F40F58">
            <w:pPr>
              <w:pStyle w:val="DataField10pt"/>
              <w:ind w:left="259"/>
            </w:pPr>
            <w:r>
              <w:t>Graduate Student</w:t>
            </w:r>
          </w:p>
        </w:tc>
        <w:tc>
          <w:tcPr>
            <w:tcW w:w="5025" w:type="dxa"/>
            <w:gridSpan w:val="16"/>
            <w:vMerge w:val="restart"/>
            <w:tcBorders>
              <w:top w:val="nil"/>
              <w:left w:val="nil"/>
              <w:bottom w:val="nil"/>
              <w:right w:val="single" w:sz="6" w:space="0" w:color="auto"/>
            </w:tcBorders>
            <w:tcMar>
              <w:top w:w="0" w:type="dxa"/>
            </w:tcMar>
          </w:tcPr>
          <w:p w:rsidR="006E1C90" w:rsidRDefault="006E1C90" w:rsidP="00F40F58">
            <w:pPr>
              <w:pStyle w:val="FormFieldCaption"/>
            </w:pPr>
            <w:r>
              <w:t>3d.</w:t>
            </w:r>
            <w:r>
              <w:tab/>
              <w:t xml:space="preserve">MAILING </w:t>
            </w:r>
            <w:proofErr w:type="gramStart"/>
            <w:r>
              <w:t xml:space="preserve">ADDRESS  </w:t>
            </w:r>
            <w:r>
              <w:rPr>
                <w:i/>
                <w:iCs/>
              </w:rPr>
              <w:t>(</w:t>
            </w:r>
            <w:proofErr w:type="gramEnd"/>
            <w:r>
              <w:rPr>
                <w:i/>
                <w:iCs/>
              </w:rPr>
              <w:t>Street, city, state, zip code)</w:t>
            </w:r>
          </w:p>
          <w:p w:rsidR="006C1A66" w:rsidRDefault="006C1A66" w:rsidP="00F40F58">
            <w:pPr>
              <w:pStyle w:val="DataField10pt14ptspacing"/>
              <w:ind w:left="245"/>
            </w:pPr>
            <w:r>
              <w:t>401 Rosemont Ave.</w:t>
            </w:r>
          </w:p>
          <w:p w:rsidR="006C1A66" w:rsidRDefault="006C1A66" w:rsidP="00F40F58">
            <w:pPr>
              <w:pStyle w:val="DataField10pt14ptspacing"/>
              <w:ind w:left="245"/>
            </w:pPr>
            <w:r>
              <w:t>Frederick, MD 21201</w:t>
            </w:r>
          </w:p>
        </w:tc>
      </w:tr>
      <w:tr w:rsidR="006E1C90"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rsidR="006E1C90" w:rsidRDefault="006E1C90" w:rsidP="00F40F58">
            <w:pPr>
              <w:pStyle w:val="FormFieldCaption"/>
            </w:pPr>
            <w:r>
              <w:t>3e.</w:t>
            </w:r>
            <w:r>
              <w:tab/>
              <w:t>DEPARTMENT, SERVICE, LABORATORY, OR EQUIVALENT</w:t>
            </w:r>
          </w:p>
          <w:p w:rsidR="006E1C90" w:rsidRDefault="006C1A66" w:rsidP="00F40F58">
            <w:pPr>
              <w:pStyle w:val="DataField10pt"/>
              <w:ind w:left="259"/>
            </w:pPr>
            <w:r>
              <w:t>Department of Biology</w:t>
            </w:r>
          </w:p>
        </w:tc>
        <w:tc>
          <w:tcPr>
            <w:tcW w:w="5025" w:type="dxa"/>
            <w:gridSpan w:val="16"/>
            <w:vMerge/>
            <w:tcBorders>
              <w:top w:val="nil"/>
              <w:left w:val="nil"/>
              <w:bottom w:val="nil"/>
              <w:right w:val="single" w:sz="6" w:space="0" w:color="auto"/>
            </w:tcBorders>
          </w:tcPr>
          <w:p w:rsidR="006E1C90" w:rsidRDefault="006E1C90" w:rsidP="00F40F58">
            <w:pPr>
              <w:tabs>
                <w:tab w:val="left" w:pos="342"/>
              </w:tabs>
              <w:spacing w:before="20" w:after="20"/>
              <w:rPr>
                <w:rFonts w:ascii="Arial" w:hAnsi="Arial" w:cs="Arial"/>
                <w:sz w:val="20"/>
                <w:szCs w:val="20"/>
              </w:rPr>
            </w:pPr>
          </w:p>
        </w:tc>
      </w:tr>
      <w:tr w:rsidR="006E1C90"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vAlign w:val="center"/>
          </w:tcPr>
          <w:p w:rsidR="006E1C90" w:rsidRDefault="006E1C90" w:rsidP="00F40F58">
            <w:pPr>
              <w:pStyle w:val="FormFieldCaption"/>
            </w:pPr>
            <w:r>
              <w:t>3f.</w:t>
            </w:r>
            <w:r>
              <w:tab/>
              <w:t>MAJOR SUBDIVISION</w:t>
            </w:r>
          </w:p>
          <w:p w:rsidR="006E1C90" w:rsidRDefault="006C1A66" w:rsidP="00F40F58">
            <w:pPr>
              <w:pStyle w:val="DataField10pt"/>
              <w:ind w:left="259"/>
            </w:pPr>
            <w:r>
              <w:t>Biomedical Science Program</w:t>
            </w:r>
          </w:p>
        </w:tc>
        <w:tc>
          <w:tcPr>
            <w:tcW w:w="5025" w:type="dxa"/>
            <w:gridSpan w:val="16"/>
            <w:vMerge/>
            <w:tcBorders>
              <w:top w:val="nil"/>
              <w:left w:val="nil"/>
              <w:bottom w:val="nil"/>
              <w:right w:val="single" w:sz="6" w:space="0" w:color="auto"/>
            </w:tcBorders>
          </w:tcPr>
          <w:p w:rsidR="006E1C90" w:rsidRDefault="006E1C90" w:rsidP="00F40F58">
            <w:pPr>
              <w:tabs>
                <w:tab w:val="left" w:pos="342"/>
              </w:tabs>
              <w:spacing w:before="20" w:after="20"/>
              <w:rPr>
                <w:rFonts w:ascii="Arial" w:hAnsi="Arial" w:cs="Arial"/>
                <w:sz w:val="20"/>
                <w:szCs w:val="20"/>
              </w:rPr>
            </w:pPr>
          </w:p>
        </w:tc>
      </w:tr>
      <w:tr w:rsidR="006E1C90" w:rsidTr="00B126BB">
        <w:trPr>
          <w:cantSplit/>
          <w:trHeight w:hRule="exact" w:val="288"/>
        </w:trPr>
        <w:tc>
          <w:tcPr>
            <w:tcW w:w="5775" w:type="dxa"/>
            <w:gridSpan w:val="12"/>
            <w:tcBorders>
              <w:top w:val="single" w:sz="6" w:space="0" w:color="auto"/>
              <w:left w:val="single" w:sz="6" w:space="0" w:color="auto"/>
              <w:right w:val="single" w:sz="6" w:space="0" w:color="auto"/>
            </w:tcBorders>
            <w:tcMar>
              <w:top w:w="14" w:type="dxa"/>
            </w:tcMar>
            <w:vAlign w:val="center"/>
          </w:tcPr>
          <w:p w:rsidR="006E1C90" w:rsidRDefault="006E1C90" w:rsidP="00F40F58">
            <w:pPr>
              <w:pStyle w:val="FormFieldCaption"/>
            </w:pPr>
            <w:r>
              <w:t>3g.</w:t>
            </w:r>
            <w:r>
              <w:tab/>
              <w:t xml:space="preserve">TELEPHONE AND FAX  </w:t>
            </w:r>
            <w:r>
              <w:rPr>
                <w:i/>
                <w:iCs/>
              </w:rPr>
              <w:t>(Area code, number and extension)</w:t>
            </w:r>
          </w:p>
        </w:tc>
        <w:tc>
          <w:tcPr>
            <w:tcW w:w="5025" w:type="dxa"/>
            <w:gridSpan w:val="16"/>
            <w:tcBorders>
              <w:top w:val="nil"/>
              <w:left w:val="nil"/>
              <w:right w:val="single" w:sz="6" w:space="0" w:color="auto"/>
            </w:tcBorders>
            <w:vAlign w:val="center"/>
          </w:tcPr>
          <w:p w:rsidR="006E1C90" w:rsidRDefault="006E1C90" w:rsidP="00F40F58">
            <w:pPr>
              <w:pStyle w:val="FormFieldCaption"/>
              <w:rPr>
                <w:sz w:val="22"/>
                <w:szCs w:val="22"/>
              </w:rPr>
            </w:pPr>
            <w:r>
              <w:t xml:space="preserve">E-MAIL ADDRESS: </w:t>
            </w:r>
          </w:p>
        </w:tc>
      </w:tr>
      <w:tr w:rsidR="006E1C90" w:rsidTr="00B126BB">
        <w:trPr>
          <w:cantSplit/>
          <w:trHeight w:hRule="exact" w:val="346"/>
        </w:trPr>
        <w:tc>
          <w:tcPr>
            <w:tcW w:w="554" w:type="dxa"/>
            <w:tcBorders>
              <w:left w:val="single" w:sz="6" w:space="0" w:color="auto"/>
              <w:bottom w:val="single" w:sz="6" w:space="0" w:color="auto"/>
            </w:tcBorders>
            <w:vAlign w:val="center"/>
          </w:tcPr>
          <w:p w:rsidR="006E1C90" w:rsidRDefault="006E1C90" w:rsidP="00F40F58">
            <w:pPr>
              <w:pStyle w:val="FormFieldCaption"/>
            </w:pPr>
            <w:r>
              <w:t>TEL:</w:t>
            </w:r>
          </w:p>
        </w:tc>
        <w:tc>
          <w:tcPr>
            <w:tcW w:w="2415" w:type="dxa"/>
            <w:gridSpan w:val="5"/>
            <w:tcBorders>
              <w:bottom w:val="single" w:sz="6" w:space="0" w:color="auto"/>
            </w:tcBorders>
            <w:tcMar>
              <w:top w:w="29" w:type="dxa"/>
            </w:tcMar>
          </w:tcPr>
          <w:p w:rsidR="006E1C90" w:rsidRDefault="003A6626" w:rsidP="00F40F58">
            <w:pPr>
              <w:pStyle w:val="DataField10pt"/>
              <w:rPr>
                <w:sz w:val="16"/>
                <w:szCs w:val="16"/>
              </w:rPr>
            </w:pPr>
            <w:r>
              <w:t>N/A</w:t>
            </w:r>
          </w:p>
        </w:tc>
        <w:tc>
          <w:tcPr>
            <w:tcW w:w="549" w:type="dxa"/>
            <w:gridSpan w:val="2"/>
            <w:tcBorders>
              <w:left w:val="nil"/>
              <w:bottom w:val="single" w:sz="4" w:space="0" w:color="auto"/>
            </w:tcBorders>
            <w:vAlign w:val="center"/>
          </w:tcPr>
          <w:p w:rsidR="006E1C90" w:rsidRDefault="006E1C90" w:rsidP="00F40F58">
            <w:pPr>
              <w:pStyle w:val="FormFieldCaption"/>
            </w:pPr>
            <w:r>
              <w:t>FAX:</w:t>
            </w:r>
          </w:p>
        </w:tc>
        <w:tc>
          <w:tcPr>
            <w:tcW w:w="2257" w:type="dxa"/>
            <w:gridSpan w:val="4"/>
            <w:tcBorders>
              <w:bottom w:val="single" w:sz="6" w:space="0" w:color="auto"/>
              <w:right w:val="single" w:sz="6" w:space="0" w:color="auto"/>
            </w:tcBorders>
            <w:tcMar>
              <w:top w:w="29" w:type="dxa"/>
            </w:tcMar>
          </w:tcPr>
          <w:p w:rsidR="006E1C90" w:rsidRDefault="003A6626" w:rsidP="00F40F58">
            <w:pPr>
              <w:pStyle w:val="DataField10pt"/>
              <w:rPr>
                <w:sz w:val="16"/>
                <w:szCs w:val="16"/>
              </w:rPr>
            </w:pPr>
            <w:r>
              <w:t>N/A</w:t>
            </w:r>
          </w:p>
        </w:tc>
        <w:tc>
          <w:tcPr>
            <w:tcW w:w="5025" w:type="dxa"/>
            <w:gridSpan w:val="16"/>
            <w:tcBorders>
              <w:left w:val="nil"/>
              <w:bottom w:val="single" w:sz="4" w:space="0" w:color="auto"/>
              <w:right w:val="single" w:sz="6" w:space="0" w:color="auto"/>
            </w:tcBorders>
          </w:tcPr>
          <w:p w:rsidR="006E1C90" w:rsidRDefault="000D3DF5" w:rsidP="00F40F58">
            <w:pPr>
              <w:pStyle w:val="DataField10pt"/>
            </w:pPr>
            <w:hyperlink r:id="rId10" w:history="1">
              <w:r w:rsidR="0087691B" w:rsidRPr="0077425D">
                <w:rPr>
                  <w:rStyle w:val="Hyperlink"/>
                </w:rPr>
                <w:t>msewnet3@gmail.com</w:t>
              </w:r>
            </w:hyperlink>
          </w:p>
        </w:tc>
      </w:tr>
      <w:tr w:rsidR="006E1C90" w:rsidTr="00B126BB">
        <w:trPr>
          <w:cantSplit/>
          <w:trHeight w:val="230"/>
        </w:trPr>
        <w:tc>
          <w:tcPr>
            <w:tcW w:w="3640" w:type="dxa"/>
            <w:gridSpan w:val="9"/>
            <w:tcBorders>
              <w:left w:val="single" w:sz="6" w:space="0" w:color="auto"/>
              <w:right w:val="single" w:sz="6" w:space="0" w:color="auto"/>
            </w:tcBorders>
            <w:vAlign w:val="center"/>
          </w:tcPr>
          <w:p w:rsidR="006E1C90" w:rsidRDefault="006E1C90" w:rsidP="00F40F58">
            <w:pPr>
              <w:pStyle w:val="FormFieldCaption"/>
            </w:pPr>
            <w:r>
              <w:t>4.</w:t>
            </w:r>
            <w:r>
              <w:tab/>
              <w:t>HUMAN SUBJECTS RESEARCH</w:t>
            </w:r>
          </w:p>
        </w:tc>
        <w:tc>
          <w:tcPr>
            <w:tcW w:w="2135" w:type="dxa"/>
            <w:gridSpan w:val="3"/>
            <w:tcBorders>
              <w:top w:val="single" w:sz="6" w:space="0" w:color="auto"/>
              <w:left w:val="single" w:sz="6" w:space="0" w:color="auto"/>
            </w:tcBorders>
            <w:vAlign w:val="center"/>
          </w:tcPr>
          <w:p w:rsidR="006E1C90" w:rsidRDefault="006E1C90" w:rsidP="00F40F58">
            <w:pPr>
              <w:pStyle w:val="FormFieldCaption"/>
            </w:pPr>
            <w:r>
              <w:t>4a.</w:t>
            </w:r>
            <w:r>
              <w:tab/>
              <w:t xml:space="preserve">Research Exempt   </w:t>
            </w:r>
          </w:p>
        </w:tc>
        <w:tc>
          <w:tcPr>
            <w:tcW w:w="5025" w:type="dxa"/>
            <w:gridSpan w:val="16"/>
            <w:tcBorders>
              <w:top w:val="single" w:sz="6" w:space="0" w:color="auto"/>
              <w:left w:val="nil"/>
              <w:right w:val="single" w:sz="6" w:space="0" w:color="auto"/>
            </w:tcBorders>
            <w:vAlign w:val="center"/>
          </w:tcPr>
          <w:p w:rsidR="006E1C90" w:rsidRDefault="006E1C90" w:rsidP="00F40F58">
            <w:pPr>
              <w:pStyle w:val="FormFieldCaption"/>
            </w:pPr>
          </w:p>
        </w:tc>
      </w:tr>
      <w:tr w:rsidR="006E1C90" w:rsidTr="00B126BB">
        <w:trPr>
          <w:cantSplit/>
          <w:trHeight w:val="288"/>
        </w:trPr>
        <w:tc>
          <w:tcPr>
            <w:tcW w:w="3640" w:type="dxa"/>
            <w:gridSpan w:val="9"/>
            <w:tcBorders>
              <w:left w:val="single" w:sz="6" w:space="0" w:color="auto"/>
              <w:right w:val="single" w:sz="6" w:space="0" w:color="auto"/>
            </w:tcBorders>
            <w:vAlign w:val="center"/>
          </w:tcPr>
          <w:p w:rsidR="006E1C90" w:rsidRDefault="006E1C90" w:rsidP="003C3DF1">
            <w:pPr>
              <w:pStyle w:val="FormFieldCaption"/>
            </w:pPr>
            <w:r>
              <w:t xml:space="preserve">      </w:t>
            </w:r>
            <w:r w:rsidR="0077261E">
              <w:rPr>
                <w:sz w:val="20"/>
                <w:szCs w:val="20"/>
              </w:rPr>
              <w:fldChar w:fldCharType="begin">
                <w:ffData>
                  <w:name w:val=""/>
                  <w:enabled/>
                  <w:calcOnExit w:val="0"/>
                  <w:checkBox>
                    <w:size w:val="20"/>
                    <w:default w:val="0"/>
                  </w:checkBox>
                </w:ffData>
              </w:fldChar>
            </w:r>
            <w:r w:rsidR="003C3DF1">
              <w:rPr>
                <w:sz w:val="20"/>
                <w:szCs w:val="20"/>
              </w:rPr>
              <w:instrText xml:space="preserve"> FORMCHECKBOX </w:instrText>
            </w:r>
            <w:r w:rsidR="000D3DF5">
              <w:rPr>
                <w:sz w:val="20"/>
                <w:szCs w:val="20"/>
              </w:rPr>
            </w:r>
            <w:r w:rsidR="000D3DF5">
              <w:rPr>
                <w:sz w:val="20"/>
                <w:szCs w:val="20"/>
              </w:rPr>
              <w:fldChar w:fldCharType="separate"/>
            </w:r>
            <w:r w:rsidR="0077261E">
              <w:rPr>
                <w:sz w:val="20"/>
                <w:szCs w:val="20"/>
              </w:rPr>
              <w:fldChar w:fldCharType="end"/>
            </w:r>
            <w:r>
              <w:t xml:space="preserve">  No  </w:t>
            </w:r>
            <w:r w:rsidR="007F14B4">
              <w:rPr>
                <w:sz w:val="20"/>
                <w:szCs w:val="20"/>
              </w:rPr>
              <w:fldChar w:fldCharType="begin">
                <w:ffData>
                  <w:name w:val=""/>
                  <w:enabled/>
                  <w:calcOnExit w:val="0"/>
                  <w:checkBox>
                    <w:size w:val="20"/>
                    <w:default w:val="1"/>
                  </w:checkBox>
                </w:ffData>
              </w:fldChar>
            </w:r>
            <w:r w:rsidR="007F14B4">
              <w:rPr>
                <w:sz w:val="20"/>
                <w:szCs w:val="20"/>
              </w:rPr>
              <w:instrText xml:space="preserve"> FORMCHECKBOX </w:instrText>
            </w:r>
            <w:r w:rsidR="000D3DF5">
              <w:rPr>
                <w:sz w:val="20"/>
                <w:szCs w:val="20"/>
              </w:rPr>
            </w:r>
            <w:r w:rsidR="000D3DF5">
              <w:rPr>
                <w:sz w:val="20"/>
                <w:szCs w:val="20"/>
              </w:rPr>
              <w:fldChar w:fldCharType="separate"/>
            </w:r>
            <w:r w:rsidR="007F14B4">
              <w:rPr>
                <w:sz w:val="20"/>
                <w:szCs w:val="20"/>
              </w:rPr>
              <w:fldChar w:fldCharType="end"/>
            </w:r>
            <w:r>
              <w:t xml:space="preserve">  Yes</w:t>
            </w:r>
          </w:p>
        </w:tc>
        <w:tc>
          <w:tcPr>
            <w:tcW w:w="2135" w:type="dxa"/>
            <w:gridSpan w:val="3"/>
            <w:tcBorders>
              <w:left w:val="single" w:sz="6" w:space="0" w:color="auto"/>
              <w:bottom w:val="single" w:sz="6" w:space="0" w:color="auto"/>
            </w:tcBorders>
            <w:vAlign w:val="center"/>
          </w:tcPr>
          <w:p w:rsidR="006E1C90" w:rsidRPr="0050789A" w:rsidRDefault="0050789A" w:rsidP="003C3DF1">
            <w:pPr>
              <w:pStyle w:val="FormFieldCaption"/>
              <w:rPr>
                <w:sz w:val="20"/>
                <w:szCs w:val="20"/>
              </w:rPr>
            </w:pPr>
            <w:r>
              <w:t xml:space="preserve">                   </w:t>
            </w:r>
            <w:r w:rsidRPr="0050789A">
              <w:rPr>
                <w:sz w:val="20"/>
                <w:szCs w:val="20"/>
              </w:rPr>
              <w:t>N/A</w:t>
            </w:r>
          </w:p>
        </w:tc>
        <w:tc>
          <w:tcPr>
            <w:tcW w:w="5025" w:type="dxa"/>
            <w:gridSpan w:val="16"/>
            <w:tcBorders>
              <w:left w:val="nil"/>
              <w:bottom w:val="single" w:sz="6" w:space="0" w:color="auto"/>
              <w:right w:val="single" w:sz="6" w:space="0" w:color="auto"/>
            </w:tcBorders>
            <w:vAlign w:val="center"/>
          </w:tcPr>
          <w:p w:rsidR="006E1C90" w:rsidRDefault="006E1C90" w:rsidP="00F40F58">
            <w:pPr>
              <w:pStyle w:val="DataField10pt"/>
            </w:pPr>
          </w:p>
        </w:tc>
      </w:tr>
      <w:tr w:rsidR="006E1C90" w:rsidRPr="00E352C5" w:rsidTr="00B126BB">
        <w:trPr>
          <w:cantSplit/>
          <w:trHeight w:val="230"/>
        </w:trPr>
        <w:tc>
          <w:tcPr>
            <w:tcW w:w="3640" w:type="dxa"/>
            <w:gridSpan w:val="9"/>
            <w:tcBorders>
              <w:top w:val="single" w:sz="6" w:space="0" w:color="auto"/>
              <w:left w:val="single" w:sz="6" w:space="0" w:color="auto"/>
              <w:right w:val="single" w:sz="6" w:space="0" w:color="auto"/>
            </w:tcBorders>
            <w:vAlign w:val="center"/>
          </w:tcPr>
          <w:p w:rsidR="006E1C90" w:rsidRDefault="006E1C90" w:rsidP="00F40F58">
            <w:pPr>
              <w:pStyle w:val="FormFieldCaption"/>
            </w:pPr>
            <w:r>
              <w:t>4b.</w:t>
            </w:r>
            <w:r>
              <w:tab/>
              <w:t xml:space="preserve">Federal-Wide Assurance No.  </w:t>
            </w:r>
          </w:p>
        </w:tc>
        <w:tc>
          <w:tcPr>
            <w:tcW w:w="3551" w:type="dxa"/>
            <w:gridSpan w:val="9"/>
            <w:tcBorders>
              <w:top w:val="single" w:sz="6" w:space="0" w:color="auto"/>
              <w:left w:val="single" w:sz="6" w:space="0" w:color="auto"/>
              <w:right w:val="single" w:sz="6" w:space="0" w:color="auto"/>
            </w:tcBorders>
            <w:vAlign w:val="center"/>
          </w:tcPr>
          <w:p w:rsidR="006E1C90" w:rsidRPr="00E352C5" w:rsidRDefault="006E1C90" w:rsidP="00F40F58">
            <w:pPr>
              <w:pStyle w:val="FormFieldCaption"/>
              <w:rPr>
                <w:sz w:val="14"/>
                <w:szCs w:val="14"/>
              </w:rPr>
            </w:pPr>
            <w:r>
              <w:t>4c.</w:t>
            </w:r>
            <w:r>
              <w:tab/>
              <w:t>Clinical Trial</w:t>
            </w:r>
          </w:p>
        </w:tc>
        <w:tc>
          <w:tcPr>
            <w:tcW w:w="3609" w:type="dxa"/>
            <w:gridSpan w:val="10"/>
            <w:tcBorders>
              <w:top w:val="single" w:sz="6" w:space="0" w:color="auto"/>
              <w:left w:val="single" w:sz="6" w:space="0" w:color="auto"/>
              <w:right w:val="single" w:sz="6" w:space="0" w:color="auto"/>
            </w:tcBorders>
            <w:vAlign w:val="center"/>
          </w:tcPr>
          <w:p w:rsidR="006E1C90" w:rsidRPr="00E352C5" w:rsidRDefault="006E1C90" w:rsidP="00F40F58">
            <w:pPr>
              <w:pStyle w:val="FormFieldCaption"/>
            </w:pPr>
            <w:r w:rsidRPr="00E352C5">
              <w:t>4d.</w:t>
            </w:r>
            <w:r w:rsidRPr="00E352C5">
              <w:tab/>
              <w:t>NIH-defined Phase III Clinical Trial</w:t>
            </w:r>
          </w:p>
        </w:tc>
      </w:tr>
      <w:tr w:rsidR="006E1C90" w:rsidTr="00B126BB">
        <w:trPr>
          <w:cantSplit/>
          <w:trHeight w:hRule="exact" w:val="288"/>
        </w:trPr>
        <w:tc>
          <w:tcPr>
            <w:tcW w:w="3640" w:type="dxa"/>
            <w:gridSpan w:val="9"/>
            <w:tcBorders>
              <w:left w:val="single" w:sz="6" w:space="0" w:color="auto"/>
              <w:bottom w:val="single" w:sz="6" w:space="0" w:color="auto"/>
              <w:right w:val="single" w:sz="6" w:space="0" w:color="auto"/>
            </w:tcBorders>
            <w:vAlign w:val="center"/>
          </w:tcPr>
          <w:p w:rsidR="006E1C90" w:rsidRDefault="0050789A" w:rsidP="00F40F58">
            <w:pPr>
              <w:pStyle w:val="DataField10pt"/>
            </w:pPr>
            <w:r>
              <w:t xml:space="preserve">              N/A</w:t>
            </w:r>
          </w:p>
        </w:tc>
        <w:tc>
          <w:tcPr>
            <w:tcW w:w="3551" w:type="dxa"/>
            <w:gridSpan w:val="9"/>
            <w:tcBorders>
              <w:left w:val="single" w:sz="6" w:space="0" w:color="auto"/>
              <w:bottom w:val="single" w:sz="6" w:space="0" w:color="auto"/>
              <w:right w:val="single" w:sz="6" w:space="0" w:color="auto"/>
            </w:tcBorders>
            <w:vAlign w:val="center"/>
          </w:tcPr>
          <w:p w:rsidR="006E1C90" w:rsidRDefault="007F14B4" w:rsidP="00F40F58">
            <w:pPr>
              <w:pStyle w:val="FormFieldCaption"/>
            </w:pPr>
            <w:r>
              <w:fldChar w:fldCharType="begin">
                <w:ffData>
                  <w:name w:val=""/>
                  <w:enabled/>
                  <w:calcOnExit w:val="0"/>
                  <w:checkBox>
                    <w:size w:val="20"/>
                    <w:default w:val="1"/>
                  </w:checkBox>
                </w:ffData>
              </w:fldChar>
            </w:r>
            <w:r>
              <w:instrText xml:space="preserve"> FORMCHECKBOX </w:instrText>
            </w:r>
            <w:r w:rsidR="000D3DF5">
              <w:fldChar w:fldCharType="separate"/>
            </w:r>
            <w:r>
              <w:fldChar w:fldCharType="end"/>
            </w:r>
            <w:r w:rsidR="006E1C90">
              <w:t xml:space="preserve">  </w:t>
            </w:r>
            <w:r w:rsidR="006E1C90" w:rsidRPr="00E352C5">
              <w:t>No</w:t>
            </w:r>
            <w:r w:rsidR="006E1C90">
              <w:t xml:space="preserve">    </w:t>
            </w:r>
            <w:r w:rsidR="0077261E">
              <w:fldChar w:fldCharType="begin">
                <w:ffData>
                  <w:name w:val=""/>
                  <w:enabled/>
                  <w:calcOnExit w:val="0"/>
                  <w:checkBox>
                    <w:size w:val="20"/>
                    <w:default w:val="0"/>
                  </w:checkBox>
                </w:ffData>
              </w:fldChar>
            </w:r>
            <w:r w:rsidR="006E1C90">
              <w:instrText xml:space="preserve"> FORMCHECKBOX </w:instrText>
            </w:r>
            <w:r w:rsidR="000D3DF5">
              <w:fldChar w:fldCharType="separate"/>
            </w:r>
            <w:r w:rsidR="0077261E">
              <w:fldChar w:fldCharType="end"/>
            </w:r>
            <w:r w:rsidR="006E1C90">
              <w:t xml:space="preserve">  Yes</w:t>
            </w:r>
          </w:p>
        </w:tc>
        <w:tc>
          <w:tcPr>
            <w:tcW w:w="3609" w:type="dxa"/>
            <w:gridSpan w:val="10"/>
            <w:tcBorders>
              <w:left w:val="single" w:sz="6" w:space="0" w:color="auto"/>
              <w:bottom w:val="single" w:sz="6" w:space="0" w:color="auto"/>
              <w:right w:val="single" w:sz="6" w:space="0" w:color="auto"/>
            </w:tcBorders>
            <w:vAlign w:val="center"/>
          </w:tcPr>
          <w:p w:rsidR="006E1C90" w:rsidRDefault="006E1C90" w:rsidP="003C3DF1">
            <w:pPr>
              <w:pStyle w:val="FormFieldCaption"/>
            </w:pPr>
            <w:r>
              <w:rPr>
                <w:sz w:val="14"/>
                <w:szCs w:val="14"/>
              </w:rPr>
              <w:t xml:space="preserve">  </w:t>
            </w:r>
            <w:r w:rsidR="007F14B4">
              <w:fldChar w:fldCharType="begin">
                <w:ffData>
                  <w:name w:val=""/>
                  <w:enabled/>
                  <w:calcOnExit w:val="0"/>
                  <w:checkBox>
                    <w:size w:val="20"/>
                    <w:default w:val="1"/>
                  </w:checkBox>
                </w:ffData>
              </w:fldChar>
            </w:r>
            <w:r w:rsidR="007F14B4">
              <w:instrText xml:space="preserve"> FORMCHECKBOX </w:instrText>
            </w:r>
            <w:r w:rsidR="000D3DF5">
              <w:fldChar w:fldCharType="separate"/>
            </w:r>
            <w:r w:rsidR="007F14B4">
              <w:fldChar w:fldCharType="end"/>
            </w:r>
            <w:r>
              <w:rPr>
                <w:sz w:val="14"/>
                <w:szCs w:val="14"/>
              </w:rPr>
              <w:t xml:space="preserve">  </w:t>
            </w:r>
            <w:r w:rsidRPr="00E352C5">
              <w:t>No</w:t>
            </w:r>
            <w:r>
              <w:rPr>
                <w:sz w:val="14"/>
                <w:szCs w:val="14"/>
              </w:rPr>
              <w:t xml:space="preserve">    </w:t>
            </w:r>
            <w:r w:rsidR="0077261E">
              <w:rPr>
                <w:sz w:val="14"/>
                <w:szCs w:val="14"/>
              </w:rPr>
              <w:fldChar w:fldCharType="begin">
                <w:ffData>
                  <w:name w:val=""/>
                  <w:enabled/>
                  <w:calcOnExit w:val="0"/>
                  <w:checkBox>
                    <w:size w:val="20"/>
                    <w:default w:val="0"/>
                  </w:checkBox>
                </w:ffData>
              </w:fldChar>
            </w:r>
            <w:r>
              <w:rPr>
                <w:sz w:val="14"/>
                <w:szCs w:val="14"/>
              </w:rPr>
              <w:instrText xml:space="preserve"> FORMCHECKBOX </w:instrText>
            </w:r>
            <w:r w:rsidR="000D3DF5">
              <w:rPr>
                <w:sz w:val="14"/>
                <w:szCs w:val="14"/>
              </w:rPr>
            </w:r>
            <w:r w:rsidR="000D3DF5">
              <w:rPr>
                <w:sz w:val="14"/>
                <w:szCs w:val="14"/>
              </w:rPr>
              <w:fldChar w:fldCharType="separate"/>
            </w:r>
            <w:r w:rsidR="0077261E">
              <w:rPr>
                <w:sz w:val="14"/>
                <w:szCs w:val="14"/>
              </w:rPr>
              <w:fldChar w:fldCharType="end"/>
            </w:r>
            <w:r>
              <w:t xml:space="preserve">  </w:t>
            </w:r>
            <w:r w:rsidRPr="00E352C5">
              <w:t>Yes</w:t>
            </w:r>
          </w:p>
        </w:tc>
      </w:tr>
      <w:tr w:rsidR="006E1C90" w:rsidTr="00B126BB">
        <w:trPr>
          <w:cantSplit/>
          <w:trHeight w:hRule="exact" w:val="346"/>
        </w:trPr>
        <w:tc>
          <w:tcPr>
            <w:tcW w:w="5775" w:type="dxa"/>
            <w:gridSpan w:val="12"/>
            <w:tcBorders>
              <w:left w:val="single" w:sz="6" w:space="0" w:color="auto"/>
              <w:bottom w:val="single" w:sz="6" w:space="0" w:color="auto"/>
              <w:right w:val="single" w:sz="6" w:space="0" w:color="auto"/>
            </w:tcBorders>
            <w:vAlign w:val="center"/>
          </w:tcPr>
          <w:p w:rsidR="006E1C90" w:rsidRDefault="006E1C90" w:rsidP="003C3DF1">
            <w:pPr>
              <w:pStyle w:val="FormFieldCaption"/>
            </w:pPr>
            <w:r>
              <w:t xml:space="preserve">5.  VERTEBRATE  ANIMALS     </w:t>
            </w:r>
            <w:r w:rsidR="00EF42AC">
              <w:fldChar w:fldCharType="begin">
                <w:ffData>
                  <w:name w:val=""/>
                  <w:enabled/>
                  <w:calcOnExit w:val="0"/>
                  <w:checkBox>
                    <w:size w:val="20"/>
                    <w:default w:val="1"/>
                  </w:checkBox>
                </w:ffData>
              </w:fldChar>
            </w:r>
            <w:r w:rsidR="00EF42AC">
              <w:instrText xml:space="preserve"> FORMCHECKBOX </w:instrText>
            </w:r>
            <w:r w:rsidR="000D3DF5">
              <w:fldChar w:fldCharType="separate"/>
            </w:r>
            <w:r w:rsidR="00EF42AC">
              <w:fldChar w:fldCharType="end"/>
            </w:r>
            <w:r>
              <w:t xml:space="preserve">  No    </w:t>
            </w:r>
            <w:r w:rsidR="0077261E">
              <w:fldChar w:fldCharType="begin">
                <w:ffData>
                  <w:name w:val=""/>
                  <w:enabled/>
                  <w:calcOnExit w:val="0"/>
                  <w:checkBox>
                    <w:size w:val="18"/>
                    <w:default w:val="0"/>
                  </w:checkBox>
                </w:ffData>
              </w:fldChar>
            </w:r>
            <w:r>
              <w:instrText xml:space="preserve"> FORMCHECKBOX </w:instrText>
            </w:r>
            <w:r w:rsidR="000D3DF5">
              <w:fldChar w:fldCharType="separate"/>
            </w:r>
            <w:r w:rsidR="0077261E">
              <w:fldChar w:fldCharType="end"/>
            </w:r>
            <w:r>
              <w:t xml:space="preserve">  Yes</w:t>
            </w:r>
          </w:p>
        </w:tc>
        <w:tc>
          <w:tcPr>
            <w:tcW w:w="2704" w:type="dxa"/>
            <w:gridSpan w:val="10"/>
            <w:tcBorders>
              <w:left w:val="nil"/>
              <w:bottom w:val="single" w:sz="4" w:space="0" w:color="auto"/>
            </w:tcBorders>
            <w:vAlign w:val="center"/>
          </w:tcPr>
          <w:p w:rsidR="006E1C90" w:rsidRDefault="006E1C90" w:rsidP="00F40F58">
            <w:pPr>
              <w:pStyle w:val="FormFieldCaption"/>
            </w:pPr>
            <w:r>
              <w:t xml:space="preserve">5a. Animal Welfare Assurance No.  </w:t>
            </w:r>
          </w:p>
        </w:tc>
        <w:tc>
          <w:tcPr>
            <w:tcW w:w="2321" w:type="dxa"/>
            <w:gridSpan w:val="6"/>
            <w:tcBorders>
              <w:top w:val="single" w:sz="6" w:space="0" w:color="auto"/>
              <w:bottom w:val="single" w:sz="6" w:space="0" w:color="auto"/>
              <w:right w:val="single" w:sz="6" w:space="0" w:color="auto"/>
            </w:tcBorders>
            <w:vAlign w:val="center"/>
          </w:tcPr>
          <w:p w:rsidR="006E1C90" w:rsidRDefault="0050789A" w:rsidP="00F40F58">
            <w:pPr>
              <w:pStyle w:val="DataField10pt"/>
            </w:pPr>
            <w:r>
              <w:t xml:space="preserve">     </w:t>
            </w:r>
            <w:r w:rsidRPr="0050789A">
              <w:t>N/A</w:t>
            </w:r>
          </w:p>
        </w:tc>
      </w:tr>
      <w:tr w:rsidR="006E1C90" w:rsidTr="00B126BB">
        <w:trPr>
          <w:trHeight w:hRule="exact" w:val="374"/>
        </w:trPr>
        <w:tc>
          <w:tcPr>
            <w:tcW w:w="3878" w:type="dxa"/>
            <w:gridSpan w:val="11"/>
            <w:tcBorders>
              <w:top w:val="single" w:sz="6" w:space="0" w:color="auto"/>
              <w:left w:val="single" w:sz="6" w:space="0" w:color="auto"/>
              <w:bottom w:val="nil"/>
              <w:right w:val="single" w:sz="6" w:space="0" w:color="auto"/>
            </w:tcBorders>
            <w:tcMar>
              <w:top w:w="14" w:type="dxa"/>
            </w:tcMar>
            <w:vAlign w:val="center"/>
          </w:tcPr>
          <w:p w:rsidR="006E1C90" w:rsidRDefault="006E1C90" w:rsidP="00F40F58">
            <w:pPr>
              <w:pStyle w:val="FormFieldCaption"/>
            </w:pPr>
            <w:r>
              <w:t>6.</w:t>
            </w:r>
            <w:r>
              <w:tab/>
              <w:t xml:space="preserve">DATES OF PROPOSED PERIOD OF </w:t>
            </w:r>
          </w:p>
          <w:p w:rsidR="006E1C90" w:rsidRDefault="006E1C90" w:rsidP="00F40F58">
            <w:pPr>
              <w:pStyle w:val="FormFieldCaption"/>
            </w:pPr>
            <w:r>
              <w:tab/>
              <w:t xml:space="preserve">SUPPORT  </w:t>
            </w:r>
            <w:r>
              <w:rPr>
                <w:i/>
                <w:iCs/>
              </w:rPr>
              <w:t>(month, day, year—MM/DD/YY)</w:t>
            </w:r>
          </w:p>
        </w:tc>
        <w:tc>
          <w:tcPr>
            <w:tcW w:w="3467" w:type="dxa"/>
            <w:gridSpan w:val="9"/>
            <w:tcBorders>
              <w:top w:val="single" w:sz="6" w:space="0" w:color="auto"/>
              <w:left w:val="single" w:sz="6" w:space="0" w:color="auto"/>
              <w:bottom w:val="single" w:sz="6" w:space="0" w:color="auto"/>
              <w:right w:val="single" w:sz="6" w:space="0" w:color="auto"/>
            </w:tcBorders>
            <w:tcMar>
              <w:top w:w="14" w:type="dxa"/>
            </w:tcMar>
          </w:tcPr>
          <w:p w:rsidR="006E1C90" w:rsidRDefault="006E1C90" w:rsidP="00F40F58">
            <w:pPr>
              <w:pStyle w:val="FormFieldCaption"/>
            </w:pPr>
            <w:r>
              <w:t>7.</w:t>
            </w:r>
            <w:r>
              <w:tab/>
              <w:t>COSTS REQUESTED FOR INITIAL</w:t>
            </w:r>
          </w:p>
          <w:p w:rsidR="006E1C90" w:rsidRDefault="006E1C90" w:rsidP="00F40F58">
            <w:pPr>
              <w:pStyle w:val="FormFieldCaption"/>
            </w:pPr>
            <w:r>
              <w:tab/>
              <w:t>BUDGET PERIOD</w:t>
            </w:r>
          </w:p>
        </w:tc>
        <w:tc>
          <w:tcPr>
            <w:tcW w:w="3455" w:type="dxa"/>
            <w:gridSpan w:val="8"/>
            <w:tcBorders>
              <w:top w:val="single" w:sz="6" w:space="0" w:color="auto"/>
              <w:left w:val="single" w:sz="6" w:space="0" w:color="auto"/>
              <w:bottom w:val="single" w:sz="6" w:space="0" w:color="auto"/>
              <w:right w:val="single" w:sz="6" w:space="0" w:color="auto"/>
            </w:tcBorders>
            <w:tcMar>
              <w:top w:w="14" w:type="dxa"/>
            </w:tcMar>
          </w:tcPr>
          <w:p w:rsidR="006E1C90" w:rsidRDefault="006E1C90" w:rsidP="00F40F58">
            <w:pPr>
              <w:pStyle w:val="FormFieldCaption"/>
            </w:pPr>
            <w:r>
              <w:t>8.</w:t>
            </w:r>
            <w:r>
              <w:tab/>
              <w:t>COSTS REQUESTED FOR PROPOSED</w:t>
            </w:r>
          </w:p>
          <w:p w:rsidR="006E1C90" w:rsidRDefault="006E1C90" w:rsidP="00F40F58">
            <w:pPr>
              <w:pStyle w:val="FormFieldCaption"/>
            </w:pPr>
            <w:r>
              <w:tab/>
              <w:t>PERIOD OF SUPPORT</w:t>
            </w:r>
          </w:p>
        </w:tc>
      </w:tr>
      <w:tr w:rsidR="006E1C90" w:rsidTr="00B126BB">
        <w:trPr>
          <w:trHeight w:hRule="exact" w:val="259"/>
        </w:trPr>
        <w:tc>
          <w:tcPr>
            <w:tcW w:w="1851" w:type="dxa"/>
            <w:gridSpan w:val="4"/>
            <w:tcBorders>
              <w:top w:val="nil"/>
              <w:left w:val="single" w:sz="6" w:space="0" w:color="auto"/>
              <w:bottom w:val="nil"/>
              <w:right w:val="single" w:sz="6" w:space="0" w:color="auto"/>
            </w:tcBorders>
            <w:vAlign w:val="center"/>
          </w:tcPr>
          <w:p w:rsidR="006E1C90" w:rsidRDefault="006E1C90" w:rsidP="00F40F58">
            <w:pPr>
              <w:pStyle w:val="FormFieldCaption7pt"/>
            </w:pPr>
            <w:r>
              <w:t>From</w:t>
            </w:r>
          </w:p>
        </w:tc>
        <w:tc>
          <w:tcPr>
            <w:tcW w:w="2027" w:type="dxa"/>
            <w:gridSpan w:val="7"/>
            <w:tcBorders>
              <w:top w:val="nil"/>
              <w:left w:val="single" w:sz="6" w:space="0" w:color="auto"/>
              <w:bottom w:val="nil"/>
              <w:right w:val="single" w:sz="6" w:space="0" w:color="auto"/>
            </w:tcBorders>
            <w:vAlign w:val="center"/>
          </w:tcPr>
          <w:p w:rsidR="006E1C90" w:rsidRDefault="006E1C90" w:rsidP="00F40F58">
            <w:pPr>
              <w:pStyle w:val="FormFieldCaption7pt"/>
            </w:pPr>
            <w:r>
              <w:t>Through</w:t>
            </w:r>
          </w:p>
        </w:tc>
        <w:tc>
          <w:tcPr>
            <w:tcW w:w="1897" w:type="dxa"/>
            <w:tcBorders>
              <w:top w:val="single" w:sz="6" w:space="0" w:color="auto"/>
              <w:left w:val="single" w:sz="6" w:space="0" w:color="auto"/>
              <w:bottom w:val="nil"/>
              <w:right w:val="single" w:sz="6" w:space="0" w:color="auto"/>
            </w:tcBorders>
            <w:vAlign w:val="center"/>
          </w:tcPr>
          <w:p w:rsidR="006E1C90" w:rsidRDefault="006E1C90" w:rsidP="00F40F58">
            <w:pPr>
              <w:pStyle w:val="FormFieldCaption7pt"/>
            </w:pPr>
            <w:r>
              <w:t>7a.</w:t>
            </w:r>
            <w:r>
              <w:tab/>
              <w:t>Direct Costs ($)</w:t>
            </w:r>
          </w:p>
        </w:tc>
        <w:tc>
          <w:tcPr>
            <w:tcW w:w="1570" w:type="dxa"/>
            <w:gridSpan w:val="8"/>
            <w:tcBorders>
              <w:top w:val="single" w:sz="6" w:space="0" w:color="auto"/>
              <w:left w:val="single" w:sz="6" w:space="0" w:color="auto"/>
              <w:bottom w:val="nil"/>
              <w:right w:val="single" w:sz="6" w:space="0" w:color="auto"/>
            </w:tcBorders>
            <w:vAlign w:val="center"/>
          </w:tcPr>
          <w:p w:rsidR="006E1C90" w:rsidRDefault="006E1C90" w:rsidP="00F40F58">
            <w:pPr>
              <w:pStyle w:val="FormFieldCaption7pt"/>
            </w:pPr>
            <w:r>
              <w:t>7b.  Total Costs ($)</w:t>
            </w:r>
          </w:p>
        </w:tc>
        <w:tc>
          <w:tcPr>
            <w:tcW w:w="1639" w:type="dxa"/>
            <w:gridSpan w:val="4"/>
            <w:tcBorders>
              <w:top w:val="single" w:sz="6" w:space="0" w:color="auto"/>
              <w:left w:val="single" w:sz="6" w:space="0" w:color="auto"/>
              <w:bottom w:val="nil"/>
              <w:right w:val="single" w:sz="6" w:space="0" w:color="auto"/>
            </w:tcBorders>
            <w:tcMar>
              <w:top w:w="14" w:type="dxa"/>
            </w:tcMar>
            <w:vAlign w:val="center"/>
          </w:tcPr>
          <w:p w:rsidR="006E1C90" w:rsidRDefault="006E1C90" w:rsidP="00F40F58">
            <w:pPr>
              <w:pStyle w:val="FormFieldCaption7pt"/>
            </w:pPr>
            <w:r>
              <w:t>8a.  Direct Costs ($)</w:t>
            </w:r>
          </w:p>
        </w:tc>
        <w:tc>
          <w:tcPr>
            <w:tcW w:w="1816" w:type="dxa"/>
            <w:gridSpan w:val="4"/>
            <w:tcBorders>
              <w:top w:val="single" w:sz="6" w:space="0" w:color="auto"/>
              <w:left w:val="single" w:sz="6" w:space="0" w:color="auto"/>
              <w:bottom w:val="nil"/>
              <w:right w:val="single" w:sz="6" w:space="0" w:color="auto"/>
            </w:tcBorders>
            <w:tcMar>
              <w:top w:w="0" w:type="dxa"/>
            </w:tcMar>
            <w:vAlign w:val="center"/>
          </w:tcPr>
          <w:p w:rsidR="006E1C90" w:rsidRDefault="006E1C90" w:rsidP="00F40F58">
            <w:pPr>
              <w:pStyle w:val="FormFieldCaption7pt"/>
            </w:pPr>
            <w:r>
              <w:t>8b.  Total Costs ($)</w:t>
            </w:r>
          </w:p>
        </w:tc>
      </w:tr>
      <w:tr w:rsidR="006E1C90" w:rsidTr="00B126BB">
        <w:trPr>
          <w:trHeight w:hRule="exact" w:val="346"/>
        </w:trPr>
        <w:tc>
          <w:tcPr>
            <w:tcW w:w="1851" w:type="dxa"/>
            <w:gridSpan w:val="4"/>
            <w:tcBorders>
              <w:top w:val="nil"/>
              <w:left w:val="single" w:sz="6" w:space="0" w:color="auto"/>
              <w:bottom w:val="single" w:sz="6" w:space="0" w:color="auto"/>
              <w:right w:val="single" w:sz="6" w:space="0" w:color="auto"/>
            </w:tcBorders>
            <w:vAlign w:val="center"/>
          </w:tcPr>
          <w:p w:rsidR="006E1C90" w:rsidRDefault="007F14B4" w:rsidP="00F40F58">
            <w:pPr>
              <w:pStyle w:val="DataField10pt"/>
              <w:jc w:val="center"/>
            </w:pPr>
            <w:r>
              <w:t>02/09/2018</w:t>
            </w:r>
          </w:p>
        </w:tc>
        <w:tc>
          <w:tcPr>
            <w:tcW w:w="2027" w:type="dxa"/>
            <w:gridSpan w:val="7"/>
            <w:tcBorders>
              <w:top w:val="nil"/>
              <w:left w:val="single" w:sz="6" w:space="0" w:color="auto"/>
              <w:bottom w:val="single" w:sz="6" w:space="0" w:color="auto"/>
              <w:right w:val="single" w:sz="6" w:space="0" w:color="auto"/>
            </w:tcBorders>
            <w:vAlign w:val="center"/>
          </w:tcPr>
          <w:p w:rsidR="006E1C90" w:rsidRDefault="007F14B4" w:rsidP="00F40F58">
            <w:pPr>
              <w:pStyle w:val="DataField10pt"/>
              <w:jc w:val="center"/>
            </w:pPr>
            <w:r>
              <w:t>07/28/2018</w:t>
            </w:r>
          </w:p>
        </w:tc>
        <w:tc>
          <w:tcPr>
            <w:tcW w:w="1897" w:type="dxa"/>
            <w:tcBorders>
              <w:top w:val="nil"/>
              <w:left w:val="single" w:sz="6" w:space="0" w:color="auto"/>
              <w:bottom w:val="single" w:sz="6" w:space="0" w:color="auto"/>
              <w:right w:val="single" w:sz="6" w:space="0" w:color="auto"/>
            </w:tcBorders>
            <w:vAlign w:val="center"/>
          </w:tcPr>
          <w:p w:rsidR="006E1C90" w:rsidRDefault="006E1C90" w:rsidP="00F40F58">
            <w:pPr>
              <w:pStyle w:val="DataField10pt"/>
              <w:jc w:val="center"/>
            </w:pPr>
          </w:p>
        </w:tc>
        <w:tc>
          <w:tcPr>
            <w:tcW w:w="1570" w:type="dxa"/>
            <w:gridSpan w:val="8"/>
            <w:tcBorders>
              <w:top w:val="nil"/>
              <w:left w:val="single" w:sz="6" w:space="0" w:color="auto"/>
              <w:bottom w:val="single" w:sz="6" w:space="0" w:color="auto"/>
              <w:right w:val="single" w:sz="6" w:space="0" w:color="auto"/>
            </w:tcBorders>
            <w:vAlign w:val="center"/>
          </w:tcPr>
          <w:p w:rsidR="006E1C90" w:rsidRDefault="006E1C90" w:rsidP="00F40F58">
            <w:pPr>
              <w:pStyle w:val="DataField10pt"/>
              <w:jc w:val="center"/>
            </w:pPr>
          </w:p>
        </w:tc>
        <w:tc>
          <w:tcPr>
            <w:tcW w:w="1639" w:type="dxa"/>
            <w:gridSpan w:val="4"/>
            <w:tcBorders>
              <w:top w:val="nil"/>
              <w:left w:val="single" w:sz="6" w:space="0" w:color="auto"/>
              <w:bottom w:val="single" w:sz="6" w:space="0" w:color="auto"/>
              <w:right w:val="single" w:sz="6" w:space="0" w:color="auto"/>
            </w:tcBorders>
            <w:vAlign w:val="center"/>
          </w:tcPr>
          <w:p w:rsidR="006E1C90" w:rsidRDefault="006E1C90" w:rsidP="00F40F58">
            <w:pPr>
              <w:pStyle w:val="DataField10pt"/>
              <w:jc w:val="center"/>
            </w:pPr>
          </w:p>
        </w:tc>
        <w:tc>
          <w:tcPr>
            <w:tcW w:w="1816" w:type="dxa"/>
            <w:gridSpan w:val="4"/>
            <w:tcBorders>
              <w:top w:val="nil"/>
              <w:left w:val="single" w:sz="6" w:space="0" w:color="auto"/>
              <w:bottom w:val="single" w:sz="6" w:space="0" w:color="auto"/>
              <w:right w:val="single" w:sz="6" w:space="0" w:color="auto"/>
            </w:tcBorders>
            <w:vAlign w:val="center"/>
          </w:tcPr>
          <w:p w:rsidR="006E1C90" w:rsidRDefault="006E1C90" w:rsidP="00F40F58">
            <w:pPr>
              <w:pStyle w:val="DataField10pt"/>
              <w:jc w:val="center"/>
            </w:pPr>
          </w:p>
        </w:tc>
      </w:tr>
      <w:tr w:rsidR="006E1C90" w:rsidTr="00B126BB">
        <w:trPr>
          <w:trHeight w:hRule="exact" w:val="230"/>
        </w:trPr>
        <w:tc>
          <w:tcPr>
            <w:tcW w:w="5775" w:type="dxa"/>
            <w:gridSpan w:val="12"/>
            <w:tcBorders>
              <w:top w:val="nil"/>
              <w:left w:val="single" w:sz="6" w:space="0" w:color="auto"/>
              <w:bottom w:val="nil"/>
              <w:right w:val="nil"/>
            </w:tcBorders>
            <w:vAlign w:val="center"/>
          </w:tcPr>
          <w:p w:rsidR="006E1C90" w:rsidRDefault="006E1C90" w:rsidP="00F40F58">
            <w:pPr>
              <w:pStyle w:val="FormFieldCaption"/>
            </w:pPr>
            <w:r>
              <w:t>9.</w:t>
            </w:r>
            <w:r>
              <w:tab/>
              <w:t>APPLICANT ORGANIZATION</w:t>
            </w:r>
          </w:p>
        </w:tc>
        <w:tc>
          <w:tcPr>
            <w:tcW w:w="5025" w:type="dxa"/>
            <w:gridSpan w:val="16"/>
            <w:tcBorders>
              <w:top w:val="nil"/>
              <w:left w:val="single" w:sz="6" w:space="0" w:color="auto"/>
              <w:bottom w:val="nil"/>
              <w:right w:val="single" w:sz="6" w:space="0" w:color="auto"/>
            </w:tcBorders>
            <w:vAlign w:val="center"/>
          </w:tcPr>
          <w:p w:rsidR="006E1C90" w:rsidRDefault="006E1C90" w:rsidP="00F40F58">
            <w:pPr>
              <w:pStyle w:val="FormFieldCaption"/>
            </w:pPr>
            <w:r>
              <w:t>10.</w:t>
            </w:r>
            <w:r>
              <w:tab/>
              <w:t>TYPE OF ORGANIZATION</w:t>
            </w:r>
          </w:p>
        </w:tc>
      </w:tr>
      <w:tr w:rsidR="006E1C90" w:rsidTr="00B126BB">
        <w:trPr>
          <w:trHeight w:hRule="exact" w:val="346"/>
        </w:trPr>
        <w:tc>
          <w:tcPr>
            <w:tcW w:w="911" w:type="dxa"/>
            <w:gridSpan w:val="3"/>
            <w:tcBorders>
              <w:top w:val="nil"/>
              <w:left w:val="single" w:sz="6" w:space="0" w:color="auto"/>
              <w:bottom w:val="nil"/>
            </w:tcBorders>
          </w:tcPr>
          <w:p w:rsidR="006E1C90" w:rsidRDefault="006E1C90" w:rsidP="00F40F58">
            <w:pPr>
              <w:pStyle w:val="FormFieldCaption"/>
            </w:pPr>
            <w:r>
              <w:t>Name</w:t>
            </w:r>
          </w:p>
        </w:tc>
        <w:tc>
          <w:tcPr>
            <w:tcW w:w="4864" w:type="dxa"/>
            <w:gridSpan w:val="9"/>
            <w:tcBorders>
              <w:top w:val="nil"/>
              <w:right w:val="nil"/>
            </w:tcBorders>
          </w:tcPr>
          <w:p w:rsidR="006E1C90" w:rsidRDefault="007F14B4" w:rsidP="00F40F58">
            <w:pPr>
              <w:pStyle w:val="DataField10pt"/>
              <w:rPr>
                <w:sz w:val="16"/>
                <w:szCs w:val="16"/>
              </w:rPr>
            </w:pPr>
            <w:r>
              <w:t>Sewnet K. Mengistu</w:t>
            </w:r>
          </w:p>
        </w:tc>
        <w:tc>
          <w:tcPr>
            <w:tcW w:w="5025" w:type="dxa"/>
            <w:gridSpan w:val="16"/>
            <w:tcBorders>
              <w:top w:val="nil"/>
              <w:left w:val="single" w:sz="6" w:space="0" w:color="auto"/>
              <w:bottom w:val="nil"/>
              <w:right w:val="single" w:sz="6" w:space="0" w:color="auto"/>
            </w:tcBorders>
          </w:tcPr>
          <w:p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Public:</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77261E">
              <w:rPr>
                <w:rFonts w:ascii="Arial" w:hAnsi="Arial" w:cs="Arial"/>
                <w:sz w:val="20"/>
                <w:szCs w:val="20"/>
              </w:rPr>
              <w:fldChar w:fldCharType="begin">
                <w:ffData>
                  <w:name w:val=""/>
                  <w:enabled/>
                  <w:calcOnExit w:val="0"/>
                  <w:checkBox>
                    <w:size w:val="20"/>
                    <w:default w:val="0"/>
                    <w:checked w:val="0"/>
                  </w:checkBox>
                </w:ffData>
              </w:fldChar>
            </w:r>
            <w:r>
              <w:rPr>
                <w:rFonts w:ascii="Arial" w:hAnsi="Arial" w:cs="Arial"/>
                <w:sz w:val="20"/>
                <w:szCs w:val="20"/>
              </w:rPr>
              <w:instrText xml:space="preserve"> FORMCHECKBOX </w:instrText>
            </w:r>
            <w:r w:rsidR="000D3DF5">
              <w:rPr>
                <w:rFonts w:ascii="Arial" w:hAnsi="Arial" w:cs="Arial"/>
                <w:sz w:val="20"/>
                <w:szCs w:val="20"/>
              </w:rPr>
            </w:r>
            <w:r w:rsidR="000D3DF5">
              <w:rPr>
                <w:rFonts w:ascii="Arial" w:hAnsi="Arial" w:cs="Arial"/>
                <w:sz w:val="20"/>
                <w:szCs w:val="20"/>
              </w:rPr>
              <w:fldChar w:fldCharType="separate"/>
            </w:r>
            <w:r w:rsidR="0077261E">
              <w:rPr>
                <w:rFonts w:ascii="Arial" w:hAnsi="Arial" w:cs="Arial"/>
                <w:sz w:val="20"/>
                <w:szCs w:val="20"/>
              </w:rPr>
              <w:fldChar w:fldCharType="end"/>
            </w:r>
            <w:r>
              <w:rPr>
                <w:rFonts w:ascii="Arial" w:hAnsi="Arial" w:cs="Arial"/>
                <w:sz w:val="16"/>
                <w:szCs w:val="16"/>
              </w:rPr>
              <w:t xml:space="preserve">  Federal</w:t>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State</w:t>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Local</w:t>
            </w:r>
          </w:p>
        </w:tc>
      </w:tr>
      <w:tr w:rsidR="006E1C90" w:rsidTr="00B126BB">
        <w:trPr>
          <w:cantSplit/>
          <w:trHeight w:hRule="exact" w:val="317"/>
        </w:trPr>
        <w:tc>
          <w:tcPr>
            <w:tcW w:w="911" w:type="dxa"/>
            <w:gridSpan w:val="3"/>
            <w:vMerge w:val="restart"/>
            <w:tcBorders>
              <w:top w:val="nil"/>
              <w:left w:val="single" w:sz="6" w:space="0" w:color="auto"/>
            </w:tcBorders>
          </w:tcPr>
          <w:p w:rsidR="006E1C90" w:rsidRDefault="006E1C90" w:rsidP="00F40F58">
            <w:pPr>
              <w:pStyle w:val="FormFieldCaption"/>
            </w:pPr>
            <w:r>
              <w:t>Address</w:t>
            </w:r>
          </w:p>
        </w:tc>
        <w:tc>
          <w:tcPr>
            <w:tcW w:w="4864" w:type="dxa"/>
            <w:gridSpan w:val="9"/>
            <w:vMerge w:val="restart"/>
            <w:tcBorders>
              <w:right w:val="nil"/>
            </w:tcBorders>
          </w:tcPr>
          <w:p w:rsidR="006E1C90" w:rsidRDefault="006C1A66" w:rsidP="00F40F58">
            <w:pPr>
              <w:pStyle w:val="DataField10pt14ptspacing"/>
            </w:pPr>
            <w:r>
              <w:t>Department of Biology</w:t>
            </w:r>
          </w:p>
          <w:p w:rsidR="006C1A66" w:rsidRDefault="006C1A66" w:rsidP="00F40F58">
            <w:pPr>
              <w:pStyle w:val="DataField10pt14ptspacing"/>
            </w:pPr>
            <w:r>
              <w:t>Hood College</w:t>
            </w:r>
          </w:p>
          <w:p w:rsidR="006C1A66" w:rsidRDefault="006C1A66" w:rsidP="00F40F58">
            <w:pPr>
              <w:pStyle w:val="DataField10pt14ptspacing"/>
            </w:pPr>
            <w:r>
              <w:t>401 Rosemont Ave</w:t>
            </w:r>
          </w:p>
          <w:p w:rsidR="006C1A66" w:rsidRDefault="006C1A66" w:rsidP="00F40F58">
            <w:pPr>
              <w:pStyle w:val="DataField10pt14ptspacing"/>
            </w:pPr>
            <w:r>
              <w:t>Frederick, MD 21701</w:t>
            </w:r>
          </w:p>
          <w:p w:rsidR="006E1C90" w:rsidRDefault="006E1C90" w:rsidP="00F40F58">
            <w:pPr>
              <w:pStyle w:val="DataField10pt14ptspacing"/>
            </w:pPr>
          </w:p>
        </w:tc>
        <w:tc>
          <w:tcPr>
            <w:tcW w:w="5025" w:type="dxa"/>
            <w:gridSpan w:val="16"/>
            <w:tcBorders>
              <w:top w:val="nil"/>
              <w:left w:val="single" w:sz="6" w:space="0" w:color="auto"/>
              <w:bottom w:val="nil"/>
              <w:right w:val="single" w:sz="6" w:space="0" w:color="auto"/>
            </w:tcBorders>
          </w:tcPr>
          <w:p w:rsidR="006E1C90" w:rsidRDefault="006E1C90" w:rsidP="0050789A">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Private: </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77261E">
              <w:rPr>
                <w:rFonts w:ascii="Arial" w:hAnsi="Arial" w:cs="Arial"/>
                <w:sz w:val="16"/>
                <w:szCs w:val="16"/>
              </w:rPr>
              <w:fldChar w:fldCharType="begin">
                <w:ffData>
                  <w:name w:val=""/>
                  <w:enabled/>
                  <w:calcOnExit w:val="0"/>
                  <w:checkBox>
                    <w:size w:val="20"/>
                    <w:default w:val="1"/>
                  </w:checkBox>
                </w:ffData>
              </w:fldChar>
            </w:r>
            <w:r w:rsidR="0050789A">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Private Nonprofit</w:t>
            </w:r>
          </w:p>
        </w:tc>
      </w:tr>
      <w:tr w:rsidR="006E1C90" w:rsidTr="00B126BB">
        <w:trPr>
          <w:cantSplit/>
          <w:trHeight w:hRule="exact" w:val="634"/>
        </w:trPr>
        <w:tc>
          <w:tcPr>
            <w:tcW w:w="911" w:type="dxa"/>
            <w:gridSpan w:val="3"/>
            <w:vMerge/>
            <w:tcBorders>
              <w:left w:val="single" w:sz="6" w:space="0" w:color="auto"/>
            </w:tcBorders>
          </w:tcPr>
          <w:p w:rsidR="006E1C90" w:rsidRDefault="006E1C90" w:rsidP="00F40F58">
            <w:pPr>
              <w:tabs>
                <w:tab w:val="left" w:pos="180"/>
                <w:tab w:val="left" w:pos="720"/>
              </w:tabs>
              <w:spacing w:before="20"/>
              <w:rPr>
                <w:rFonts w:ascii="Arial" w:hAnsi="Arial" w:cs="Arial"/>
                <w:sz w:val="20"/>
                <w:szCs w:val="20"/>
              </w:rPr>
            </w:pPr>
          </w:p>
        </w:tc>
        <w:tc>
          <w:tcPr>
            <w:tcW w:w="4864" w:type="dxa"/>
            <w:gridSpan w:val="9"/>
            <w:vMerge/>
            <w:tcBorders>
              <w:right w:val="nil"/>
            </w:tcBorders>
          </w:tcPr>
          <w:p w:rsidR="006E1C90" w:rsidRDefault="006E1C90" w:rsidP="00F40F58">
            <w:pPr>
              <w:tabs>
                <w:tab w:val="left" w:pos="180"/>
                <w:tab w:val="left" w:pos="720"/>
              </w:tabs>
              <w:spacing w:before="20"/>
              <w:rPr>
                <w:rFonts w:ascii="Arial" w:hAnsi="Arial" w:cs="Arial"/>
                <w:sz w:val="20"/>
                <w:szCs w:val="20"/>
              </w:rPr>
            </w:pPr>
          </w:p>
        </w:tc>
        <w:tc>
          <w:tcPr>
            <w:tcW w:w="5025" w:type="dxa"/>
            <w:gridSpan w:val="16"/>
            <w:tcBorders>
              <w:top w:val="nil"/>
              <w:left w:val="single" w:sz="6" w:space="0" w:color="auto"/>
              <w:bottom w:val="nil"/>
              <w:right w:val="single" w:sz="6" w:space="0" w:color="auto"/>
            </w:tcBorders>
            <w:vAlign w:val="center"/>
          </w:tcPr>
          <w:p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For-profit: </w:t>
            </w:r>
            <w:r>
              <w:rPr>
                <w:rFonts w:ascii="Arial" w:hAnsi="Arial" w:cs="Arial"/>
                <w:b/>
                <w:bCs/>
                <w:sz w:val="16"/>
                <w:szCs w:val="16"/>
              </w:rPr>
              <w:sym w:font="Symbol" w:char="F0AE"/>
            </w:r>
            <w:r>
              <w:rPr>
                <w:rFonts w:ascii="Arial" w:hAnsi="Arial" w:cs="Arial"/>
                <w:b/>
                <w:bCs/>
                <w:sz w:val="16"/>
                <w:szCs w:val="16"/>
              </w:rPr>
              <w:t xml:space="preserve">  </w:t>
            </w:r>
            <w:r w:rsidR="0077261E">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General       </w:t>
            </w:r>
            <w:r w:rsidR="0077261E">
              <w:rPr>
                <w:rFonts w:ascii="Arial" w:hAnsi="Arial" w:cs="Arial"/>
                <w:sz w:val="16"/>
                <w:szCs w:val="16"/>
              </w:rPr>
              <w:fldChar w:fldCharType="begin">
                <w:ffData>
                  <w:name w:val=""/>
                  <w:enabled/>
                  <w:calcOnExit w:val="0"/>
                  <w:checkBox>
                    <w:size w:val="20"/>
                    <w:default w:val="0"/>
                  </w:checkBox>
                </w:ffData>
              </w:fldChar>
            </w:r>
            <w:r w:rsidR="003C3DF1">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sidR="0077261E">
              <w:rPr>
                <w:rFonts w:ascii="Arial" w:hAnsi="Arial" w:cs="Arial"/>
                <w:sz w:val="16"/>
                <w:szCs w:val="16"/>
              </w:rPr>
              <w:fldChar w:fldCharType="end"/>
            </w:r>
            <w:r>
              <w:rPr>
                <w:rFonts w:ascii="Arial" w:hAnsi="Arial" w:cs="Arial"/>
                <w:sz w:val="16"/>
                <w:szCs w:val="16"/>
              </w:rPr>
              <w:t xml:space="preserve">  Small Business </w:t>
            </w:r>
          </w:p>
          <w:p w:rsidR="006E1C90" w:rsidRDefault="0077261E" w:rsidP="00F40F58">
            <w:pPr>
              <w:tabs>
                <w:tab w:val="left" w:pos="342"/>
                <w:tab w:val="left" w:pos="1062"/>
                <w:tab w:val="left" w:pos="1332"/>
                <w:tab w:val="left" w:pos="2592"/>
                <w:tab w:val="left" w:pos="3582"/>
              </w:tabs>
              <w:spacing w:before="20"/>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Woman-owned  </w:t>
            </w: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0D3DF5">
              <w:rPr>
                <w:rFonts w:ascii="Arial" w:hAnsi="Arial" w:cs="Arial"/>
                <w:sz w:val="16"/>
                <w:szCs w:val="16"/>
              </w:rPr>
            </w:r>
            <w:r w:rsidR="000D3DF5">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Socially and Economically Disadvantaged</w:t>
            </w:r>
          </w:p>
        </w:tc>
      </w:tr>
      <w:tr w:rsidR="006E1C90" w:rsidTr="00B126BB">
        <w:trPr>
          <w:cantSplit/>
          <w:trHeight w:hRule="exact" w:val="490"/>
        </w:trPr>
        <w:tc>
          <w:tcPr>
            <w:tcW w:w="911" w:type="dxa"/>
            <w:gridSpan w:val="3"/>
            <w:vMerge/>
            <w:tcBorders>
              <w:left w:val="single" w:sz="6" w:space="0" w:color="auto"/>
            </w:tcBorders>
          </w:tcPr>
          <w:p w:rsidR="006E1C90" w:rsidRDefault="006E1C90" w:rsidP="00F40F58">
            <w:pPr>
              <w:pStyle w:val="FormFieldCaption"/>
            </w:pPr>
          </w:p>
        </w:tc>
        <w:tc>
          <w:tcPr>
            <w:tcW w:w="4864" w:type="dxa"/>
            <w:gridSpan w:val="9"/>
            <w:vMerge/>
            <w:tcBorders>
              <w:right w:val="single" w:sz="6" w:space="0" w:color="auto"/>
            </w:tcBorders>
          </w:tcPr>
          <w:p w:rsidR="006E1C90" w:rsidRDefault="006E1C90" w:rsidP="00F40F58">
            <w:pPr>
              <w:pStyle w:val="DataField10pt"/>
            </w:pPr>
          </w:p>
        </w:tc>
        <w:tc>
          <w:tcPr>
            <w:tcW w:w="5025" w:type="dxa"/>
            <w:gridSpan w:val="16"/>
            <w:tcBorders>
              <w:top w:val="single" w:sz="6" w:space="0" w:color="auto"/>
              <w:left w:val="single" w:sz="6" w:space="0" w:color="auto"/>
              <w:bottom w:val="nil"/>
              <w:right w:val="single" w:sz="6" w:space="0" w:color="auto"/>
            </w:tcBorders>
            <w:vAlign w:val="center"/>
          </w:tcPr>
          <w:p w:rsidR="006E1C90" w:rsidRDefault="006E1C90" w:rsidP="00F40F58">
            <w:pPr>
              <w:pStyle w:val="FormFieldCaption"/>
            </w:pPr>
            <w:r>
              <w:t>11.  ENTITY IDENTIFICATION NUMBER</w:t>
            </w:r>
          </w:p>
          <w:p w:rsidR="006E1C90" w:rsidRDefault="006E1C90" w:rsidP="00F40F58">
            <w:pPr>
              <w:pStyle w:val="DataField10pt"/>
            </w:pPr>
          </w:p>
        </w:tc>
      </w:tr>
      <w:tr w:rsidR="006E1C90" w:rsidTr="00B126BB">
        <w:trPr>
          <w:cantSplit/>
          <w:trHeight w:hRule="exact" w:val="346"/>
        </w:trPr>
        <w:tc>
          <w:tcPr>
            <w:tcW w:w="911" w:type="dxa"/>
            <w:gridSpan w:val="3"/>
            <w:vMerge/>
            <w:tcBorders>
              <w:left w:val="single" w:sz="6" w:space="0" w:color="auto"/>
              <w:bottom w:val="single" w:sz="6" w:space="0" w:color="auto"/>
            </w:tcBorders>
          </w:tcPr>
          <w:p w:rsidR="006E1C90" w:rsidRDefault="006E1C90" w:rsidP="00F40F58">
            <w:pPr>
              <w:pStyle w:val="FormFieldCaption"/>
              <w:rPr>
                <w:sz w:val="20"/>
                <w:szCs w:val="20"/>
              </w:rPr>
            </w:pPr>
          </w:p>
        </w:tc>
        <w:tc>
          <w:tcPr>
            <w:tcW w:w="4864" w:type="dxa"/>
            <w:gridSpan w:val="9"/>
            <w:vMerge/>
            <w:tcBorders>
              <w:bottom w:val="single" w:sz="6" w:space="0" w:color="auto"/>
            </w:tcBorders>
          </w:tcPr>
          <w:p w:rsidR="006E1C90" w:rsidRDefault="006E1C90" w:rsidP="00F40F58">
            <w:pPr>
              <w:pStyle w:val="DataField10pt"/>
            </w:pPr>
          </w:p>
        </w:tc>
        <w:tc>
          <w:tcPr>
            <w:tcW w:w="904" w:type="dxa"/>
            <w:gridSpan w:val="4"/>
            <w:tcBorders>
              <w:top w:val="nil"/>
              <w:left w:val="single" w:sz="6" w:space="0" w:color="auto"/>
              <w:bottom w:val="single" w:sz="6" w:space="0" w:color="auto"/>
            </w:tcBorders>
            <w:vAlign w:val="center"/>
          </w:tcPr>
          <w:p w:rsidR="006E1C90" w:rsidRDefault="006E1C90" w:rsidP="00F40F58">
            <w:pPr>
              <w:pStyle w:val="FormFieldCaption"/>
              <w:rPr>
                <w:sz w:val="20"/>
                <w:szCs w:val="20"/>
              </w:rPr>
            </w:pPr>
            <w:r>
              <w:t>DUNS NO.</w:t>
            </w:r>
          </w:p>
        </w:tc>
        <w:tc>
          <w:tcPr>
            <w:tcW w:w="1620" w:type="dxa"/>
            <w:gridSpan w:val="5"/>
            <w:tcBorders>
              <w:top w:val="nil"/>
              <w:bottom w:val="single" w:sz="6" w:space="0" w:color="auto"/>
              <w:right w:val="single" w:sz="6" w:space="0" w:color="auto"/>
            </w:tcBorders>
            <w:tcMar>
              <w:top w:w="29" w:type="dxa"/>
            </w:tcMar>
          </w:tcPr>
          <w:p w:rsidR="006E1C90" w:rsidRDefault="0050789A" w:rsidP="00F40F58">
            <w:pPr>
              <w:pStyle w:val="DataField10pt"/>
            </w:pPr>
            <w:r>
              <w:t xml:space="preserve">    </w:t>
            </w:r>
            <w:r w:rsidRPr="0050789A">
              <w:t>N/A</w:t>
            </w:r>
          </w:p>
        </w:tc>
        <w:tc>
          <w:tcPr>
            <w:tcW w:w="1080" w:type="dxa"/>
            <w:gridSpan w:val="5"/>
            <w:tcBorders>
              <w:top w:val="nil"/>
              <w:bottom w:val="single" w:sz="6" w:space="0" w:color="auto"/>
            </w:tcBorders>
          </w:tcPr>
          <w:p w:rsidR="006E1C90" w:rsidRDefault="006E1C90" w:rsidP="00F40F58">
            <w:pPr>
              <w:pStyle w:val="FormFieldCaption"/>
            </w:pPr>
            <w:r>
              <w:t>Cong. District</w:t>
            </w:r>
          </w:p>
        </w:tc>
        <w:tc>
          <w:tcPr>
            <w:tcW w:w="1421" w:type="dxa"/>
            <w:gridSpan w:val="2"/>
            <w:tcBorders>
              <w:top w:val="nil"/>
              <w:bottom w:val="single" w:sz="6" w:space="0" w:color="auto"/>
              <w:right w:val="single" w:sz="6" w:space="0" w:color="auto"/>
            </w:tcBorders>
          </w:tcPr>
          <w:p w:rsidR="006E1C90" w:rsidRDefault="0050789A" w:rsidP="00F40F58">
            <w:pPr>
              <w:pStyle w:val="DataField10pt"/>
            </w:pPr>
            <w:r>
              <w:t xml:space="preserve">    </w:t>
            </w:r>
            <w:r w:rsidRPr="0050789A">
              <w:t>N/A</w:t>
            </w:r>
          </w:p>
        </w:tc>
      </w:tr>
      <w:tr w:rsidR="006E1C90" w:rsidTr="00B126BB">
        <w:trPr>
          <w:trHeight w:hRule="exact" w:val="230"/>
        </w:trPr>
        <w:tc>
          <w:tcPr>
            <w:tcW w:w="5775" w:type="dxa"/>
            <w:gridSpan w:val="12"/>
            <w:tcBorders>
              <w:top w:val="single" w:sz="6" w:space="0" w:color="auto"/>
              <w:left w:val="single" w:sz="6" w:space="0" w:color="auto"/>
              <w:bottom w:val="nil"/>
              <w:right w:val="nil"/>
            </w:tcBorders>
            <w:vAlign w:val="center"/>
          </w:tcPr>
          <w:p w:rsidR="006E1C90" w:rsidRDefault="006E1C90" w:rsidP="00F40F58">
            <w:pPr>
              <w:pStyle w:val="FormFieldCaption"/>
            </w:pPr>
            <w:r>
              <w:t>12.</w:t>
            </w:r>
            <w:r>
              <w:tab/>
              <w:t>ADMINISTRATIVE OFFICIAL TO BE NOTIFIED IF AWARD IS MADE</w:t>
            </w:r>
          </w:p>
        </w:tc>
        <w:tc>
          <w:tcPr>
            <w:tcW w:w="5025" w:type="dxa"/>
            <w:gridSpan w:val="16"/>
            <w:tcBorders>
              <w:top w:val="single" w:sz="6" w:space="0" w:color="auto"/>
              <w:left w:val="single" w:sz="6" w:space="0" w:color="auto"/>
              <w:bottom w:val="nil"/>
              <w:right w:val="single" w:sz="6" w:space="0" w:color="auto"/>
            </w:tcBorders>
            <w:vAlign w:val="center"/>
          </w:tcPr>
          <w:p w:rsidR="006E1C90" w:rsidRDefault="006E1C90" w:rsidP="00F40F58">
            <w:pPr>
              <w:pStyle w:val="FormFieldCaption"/>
            </w:pPr>
            <w:r>
              <w:t>13.</w:t>
            </w:r>
            <w:r>
              <w:tab/>
              <w:t>OFFICIAL SIGNING FOR APPLICANT ORGANIZATION</w:t>
            </w:r>
          </w:p>
        </w:tc>
      </w:tr>
      <w:tr w:rsidR="006E1C90" w:rsidTr="00B126BB">
        <w:trPr>
          <w:trHeight w:hRule="exact" w:val="346"/>
        </w:trPr>
        <w:tc>
          <w:tcPr>
            <w:tcW w:w="911" w:type="dxa"/>
            <w:gridSpan w:val="3"/>
            <w:tcBorders>
              <w:top w:val="nil"/>
              <w:left w:val="single" w:sz="6" w:space="0" w:color="auto"/>
              <w:bottom w:val="nil"/>
            </w:tcBorders>
          </w:tcPr>
          <w:p w:rsidR="006E1C90" w:rsidRDefault="006E1C90" w:rsidP="00F40F58">
            <w:pPr>
              <w:pStyle w:val="FormFieldCaption"/>
            </w:pPr>
            <w:r>
              <w:t>Name</w:t>
            </w:r>
          </w:p>
        </w:tc>
        <w:tc>
          <w:tcPr>
            <w:tcW w:w="4864" w:type="dxa"/>
            <w:gridSpan w:val="9"/>
            <w:tcBorders>
              <w:top w:val="nil"/>
              <w:right w:val="nil"/>
            </w:tcBorders>
          </w:tcPr>
          <w:p w:rsidR="006E1C90" w:rsidRDefault="007F14B4" w:rsidP="00F40F58">
            <w:pPr>
              <w:pStyle w:val="DataField10pt"/>
              <w:rPr>
                <w:sz w:val="16"/>
                <w:szCs w:val="16"/>
              </w:rPr>
            </w:pPr>
            <w:r>
              <w:t>Sewnet K. Mengistu</w:t>
            </w:r>
          </w:p>
        </w:tc>
        <w:tc>
          <w:tcPr>
            <w:tcW w:w="724" w:type="dxa"/>
            <w:gridSpan w:val="2"/>
            <w:tcBorders>
              <w:top w:val="nil"/>
              <w:left w:val="single" w:sz="6" w:space="0" w:color="auto"/>
              <w:bottom w:val="nil"/>
            </w:tcBorders>
          </w:tcPr>
          <w:p w:rsidR="006E1C90" w:rsidRDefault="006E1C90" w:rsidP="00F40F58">
            <w:pPr>
              <w:pStyle w:val="FormFieldCaption"/>
            </w:pPr>
            <w:r>
              <w:t>Name</w:t>
            </w:r>
          </w:p>
        </w:tc>
        <w:tc>
          <w:tcPr>
            <w:tcW w:w="4301" w:type="dxa"/>
            <w:gridSpan w:val="14"/>
            <w:tcBorders>
              <w:top w:val="nil"/>
              <w:right w:val="single" w:sz="6" w:space="0" w:color="auto"/>
            </w:tcBorders>
          </w:tcPr>
          <w:p w:rsidR="006E1C90" w:rsidRDefault="007F14B4" w:rsidP="00F40F58">
            <w:pPr>
              <w:pStyle w:val="DataField10pt"/>
              <w:rPr>
                <w:sz w:val="16"/>
                <w:szCs w:val="16"/>
              </w:rPr>
            </w:pPr>
            <w:r>
              <w:t>Sewnet k. Mengistu</w:t>
            </w:r>
          </w:p>
        </w:tc>
      </w:tr>
      <w:tr w:rsidR="006E1C90" w:rsidTr="00B126BB">
        <w:trPr>
          <w:trHeight w:hRule="exact" w:val="346"/>
        </w:trPr>
        <w:tc>
          <w:tcPr>
            <w:tcW w:w="911" w:type="dxa"/>
            <w:gridSpan w:val="3"/>
            <w:tcBorders>
              <w:top w:val="nil"/>
              <w:left w:val="single" w:sz="6" w:space="0" w:color="auto"/>
              <w:bottom w:val="nil"/>
            </w:tcBorders>
          </w:tcPr>
          <w:p w:rsidR="006E1C90" w:rsidRDefault="006E1C90" w:rsidP="00F40F58">
            <w:pPr>
              <w:pStyle w:val="FormFieldCaption"/>
            </w:pPr>
            <w:r>
              <w:t>Title</w:t>
            </w:r>
          </w:p>
        </w:tc>
        <w:tc>
          <w:tcPr>
            <w:tcW w:w="4864" w:type="dxa"/>
            <w:gridSpan w:val="9"/>
            <w:tcBorders>
              <w:top w:val="nil"/>
              <w:right w:val="nil"/>
            </w:tcBorders>
          </w:tcPr>
          <w:p w:rsidR="006E1C90" w:rsidRDefault="006C1A66" w:rsidP="00F40F58">
            <w:pPr>
              <w:pStyle w:val="DataField10pt"/>
              <w:rPr>
                <w:sz w:val="16"/>
                <w:szCs w:val="16"/>
              </w:rPr>
            </w:pPr>
            <w:r>
              <w:t>Graduate Student</w:t>
            </w:r>
          </w:p>
        </w:tc>
        <w:tc>
          <w:tcPr>
            <w:tcW w:w="724" w:type="dxa"/>
            <w:gridSpan w:val="2"/>
            <w:tcBorders>
              <w:top w:val="nil"/>
              <w:left w:val="single" w:sz="6" w:space="0" w:color="auto"/>
              <w:bottom w:val="nil"/>
            </w:tcBorders>
          </w:tcPr>
          <w:p w:rsidR="006E1C90" w:rsidRDefault="006E1C90" w:rsidP="00F40F58">
            <w:pPr>
              <w:pStyle w:val="FormFieldCaption"/>
            </w:pPr>
            <w:r>
              <w:t xml:space="preserve">Title </w:t>
            </w:r>
          </w:p>
        </w:tc>
        <w:tc>
          <w:tcPr>
            <w:tcW w:w="4301" w:type="dxa"/>
            <w:gridSpan w:val="14"/>
            <w:tcBorders>
              <w:top w:val="nil"/>
              <w:right w:val="single" w:sz="6" w:space="0" w:color="auto"/>
            </w:tcBorders>
          </w:tcPr>
          <w:p w:rsidR="006E1C90" w:rsidRDefault="006C1A66" w:rsidP="00F40F58">
            <w:pPr>
              <w:pStyle w:val="DataField10pt"/>
              <w:rPr>
                <w:sz w:val="16"/>
                <w:szCs w:val="16"/>
              </w:rPr>
            </w:pPr>
            <w:r>
              <w:t>Graduate Student</w:t>
            </w:r>
          </w:p>
        </w:tc>
      </w:tr>
      <w:tr w:rsidR="006E1C90" w:rsidTr="00B126BB">
        <w:trPr>
          <w:cantSplit/>
          <w:trHeight w:hRule="exact" w:val="950"/>
        </w:trPr>
        <w:tc>
          <w:tcPr>
            <w:tcW w:w="911" w:type="dxa"/>
            <w:gridSpan w:val="3"/>
            <w:tcBorders>
              <w:top w:val="nil"/>
              <w:left w:val="single" w:sz="6" w:space="0" w:color="auto"/>
              <w:bottom w:val="nil"/>
            </w:tcBorders>
          </w:tcPr>
          <w:p w:rsidR="006E1C90" w:rsidRDefault="006E1C90" w:rsidP="00F40F58">
            <w:pPr>
              <w:pStyle w:val="FormFieldCaption"/>
              <w:rPr>
                <w:sz w:val="20"/>
                <w:szCs w:val="20"/>
              </w:rPr>
            </w:pPr>
            <w:r>
              <w:t>Address</w:t>
            </w:r>
          </w:p>
        </w:tc>
        <w:tc>
          <w:tcPr>
            <w:tcW w:w="4864" w:type="dxa"/>
            <w:gridSpan w:val="9"/>
            <w:tcBorders>
              <w:top w:val="nil"/>
              <w:bottom w:val="nil"/>
              <w:right w:val="nil"/>
            </w:tcBorders>
          </w:tcPr>
          <w:p w:rsidR="006C1A66" w:rsidRDefault="006C1A66" w:rsidP="006C1A66">
            <w:pPr>
              <w:pStyle w:val="DataField10pt14ptspacing"/>
            </w:pPr>
            <w:r>
              <w:t>Hood College</w:t>
            </w:r>
          </w:p>
          <w:p w:rsidR="006C1A66" w:rsidRDefault="006C1A66" w:rsidP="006C1A66">
            <w:pPr>
              <w:pStyle w:val="DataField10pt14ptspacing"/>
            </w:pPr>
            <w:r>
              <w:t>401 Rosemont Ave</w:t>
            </w:r>
          </w:p>
          <w:p w:rsidR="006E1C90" w:rsidRPr="006C1A66" w:rsidRDefault="006C1A66" w:rsidP="006C1A66">
            <w:pPr>
              <w:pStyle w:val="DataField10pt14ptspacing"/>
            </w:pPr>
            <w:r>
              <w:t>Frederick, MD 21701</w:t>
            </w:r>
          </w:p>
        </w:tc>
        <w:tc>
          <w:tcPr>
            <w:tcW w:w="724" w:type="dxa"/>
            <w:gridSpan w:val="2"/>
            <w:tcBorders>
              <w:top w:val="nil"/>
              <w:left w:val="single" w:sz="6" w:space="0" w:color="auto"/>
              <w:bottom w:val="nil"/>
            </w:tcBorders>
          </w:tcPr>
          <w:p w:rsidR="006E1C90" w:rsidRDefault="006E1C90" w:rsidP="00F40F58">
            <w:pPr>
              <w:pStyle w:val="FormFieldCaption"/>
              <w:rPr>
                <w:sz w:val="20"/>
                <w:szCs w:val="20"/>
              </w:rPr>
            </w:pPr>
            <w:r>
              <w:t>Address</w:t>
            </w:r>
          </w:p>
        </w:tc>
        <w:tc>
          <w:tcPr>
            <w:tcW w:w="4301" w:type="dxa"/>
            <w:gridSpan w:val="14"/>
            <w:tcBorders>
              <w:top w:val="nil"/>
              <w:bottom w:val="nil"/>
              <w:right w:val="single" w:sz="6" w:space="0" w:color="auto"/>
            </w:tcBorders>
          </w:tcPr>
          <w:p w:rsidR="006E1C90" w:rsidRDefault="006C1A66" w:rsidP="00F40F58">
            <w:pPr>
              <w:pStyle w:val="DataField10pt14ptspacing"/>
            </w:pPr>
            <w:r>
              <w:t>Hood College</w:t>
            </w:r>
          </w:p>
          <w:p w:rsidR="006C1A66" w:rsidRDefault="006C1A66" w:rsidP="00F40F58">
            <w:pPr>
              <w:pStyle w:val="DataField10pt14ptspacing"/>
            </w:pPr>
            <w:r>
              <w:t>401 Rosemont Ave</w:t>
            </w:r>
          </w:p>
          <w:p w:rsidR="006C1A66" w:rsidRPr="006C1A66" w:rsidRDefault="006C1A66" w:rsidP="00F40F58">
            <w:pPr>
              <w:pStyle w:val="DataField10pt14ptspacing"/>
            </w:pPr>
            <w:r>
              <w:t>Frederick, MD 21701</w:t>
            </w:r>
          </w:p>
        </w:tc>
      </w:tr>
      <w:tr w:rsidR="006E1C90" w:rsidTr="00B126BB">
        <w:trPr>
          <w:trHeight w:hRule="exact" w:val="346"/>
        </w:trPr>
        <w:tc>
          <w:tcPr>
            <w:tcW w:w="554" w:type="dxa"/>
            <w:tcBorders>
              <w:top w:val="nil"/>
              <w:left w:val="single" w:sz="4" w:space="0" w:color="auto"/>
              <w:bottom w:val="nil"/>
            </w:tcBorders>
            <w:vAlign w:val="center"/>
          </w:tcPr>
          <w:p w:rsidR="006E1C90" w:rsidRDefault="006E1C90" w:rsidP="00F40F58">
            <w:pPr>
              <w:pStyle w:val="FormFieldCaption"/>
            </w:pPr>
            <w:r>
              <w:t>Tel:</w:t>
            </w:r>
          </w:p>
        </w:tc>
        <w:tc>
          <w:tcPr>
            <w:tcW w:w="2694" w:type="dxa"/>
            <w:gridSpan w:val="6"/>
            <w:tcBorders>
              <w:top w:val="nil"/>
              <w:bottom w:val="nil"/>
              <w:right w:val="nil"/>
            </w:tcBorders>
            <w:vAlign w:val="center"/>
          </w:tcPr>
          <w:p w:rsidR="006E1C90" w:rsidRDefault="003A6626" w:rsidP="00F40F58">
            <w:pPr>
              <w:pStyle w:val="DataField10pt"/>
              <w:rPr>
                <w:sz w:val="16"/>
                <w:szCs w:val="16"/>
              </w:rPr>
            </w:pPr>
            <w:r>
              <w:t>N/A</w:t>
            </w:r>
          </w:p>
        </w:tc>
        <w:tc>
          <w:tcPr>
            <w:tcW w:w="455" w:type="dxa"/>
            <w:gridSpan w:val="3"/>
            <w:tcBorders>
              <w:top w:val="nil"/>
              <w:left w:val="nil"/>
              <w:bottom w:val="nil"/>
            </w:tcBorders>
            <w:vAlign w:val="center"/>
          </w:tcPr>
          <w:p w:rsidR="006E1C90" w:rsidRDefault="006E1C90" w:rsidP="00F40F58">
            <w:pPr>
              <w:pStyle w:val="FormFieldCaption"/>
            </w:pPr>
            <w:r>
              <w:t>FAX:</w:t>
            </w:r>
          </w:p>
        </w:tc>
        <w:tc>
          <w:tcPr>
            <w:tcW w:w="2072" w:type="dxa"/>
            <w:gridSpan w:val="2"/>
            <w:tcBorders>
              <w:top w:val="nil"/>
              <w:bottom w:val="nil"/>
              <w:right w:val="single" w:sz="6" w:space="0" w:color="auto"/>
            </w:tcBorders>
            <w:vAlign w:val="center"/>
          </w:tcPr>
          <w:p w:rsidR="006E1C90" w:rsidRDefault="003A6626" w:rsidP="00F40F58">
            <w:pPr>
              <w:pStyle w:val="DataField10pt"/>
              <w:rPr>
                <w:sz w:val="16"/>
                <w:szCs w:val="16"/>
              </w:rPr>
            </w:pPr>
            <w:r>
              <w:t>N/A</w:t>
            </w:r>
          </w:p>
        </w:tc>
        <w:tc>
          <w:tcPr>
            <w:tcW w:w="454" w:type="dxa"/>
            <w:tcBorders>
              <w:top w:val="nil"/>
              <w:left w:val="single" w:sz="6" w:space="0" w:color="auto"/>
              <w:bottom w:val="nil"/>
            </w:tcBorders>
            <w:vAlign w:val="center"/>
          </w:tcPr>
          <w:p w:rsidR="006E1C90" w:rsidRDefault="006E1C90" w:rsidP="00F40F58">
            <w:pPr>
              <w:pStyle w:val="FormFieldCaption"/>
              <w:rPr>
                <w:sz w:val="14"/>
                <w:szCs w:val="14"/>
              </w:rPr>
            </w:pPr>
            <w:r>
              <w:t>Tel:</w:t>
            </w:r>
          </w:p>
        </w:tc>
        <w:tc>
          <w:tcPr>
            <w:tcW w:w="2337" w:type="dxa"/>
            <w:gridSpan w:val="10"/>
            <w:tcBorders>
              <w:top w:val="nil"/>
              <w:right w:val="nil"/>
            </w:tcBorders>
            <w:vAlign w:val="center"/>
          </w:tcPr>
          <w:p w:rsidR="006E1C90" w:rsidRDefault="003A6626" w:rsidP="00F40F58">
            <w:pPr>
              <w:pStyle w:val="DataField10pt"/>
              <w:rPr>
                <w:sz w:val="14"/>
                <w:szCs w:val="14"/>
              </w:rPr>
            </w:pPr>
            <w:r>
              <w:t>N/A</w:t>
            </w:r>
          </w:p>
        </w:tc>
        <w:tc>
          <w:tcPr>
            <w:tcW w:w="453" w:type="dxa"/>
            <w:gridSpan w:val="2"/>
            <w:tcBorders>
              <w:top w:val="nil"/>
              <w:left w:val="nil"/>
              <w:bottom w:val="nil"/>
            </w:tcBorders>
            <w:vAlign w:val="center"/>
          </w:tcPr>
          <w:p w:rsidR="006E1C90" w:rsidRDefault="006E1C90" w:rsidP="00F40F58">
            <w:pPr>
              <w:pStyle w:val="FormFieldCaption"/>
              <w:rPr>
                <w:sz w:val="14"/>
                <w:szCs w:val="14"/>
              </w:rPr>
            </w:pPr>
            <w:r>
              <w:t>FAX:</w:t>
            </w:r>
          </w:p>
        </w:tc>
        <w:tc>
          <w:tcPr>
            <w:tcW w:w="1781" w:type="dxa"/>
            <w:gridSpan w:val="3"/>
            <w:tcBorders>
              <w:top w:val="nil"/>
              <w:bottom w:val="nil"/>
              <w:right w:val="single" w:sz="6" w:space="0" w:color="auto"/>
            </w:tcBorders>
            <w:vAlign w:val="center"/>
          </w:tcPr>
          <w:p w:rsidR="006E1C90" w:rsidRDefault="003A6626" w:rsidP="00F40F58">
            <w:pPr>
              <w:pStyle w:val="DataField10pt"/>
              <w:rPr>
                <w:sz w:val="14"/>
                <w:szCs w:val="14"/>
              </w:rPr>
            </w:pPr>
            <w:r>
              <w:t>N/A</w:t>
            </w:r>
          </w:p>
        </w:tc>
      </w:tr>
      <w:tr w:rsidR="006E1C90" w:rsidTr="00B126BB">
        <w:trPr>
          <w:trHeight w:hRule="exact" w:val="346"/>
        </w:trPr>
        <w:tc>
          <w:tcPr>
            <w:tcW w:w="911" w:type="dxa"/>
            <w:gridSpan w:val="3"/>
            <w:tcBorders>
              <w:top w:val="nil"/>
              <w:left w:val="single" w:sz="6" w:space="0" w:color="auto"/>
              <w:bottom w:val="nil"/>
            </w:tcBorders>
            <w:vAlign w:val="center"/>
          </w:tcPr>
          <w:p w:rsidR="006E1C90" w:rsidRDefault="006E1C90" w:rsidP="00F40F58">
            <w:pPr>
              <w:pStyle w:val="FormFieldCaption"/>
            </w:pPr>
            <w:r>
              <w:t>E-Mail:</w:t>
            </w:r>
          </w:p>
        </w:tc>
        <w:tc>
          <w:tcPr>
            <w:tcW w:w="4864" w:type="dxa"/>
            <w:gridSpan w:val="9"/>
            <w:tcBorders>
              <w:top w:val="nil"/>
              <w:bottom w:val="single" w:sz="6" w:space="0" w:color="auto"/>
              <w:right w:val="nil"/>
            </w:tcBorders>
            <w:tcMar>
              <w:top w:w="0" w:type="dxa"/>
            </w:tcMar>
            <w:vAlign w:val="center"/>
          </w:tcPr>
          <w:p w:rsidR="006E1C90" w:rsidRDefault="000D3DF5" w:rsidP="00F40F58">
            <w:pPr>
              <w:pStyle w:val="DataField10pt"/>
              <w:rPr>
                <w:sz w:val="16"/>
                <w:szCs w:val="16"/>
              </w:rPr>
            </w:pPr>
            <w:hyperlink r:id="rId11" w:history="1">
              <w:r w:rsidR="008E74F0" w:rsidRPr="00726247">
                <w:rPr>
                  <w:rStyle w:val="Hyperlink"/>
                </w:rPr>
                <w:t>msewnet3@gmail.com</w:t>
              </w:r>
            </w:hyperlink>
          </w:p>
        </w:tc>
        <w:tc>
          <w:tcPr>
            <w:tcW w:w="724" w:type="dxa"/>
            <w:gridSpan w:val="2"/>
            <w:tcBorders>
              <w:top w:val="nil"/>
              <w:left w:val="single" w:sz="6" w:space="0" w:color="auto"/>
              <w:bottom w:val="nil"/>
            </w:tcBorders>
            <w:vAlign w:val="center"/>
          </w:tcPr>
          <w:p w:rsidR="006E1C90" w:rsidRDefault="006E1C90" w:rsidP="00F40F58">
            <w:pPr>
              <w:pStyle w:val="FormFieldCaption"/>
            </w:pPr>
            <w:r>
              <w:t>E-Mail:</w:t>
            </w:r>
          </w:p>
        </w:tc>
        <w:tc>
          <w:tcPr>
            <w:tcW w:w="4301" w:type="dxa"/>
            <w:gridSpan w:val="14"/>
            <w:tcBorders>
              <w:top w:val="nil"/>
              <w:bottom w:val="single" w:sz="6" w:space="0" w:color="auto"/>
              <w:right w:val="single" w:sz="6" w:space="0" w:color="auto"/>
            </w:tcBorders>
            <w:tcMar>
              <w:top w:w="0" w:type="dxa"/>
            </w:tcMar>
            <w:vAlign w:val="center"/>
          </w:tcPr>
          <w:p w:rsidR="006E1C90" w:rsidRDefault="000D3DF5" w:rsidP="00F40F58">
            <w:pPr>
              <w:pStyle w:val="DataField10pt"/>
              <w:rPr>
                <w:sz w:val="16"/>
                <w:szCs w:val="16"/>
              </w:rPr>
            </w:pPr>
            <w:hyperlink r:id="rId12" w:history="1">
              <w:r w:rsidR="0087691B" w:rsidRPr="0077425D">
                <w:rPr>
                  <w:rStyle w:val="Hyperlink"/>
                </w:rPr>
                <w:t>msewnet3@gmail.com</w:t>
              </w:r>
            </w:hyperlink>
          </w:p>
        </w:tc>
      </w:tr>
      <w:tr w:rsidR="006E1C90" w:rsidTr="00B126BB">
        <w:trPr>
          <w:cantSplit/>
          <w:trHeight w:val="870"/>
        </w:trPr>
        <w:tc>
          <w:tcPr>
            <w:tcW w:w="5775" w:type="dxa"/>
            <w:gridSpan w:val="12"/>
            <w:tcBorders>
              <w:top w:val="single" w:sz="6" w:space="0" w:color="auto"/>
              <w:left w:val="single" w:sz="6" w:space="0" w:color="auto"/>
              <w:bottom w:val="single" w:sz="6" w:space="0" w:color="auto"/>
              <w:right w:val="nil"/>
            </w:tcBorders>
            <w:tcMar>
              <w:top w:w="0" w:type="dxa"/>
            </w:tcMar>
          </w:tcPr>
          <w:p w:rsidR="006E1C90" w:rsidRDefault="006E1C90" w:rsidP="00F40F58">
            <w:pPr>
              <w:pStyle w:val="FormFieldCaption7pt"/>
              <w:tabs>
                <w:tab w:val="clear" w:pos="252"/>
              </w:tabs>
              <w:spacing w:before="20"/>
            </w:pPr>
            <w:r>
              <w:t>14.  APPLICANT ORGANIZATION CERTIFICATION AND ACCEPTANCE:  I certify that the statements herein are true, complete and accurate to the best of my knowledge, and accept the obligation to comply with Public Health Services terms and conditions if a grant is awarded as a result of this application.  I am aware that any false, fictitious, or fraudulent statements or claims may subject me to criminal, civil, or administrative penalties.</w:t>
            </w:r>
          </w:p>
        </w:tc>
        <w:tc>
          <w:tcPr>
            <w:tcW w:w="3836" w:type="dxa"/>
            <w:gridSpan w:val="15"/>
            <w:tcBorders>
              <w:top w:val="single" w:sz="6" w:space="0" w:color="auto"/>
              <w:left w:val="single" w:sz="6" w:space="0" w:color="auto"/>
              <w:bottom w:val="single" w:sz="6" w:space="0" w:color="auto"/>
              <w:right w:val="single" w:sz="6" w:space="0" w:color="auto"/>
            </w:tcBorders>
            <w:tcMar>
              <w:top w:w="0" w:type="dxa"/>
            </w:tcMar>
          </w:tcPr>
          <w:p w:rsidR="006E1C90" w:rsidRDefault="006E1C90" w:rsidP="00F40F58">
            <w:pPr>
              <w:pStyle w:val="FormFieldCaption"/>
            </w:pPr>
            <w:r>
              <w:t>SIGNATURE OF OFFICIAL NAMED IN 13.</w:t>
            </w:r>
          </w:p>
          <w:p w:rsidR="006E1C90" w:rsidRDefault="006E1C90" w:rsidP="00F40F58">
            <w:pPr>
              <w:pStyle w:val="FormFieldCaption"/>
              <w:rPr>
                <w:i/>
                <w:iCs/>
              </w:rPr>
            </w:pPr>
            <w:r>
              <w:rPr>
                <w:i/>
                <w:iCs/>
              </w:rPr>
              <w:t>(In ink. “Per” signature not acceptable.)</w:t>
            </w:r>
          </w:p>
          <w:p w:rsidR="0050789A" w:rsidRDefault="0050789A" w:rsidP="00F40F58">
            <w:pPr>
              <w:pStyle w:val="FormFieldCaption"/>
              <w:rPr>
                <w:i/>
                <w:iCs/>
              </w:rPr>
            </w:pPr>
          </w:p>
          <w:p w:rsidR="0050789A" w:rsidRPr="00267722" w:rsidRDefault="0050789A" w:rsidP="0094086B">
            <w:pPr>
              <w:pStyle w:val="FormFieldCaption"/>
              <w:rPr>
                <w:iCs/>
                <w:sz w:val="20"/>
                <w:szCs w:val="20"/>
              </w:rPr>
            </w:pPr>
            <w:r>
              <w:rPr>
                <w:i/>
                <w:iCs/>
              </w:rPr>
              <w:t xml:space="preserve">                              </w:t>
            </w:r>
            <w:r w:rsidR="00267722" w:rsidRPr="00267722">
              <w:rPr>
                <w:sz w:val="20"/>
                <w:szCs w:val="20"/>
              </w:rPr>
              <w:t>N/A</w:t>
            </w:r>
          </w:p>
        </w:tc>
        <w:tc>
          <w:tcPr>
            <w:tcW w:w="1189" w:type="dxa"/>
            <w:tcBorders>
              <w:top w:val="single" w:sz="6" w:space="0" w:color="auto"/>
              <w:left w:val="single" w:sz="6" w:space="0" w:color="auto"/>
              <w:bottom w:val="single" w:sz="6" w:space="0" w:color="auto"/>
              <w:right w:val="single" w:sz="6" w:space="0" w:color="auto"/>
            </w:tcBorders>
            <w:tcMar>
              <w:top w:w="0" w:type="dxa"/>
            </w:tcMar>
          </w:tcPr>
          <w:p w:rsidR="006E1C90" w:rsidRDefault="006E1C90" w:rsidP="00F40F58">
            <w:pPr>
              <w:pStyle w:val="FormFieldCaption"/>
            </w:pPr>
            <w:r>
              <w:t>DATE</w:t>
            </w:r>
          </w:p>
          <w:p w:rsidR="006E1C90" w:rsidRDefault="006E1C90" w:rsidP="00F40F58">
            <w:pPr>
              <w:pStyle w:val="FormFieldCaption"/>
            </w:pPr>
          </w:p>
          <w:p w:rsidR="006E1C90" w:rsidRDefault="0077261E" w:rsidP="00F40F58">
            <w:pPr>
              <w:pStyle w:val="DataField10pt"/>
            </w:pPr>
            <w:r>
              <w:fldChar w:fldCharType="begin">
                <w:ffData>
                  <w:name w:val=""/>
                  <w:enabled/>
                  <w:calcOnExit w:val="0"/>
                  <w:textInput/>
                </w:ffData>
              </w:fldChar>
            </w:r>
            <w:r w:rsidR="00B841CF">
              <w:instrText xml:space="preserve"> FORMTEXT </w:instrText>
            </w:r>
            <w:r>
              <w:fldChar w:fldCharType="separate"/>
            </w:r>
            <w:r w:rsidR="00B841CF">
              <w:rPr>
                <w:noProof/>
              </w:rPr>
              <w:t> </w:t>
            </w:r>
            <w:r w:rsidR="00B841CF">
              <w:rPr>
                <w:noProof/>
              </w:rPr>
              <w:t> </w:t>
            </w:r>
            <w:r w:rsidR="00B841CF">
              <w:rPr>
                <w:noProof/>
              </w:rPr>
              <w:t> </w:t>
            </w:r>
            <w:r w:rsidR="00B841CF">
              <w:rPr>
                <w:noProof/>
              </w:rPr>
              <w:t> </w:t>
            </w:r>
            <w:r w:rsidR="00B841CF">
              <w:rPr>
                <w:noProof/>
              </w:rPr>
              <w:t> </w:t>
            </w:r>
            <w:r>
              <w:fldChar w:fldCharType="end"/>
            </w:r>
          </w:p>
        </w:tc>
      </w:tr>
    </w:tbl>
    <w:p w:rsidR="006E1C90" w:rsidRPr="00F333FF" w:rsidRDefault="006E1C90" w:rsidP="006E1C90">
      <w:pPr>
        <w:pStyle w:val="FacePageFooter"/>
        <w:tabs>
          <w:tab w:val="clear" w:pos="5328"/>
          <w:tab w:val="clear" w:pos="10728"/>
          <w:tab w:val="center" w:pos="4230"/>
          <w:tab w:val="right" w:pos="9270"/>
        </w:tabs>
        <w:ind w:left="-990"/>
        <w:rPr>
          <w:b/>
        </w:rPr>
      </w:pPr>
      <w:r>
        <w:tab/>
      </w:r>
      <w:r w:rsidRPr="00F333FF">
        <w:rPr>
          <w:b/>
        </w:rPr>
        <w:t>Face Page</w:t>
      </w:r>
      <w:r w:rsidRPr="00F333FF">
        <w:rPr>
          <w:b/>
        </w:rPr>
        <w:tab/>
      </w:r>
    </w:p>
    <w:p w:rsidR="006E1C90" w:rsidRDefault="006E1C90" w:rsidP="006E1C90">
      <w:pPr>
        <w:pStyle w:val="PIHeader"/>
        <w:ind w:left="0"/>
        <w:sectPr w:rsidR="006E1C90" w:rsidSect="00C447B5">
          <w:headerReference w:type="default" r:id="rId13"/>
          <w:footerReference w:type="default" r:id="rId14"/>
          <w:headerReference w:type="first" r:id="rId15"/>
          <w:footerReference w:type="first" r:id="rId16"/>
          <w:pgSz w:w="12240" w:h="15840"/>
          <w:pgMar w:top="453" w:right="1440" w:bottom="90" w:left="2160" w:header="0" w:footer="720" w:gutter="0"/>
          <w:cols w:space="720"/>
          <w:titlePg/>
          <w:docGrid w:linePitch="360"/>
        </w:sectPr>
      </w:pPr>
    </w:p>
    <w:tbl>
      <w:tblPr>
        <w:tblW w:w="10656" w:type="dxa"/>
        <w:tblInd w:w="-900" w:type="dxa"/>
        <w:tblBorders>
          <w:top w:val="single" w:sz="12" w:space="0" w:color="auto"/>
        </w:tblBorders>
        <w:tblLayout w:type="fixed"/>
        <w:tblCellMar>
          <w:top w:w="14" w:type="dxa"/>
          <w:left w:w="29" w:type="dxa"/>
          <w:bottom w:w="14" w:type="dxa"/>
          <w:right w:w="29" w:type="dxa"/>
        </w:tblCellMar>
        <w:tblLook w:val="0000" w:firstRow="0" w:lastRow="0" w:firstColumn="0" w:lastColumn="0" w:noHBand="0" w:noVBand="0"/>
      </w:tblPr>
      <w:tblGrid>
        <w:gridCol w:w="468"/>
        <w:gridCol w:w="270"/>
        <w:gridCol w:w="90"/>
        <w:gridCol w:w="900"/>
        <w:gridCol w:w="1824"/>
        <w:gridCol w:w="246"/>
        <w:gridCol w:w="540"/>
        <w:gridCol w:w="270"/>
        <w:gridCol w:w="720"/>
        <w:gridCol w:w="720"/>
        <w:gridCol w:w="1170"/>
        <w:gridCol w:w="810"/>
        <w:gridCol w:w="540"/>
        <w:gridCol w:w="2088"/>
      </w:tblGrid>
      <w:tr w:rsidR="006E1C90" w:rsidTr="00F40F58">
        <w:trPr>
          <w:cantSplit/>
          <w:trHeight w:hRule="exact" w:val="43"/>
        </w:trPr>
        <w:tc>
          <w:tcPr>
            <w:tcW w:w="10656" w:type="dxa"/>
            <w:gridSpan w:val="14"/>
            <w:tcBorders>
              <w:top w:val="nil"/>
              <w:left w:val="nil"/>
              <w:bottom w:val="single" w:sz="4" w:space="0" w:color="auto"/>
              <w:right w:val="nil"/>
            </w:tcBorders>
            <w:vAlign w:val="bottom"/>
          </w:tcPr>
          <w:p w:rsidR="006E1C90" w:rsidRDefault="006E1C90" w:rsidP="00F40F58">
            <w:pPr>
              <w:pStyle w:val="DataField11pt"/>
            </w:pPr>
          </w:p>
        </w:tc>
      </w:tr>
      <w:tr w:rsidR="006E1C90" w:rsidTr="00F40F58">
        <w:trPr>
          <w:trHeight w:hRule="exact" w:val="352"/>
        </w:trPr>
        <w:tc>
          <w:tcPr>
            <w:tcW w:w="10656" w:type="dxa"/>
            <w:gridSpan w:val="14"/>
            <w:tcBorders>
              <w:top w:val="single" w:sz="4" w:space="0" w:color="auto"/>
              <w:left w:val="single" w:sz="4" w:space="0" w:color="auto"/>
              <w:bottom w:val="nil"/>
              <w:right w:val="single" w:sz="4" w:space="0" w:color="auto"/>
            </w:tcBorders>
            <w:vAlign w:val="center"/>
          </w:tcPr>
          <w:p w:rsidR="006E1C90" w:rsidRDefault="006E1C90" w:rsidP="00F40F58">
            <w:pPr>
              <w:pStyle w:val="FormInstructions"/>
              <w:jc w:val="left"/>
              <w:rPr>
                <w:rStyle w:val="StyleFormInstructions8ptChar"/>
                <w:sz w:val="16"/>
              </w:rPr>
            </w:pPr>
            <w:r>
              <w:rPr>
                <w:rStyle w:val="StyleFormInstructions8ptChar"/>
                <w:sz w:val="16"/>
              </w:rPr>
              <w:t>PROJECT SUMMARY (See instructions):</w:t>
            </w:r>
          </w:p>
          <w:p w:rsidR="006E1C90" w:rsidRDefault="006E1C90" w:rsidP="00F40F58">
            <w:pPr>
              <w:pStyle w:val="FormInstructions"/>
              <w:jc w:val="left"/>
              <w:rPr>
                <w:rStyle w:val="StyleFormInstructions8ptChar"/>
                <w:sz w:val="16"/>
              </w:rPr>
            </w:pPr>
          </w:p>
          <w:p w:rsidR="006E1C90" w:rsidRDefault="006E1C90" w:rsidP="00F40F58">
            <w:pPr>
              <w:pStyle w:val="FormInstructions"/>
              <w:jc w:val="left"/>
              <w:rPr>
                <w:rStyle w:val="StyleFormInstructions8ptChar"/>
                <w:sz w:val="16"/>
              </w:rPr>
            </w:pPr>
          </w:p>
          <w:p w:rsidR="006E1C90" w:rsidRDefault="006E1C90" w:rsidP="00F40F58">
            <w:pPr>
              <w:pStyle w:val="FormInstructions"/>
              <w:jc w:val="left"/>
              <w:rPr>
                <w:rStyle w:val="StyleFormInstructions8ptChar"/>
                <w:sz w:val="16"/>
              </w:rPr>
            </w:pPr>
          </w:p>
          <w:p w:rsidR="006E1C90" w:rsidRPr="00F9016F" w:rsidRDefault="006E1C90" w:rsidP="00F40F58">
            <w:pPr>
              <w:pStyle w:val="FormInstructions"/>
              <w:jc w:val="left"/>
              <w:rPr>
                <w:sz w:val="16"/>
              </w:rPr>
            </w:pPr>
          </w:p>
        </w:tc>
      </w:tr>
      <w:tr w:rsidR="006E1C90" w:rsidTr="00B94038">
        <w:trPr>
          <w:trHeight w:hRule="exact" w:val="5949"/>
        </w:trPr>
        <w:tc>
          <w:tcPr>
            <w:tcW w:w="10656" w:type="dxa"/>
            <w:gridSpan w:val="14"/>
            <w:tcBorders>
              <w:top w:val="nil"/>
              <w:left w:val="single" w:sz="6" w:space="0" w:color="auto"/>
              <w:bottom w:val="single" w:sz="4" w:space="0" w:color="auto"/>
              <w:right w:val="single" w:sz="6" w:space="0" w:color="auto"/>
            </w:tcBorders>
          </w:tcPr>
          <w:p w:rsidR="00C3091C" w:rsidRDefault="00C3091C" w:rsidP="00C3091C">
            <w:pPr>
              <w:spacing w:line="480" w:lineRule="auto"/>
            </w:pPr>
            <w:r w:rsidRPr="00903711">
              <w:t xml:space="preserve">The purpose of this study is to examine the prevalence of type 2 diabetes (T2D) among long-term Ethiopian-American residents in the United States </w:t>
            </w:r>
            <w:r w:rsidR="008C215E">
              <w:t xml:space="preserve">and probable mechanism of any increase thereof </w:t>
            </w:r>
            <w:r w:rsidRPr="00903711">
              <w:t>with special attention to epigenetic modifications.</w:t>
            </w:r>
            <w:r>
              <w:t xml:space="preserve">  </w:t>
            </w:r>
            <w:r w:rsidR="008C215E">
              <w:t>Prevalence</w:t>
            </w:r>
            <w:r w:rsidRPr="00903711">
              <w:t xml:space="preserve"> of T2D among Ethiopian immigrants in the United States </w:t>
            </w:r>
            <w:r w:rsidR="008C215E">
              <w:t xml:space="preserve">will be estimated and </w:t>
            </w:r>
            <w:r w:rsidRPr="00903711">
              <w:t xml:space="preserve">compared to </w:t>
            </w:r>
            <w:r w:rsidR="008C215E">
              <w:t xml:space="preserve">that of </w:t>
            </w:r>
            <w:r w:rsidRPr="00903711">
              <w:t xml:space="preserve">native Ethiopians. </w:t>
            </w:r>
            <w:r>
              <w:t xml:space="preserve"> </w:t>
            </w:r>
            <w:r w:rsidRPr="00903711">
              <w:t xml:space="preserve">Systematic </w:t>
            </w:r>
            <w:r>
              <w:t>review</w:t>
            </w:r>
            <w:r w:rsidRPr="00903711">
              <w:t xml:space="preserve"> of literature </w:t>
            </w:r>
            <w:r>
              <w:t xml:space="preserve">on world-wide </w:t>
            </w:r>
            <w:r w:rsidRPr="00903711">
              <w:t xml:space="preserve">Genome Wide Association Studies (GWAS) will be performed to identify the genes </w:t>
            </w:r>
            <w:r>
              <w:t xml:space="preserve">that have been found to be </w:t>
            </w:r>
            <w:r w:rsidRPr="00903711">
              <w:t xml:space="preserve">associated with T2D. </w:t>
            </w:r>
            <w:r>
              <w:t xml:space="preserve"> </w:t>
            </w:r>
            <w:r w:rsidRPr="00903711">
              <w:t xml:space="preserve">After identifying the most frequent genes that were associated with T2D, </w:t>
            </w:r>
            <w:bookmarkStart w:id="3" w:name="_GoBack"/>
            <w:r w:rsidR="008C215E">
              <w:t>b</w:t>
            </w:r>
            <w:r w:rsidRPr="00903711">
              <w:t xml:space="preserve">isulfite assay </w:t>
            </w:r>
            <w:r w:rsidR="008C215E">
              <w:t xml:space="preserve">will be performed </w:t>
            </w:r>
            <w:r w:rsidRPr="00903711">
              <w:t xml:space="preserve">to </w:t>
            </w:r>
            <w:r>
              <w:t>compare the degree of epigenetic modifications in diabetes cases and controls possibly resulting in altered gene expressions of the identified genes.</w:t>
            </w:r>
            <w:bookmarkEnd w:id="3"/>
            <w:r>
              <w:t xml:space="preserve">  </w:t>
            </w:r>
            <w:r w:rsidRPr="00903711">
              <w:t xml:space="preserve">Ultimately, this study will help inform </w:t>
            </w:r>
            <w:r w:rsidR="008C215E">
              <w:t xml:space="preserve">possible </w:t>
            </w:r>
            <w:r w:rsidRPr="00903711">
              <w:t xml:space="preserve">prevention measures to lower the </w:t>
            </w:r>
            <w:r>
              <w:t xml:space="preserve">prevalence </w:t>
            </w:r>
            <w:r w:rsidRPr="00903711">
              <w:t>of diabetes among Ethiopian immigrants to the United</w:t>
            </w:r>
            <w:r>
              <w:t xml:space="preserve">. </w:t>
            </w:r>
            <w:r w:rsidRPr="00903711">
              <w:t xml:space="preserve"> </w:t>
            </w:r>
          </w:p>
          <w:p w:rsidR="00865000" w:rsidRDefault="00865000" w:rsidP="00865000">
            <w:pPr>
              <w:spacing w:line="480" w:lineRule="auto"/>
              <w:ind w:firstLine="720"/>
              <w:contextualSpacing/>
              <w:jc w:val="both"/>
              <w:rPr>
                <w:b/>
              </w:rPr>
            </w:pPr>
          </w:p>
          <w:p w:rsidR="006E1C90" w:rsidRPr="00264848" w:rsidRDefault="006E1C90" w:rsidP="00BF1D02">
            <w:pPr>
              <w:spacing w:line="360" w:lineRule="auto"/>
              <w:ind w:left="274" w:right="158"/>
              <w:jc w:val="both"/>
            </w:pPr>
          </w:p>
          <w:p w:rsidR="006E1C90" w:rsidRPr="00264848" w:rsidRDefault="006E1C90" w:rsidP="00F40F58">
            <w:pPr>
              <w:ind w:right="158"/>
            </w:pPr>
          </w:p>
          <w:p w:rsidR="006E1C90" w:rsidRPr="00264848" w:rsidRDefault="006E1C90" w:rsidP="00F40F58">
            <w:pPr>
              <w:autoSpaceDE w:val="0"/>
              <w:autoSpaceDN w:val="0"/>
              <w:adjustRightInd w:val="0"/>
              <w:jc w:val="both"/>
            </w:pPr>
          </w:p>
          <w:p w:rsidR="006E1C90" w:rsidRPr="00264848" w:rsidRDefault="006E1C90" w:rsidP="00F40F58">
            <w:pPr>
              <w:pStyle w:val="DataField11pt"/>
              <w:spacing w:line="240" w:lineRule="auto"/>
              <w:rPr>
                <w:rFonts w:ascii="Times New Roman" w:hAnsi="Times New Roman" w:cs="Times New Roman"/>
                <w:sz w:val="24"/>
                <w:szCs w:val="24"/>
              </w:rPr>
            </w:pPr>
          </w:p>
        </w:tc>
      </w:tr>
      <w:tr w:rsidR="006E1C90" w:rsidTr="00F40F58">
        <w:trPr>
          <w:trHeight w:hRule="exact" w:val="288"/>
        </w:trPr>
        <w:tc>
          <w:tcPr>
            <w:tcW w:w="10656" w:type="dxa"/>
            <w:gridSpan w:val="14"/>
            <w:tcBorders>
              <w:top w:val="single" w:sz="4" w:space="0" w:color="auto"/>
              <w:left w:val="single" w:sz="4" w:space="0" w:color="auto"/>
              <w:bottom w:val="nil"/>
              <w:right w:val="single" w:sz="4" w:space="0" w:color="auto"/>
            </w:tcBorders>
          </w:tcPr>
          <w:p w:rsidR="006E1C90" w:rsidRDefault="006E1C90" w:rsidP="00F40F58">
            <w:pPr>
              <w:pStyle w:val="DataField11pt"/>
            </w:pPr>
            <w:r>
              <w:rPr>
                <w:rStyle w:val="StyleFormInstructions8ptChar"/>
                <w:sz w:val="16"/>
              </w:rPr>
              <w:t>RELEVANCE (See instructions):</w:t>
            </w:r>
          </w:p>
        </w:tc>
      </w:tr>
      <w:tr w:rsidR="006E1C90" w:rsidTr="00376026">
        <w:trPr>
          <w:trHeight w:hRule="exact" w:val="2079"/>
        </w:trPr>
        <w:tc>
          <w:tcPr>
            <w:tcW w:w="10656" w:type="dxa"/>
            <w:gridSpan w:val="14"/>
            <w:tcBorders>
              <w:top w:val="nil"/>
              <w:left w:val="single" w:sz="6" w:space="0" w:color="auto"/>
              <w:bottom w:val="single" w:sz="6" w:space="0" w:color="auto"/>
              <w:right w:val="single" w:sz="6" w:space="0" w:color="auto"/>
            </w:tcBorders>
          </w:tcPr>
          <w:p w:rsidR="00865000" w:rsidRDefault="00C3091C" w:rsidP="00865000">
            <w:pPr>
              <w:spacing w:line="480" w:lineRule="auto"/>
              <w:ind w:firstLine="720"/>
              <w:contextualSpacing/>
              <w:jc w:val="both"/>
              <w:rPr>
                <w:b/>
              </w:rPr>
            </w:pPr>
            <w:r w:rsidRPr="00EF0F43">
              <w:t xml:space="preserve">Studies on epigenetics are lacking for </w:t>
            </w:r>
            <w:r>
              <w:t xml:space="preserve">the </w:t>
            </w:r>
            <w:r w:rsidRPr="00EF0F43">
              <w:t>Ethiopian immigrant population diagnosed with T2D in the United States.  Because the</w:t>
            </w:r>
            <w:r>
              <w:t xml:space="preserve"> prevalence</w:t>
            </w:r>
            <w:r w:rsidRPr="00EF0F43">
              <w:t xml:space="preserve"> of T2D </w:t>
            </w:r>
            <w:r w:rsidR="000D3DF5">
              <w:t>might be</w:t>
            </w:r>
            <w:r w:rsidRPr="00EF0F43">
              <w:t xml:space="preserve"> rising among </w:t>
            </w:r>
            <w:r>
              <w:t xml:space="preserve">the </w:t>
            </w:r>
            <w:r w:rsidRPr="00EF0F43">
              <w:t xml:space="preserve">Ethiopian immigrant population in </w:t>
            </w:r>
            <w:r>
              <w:t xml:space="preserve">most </w:t>
            </w:r>
            <w:r w:rsidRPr="00EF0F43">
              <w:t>Western countries</w:t>
            </w:r>
            <w:r>
              <w:t xml:space="preserve"> (United States)</w:t>
            </w:r>
            <w:r w:rsidRPr="00EF0F43">
              <w:t xml:space="preserve">, identifying and understanding the </w:t>
            </w:r>
            <w:r>
              <w:t>relationship between the environmental factors and T2D</w:t>
            </w:r>
            <w:r w:rsidRPr="00EF0F43">
              <w:t xml:space="preserve"> </w:t>
            </w:r>
            <w:r>
              <w:t xml:space="preserve">should </w:t>
            </w:r>
            <w:r w:rsidRPr="00EF0F43">
              <w:t>be the first strategies Ethiopian immigrants need to understand.</w:t>
            </w:r>
          </w:p>
          <w:p w:rsidR="006E1C90" w:rsidRPr="004B12D0" w:rsidRDefault="006E1C90" w:rsidP="00865000">
            <w:pPr>
              <w:spacing w:before="120" w:line="360" w:lineRule="auto"/>
              <w:ind w:left="274" w:right="158"/>
            </w:pPr>
          </w:p>
        </w:tc>
      </w:tr>
      <w:tr w:rsidR="006E1C90" w:rsidTr="00F40F58">
        <w:trPr>
          <w:trHeight w:hRule="exact" w:val="317"/>
        </w:trPr>
        <w:tc>
          <w:tcPr>
            <w:tcW w:w="10656" w:type="dxa"/>
            <w:gridSpan w:val="14"/>
            <w:tcBorders>
              <w:top w:val="nil"/>
              <w:left w:val="nil"/>
              <w:bottom w:val="single" w:sz="4" w:space="0" w:color="auto"/>
              <w:right w:val="nil"/>
            </w:tcBorders>
            <w:vAlign w:val="center"/>
          </w:tcPr>
          <w:p w:rsidR="006E1C90" w:rsidRDefault="006E1C90" w:rsidP="00F40F58">
            <w:pPr>
              <w:pStyle w:val="FormFieldCaption"/>
              <w:rPr>
                <w:sz w:val="20"/>
              </w:rPr>
            </w:pPr>
            <w:r>
              <w:t>PROJECT/PERFORMANCE SITE(S)  (if additional space is needed, use Project/Performance Site Format Page)</w:t>
            </w:r>
          </w:p>
        </w:tc>
      </w:tr>
      <w:tr w:rsidR="006E1C90"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rsidR="006E1C90" w:rsidRPr="00EA38D5" w:rsidRDefault="006E1C90" w:rsidP="00F40F58">
            <w:pPr>
              <w:pStyle w:val="FormFieldCaption"/>
              <w:rPr>
                <w:b/>
              </w:rPr>
            </w:pPr>
            <w:r w:rsidRPr="00EA38D5">
              <w:rPr>
                <w:b/>
              </w:rPr>
              <w:t>Project/Performance Site Primary Location</w:t>
            </w:r>
          </w:p>
        </w:tc>
      </w:tr>
      <w:tr w:rsidR="006E1C90"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Organizational Name:</w:t>
            </w:r>
          </w:p>
        </w:tc>
        <w:bookmarkStart w:id="4" w:name="Text10"/>
        <w:tc>
          <w:tcPr>
            <w:tcW w:w="8928" w:type="dxa"/>
            <w:gridSpan w:val="10"/>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Text10"/>
                  <w:enabled/>
                  <w:calcOnExit w:val="0"/>
                  <w:textInput>
                    <w:default w:val="Department of Biology, Hood Colleg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Department of Biology, Hood College</w:t>
            </w:r>
            <w:r w:rsidRPr="00997FE1">
              <w:rPr>
                <w:sz w:val="20"/>
              </w:rPr>
              <w:fldChar w:fldCharType="end"/>
            </w:r>
            <w:bookmarkEnd w:id="4"/>
          </w:p>
        </w:tc>
      </w:tr>
      <w:tr w:rsidR="006E1C90"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Street 1:</w:t>
            </w:r>
          </w:p>
        </w:tc>
        <w:bookmarkStart w:id="5" w:name="Text11"/>
        <w:tc>
          <w:tcPr>
            <w:tcW w:w="4590" w:type="dxa"/>
            <w:gridSpan w:val="7"/>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Text11"/>
                  <w:enabled/>
                  <w:calcOnExit w:val="0"/>
                  <w:textInput>
                    <w:default w:val="401 Rosemont Av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401 Rosemont Ave</w:t>
            </w:r>
            <w:r w:rsidRPr="00997FE1">
              <w:rPr>
                <w:sz w:val="20"/>
              </w:rPr>
              <w:fldChar w:fldCharType="end"/>
            </w:r>
            <w:bookmarkEnd w:id="5"/>
          </w:p>
        </w:tc>
        <w:tc>
          <w:tcPr>
            <w:tcW w:w="72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468"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City:</w:t>
            </w:r>
          </w:p>
        </w:tc>
        <w:bookmarkStart w:id="6" w:name="Text12"/>
        <w:tc>
          <w:tcPr>
            <w:tcW w:w="4140" w:type="dxa"/>
            <w:gridSpan w:val="7"/>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bookmarkEnd w:id="6"/>
          </w:p>
        </w:tc>
        <w:tc>
          <w:tcPr>
            <w:tcW w:w="72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p>
        </w:tc>
        <w:tc>
          <w:tcPr>
            <w:tcW w:w="54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
                  <w:enabled/>
                  <w:calcOnExit w:val="0"/>
                  <w:textInput>
                    <w:default w:val="MD"/>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MD</w:t>
            </w:r>
            <w:r w:rsidRPr="00997FE1">
              <w:rPr>
                <w:sz w:val="20"/>
              </w:rPr>
              <w:fldChar w:fldCharType="end"/>
            </w:r>
          </w:p>
        </w:tc>
      </w:tr>
      <w:tr w:rsidR="006E1C90"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rsidR="006E1C90" w:rsidRDefault="00884B58" w:rsidP="00F40F58">
            <w:pPr>
              <w:pStyle w:val="DataField11pt"/>
            </w:pPr>
            <w:r>
              <w:t>United States</w:t>
            </w:r>
          </w:p>
        </w:tc>
        <w:tc>
          <w:tcPr>
            <w:tcW w:w="1350"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
                  <w:enabled/>
                  <w:calcOnExit w:val="0"/>
                  <w:textInput>
                    <w:default w:val="21702"/>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21702</w:t>
            </w:r>
            <w:r w:rsidRPr="00997FE1">
              <w:rPr>
                <w:sz w:val="20"/>
              </w:rPr>
              <w:fldChar w:fldCharType="end"/>
            </w:r>
          </w:p>
        </w:tc>
      </w:tr>
      <w:tr w:rsidR="006E1C90" w:rsidTr="00F40F58">
        <w:trPr>
          <w:trHeight w:hRule="exact" w:val="317"/>
        </w:trPr>
        <w:tc>
          <w:tcPr>
            <w:tcW w:w="3798" w:type="dxa"/>
            <w:gridSpan w:val="6"/>
            <w:tcBorders>
              <w:top w:val="nil"/>
              <w:left w:val="single" w:sz="4" w:space="0" w:color="auto"/>
              <w:bottom w:val="single" w:sz="4" w:space="0" w:color="auto"/>
              <w:right w:val="nil"/>
            </w:tcBorders>
            <w:vAlign w:val="bottom"/>
          </w:tcPr>
          <w:p w:rsidR="006E1C90" w:rsidRDefault="006E1C90" w:rsidP="00F40F58">
            <w:pPr>
              <w:pStyle w:val="FormFieldCaption"/>
            </w:pPr>
            <w:r>
              <w:t>Project/Performance Site Congressional Districts:</w:t>
            </w:r>
          </w:p>
        </w:tc>
        <w:tc>
          <w:tcPr>
            <w:tcW w:w="6858" w:type="dxa"/>
            <w:gridSpan w:val="8"/>
            <w:tcBorders>
              <w:top w:val="nil"/>
              <w:left w:val="nil"/>
              <w:bottom w:val="single" w:sz="4" w:space="0" w:color="auto"/>
              <w:right w:val="single" w:sz="4" w:space="0" w:color="auto"/>
            </w:tcBorders>
            <w:vAlign w:val="bottom"/>
          </w:tcPr>
          <w:p w:rsidR="006E1C90" w:rsidRPr="00997FE1" w:rsidRDefault="0077261E" w:rsidP="00F40F58">
            <w:pPr>
              <w:pStyle w:val="DataField11pt"/>
              <w:rPr>
                <w:sz w:val="20"/>
              </w:rPr>
            </w:pPr>
            <w:r w:rsidRPr="00997FE1">
              <w:rPr>
                <w:sz w:val="20"/>
              </w:rPr>
              <w:fldChar w:fldCharType="begin">
                <w:ffData>
                  <w:name w:val=""/>
                  <w:enabled/>
                  <w:calcOnExit w:val="0"/>
                  <w:textInput>
                    <w:default w:val="6th Congressional District"/>
                  </w:textInput>
                </w:ffData>
              </w:fldChar>
            </w:r>
            <w:r w:rsidR="00997FE1" w:rsidRPr="00997FE1">
              <w:rPr>
                <w:sz w:val="20"/>
              </w:rPr>
              <w:instrText xml:space="preserve"> FORMTEXT </w:instrText>
            </w:r>
            <w:r w:rsidRPr="00997FE1">
              <w:rPr>
                <w:sz w:val="20"/>
              </w:rPr>
            </w:r>
            <w:r w:rsidRPr="00997FE1">
              <w:rPr>
                <w:sz w:val="20"/>
              </w:rPr>
              <w:fldChar w:fldCharType="separate"/>
            </w:r>
            <w:r w:rsidR="00997FE1" w:rsidRPr="00997FE1">
              <w:rPr>
                <w:noProof/>
                <w:sz w:val="20"/>
              </w:rPr>
              <w:t>6th Congressional District</w:t>
            </w:r>
            <w:r w:rsidRPr="00997FE1">
              <w:rPr>
                <w:sz w:val="20"/>
              </w:rPr>
              <w:fldChar w:fldCharType="end"/>
            </w:r>
          </w:p>
        </w:tc>
      </w:tr>
      <w:tr w:rsidR="006E1C90" w:rsidTr="00F40F58">
        <w:trPr>
          <w:trHeight w:hRule="exact" w:val="29"/>
        </w:trPr>
        <w:tc>
          <w:tcPr>
            <w:tcW w:w="10656" w:type="dxa"/>
            <w:gridSpan w:val="14"/>
            <w:tcBorders>
              <w:top w:val="nil"/>
              <w:left w:val="nil"/>
              <w:bottom w:val="single" w:sz="4" w:space="0" w:color="auto"/>
              <w:right w:val="nil"/>
            </w:tcBorders>
            <w:vAlign w:val="bottom"/>
          </w:tcPr>
          <w:p w:rsidR="006E1C90" w:rsidRDefault="006E1C90" w:rsidP="00F40F58">
            <w:pPr>
              <w:pStyle w:val="DataField11pt"/>
            </w:pPr>
          </w:p>
        </w:tc>
      </w:tr>
      <w:tr w:rsidR="006E1C90"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rsidR="006E1C90" w:rsidRPr="00EA38D5" w:rsidRDefault="006E1C90" w:rsidP="00F40F58">
            <w:pPr>
              <w:pStyle w:val="FormFieldCaption"/>
              <w:rPr>
                <w:b/>
              </w:rPr>
            </w:pPr>
            <w:r w:rsidRPr="00EA38D5">
              <w:rPr>
                <w:b/>
              </w:rPr>
              <w:t>Additional Project/Performance Site Location</w:t>
            </w:r>
          </w:p>
        </w:tc>
      </w:tr>
      <w:tr w:rsidR="006E1C90"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Organizational Name:</w:t>
            </w:r>
          </w:p>
        </w:tc>
        <w:tc>
          <w:tcPr>
            <w:tcW w:w="8928" w:type="dxa"/>
            <w:gridSpan w:val="10"/>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Street 1:</w:t>
            </w:r>
          </w:p>
        </w:tc>
        <w:tc>
          <w:tcPr>
            <w:tcW w:w="4590" w:type="dxa"/>
            <w:gridSpan w:val="7"/>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468"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City:</w:t>
            </w:r>
          </w:p>
        </w:tc>
        <w:tc>
          <w:tcPr>
            <w:tcW w:w="4140" w:type="dxa"/>
            <w:gridSpan w:val="7"/>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540" w:type="dxa"/>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c>
          <w:tcPr>
            <w:tcW w:w="1350" w:type="dxa"/>
            <w:gridSpan w:val="2"/>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r w:rsidR="006E1C90" w:rsidTr="00F40F58">
        <w:trPr>
          <w:trHeight w:hRule="exact" w:val="317"/>
        </w:trPr>
        <w:tc>
          <w:tcPr>
            <w:tcW w:w="3798" w:type="dxa"/>
            <w:gridSpan w:val="6"/>
            <w:tcBorders>
              <w:top w:val="single" w:sz="4" w:space="0" w:color="auto"/>
              <w:left w:val="single" w:sz="4" w:space="0" w:color="auto"/>
              <w:bottom w:val="single" w:sz="4" w:space="0" w:color="auto"/>
              <w:right w:val="nil"/>
            </w:tcBorders>
            <w:vAlign w:val="bottom"/>
          </w:tcPr>
          <w:p w:rsidR="006E1C90" w:rsidRDefault="006E1C90" w:rsidP="00F40F58">
            <w:pPr>
              <w:pStyle w:val="FormFieldCaption"/>
            </w:pPr>
            <w:r>
              <w:t>Project/Performance Site Congressional Districts:</w:t>
            </w:r>
          </w:p>
        </w:tc>
        <w:tc>
          <w:tcPr>
            <w:tcW w:w="6858" w:type="dxa"/>
            <w:gridSpan w:val="8"/>
            <w:tcBorders>
              <w:top w:val="single" w:sz="4" w:space="0" w:color="auto"/>
              <w:left w:val="nil"/>
              <w:bottom w:val="single" w:sz="4" w:space="0" w:color="auto"/>
              <w:right w:val="single" w:sz="4" w:space="0" w:color="auto"/>
            </w:tcBorders>
            <w:vAlign w:val="bottom"/>
          </w:tcPr>
          <w:p w:rsidR="006E1C90" w:rsidRDefault="006E1C90" w:rsidP="00F40F58">
            <w:pPr>
              <w:pStyle w:val="DataField11pt"/>
            </w:pPr>
          </w:p>
        </w:tc>
      </w:tr>
    </w:tbl>
    <w:p w:rsidR="006E1C90" w:rsidRPr="00F10764" w:rsidRDefault="006E1C90" w:rsidP="00F10764">
      <w:pPr>
        <w:pStyle w:val="FormFooter"/>
        <w:tabs>
          <w:tab w:val="clear" w:pos="5328"/>
          <w:tab w:val="clear" w:pos="10728"/>
          <w:tab w:val="center" w:pos="4230"/>
          <w:tab w:val="right" w:pos="9180"/>
        </w:tabs>
        <w:ind w:left="-900"/>
        <w:rPr>
          <w:b/>
          <w:bCs/>
        </w:rPr>
        <w:sectPr w:rsidR="006E1C90" w:rsidRPr="00F10764" w:rsidSect="00C447B5">
          <w:headerReference w:type="first" r:id="rId17"/>
          <w:footerReference w:type="first" r:id="rId18"/>
          <w:pgSz w:w="12240" w:h="15840"/>
          <w:pgMar w:top="446" w:right="1440" w:bottom="446" w:left="2160" w:header="720" w:footer="274" w:gutter="0"/>
          <w:cols w:space="720"/>
          <w:titlePg/>
          <w:docGrid w:linePitch="360"/>
        </w:sectPr>
      </w:pPr>
      <w:r>
        <w:tab/>
        <w:t xml:space="preserve">    </w:t>
      </w:r>
      <w:r w:rsidRPr="00F333FF">
        <w:rPr>
          <w:b/>
        </w:rPr>
        <w:t>Page</w:t>
      </w:r>
      <w:r>
        <w:t xml:space="preserve"> </w:t>
      </w:r>
      <w:r w:rsidR="00BA798A">
        <w:t xml:space="preserve"> </w:t>
      </w:r>
      <w:r w:rsidRPr="00BA798A">
        <w:rPr>
          <w:rStyle w:val="PageNumber"/>
          <w:rFonts w:cs="Arial"/>
          <w:sz w:val="18"/>
          <w:szCs w:val="18"/>
        </w:rPr>
        <w:t>2</w:t>
      </w:r>
      <w:r w:rsidRPr="00944775">
        <w:tab/>
      </w:r>
    </w:p>
    <w:tbl>
      <w:tblPr>
        <w:tblW w:w="10656" w:type="dxa"/>
        <w:tblInd w:w="420" w:type="dxa"/>
        <w:tblLayout w:type="fixed"/>
        <w:tblCellMar>
          <w:left w:w="115" w:type="dxa"/>
          <w:right w:w="115" w:type="dxa"/>
        </w:tblCellMar>
        <w:tblLook w:val="0000" w:firstRow="0" w:lastRow="0" w:firstColumn="0" w:lastColumn="0" w:noHBand="0" w:noVBand="0"/>
      </w:tblPr>
      <w:tblGrid>
        <w:gridCol w:w="5058"/>
        <w:gridCol w:w="270"/>
        <w:gridCol w:w="1241"/>
        <w:gridCol w:w="1459"/>
        <w:gridCol w:w="2628"/>
      </w:tblGrid>
      <w:tr w:rsidR="006E1C90" w:rsidTr="00F40F58">
        <w:trPr>
          <w:trHeight w:hRule="exact" w:val="897"/>
        </w:trPr>
        <w:tc>
          <w:tcPr>
            <w:tcW w:w="10656" w:type="dxa"/>
            <w:gridSpan w:val="5"/>
            <w:tcBorders>
              <w:top w:val="single" w:sz="6" w:space="0" w:color="auto"/>
              <w:left w:val="nil"/>
              <w:bottom w:val="single" w:sz="6" w:space="0" w:color="auto"/>
              <w:right w:val="nil"/>
            </w:tcBorders>
          </w:tcPr>
          <w:p w:rsidR="006E1C90" w:rsidRPr="00B8411B" w:rsidRDefault="006E1C90" w:rsidP="00F40F58">
            <w:pPr>
              <w:pStyle w:val="Heading1"/>
              <w:keepNext w:val="0"/>
              <w:keepLines w:val="0"/>
              <w:spacing w:before="0" w:line="240" w:lineRule="auto"/>
              <w:jc w:val="center"/>
              <w:rPr>
                <w:szCs w:val="20"/>
              </w:rPr>
            </w:pPr>
            <w:r w:rsidRPr="00F22775">
              <w:rPr>
                <w:szCs w:val="20"/>
              </w:rPr>
              <w:lastRenderedPageBreak/>
              <w:br w:type="page"/>
            </w:r>
            <w:r w:rsidRPr="00924F01">
              <w:rPr>
                <w:rFonts w:ascii="Arial" w:hAnsi="Arial" w:cs="Arial"/>
                <w:color w:val="000000"/>
                <w:sz w:val="22"/>
                <w:szCs w:val="22"/>
              </w:rPr>
              <w:t>BIOGRAPHICAL SKETCH</w:t>
            </w:r>
          </w:p>
          <w:p w:rsidR="006E1C90" w:rsidRDefault="006E1C90" w:rsidP="00F40F58">
            <w:pPr>
              <w:pStyle w:val="HeadNoteNotItalics"/>
              <w:rPr>
                <w:sz w:val="20"/>
                <w:szCs w:val="20"/>
              </w:rPr>
            </w:pPr>
            <w:r>
              <w:t>Provide the following information for the key personnel and other significant contributors in the order listed on Form Page 2.</w:t>
            </w:r>
            <w:r>
              <w:br w:type="textWrapping" w:clear="all"/>
              <w:t xml:space="preserve">Follow this format for each person. </w:t>
            </w:r>
            <w:r>
              <w:rPr>
                <w:b/>
                <w:bCs/>
              </w:rPr>
              <w:t xml:space="preserve"> DO NOT EXCEED FOUR PAGES.</w:t>
            </w:r>
          </w:p>
        </w:tc>
      </w:tr>
      <w:tr w:rsidR="006E1C90" w:rsidTr="00F40F58">
        <w:trPr>
          <w:trHeight w:hRule="exact" w:val="216"/>
        </w:trPr>
        <w:tc>
          <w:tcPr>
            <w:tcW w:w="10656" w:type="dxa"/>
            <w:gridSpan w:val="5"/>
            <w:tcBorders>
              <w:top w:val="single" w:sz="6" w:space="0" w:color="auto"/>
              <w:left w:val="nil"/>
              <w:bottom w:val="single" w:sz="6" w:space="0" w:color="auto"/>
              <w:right w:val="nil"/>
            </w:tcBorders>
          </w:tcPr>
          <w:p w:rsidR="006E1C90" w:rsidRDefault="006E1C90" w:rsidP="00F40F58">
            <w:pPr>
              <w:jc w:val="center"/>
              <w:rPr>
                <w:rFonts w:ascii="Arial" w:hAnsi="Arial" w:cs="Arial"/>
                <w:sz w:val="20"/>
                <w:szCs w:val="20"/>
              </w:rPr>
            </w:pPr>
          </w:p>
        </w:tc>
      </w:tr>
      <w:tr w:rsidR="006E1C90" w:rsidTr="00F40F58">
        <w:trPr>
          <w:trHeigh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rsidR="006E1C90" w:rsidRDefault="006E1C90" w:rsidP="00F40F58">
            <w:pPr>
              <w:pStyle w:val="FormFieldCaption"/>
            </w:pPr>
            <w:r>
              <w:t>NAME</w:t>
            </w:r>
          </w:p>
          <w:p w:rsidR="006E1C90" w:rsidRPr="00376026" w:rsidRDefault="00C3091C"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Sewnet K. Mengistu</w:t>
            </w:r>
          </w:p>
        </w:tc>
        <w:tc>
          <w:tcPr>
            <w:tcW w:w="5328" w:type="dxa"/>
            <w:gridSpan w:val="3"/>
            <w:vMerge w:val="restart"/>
            <w:tcBorders>
              <w:top w:val="single" w:sz="6" w:space="0" w:color="auto"/>
              <w:left w:val="nil"/>
              <w:right w:val="nil"/>
            </w:tcBorders>
            <w:tcMar>
              <w:top w:w="14" w:type="dxa"/>
              <w:bottom w:w="14" w:type="dxa"/>
            </w:tcMar>
          </w:tcPr>
          <w:p w:rsidR="006E1C90" w:rsidRDefault="006E1C90" w:rsidP="00F40F58">
            <w:pPr>
              <w:pStyle w:val="FormFieldCaption"/>
            </w:pPr>
            <w:r>
              <w:t>POSITION TITLE</w:t>
            </w:r>
          </w:p>
          <w:p w:rsidR="006E1C90" w:rsidRPr="00376026" w:rsidRDefault="00C3091C"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Student</w:t>
            </w:r>
          </w:p>
        </w:tc>
      </w:tr>
      <w:tr w:rsidR="006E1C90" w:rsidTr="00F40F58">
        <w:trPr>
          <w:trHeight w:hRule="exac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rsidR="006E1C90" w:rsidRDefault="006E1C90" w:rsidP="00F40F58">
            <w:pPr>
              <w:pStyle w:val="FormFieldCaption"/>
            </w:pPr>
            <w:proofErr w:type="spellStart"/>
            <w:r>
              <w:t>eRA</w:t>
            </w:r>
            <w:proofErr w:type="spellEnd"/>
            <w:r>
              <w:t xml:space="preserve"> COMMONS USER NAME (credential, e.g., agency login)</w:t>
            </w:r>
          </w:p>
          <w:p w:rsidR="006E1C90" w:rsidRDefault="006E1C90" w:rsidP="00F40F58">
            <w:pPr>
              <w:pStyle w:val="DataField11pt-Single"/>
            </w:pPr>
          </w:p>
        </w:tc>
        <w:tc>
          <w:tcPr>
            <w:tcW w:w="5328" w:type="dxa"/>
            <w:gridSpan w:val="3"/>
            <w:vMerge/>
            <w:tcBorders>
              <w:left w:val="nil"/>
              <w:bottom w:val="single" w:sz="6" w:space="0" w:color="auto"/>
              <w:right w:val="nil"/>
            </w:tcBorders>
            <w:tcMar>
              <w:top w:w="14" w:type="dxa"/>
              <w:bottom w:w="14" w:type="dxa"/>
            </w:tcMar>
          </w:tcPr>
          <w:p w:rsidR="006E1C90" w:rsidRDefault="006E1C90" w:rsidP="00F40F58">
            <w:pPr>
              <w:pStyle w:val="FormFieldCaption"/>
            </w:pPr>
          </w:p>
        </w:tc>
      </w:tr>
      <w:tr w:rsidR="006E1C90" w:rsidTr="00F40F58">
        <w:trPr>
          <w:trHeight w:hRule="exact" w:val="288"/>
        </w:trPr>
        <w:tc>
          <w:tcPr>
            <w:tcW w:w="10656" w:type="dxa"/>
            <w:gridSpan w:val="5"/>
            <w:tcBorders>
              <w:left w:val="nil"/>
              <w:bottom w:val="single" w:sz="6" w:space="0" w:color="auto"/>
            </w:tcBorders>
            <w:vAlign w:val="center"/>
          </w:tcPr>
          <w:p w:rsidR="006E1C90" w:rsidRDefault="006E1C90" w:rsidP="00F40F58">
            <w:pPr>
              <w:pStyle w:val="FormFieldCaption"/>
            </w:pPr>
            <w:r>
              <w:t xml:space="preserve">EDUCATION/TRAINING  </w:t>
            </w:r>
            <w:r>
              <w:rPr>
                <w:i/>
                <w:iCs/>
              </w:rPr>
              <w:t>(Begin with baccalaureate or other initial professional education, such as nursing, and include postdoctoral training.)</w:t>
            </w:r>
          </w:p>
        </w:tc>
      </w:tr>
      <w:tr w:rsidR="006E1C90" w:rsidTr="00F40F58">
        <w:tc>
          <w:tcPr>
            <w:tcW w:w="5058" w:type="dxa"/>
            <w:tcBorders>
              <w:top w:val="single" w:sz="6" w:space="0" w:color="auto"/>
              <w:left w:val="nil"/>
              <w:bottom w:val="single" w:sz="6" w:space="0" w:color="auto"/>
              <w:right w:val="single" w:sz="6" w:space="0" w:color="auto"/>
            </w:tcBorders>
            <w:vAlign w:val="center"/>
          </w:tcPr>
          <w:p w:rsidR="006E1C90" w:rsidRDefault="006E1C90" w:rsidP="00F40F58">
            <w:pPr>
              <w:pStyle w:val="FormFieldCaption"/>
              <w:jc w:val="center"/>
            </w:pPr>
            <w:r>
              <w:t>INSTITUTION AND LOCATION</w:t>
            </w:r>
          </w:p>
        </w:tc>
        <w:tc>
          <w:tcPr>
            <w:tcW w:w="1511" w:type="dxa"/>
            <w:gridSpan w:val="2"/>
            <w:tcBorders>
              <w:top w:val="single" w:sz="6" w:space="0" w:color="auto"/>
              <w:left w:val="nil"/>
              <w:bottom w:val="single" w:sz="6" w:space="0" w:color="auto"/>
              <w:right w:val="single" w:sz="6" w:space="0" w:color="auto"/>
            </w:tcBorders>
            <w:vAlign w:val="center"/>
          </w:tcPr>
          <w:p w:rsidR="006E1C90" w:rsidRDefault="006E1C90" w:rsidP="00F40F58">
            <w:pPr>
              <w:pStyle w:val="FormFieldCaption"/>
              <w:jc w:val="center"/>
            </w:pPr>
            <w:r>
              <w:t>DEGREE</w:t>
            </w:r>
          </w:p>
          <w:p w:rsidR="006E1C90" w:rsidRDefault="006E1C90" w:rsidP="00F40F58">
            <w:pPr>
              <w:pStyle w:val="FormFieldCaption"/>
              <w:jc w:val="center"/>
              <w:rPr>
                <w:i/>
                <w:iCs/>
              </w:rPr>
            </w:pPr>
            <w:r>
              <w:rPr>
                <w:i/>
                <w:iCs/>
              </w:rPr>
              <w:t>(if applicable)</w:t>
            </w:r>
          </w:p>
        </w:tc>
        <w:tc>
          <w:tcPr>
            <w:tcW w:w="1459" w:type="dxa"/>
            <w:tcBorders>
              <w:top w:val="single" w:sz="6" w:space="0" w:color="auto"/>
              <w:left w:val="nil"/>
              <w:bottom w:val="single" w:sz="6" w:space="0" w:color="auto"/>
              <w:right w:val="single" w:sz="6" w:space="0" w:color="auto"/>
            </w:tcBorders>
            <w:vAlign w:val="center"/>
          </w:tcPr>
          <w:p w:rsidR="006E1C90" w:rsidRDefault="006E1C90" w:rsidP="00F40F58">
            <w:pPr>
              <w:pStyle w:val="FormFieldCaption"/>
              <w:jc w:val="center"/>
            </w:pPr>
            <w:r>
              <w:t>YEAR(s)</w:t>
            </w:r>
          </w:p>
        </w:tc>
        <w:tc>
          <w:tcPr>
            <w:tcW w:w="2628" w:type="dxa"/>
            <w:tcBorders>
              <w:top w:val="single" w:sz="6" w:space="0" w:color="auto"/>
              <w:left w:val="single" w:sz="6" w:space="0" w:color="auto"/>
              <w:bottom w:val="single" w:sz="6" w:space="0" w:color="auto"/>
            </w:tcBorders>
            <w:vAlign w:val="center"/>
          </w:tcPr>
          <w:p w:rsidR="006E1C90" w:rsidRDefault="006E1C90" w:rsidP="00F40F58">
            <w:pPr>
              <w:pStyle w:val="FormFieldCaption"/>
              <w:jc w:val="center"/>
            </w:pPr>
            <w:r>
              <w:t>FIELD OF STUDY</w:t>
            </w:r>
          </w:p>
        </w:tc>
      </w:tr>
      <w:tr w:rsidR="006E1C90" w:rsidTr="00997FE1">
        <w:trPr>
          <w:trHeight w:val="601"/>
        </w:trPr>
        <w:tc>
          <w:tcPr>
            <w:tcW w:w="5058" w:type="dxa"/>
            <w:tcBorders>
              <w:top w:val="single" w:sz="6" w:space="0" w:color="auto"/>
              <w:left w:val="nil"/>
              <w:bottom w:val="nil"/>
              <w:right w:val="single" w:sz="4" w:space="0" w:color="auto"/>
            </w:tcBorders>
            <w:vAlign w:val="center"/>
          </w:tcPr>
          <w:p w:rsidR="006E1C90" w:rsidRPr="00376026" w:rsidRDefault="006E1C90" w:rsidP="00F40F58">
            <w:pPr>
              <w:pStyle w:val="DataField11pt-Single"/>
              <w:rPr>
                <w:rFonts w:ascii="Times New Roman" w:hAnsi="Times New Roman" w:cs="Times New Roman"/>
                <w:sz w:val="24"/>
                <w:szCs w:val="24"/>
              </w:rPr>
            </w:pPr>
          </w:p>
          <w:p w:rsidR="00010017" w:rsidRPr="00376026" w:rsidRDefault="00C3091C"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University of Maryland Baltimore County</w:t>
            </w:r>
            <w:r w:rsidR="00010017" w:rsidRPr="00376026">
              <w:rPr>
                <w:rFonts w:ascii="Times New Roman" w:hAnsi="Times New Roman" w:cs="Times New Roman"/>
                <w:sz w:val="24"/>
                <w:szCs w:val="24"/>
              </w:rPr>
              <w:t xml:space="preserve"> (UMBC)</w:t>
            </w:r>
          </w:p>
          <w:p w:rsidR="006E1C90" w:rsidRPr="00376026" w:rsidRDefault="00010017"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Baltimore, MD</w:t>
            </w:r>
            <w:r w:rsidR="00C3091C" w:rsidRPr="00376026">
              <w:rPr>
                <w:rFonts w:ascii="Times New Roman" w:hAnsi="Times New Roman" w:cs="Times New Roman"/>
                <w:sz w:val="24"/>
                <w:szCs w:val="24"/>
              </w:rPr>
              <w:t xml:space="preserve"> </w:t>
            </w:r>
          </w:p>
        </w:tc>
        <w:tc>
          <w:tcPr>
            <w:tcW w:w="1511" w:type="dxa"/>
            <w:gridSpan w:val="2"/>
            <w:tcBorders>
              <w:top w:val="single" w:sz="6" w:space="0" w:color="auto"/>
              <w:left w:val="single" w:sz="4" w:space="0" w:color="auto"/>
              <w:bottom w:val="nil"/>
              <w:right w:val="single" w:sz="4" w:space="0" w:color="auto"/>
            </w:tcBorders>
            <w:vAlign w:val="center"/>
          </w:tcPr>
          <w:p w:rsidR="006E1C90" w:rsidRPr="00376026" w:rsidRDefault="00010017" w:rsidP="00F40F58">
            <w:pPr>
              <w:pStyle w:val="DataField11pt-Single"/>
              <w:jc w:val="center"/>
              <w:rPr>
                <w:rFonts w:ascii="Times New Roman" w:hAnsi="Times New Roman" w:cs="Times New Roman"/>
                <w:sz w:val="24"/>
                <w:szCs w:val="24"/>
              </w:rPr>
            </w:pPr>
            <w:r w:rsidRPr="00376026">
              <w:rPr>
                <w:rFonts w:ascii="Times New Roman" w:hAnsi="Times New Roman" w:cs="Times New Roman"/>
                <w:sz w:val="24"/>
                <w:szCs w:val="24"/>
              </w:rPr>
              <w:t>B.S.</w:t>
            </w:r>
          </w:p>
        </w:tc>
        <w:tc>
          <w:tcPr>
            <w:tcW w:w="1459" w:type="dxa"/>
            <w:tcBorders>
              <w:top w:val="single" w:sz="6" w:space="0" w:color="auto"/>
              <w:left w:val="single" w:sz="4" w:space="0" w:color="auto"/>
              <w:bottom w:val="nil"/>
              <w:right w:val="single" w:sz="4" w:space="0" w:color="auto"/>
            </w:tcBorders>
            <w:vAlign w:val="center"/>
          </w:tcPr>
          <w:p w:rsidR="006E1C90" w:rsidRPr="00376026" w:rsidRDefault="00010017" w:rsidP="00F40F58">
            <w:pPr>
              <w:pStyle w:val="DataField11pt-Single"/>
              <w:jc w:val="center"/>
              <w:rPr>
                <w:rFonts w:ascii="Times New Roman" w:hAnsi="Times New Roman" w:cs="Times New Roman"/>
                <w:sz w:val="24"/>
                <w:szCs w:val="24"/>
              </w:rPr>
            </w:pPr>
            <w:r w:rsidRPr="00376026">
              <w:rPr>
                <w:rFonts w:ascii="Times New Roman" w:hAnsi="Times New Roman" w:cs="Times New Roman"/>
                <w:sz w:val="24"/>
                <w:szCs w:val="24"/>
              </w:rPr>
              <w:t>2010</w:t>
            </w:r>
          </w:p>
        </w:tc>
        <w:tc>
          <w:tcPr>
            <w:tcW w:w="2628" w:type="dxa"/>
            <w:tcBorders>
              <w:top w:val="single" w:sz="6" w:space="0" w:color="auto"/>
              <w:left w:val="single" w:sz="4" w:space="0" w:color="auto"/>
              <w:bottom w:val="nil"/>
              <w:right w:val="nil"/>
            </w:tcBorders>
            <w:vAlign w:val="center"/>
          </w:tcPr>
          <w:p w:rsidR="006E1C90" w:rsidRPr="00376026" w:rsidRDefault="00010017"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Biochemistry and Molecular Biology</w:t>
            </w:r>
          </w:p>
        </w:tc>
      </w:tr>
      <w:tr w:rsidR="006E1C90" w:rsidTr="00F40F58">
        <w:tc>
          <w:tcPr>
            <w:tcW w:w="5058" w:type="dxa"/>
            <w:tcBorders>
              <w:top w:val="nil"/>
              <w:left w:val="nil"/>
              <w:bottom w:val="nil"/>
              <w:right w:val="single" w:sz="4" w:space="0" w:color="auto"/>
            </w:tcBorders>
            <w:vAlign w:val="center"/>
          </w:tcPr>
          <w:p w:rsidR="006E1C90" w:rsidRPr="00376026" w:rsidRDefault="006E1C90" w:rsidP="00F40F58">
            <w:pPr>
              <w:pStyle w:val="DataField11pt-Single"/>
              <w:rPr>
                <w:rFonts w:ascii="Times New Roman" w:hAnsi="Times New Roman" w:cs="Times New Roman"/>
                <w:sz w:val="24"/>
                <w:szCs w:val="24"/>
              </w:rPr>
            </w:pPr>
          </w:p>
        </w:tc>
        <w:tc>
          <w:tcPr>
            <w:tcW w:w="1511" w:type="dxa"/>
            <w:gridSpan w:val="2"/>
            <w:tcBorders>
              <w:top w:val="nil"/>
              <w:left w:val="single" w:sz="4" w:space="0" w:color="auto"/>
              <w:bottom w:val="nil"/>
              <w:right w:val="single" w:sz="4" w:space="0" w:color="auto"/>
            </w:tcBorders>
            <w:vAlign w:val="center"/>
          </w:tcPr>
          <w:p w:rsidR="006E1C90" w:rsidRPr="00376026" w:rsidRDefault="006E1C90" w:rsidP="00F40F58">
            <w:pPr>
              <w:pStyle w:val="DataField11pt-Single"/>
              <w:jc w:val="center"/>
              <w:rPr>
                <w:rFonts w:ascii="Times New Roman" w:hAnsi="Times New Roman" w:cs="Times New Roman"/>
                <w:sz w:val="24"/>
                <w:szCs w:val="24"/>
              </w:rPr>
            </w:pPr>
          </w:p>
        </w:tc>
        <w:tc>
          <w:tcPr>
            <w:tcW w:w="1459" w:type="dxa"/>
            <w:tcBorders>
              <w:top w:val="nil"/>
              <w:left w:val="single" w:sz="4" w:space="0" w:color="auto"/>
              <w:bottom w:val="nil"/>
              <w:right w:val="single" w:sz="4" w:space="0" w:color="auto"/>
            </w:tcBorders>
            <w:vAlign w:val="center"/>
          </w:tcPr>
          <w:p w:rsidR="006E1C90" w:rsidRPr="00376026" w:rsidRDefault="006E1C90" w:rsidP="00F40F58">
            <w:pPr>
              <w:pStyle w:val="DataField11pt-Single"/>
              <w:jc w:val="center"/>
              <w:rPr>
                <w:rFonts w:ascii="Times New Roman" w:hAnsi="Times New Roman" w:cs="Times New Roman"/>
                <w:sz w:val="24"/>
                <w:szCs w:val="24"/>
              </w:rPr>
            </w:pPr>
          </w:p>
        </w:tc>
        <w:tc>
          <w:tcPr>
            <w:tcW w:w="2628" w:type="dxa"/>
            <w:tcBorders>
              <w:top w:val="nil"/>
              <w:left w:val="single" w:sz="4" w:space="0" w:color="auto"/>
              <w:bottom w:val="nil"/>
              <w:right w:val="nil"/>
            </w:tcBorders>
            <w:vAlign w:val="center"/>
          </w:tcPr>
          <w:p w:rsidR="006E1C90" w:rsidRPr="00376026" w:rsidRDefault="006E1C90" w:rsidP="00F40F58">
            <w:pPr>
              <w:pStyle w:val="DataField11pt-Single"/>
              <w:rPr>
                <w:rFonts w:ascii="Times New Roman" w:hAnsi="Times New Roman" w:cs="Times New Roman"/>
                <w:sz w:val="24"/>
                <w:szCs w:val="24"/>
              </w:rPr>
            </w:pPr>
          </w:p>
          <w:p w:rsidR="00997FE1" w:rsidRPr="00376026" w:rsidRDefault="00997FE1" w:rsidP="00F40F58">
            <w:pPr>
              <w:pStyle w:val="DataField11pt-Single"/>
              <w:rPr>
                <w:rFonts w:ascii="Times New Roman" w:hAnsi="Times New Roman" w:cs="Times New Roman"/>
                <w:sz w:val="24"/>
                <w:szCs w:val="24"/>
              </w:rPr>
            </w:pPr>
          </w:p>
        </w:tc>
      </w:tr>
      <w:tr w:rsidR="006E1C90" w:rsidTr="00F40F58">
        <w:tc>
          <w:tcPr>
            <w:tcW w:w="5058" w:type="dxa"/>
            <w:tcBorders>
              <w:top w:val="nil"/>
              <w:left w:val="nil"/>
              <w:bottom w:val="nil"/>
              <w:right w:val="single" w:sz="4" w:space="0" w:color="auto"/>
            </w:tcBorders>
            <w:vAlign w:val="center"/>
          </w:tcPr>
          <w:p w:rsidR="006E1C90" w:rsidRPr="00376026" w:rsidRDefault="006E1C90"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Hood College, Frederick, MD</w:t>
            </w:r>
          </w:p>
        </w:tc>
        <w:tc>
          <w:tcPr>
            <w:tcW w:w="1511" w:type="dxa"/>
            <w:gridSpan w:val="2"/>
            <w:tcBorders>
              <w:top w:val="nil"/>
              <w:left w:val="single" w:sz="4" w:space="0" w:color="auto"/>
              <w:bottom w:val="nil"/>
              <w:right w:val="single" w:sz="4" w:space="0" w:color="auto"/>
            </w:tcBorders>
            <w:vAlign w:val="center"/>
          </w:tcPr>
          <w:p w:rsidR="006E1C90" w:rsidRPr="00376026" w:rsidRDefault="006E1C90" w:rsidP="00F40F58">
            <w:pPr>
              <w:pStyle w:val="DataField11pt-Single"/>
              <w:jc w:val="center"/>
              <w:rPr>
                <w:rFonts w:ascii="Times New Roman" w:hAnsi="Times New Roman" w:cs="Times New Roman"/>
                <w:sz w:val="24"/>
                <w:szCs w:val="24"/>
              </w:rPr>
            </w:pPr>
            <w:r w:rsidRPr="00376026">
              <w:rPr>
                <w:rFonts w:ascii="Times New Roman" w:hAnsi="Times New Roman" w:cs="Times New Roman"/>
                <w:sz w:val="24"/>
                <w:szCs w:val="24"/>
              </w:rPr>
              <w:t>M.S.</w:t>
            </w:r>
          </w:p>
        </w:tc>
        <w:tc>
          <w:tcPr>
            <w:tcW w:w="1459" w:type="dxa"/>
            <w:tcBorders>
              <w:top w:val="nil"/>
              <w:left w:val="single" w:sz="4" w:space="0" w:color="auto"/>
              <w:bottom w:val="nil"/>
              <w:right w:val="single" w:sz="4" w:space="0" w:color="auto"/>
            </w:tcBorders>
            <w:vAlign w:val="center"/>
          </w:tcPr>
          <w:p w:rsidR="006E1C90" w:rsidRPr="00376026" w:rsidRDefault="00010017" w:rsidP="00F40F58">
            <w:pPr>
              <w:pStyle w:val="DataField11pt-Single"/>
              <w:jc w:val="center"/>
              <w:rPr>
                <w:rFonts w:ascii="Times New Roman" w:hAnsi="Times New Roman" w:cs="Times New Roman"/>
                <w:sz w:val="24"/>
                <w:szCs w:val="24"/>
              </w:rPr>
            </w:pPr>
            <w:r w:rsidRPr="00376026">
              <w:rPr>
                <w:rFonts w:ascii="Times New Roman" w:hAnsi="Times New Roman" w:cs="Times New Roman"/>
                <w:sz w:val="24"/>
                <w:szCs w:val="24"/>
              </w:rPr>
              <w:t>2018</w:t>
            </w:r>
          </w:p>
        </w:tc>
        <w:tc>
          <w:tcPr>
            <w:tcW w:w="2628" w:type="dxa"/>
            <w:tcBorders>
              <w:top w:val="nil"/>
              <w:left w:val="single" w:sz="4" w:space="0" w:color="auto"/>
              <w:bottom w:val="nil"/>
              <w:right w:val="nil"/>
            </w:tcBorders>
            <w:vAlign w:val="center"/>
          </w:tcPr>
          <w:p w:rsidR="006E1C90" w:rsidRPr="00376026" w:rsidRDefault="006E1C90" w:rsidP="00F40F58">
            <w:pPr>
              <w:pStyle w:val="DataField11pt-Single"/>
              <w:rPr>
                <w:rFonts w:ascii="Times New Roman" w:hAnsi="Times New Roman" w:cs="Times New Roman"/>
                <w:sz w:val="24"/>
                <w:szCs w:val="24"/>
              </w:rPr>
            </w:pPr>
            <w:r w:rsidRPr="00376026">
              <w:rPr>
                <w:rFonts w:ascii="Times New Roman" w:hAnsi="Times New Roman" w:cs="Times New Roman"/>
                <w:sz w:val="24"/>
                <w:szCs w:val="24"/>
              </w:rPr>
              <w:t>Biomedical Science</w:t>
            </w:r>
          </w:p>
        </w:tc>
      </w:tr>
      <w:tr w:rsidR="006E1C90" w:rsidTr="00F40F58">
        <w:tc>
          <w:tcPr>
            <w:tcW w:w="5058" w:type="dxa"/>
            <w:tcBorders>
              <w:top w:val="nil"/>
              <w:left w:val="nil"/>
              <w:right w:val="single" w:sz="4" w:space="0" w:color="auto"/>
            </w:tcBorders>
            <w:vAlign w:val="center"/>
          </w:tcPr>
          <w:p w:rsidR="006E1C90" w:rsidRPr="0009166D" w:rsidRDefault="006E1C90" w:rsidP="00F40F58">
            <w:pPr>
              <w:pStyle w:val="DataField11pt-Single"/>
              <w:rPr>
                <w:szCs w:val="22"/>
              </w:rPr>
            </w:pPr>
          </w:p>
        </w:tc>
        <w:tc>
          <w:tcPr>
            <w:tcW w:w="1511" w:type="dxa"/>
            <w:gridSpan w:val="2"/>
            <w:tcBorders>
              <w:top w:val="nil"/>
              <w:left w:val="single" w:sz="4" w:space="0" w:color="auto"/>
              <w:right w:val="single" w:sz="4" w:space="0" w:color="auto"/>
            </w:tcBorders>
            <w:vAlign w:val="center"/>
          </w:tcPr>
          <w:p w:rsidR="006E1C90" w:rsidRPr="0009166D" w:rsidRDefault="006E1C90" w:rsidP="00F40F58">
            <w:pPr>
              <w:pStyle w:val="DataField11pt-Single"/>
              <w:jc w:val="center"/>
              <w:rPr>
                <w:szCs w:val="22"/>
              </w:rPr>
            </w:pPr>
          </w:p>
        </w:tc>
        <w:tc>
          <w:tcPr>
            <w:tcW w:w="1459" w:type="dxa"/>
            <w:tcBorders>
              <w:top w:val="nil"/>
              <w:left w:val="single" w:sz="4" w:space="0" w:color="auto"/>
              <w:right w:val="single" w:sz="4" w:space="0" w:color="auto"/>
            </w:tcBorders>
            <w:vAlign w:val="center"/>
          </w:tcPr>
          <w:p w:rsidR="006E1C90" w:rsidRPr="00997FE1" w:rsidRDefault="006E1C90" w:rsidP="00F40F58">
            <w:pPr>
              <w:pStyle w:val="DataField11pt-Single"/>
              <w:jc w:val="center"/>
              <w:rPr>
                <w:sz w:val="20"/>
              </w:rPr>
            </w:pPr>
            <w:r w:rsidRPr="00997FE1">
              <w:rPr>
                <w:sz w:val="20"/>
              </w:rPr>
              <w:t>(anticipated)</w:t>
            </w:r>
          </w:p>
        </w:tc>
        <w:tc>
          <w:tcPr>
            <w:tcW w:w="2628" w:type="dxa"/>
            <w:tcBorders>
              <w:top w:val="nil"/>
              <w:left w:val="single" w:sz="4" w:space="0" w:color="auto"/>
              <w:right w:val="nil"/>
            </w:tcBorders>
            <w:vAlign w:val="center"/>
          </w:tcPr>
          <w:p w:rsidR="006E1C90" w:rsidRPr="0009166D" w:rsidRDefault="006E1C90" w:rsidP="00F40F58">
            <w:pPr>
              <w:pStyle w:val="DataField11pt-Single"/>
              <w:rPr>
                <w:szCs w:val="22"/>
              </w:rPr>
            </w:pPr>
          </w:p>
        </w:tc>
      </w:tr>
      <w:tr w:rsidR="006E1C90" w:rsidTr="00F40F58">
        <w:tc>
          <w:tcPr>
            <w:tcW w:w="5058" w:type="dxa"/>
            <w:tcBorders>
              <w:top w:val="nil"/>
              <w:left w:val="nil"/>
              <w:bottom w:val="single" w:sz="6" w:space="0" w:color="auto"/>
              <w:right w:val="single" w:sz="4" w:space="0" w:color="auto"/>
            </w:tcBorders>
            <w:vAlign w:val="center"/>
          </w:tcPr>
          <w:p w:rsidR="006E1C90" w:rsidRDefault="006E1C90" w:rsidP="00F40F58">
            <w:pPr>
              <w:pStyle w:val="DataField11pt-Single"/>
            </w:pPr>
          </w:p>
        </w:tc>
        <w:tc>
          <w:tcPr>
            <w:tcW w:w="1511" w:type="dxa"/>
            <w:gridSpan w:val="2"/>
            <w:tcBorders>
              <w:top w:val="nil"/>
              <w:left w:val="single" w:sz="4" w:space="0" w:color="auto"/>
              <w:bottom w:val="single" w:sz="6" w:space="0" w:color="auto"/>
              <w:right w:val="single" w:sz="4" w:space="0" w:color="auto"/>
            </w:tcBorders>
            <w:vAlign w:val="center"/>
          </w:tcPr>
          <w:p w:rsidR="006E1C90" w:rsidRDefault="006E1C90" w:rsidP="00F40F58">
            <w:pPr>
              <w:pStyle w:val="DataField11pt-Single"/>
              <w:jc w:val="center"/>
            </w:pPr>
          </w:p>
        </w:tc>
        <w:tc>
          <w:tcPr>
            <w:tcW w:w="1459" w:type="dxa"/>
            <w:tcBorders>
              <w:top w:val="nil"/>
              <w:left w:val="single" w:sz="4" w:space="0" w:color="auto"/>
              <w:bottom w:val="single" w:sz="6" w:space="0" w:color="auto"/>
              <w:right w:val="single" w:sz="4" w:space="0" w:color="auto"/>
            </w:tcBorders>
            <w:vAlign w:val="center"/>
          </w:tcPr>
          <w:p w:rsidR="006E1C90" w:rsidRPr="00997FE1" w:rsidRDefault="006E1C90" w:rsidP="00F40F58">
            <w:pPr>
              <w:pStyle w:val="DataField11pt-Single"/>
              <w:jc w:val="center"/>
              <w:rPr>
                <w:sz w:val="20"/>
              </w:rPr>
            </w:pPr>
          </w:p>
        </w:tc>
        <w:tc>
          <w:tcPr>
            <w:tcW w:w="2628" w:type="dxa"/>
            <w:tcBorders>
              <w:top w:val="nil"/>
              <w:left w:val="single" w:sz="4" w:space="0" w:color="auto"/>
              <w:bottom w:val="single" w:sz="6" w:space="0" w:color="auto"/>
              <w:right w:val="nil"/>
            </w:tcBorders>
            <w:vAlign w:val="center"/>
          </w:tcPr>
          <w:p w:rsidR="006E1C90" w:rsidRDefault="006E1C90" w:rsidP="00F40F58">
            <w:pPr>
              <w:pStyle w:val="DataField11pt-Single"/>
            </w:pPr>
          </w:p>
        </w:tc>
      </w:tr>
    </w:tbl>
    <w:p w:rsidR="006E1C90" w:rsidRPr="0009166D" w:rsidRDefault="006E1C90" w:rsidP="00D31890">
      <w:pPr>
        <w:pStyle w:val="DataField11pt-Single"/>
        <w:tabs>
          <w:tab w:val="left" w:pos="450"/>
        </w:tabs>
        <w:ind w:left="630" w:hanging="360"/>
        <w:rPr>
          <w:szCs w:val="22"/>
        </w:rPr>
      </w:pPr>
    </w:p>
    <w:p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Positions and Honors</w:t>
      </w:r>
    </w:p>
    <w:p w:rsidR="00D31890" w:rsidRPr="00914BC3" w:rsidRDefault="00D31890" w:rsidP="00D31890">
      <w:pPr>
        <w:pStyle w:val="DataField11pt-Single"/>
        <w:tabs>
          <w:tab w:val="left" w:pos="-450"/>
          <w:tab w:val="left" w:pos="180"/>
          <w:tab w:val="left" w:pos="450"/>
        </w:tabs>
        <w:ind w:left="630"/>
        <w:rPr>
          <w:rFonts w:ascii="Times New Roman" w:hAnsi="Times New Roman" w:cs="Times New Roman"/>
          <w:sz w:val="24"/>
          <w:szCs w:val="24"/>
        </w:rPr>
      </w:pPr>
    </w:p>
    <w:p w:rsidR="00D31890" w:rsidRPr="00914BC3" w:rsidRDefault="00010017" w:rsidP="00010017">
      <w:pPr>
        <w:pStyle w:val="DataField11pt-Single"/>
        <w:tabs>
          <w:tab w:val="left" w:pos="-450"/>
          <w:tab w:val="left" w:pos="180"/>
          <w:tab w:val="left" w:pos="450"/>
        </w:tabs>
        <w:ind w:left="630"/>
        <w:rPr>
          <w:rFonts w:ascii="Times New Roman" w:hAnsi="Times New Roman" w:cs="Times New Roman"/>
          <w:sz w:val="24"/>
          <w:szCs w:val="24"/>
        </w:rPr>
      </w:pPr>
      <w:r w:rsidRPr="00914BC3">
        <w:rPr>
          <w:rFonts w:ascii="Times New Roman" w:hAnsi="Times New Roman" w:cs="Times New Roman"/>
          <w:sz w:val="24"/>
          <w:szCs w:val="24"/>
        </w:rPr>
        <w:t>2016 – Present</w:t>
      </w:r>
      <w:r w:rsidRPr="00914BC3">
        <w:rPr>
          <w:rFonts w:ascii="Times New Roman" w:hAnsi="Times New Roman" w:cs="Times New Roman"/>
          <w:sz w:val="24"/>
          <w:szCs w:val="24"/>
        </w:rPr>
        <w:tab/>
        <w:t xml:space="preserve">Full time Graduate Student </w:t>
      </w:r>
    </w:p>
    <w:p w:rsidR="006E1C90" w:rsidRPr="0009166D" w:rsidRDefault="006E1C90" w:rsidP="00D31890">
      <w:pPr>
        <w:pStyle w:val="DataField11pt-Single"/>
        <w:tabs>
          <w:tab w:val="left" w:pos="-450"/>
          <w:tab w:val="left" w:pos="180"/>
          <w:tab w:val="left" w:pos="450"/>
        </w:tabs>
        <w:ind w:left="630" w:hanging="360"/>
        <w:rPr>
          <w:szCs w:val="22"/>
        </w:rPr>
      </w:pPr>
      <w:r w:rsidRPr="0009166D">
        <w:rPr>
          <w:szCs w:val="22"/>
        </w:rPr>
        <w:tab/>
      </w:r>
      <w:r w:rsidRPr="0009166D">
        <w:rPr>
          <w:szCs w:val="22"/>
        </w:rPr>
        <w:tab/>
      </w:r>
    </w:p>
    <w:p w:rsidR="00D318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Selected peer-reviewed publications (in chronological order)</w:t>
      </w:r>
    </w:p>
    <w:p w:rsidR="00D31890" w:rsidRDefault="00D31890" w:rsidP="00D31890">
      <w:pPr>
        <w:pStyle w:val="DataField11pt-Single"/>
        <w:tabs>
          <w:tab w:val="left" w:pos="-450"/>
          <w:tab w:val="left" w:pos="180"/>
          <w:tab w:val="left" w:pos="450"/>
        </w:tabs>
        <w:ind w:left="630"/>
        <w:rPr>
          <w:szCs w:val="22"/>
        </w:rPr>
      </w:pPr>
    </w:p>
    <w:p w:rsidR="00D31890" w:rsidRPr="00914BC3" w:rsidRDefault="00010017" w:rsidP="00D31890">
      <w:pPr>
        <w:pStyle w:val="DataField11pt-Single"/>
        <w:tabs>
          <w:tab w:val="left" w:pos="-450"/>
          <w:tab w:val="left" w:pos="180"/>
          <w:tab w:val="left" w:pos="450"/>
        </w:tabs>
        <w:ind w:left="630"/>
        <w:rPr>
          <w:rFonts w:ascii="Times New Roman" w:hAnsi="Times New Roman" w:cs="Times New Roman"/>
          <w:sz w:val="24"/>
          <w:szCs w:val="24"/>
        </w:rPr>
      </w:pPr>
      <w:r w:rsidRPr="00914BC3">
        <w:rPr>
          <w:rFonts w:ascii="Times New Roman" w:hAnsi="Times New Roman" w:cs="Times New Roman"/>
          <w:sz w:val="24"/>
          <w:szCs w:val="24"/>
        </w:rPr>
        <w:t>N/A</w:t>
      </w:r>
    </w:p>
    <w:p w:rsidR="006E1C90" w:rsidRPr="0009166D" w:rsidRDefault="006E1C90" w:rsidP="00010017">
      <w:pPr>
        <w:pStyle w:val="DataField11pt-Single"/>
        <w:tabs>
          <w:tab w:val="left" w:pos="-450"/>
          <w:tab w:val="left" w:pos="180"/>
          <w:tab w:val="left" w:pos="450"/>
        </w:tabs>
        <w:rPr>
          <w:szCs w:val="22"/>
        </w:rPr>
      </w:pPr>
    </w:p>
    <w:p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Research Support</w:t>
      </w:r>
    </w:p>
    <w:p w:rsidR="00D31890" w:rsidRDefault="00D31890" w:rsidP="00D31890">
      <w:pPr>
        <w:pStyle w:val="DataField11pt-Single"/>
        <w:tabs>
          <w:tab w:val="left" w:pos="-450"/>
          <w:tab w:val="left" w:pos="180"/>
          <w:tab w:val="left" w:pos="450"/>
        </w:tabs>
        <w:ind w:left="630"/>
        <w:rPr>
          <w:szCs w:val="22"/>
        </w:rPr>
      </w:pPr>
    </w:p>
    <w:p w:rsidR="00D31890" w:rsidRPr="00914BC3" w:rsidRDefault="00010017" w:rsidP="00D31890">
      <w:pPr>
        <w:pStyle w:val="DataField11pt-Single"/>
        <w:tabs>
          <w:tab w:val="left" w:pos="-450"/>
          <w:tab w:val="left" w:pos="180"/>
          <w:tab w:val="left" w:pos="450"/>
        </w:tabs>
        <w:ind w:left="630"/>
        <w:rPr>
          <w:rFonts w:ascii="Times New Roman" w:hAnsi="Times New Roman" w:cs="Times New Roman"/>
          <w:sz w:val="24"/>
          <w:szCs w:val="24"/>
        </w:rPr>
      </w:pPr>
      <w:r w:rsidRPr="00914BC3">
        <w:rPr>
          <w:rFonts w:ascii="Times New Roman" w:hAnsi="Times New Roman" w:cs="Times New Roman"/>
          <w:sz w:val="24"/>
          <w:szCs w:val="24"/>
        </w:rPr>
        <w:t>N/A</w:t>
      </w:r>
    </w:p>
    <w:p w:rsidR="00D31890" w:rsidRDefault="00D31890" w:rsidP="00D31890">
      <w:pPr>
        <w:pStyle w:val="DataField11pt-Single"/>
        <w:tabs>
          <w:tab w:val="left" w:pos="-450"/>
          <w:tab w:val="left" w:pos="180"/>
          <w:tab w:val="left" w:pos="450"/>
        </w:tabs>
        <w:ind w:left="630"/>
        <w:rPr>
          <w:sz w:val="20"/>
        </w:rPr>
      </w:pPr>
    </w:p>
    <w:p w:rsidR="00D31890" w:rsidRPr="0009166D" w:rsidRDefault="00D31890" w:rsidP="00D31890">
      <w:pPr>
        <w:pStyle w:val="DataField11pt-Single"/>
        <w:tabs>
          <w:tab w:val="left" w:pos="-450"/>
          <w:tab w:val="left" w:pos="180"/>
          <w:tab w:val="left" w:pos="450"/>
        </w:tabs>
        <w:ind w:left="630"/>
        <w:rPr>
          <w:szCs w:val="22"/>
        </w:rPr>
      </w:pPr>
    </w:p>
    <w:p w:rsidR="006E1C90" w:rsidRPr="00185992" w:rsidRDefault="006E1C90" w:rsidP="00D31890">
      <w:pPr>
        <w:pStyle w:val="DataField11pt-Single"/>
        <w:tabs>
          <w:tab w:val="left" w:pos="-450"/>
          <w:tab w:val="left" w:pos="180"/>
          <w:tab w:val="left" w:pos="450"/>
        </w:tabs>
        <w:ind w:left="630" w:hanging="3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rsidR="006E1C90" w:rsidRPr="00185992" w:rsidRDefault="006E1C90" w:rsidP="006E1C90">
      <w:pPr>
        <w:pStyle w:val="DataField11pt-Single"/>
        <w:tabs>
          <w:tab w:val="left" w:pos="-450"/>
          <w:tab w:val="left" w:pos="180"/>
          <w:tab w:val="left" w:pos="450"/>
        </w:tabs>
        <w:ind w:left="2160" w:hanging="21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rsidR="006E1C90" w:rsidRDefault="006E1C90" w:rsidP="006E1C90">
      <w:pPr>
        <w:pStyle w:val="DataField11pt-Single"/>
        <w:tabs>
          <w:tab w:val="left" w:pos="-450"/>
          <w:tab w:val="left" w:pos="180"/>
          <w:tab w:val="left" w:pos="450"/>
        </w:tabs>
        <w:ind w:left="2160" w:hanging="2160"/>
      </w:pPr>
    </w:p>
    <w:p w:rsidR="006E1C90" w:rsidRDefault="006E1C90" w:rsidP="006E1C90">
      <w:pPr>
        <w:sectPr w:rsidR="006E1C90" w:rsidSect="00C447B5">
          <w:headerReference w:type="default" r:id="rId19"/>
          <w:footerReference w:type="default" r:id="rId20"/>
          <w:type w:val="continuous"/>
          <w:pgSz w:w="12240" w:h="15840"/>
          <w:pgMar w:top="563" w:right="810" w:bottom="1440" w:left="990" w:header="450" w:footer="720" w:gutter="0"/>
          <w:cols w:space="720"/>
          <w:docGrid w:linePitch="360"/>
        </w:sectPr>
      </w:pPr>
    </w:p>
    <w:p w:rsidR="006E1C90" w:rsidRPr="0010456C" w:rsidRDefault="0010456C" w:rsidP="006E1C90">
      <w:pPr>
        <w:rPr>
          <w:rFonts w:ascii="Arial" w:hAnsi="Arial" w:cs="Arial"/>
          <w:sz w:val="22"/>
          <w:szCs w:val="20"/>
        </w:rPr>
      </w:pPr>
      <w:r w:rsidRPr="0010456C">
        <w:rPr>
          <w:rFonts w:ascii="Arial" w:hAnsi="Arial" w:cs="Arial"/>
          <w:sz w:val="18"/>
          <w:szCs w:val="18"/>
        </w:rPr>
        <w:lastRenderedPageBreak/>
        <w:t xml:space="preserve">Program Director/Principal Investigator (Last, First): </w:t>
      </w:r>
      <w:r w:rsidR="00010017">
        <w:rPr>
          <w:rFonts w:ascii="Arial" w:hAnsi="Arial" w:cs="Arial"/>
          <w:sz w:val="18"/>
          <w:szCs w:val="18"/>
        </w:rPr>
        <w:t>Mengistu</w:t>
      </w:r>
      <w:r w:rsidRPr="0010456C">
        <w:rPr>
          <w:rFonts w:ascii="Arial" w:hAnsi="Arial" w:cs="Arial"/>
          <w:sz w:val="18"/>
          <w:szCs w:val="18"/>
        </w:rPr>
        <w:t xml:space="preserve">, </w:t>
      </w:r>
      <w:r w:rsidR="00010017">
        <w:rPr>
          <w:rFonts w:ascii="Arial" w:hAnsi="Arial" w:cs="Arial"/>
          <w:sz w:val="18"/>
          <w:szCs w:val="18"/>
        </w:rPr>
        <w:t xml:space="preserve">Sewnet </w:t>
      </w:r>
    </w:p>
    <w:tbl>
      <w:tblPr>
        <w:tblpPr w:leftFromText="180" w:rightFromText="180" w:vertAnchor="text" w:horzAnchor="margin" w:tblpX="-61" w:tblpY="161"/>
        <w:tblW w:w="10656" w:type="dxa"/>
        <w:tblLayout w:type="fixed"/>
        <w:tblCellMar>
          <w:top w:w="14" w:type="dxa"/>
          <w:left w:w="29" w:type="dxa"/>
          <w:bottom w:w="14" w:type="dxa"/>
          <w:right w:w="29" w:type="dxa"/>
        </w:tblCellMar>
        <w:tblLook w:val="0000" w:firstRow="0" w:lastRow="0" w:firstColumn="0" w:lastColumn="0" w:noHBand="0" w:noVBand="0"/>
      </w:tblPr>
      <w:tblGrid>
        <w:gridCol w:w="10656"/>
      </w:tblGrid>
      <w:tr w:rsidR="006E1C90" w:rsidTr="0010456C">
        <w:trPr>
          <w:cantSplit/>
          <w:trHeight w:hRule="exact" w:val="86"/>
        </w:trPr>
        <w:tc>
          <w:tcPr>
            <w:tcW w:w="10656" w:type="dxa"/>
            <w:tcBorders>
              <w:left w:val="nil"/>
              <w:bottom w:val="single" w:sz="6" w:space="0" w:color="auto"/>
              <w:right w:val="nil"/>
            </w:tcBorders>
            <w:vAlign w:val="bottom"/>
          </w:tcPr>
          <w:p w:rsidR="006E1C90" w:rsidRDefault="006E1C90" w:rsidP="0010456C">
            <w:pPr>
              <w:pStyle w:val="DataField11pt"/>
            </w:pPr>
          </w:p>
        </w:tc>
      </w:tr>
      <w:tr w:rsidR="006E1C90" w:rsidTr="0010456C">
        <w:trPr>
          <w:trHeight w:hRule="exact" w:val="346"/>
        </w:trPr>
        <w:tc>
          <w:tcPr>
            <w:tcW w:w="10656" w:type="dxa"/>
            <w:tcBorders>
              <w:top w:val="single" w:sz="6" w:space="0" w:color="auto"/>
              <w:left w:val="nil"/>
              <w:bottom w:val="single" w:sz="6" w:space="0" w:color="auto"/>
              <w:right w:val="nil"/>
            </w:tcBorders>
            <w:vAlign w:val="center"/>
          </w:tcPr>
          <w:p w:rsidR="006E1C90" w:rsidRDefault="006E1C90" w:rsidP="0010456C">
            <w:pPr>
              <w:pStyle w:val="Heading1"/>
            </w:pPr>
            <w:r>
              <w:t>RESOURCES</w:t>
            </w:r>
          </w:p>
        </w:tc>
      </w:tr>
      <w:tr w:rsidR="006E1C90" w:rsidTr="0010456C">
        <w:trPr>
          <w:trHeight w:hRule="exact" w:val="778"/>
        </w:trPr>
        <w:tc>
          <w:tcPr>
            <w:tcW w:w="10656" w:type="dxa"/>
            <w:tcBorders>
              <w:top w:val="single" w:sz="6" w:space="0" w:color="auto"/>
              <w:left w:val="nil"/>
              <w:right w:val="nil"/>
            </w:tcBorders>
          </w:tcPr>
          <w:p w:rsidR="006E1C90" w:rsidRDefault="006E1C90" w:rsidP="0010456C">
            <w:pPr>
              <w:pStyle w:val="FormFieldCaption"/>
              <w:rPr>
                <w:b/>
                <w:bCs/>
                <w:sz w:val="20"/>
                <w:szCs w:val="20"/>
              </w:rPr>
            </w:pPr>
            <w:r>
              <w:t>FACILITIES:  Specify the facilities to be used for the conduct of the proposed research. Indicate the project/performance sites and describe capacities, pertinent capabilities, relative proximity, and extent of availability to the project.  If research involving Select Agent(s) will occur at any performance site(s), the biocontainment resources available at each site should be described.  Under “Other,” identify support services such as machine shop, electronics shop, and specify the extent to which they will be available to the project.  Use continuation pages if necessary.</w:t>
            </w:r>
          </w:p>
        </w:tc>
      </w:tr>
      <w:tr w:rsidR="006E1C90" w:rsidTr="0010456C">
        <w:trPr>
          <w:trHeight w:hRule="exact" w:val="1642"/>
        </w:trPr>
        <w:tc>
          <w:tcPr>
            <w:tcW w:w="10656" w:type="dxa"/>
            <w:tcBorders>
              <w:left w:val="nil"/>
              <w:right w:val="nil"/>
            </w:tcBorders>
          </w:tcPr>
          <w:p w:rsidR="00D31890" w:rsidRDefault="00D31890" w:rsidP="0010456C">
            <w:pPr>
              <w:pStyle w:val="FormFieldCaption"/>
            </w:pPr>
          </w:p>
          <w:p w:rsidR="006E1C90" w:rsidRPr="00D31890" w:rsidRDefault="006E1C90" w:rsidP="0010456C">
            <w:pPr>
              <w:pStyle w:val="FormFieldCaption"/>
            </w:pPr>
            <w:r w:rsidRPr="00D31890">
              <w:t>Laboratory:</w:t>
            </w:r>
          </w:p>
          <w:p w:rsidR="006E1C90" w:rsidRPr="001E7618" w:rsidRDefault="00010017" w:rsidP="0010456C">
            <w:pPr>
              <w:pStyle w:val="DataField11pt"/>
              <w:rPr>
                <w:sz w:val="20"/>
              </w:rPr>
            </w:pPr>
            <w:r w:rsidRPr="00BB1199">
              <w:rPr>
                <w:rFonts w:ascii="Times New Roman" w:hAnsi="Times New Roman" w:cs="Times New Roman"/>
                <w:sz w:val="24"/>
                <w:szCs w:val="24"/>
              </w:rPr>
              <w:t xml:space="preserve">Holy Cross Hospital in Silver Spring, MD will be </w:t>
            </w:r>
            <w:r>
              <w:rPr>
                <w:rFonts w:ascii="Times New Roman" w:hAnsi="Times New Roman" w:cs="Times New Roman"/>
                <w:sz w:val="24"/>
                <w:szCs w:val="24"/>
              </w:rPr>
              <w:t>collaborating with Gander University to perform this project</w:t>
            </w:r>
            <w:r w:rsidRPr="00BB1199">
              <w:rPr>
                <w:rFonts w:ascii="Times New Roman" w:hAnsi="Times New Roman" w:cs="Times New Roman"/>
                <w:sz w:val="24"/>
                <w:szCs w:val="24"/>
              </w:rPr>
              <w:t>. All necessary equipment and laboratory space needed to perform this project will be available for use includ</w:t>
            </w:r>
            <w:r>
              <w:rPr>
                <w:rFonts w:ascii="Times New Roman" w:hAnsi="Times New Roman" w:cs="Times New Roman"/>
                <w:sz w:val="24"/>
                <w:szCs w:val="24"/>
              </w:rPr>
              <w:t>ing</w:t>
            </w:r>
            <w:r w:rsidRPr="00BB1199">
              <w:rPr>
                <w:rFonts w:ascii="Times New Roman" w:hAnsi="Times New Roman" w:cs="Times New Roman"/>
                <w:sz w:val="24"/>
                <w:szCs w:val="24"/>
              </w:rPr>
              <w:t xml:space="preserve"> but not limited to:</w:t>
            </w:r>
            <w:r w:rsidR="00EF42AC">
              <w:rPr>
                <w:rFonts w:ascii="Times New Roman" w:hAnsi="Times New Roman" w:cs="Times New Roman"/>
                <w:sz w:val="24"/>
                <w:szCs w:val="24"/>
              </w:rPr>
              <w:t xml:space="preserve"> </w:t>
            </w:r>
            <w:r w:rsidRPr="00BB1199">
              <w:rPr>
                <w:rFonts w:ascii="Times New Roman" w:hAnsi="Times New Roman" w:cs="Times New Roman"/>
                <w:sz w:val="24"/>
                <w:szCs w:val="24"/>
              </w:rPr>
              <w:t xml:space="preserve">PCR machinery, </w:t>
            </w:r>
            <w:r>
              <w:rPr>
                <w:rFonts w:ascii="Times New Roman" w:hAnsi="Times New Roman" w:cs="Times New Roman"/>
                <w:sz w:val="24"/>
                <w:szCs w:val="24"/>
              </w:rPr>
              <w:t>PCR purification kit (Qiagen), Commercially available Bisulfite kit (Qiagen), and DNA purification kit (Qiagen)</w:t>
            </w:r>
            <w:r w:rsidR="00EF42AC">
              <w:rPr>
                <w:rFonts w:ascii="Times New Roman" w:hAnsi="Times New Roman" w:cs="Times New Roman"/>
                <w:sz w:val="24"/>
                <w:szCs w:val="24"/>
              </w:rPr>
              <w:t xml:space="preserve">, </w:t>
            </w:r>
            <w:r w:rsidRPr="00BB1199">
              <w:rPr>
                <w:rFonts w:ascii="Times New Roman" w:hAnsi="Times New Roman" w:cs="Times New Roman"/>
                <w:sz w:val="24"/>
                <w:szCs w:val="24"/>
              </w:rPr>
              <w:t>biological safety cabinets,</w:t>
            </w:r>
            <w:r>
              <w:rPr>
                <w:rFonts w:ascii="Times New Roman" w:hAnsi="Times New Roman" w:cs="Times New Roman"/>
                <w:sz w:val="24"/>
                <w:szCs w:val="24"/>
              </w:rPr>
              <w:t xml:space="preserve"> and</w:t>
            </w:r>
            <w:r w:rsidRPr="00BB1199">
              <w:rPr>
                <w:rFonts w:ascii="Times New Roman" w:hAnsi="Times New Roman" w:cs="Times New Roman"/>
                <w:sz w:val="24"/>
                <w:szCs w:val="24"/>
              </w:rPr>
              <w:t xml:space="preserve"> freezers</w:t>
            </w:r>
            <w:r>
              <w:rPr>
                <w:rFonts w:ascii="Times New Roman" w:hAnsi="Times New Roman" w:cs="Times New Roman"/>
                <w:sz w:val="24"/>
                <w:szCs w:val="24"/>
              </w:rPr>
              <w:t>.</w:t>
            </w:r>
          </w:p>
        </w:tc>
      </w:tr>
      <w:tr w:rsidR="006E1C90" w:rsidTr="0010456C">
        <w:trPr>
          <w:trHeight w:hRule="exact" w:val="1107"/>
        </w:trPr>
        <w:tc>
          <w:tcPr>
            <w:tcW w:w="10656" w:type="dxa"/>
            <w:tcBorders>
              <w:left w:val="nil"/>
              <w:right w:val="nil"/>
            </w:tcBorders>
          </w:tcPr>
          <w:p w:rsidR="006E1C90" w:rsidRPr="00D31890" w:rsidRDefault="006E1C90" w:rsidP="0010456C">
            <w:pPr>
              <w:pStyle w:val="FormFieldCaption"/>
            </w:pPr>
            <w:r w:rsidRPr="00D31890">
              <w:t>Clinical:</w:t>
            </w:r>
          </w:p>
          <w:p w:rsidR="00010017" w:rsidRPr="00215E1E" w:rsidRDefault="00010017" w:rsidP="00010017">
            <w:pPr>
              <w:pStyle w:val="NormalWeb"/>
              <w:shd w:val="clear" w:color="auto" w:fill="FFFFFF"/>
              <w:spacing w:before="0" w:beforeAutospacing="0" w:after="150" w:afterAutospacing="0"/>
            </w:pPr>
            <w:r w:rsidRPr="00215E1E">
              <w:t xml:space="preserve">Data from the Office of Minority Health System (OMHS) will be collected for the Ethiopian immigrant population </w:t>
            </w:r>
            <w:r>
              <w:t xml:space="preserve">and native Ethiopian will recruit participants </w:t>
            </w:r>
            <w:r w:rsidRPr="00215E1E">
              <w:t>who are diagnosed with T2D and healthy individuals</w:t>
            </w:r>
            <w:r>
              <w:t xml:space="preserve">. </w:t>
            </w:r>
            <w:r w:rsidRPr="00215E1E">
              <w:t xml:space="preserve">For both groups, </w:t>
            </w:r>
            <w:r w:rsidR="00D849B5">
              <w:t xml:space="preserve">cell collection </w:t>
            </w:r>
            <w:r w:rsidRPr="00215E1E">
              <w:t>swabs will be provided.</w:t>
            </w:r>
          </w:p>
          <w:p w:rsidR="006E1C90" w:rsidRPr="00185992" w:rsidRDefault="006E1C90" w:rsidP="0010456C">
            <w:pPr>
              <w:pStyle w:val="DataField11pt"/>
              <w:rPr>
                <w:rFonts w:ascii="Times New Roman" w:hAnsi="Times New Roman" w:cs="Times New Roman"/>
                <w:sz w:val="24"/>
                <w:szCs w:val="24"/>
              </w:rPr>
            </w:pPr>
          </w:p>
        </w:tc>
      </w:tr>
      <w:tr w:rsidR="006E1C90" w:rsidTr="0010456C">
        <w:trPr>
          <w:trHeight w:hRule="exact" w:val="972"/>
        </w:trPr>
        <w:tc>
          <w:tcPr>
            <w:tcW w:w="10656" w:type="dxa"/>
            <w:tcBorders>
              <w:left w:val="nil"/>
              <w:right w:val="nil"/>
            </w:tcBorders>
          </w:tcPr>
          <w:p w:rsidR="006E1C90" w:rsidRPr="00D31890" w:rsidRDefault="006E1C90" w:rsidP="0010456C">
            <w:pPr>
              <w:pStyle w:val="FormFieldCaption"/>
            </w:pPr>
            <w:r w:rsidRPr="00D31890">
              <w:t>Animal:</w:t>
            </w:r>
          </w:p>
          <w:p w:rsidR="006E1C90" w:rsidRPr="00185992" w:rsidRDefault="00010017" w:rsidP="0010456C">
            <w:pPr>
              <w:pStyle w:val="DataField11pt"/>
              <w:rPr>
                <w:rFonts w:ascii="Times New Roman" w:hAnsi="Times New Roman" w:cs="Times New Roman"/>
                <w:sz w:val="24"/>
                <w:szCs w:val="24"/>
              </w:rPr>
            </w:pPr>
            <w:r>
              <w:rPr>
                <w:sz w:val="20"/>
              </w:rPr>
              <w:t>N/A</w:t>
            </w:r>
          </w:p>
        </w:tc>
      </w:tr>
      <w:tr w:rsidR="006E1C90" w:rsidTr="0010456C">
        <w:trPr>
          <w:trHeight w:hRule="exact" w:val="1152"/>
        </w:trPr>
        <w:tc>
          <w:tcPr>
            <w:tcW w:w="10656" w:type="dxa"/>
            <w:tcBorders>
              <w:left w:val="nil"/>
              <w:right w:val="nil"/>
            </w:tcBorders>
          </w:tcPr>
          <w:p w:rsidR="006E1C90" w:rsidRPr="00D31890" w:rsidRDefault="006E1C90" w:rsidP="0010456C">
            <w:pPr>
              <w:pStyle w:val="FormFieldCaption"/>
            </w:pPr>
            <w:r w:rsidRPr="00D31890">
              <w:t>Computer:</w:t>
            </w:r>
          </w:p>
          <w:p w:rsidR="006E1C90" w:rsidRPr="00185992" w:rsidRDefault="00010017" w:rsidP="0010456C">
            <w:pPr>
              <w:pStyle w:val="DataField11pt"/>
              <w:rPr>
                <w:rFonts w:ascii="Times New Roman" w:hAnsi="Times New Roman" w:cs="Times New Roman"/>
                <w:sz w:val="24"/>
                <w:szCs w:val="24"/>
              </w:rPr>
            </w:pPr>
            <w:r w:rsidRPr="00215E1E">
              <w:rPr>
                <w:rFonts w:ascii="Times New Roman" w:hAnsi="Times New Roman" w:cs="Times New Roman"/>
                <w:sz w:val="24"/>
                <w:szCs w:val="24"/>
              </w:rPr>
              <w:t>Holy Cross Hospital is fully-equipped with computers, printer</w:t>
            </w:r>
            <w:r>
              <w:rPr>
                <w:rFonts w:ascii="Times New Roman" w:hAnsi="Times New Roman" w:cs="Times New Roman"/>
                <w:sz w:val="24"/>
                <w:szCs w:val="24"/>
              </w:rPr>
              <w:t>s</w:t>
            </w:r>
            <w:r w:rsidRPr="00215E1E">
              <w:rPr>
                <w:rFonts w:ascii="Times New Roman" w:hAnsi="Times New Roman" w:cs="Times New Roman"/>
                <w:sz w:val="24"/>
                <w:szCs w:val="24"/>
              </w:rPr>
              <w:t xml:space="preserve"> and printer paper, scanner</w:t>
            </w:r>
            <w:r>
              <w:rPr>
                <w:rFonts w:ascii="Times New Roman" w:hAnsi="Times New Roman" w:cs="Times New Roman"/>
                <w:sz w:val="24"/>
                <w:szCs w:val="24"/>
              </w:rPr>
              <w:t>s</w:t>
            </w:r>
            <w:r w:rsidRPr="00215E1E">
              <w:rPr>
                <w:rFonts w:ascii="Times New Roman" w:hAnsi="Times New Roman" w:cs="Times New Roman"/>
                <w:sz w:val="24"/>
                <w:szCs w:val="24"/>
              </w:rPr>
              <w:t>, and other electronics necessary to support this project</w:t>
            </w:r>
            <w:r>
              <w:rPr>
                <w:rFonts w:ascii="Times New Roman" w:hAnsi="Times New Roman" w:cs="Times New Roman"/>
                <w:sz w:val="24"/>
                <w:szCs w:val="24"/>
              </w:rPr>
              <w:t>.</w:t>
            </w:r>
          </w:p>
        </w:tc>
      </w:tr>
      <w:tr w:rsidR="006E1C90" w:rsidTr="0010456C">
        <w:trPr>
          <w:trHeight w:hRule="exact" w:val="864"/>
        </w:trPr>
        <w:tc>
          <w:tcPr>
            <w:tcW w:w="10656" w:type="dxa"/>
            <w:tcBorders>
              <w:left w:val="nil"/>
              <w:right w:val="nil"/>
            </w:tcBorders>
          </w:tcPr>
          <w:p w:rsidR="006E1C90" w:rsidRPr="00D31890" w:rsidRDefault="006E1C90" w:rsidP="0010456C">
            <w:pPr>
              <w:pStyle w:val="FormFieldCaption"/>
            </w:pPr>
            <w:r w:rsidRPr="00D31890">
              <w:t>Office:</w:t>
            </w:r>
          </w:p>
          <w:p w:rsidR="001E7618" w:rsidRPr="00914BC3" w:rsidRDefault="00010017" w:rsidP="0010456C">
            <w:pPr>
              <w:pStyle w:val="DataField11pt"/>
              <w:rPr>
                <w:rFonts w:ascii="Times New Roman" w:hAnsi="Times New Roman" w:cs="Times New Roman"/>
                <w:sz w:val="24"/>
                <w:szCs w:val="24"/>
              </w:rPr>
            </w:pPr>
            <w:r w:rsidRPr="00914BC3">
              <w:rPr>
                <w:rFonts w:ascii="Times New Roman" w:hAnsi="Times New Roman" w:cs="Times New Roman"/>
                <w:sz w:val="24"/>
                <w:szCs w:val="24"/>
              </w:rPr>
              <w:t>Printer paper, printers, paper clips, staplers, staples, computers, etc. will be available.</w:t>
            </w:r>
          </w:p>
          <w:p w:rsidR="001E7618" w:rsidRPr="00185992" w:rsidRDefault="001E7618" w:rsidP="0010456C">
            <w:pPr>
              <w:pStyle w:val="DataField11pt"/>
              <w:rPr>
                <w:rFonts w:ascii="Times New Roman" w:hAnsi="Times New Roman" w:cs="Times New Roman"/>
                <w:sz w:val="24"/>
                <w:szCs w:val="24"/>
              </w:rPr>
            </w:pPr>
          </w:p>
        </w:tc>
      </w:tr>
      <w:tr w:rsidR="006E1C90" w:rsidTr="0010456C">
        <w:trPr>
          <w:trHeight w:hRule="exact" w:val="729"/>
        </w:trPr>
        <w:tc>
          <w:tcPr>
            <w:tcW w:w="10656" w:type="dxa"/>
            <w:tcBorders>
              <w:left w:val="nil"/>
              <w:bottom w:val="single" w:sz="6" w:space="0" w:color="auto"/>
              <w:right w:val="nil"/>
            </w:tcBorders>
          </w:tcPr>
          <w:p w:rsidR="001E7618" w:rsidRDefault="001E7618" w:rsidP="0010456C">
            <w:pPr>
              <w:pStyle w:val="FormFieldCaption"/>
            </w:pPr>
          </w:p>
          <w:p w:rsidR="006E1C90" w:rsidRPr="00D31890" w:rsidRDefault="006E1C90" w:rsidP="0010456C">
            <w:pPr>
              <w:pStyle w:val="FormFieldCaption"/>
            </w:pPr>
            <w:r w:rsidRPr="00D31890">
              <w:t>Other:</w:t>
            </w:r>
          </w:p>
          <w:p w:rsidR="006E1C90" w:rsidRPr="00185992" w:rsidRDefault="00D70790" w:rsidP="0010456C">
            <w:pPr>
              <w:pStyle w:val="DataField11pt"/>
              <w:rPr>
                <w:rFonts w:ascii="Times New Roman" w:hAnsi="Times New Roman" w:cs="Times New Roman"/>
                <w:sz w:val="24"/>
                <w:szCs w:val="24"/>
              </w:rPr>
            </w:pPr>
            <w:r>
              <w:rPr>
                <w:sz w:val="20"/>
              </w:rPr>
              <w:t>N/A</w:t>
            </w:r>
          </w:p>
        </w:tc>
      </w:tr>
    </w:tbl>
    <w:p w:rsidR="006E1C90" w:rsidRDefault="006E1C90" w:rsidP="006E1C90">
      <w:pPr>
        <w:rPr>
          <w:rFonts w:ascii="Arial" w:hAnsi="Arial" w:cs="Arial"/>
          <w:sz w:val="22"/>
          <w:szCs w:val="20"/>
        </w:rPr>
      </w:pPr>
      <w:r>
        <w:rPr>
          <w:rFonts w:ascii="Arial" w:hAnsi="Arial" w:cs="Arial"/>
          <w:sz w:val="22"/>
          <w:szCs w:val="20"/>
        </w:rPr>
        <w:t xml:space="preserve"> </w:t>
      </w:r>
    </w:p>
    <w:p w:rsidR="006E1C90" w:rsidRDefault="006E1C90" w:rsidP="006E1C90">
      <w:pPr>
        <w:pStyle w:val="FormFieldCaption"/>
        <w:sectPr w:rsidR="006E1C90" w:rsidSect="00C447B5">
          <w:headerReference w:type="default" r:id="rId21"/>
          <w:footerReference w:type="default" r:id="rId22"/>
          <w:pgSz w:w="12240" w:h="15840"/>
          <w:pgMar w:top="563" w:right="810" w:bottom="1440" w:left="990" w:header="450" w:footer="720" w:gutter="0"/>
          <w:cols w:space="720"/>
          <w:docGrid w:linePitch="360"/>
        </w:sectPr>
      </w:pPr>
    </w:p>
    <w:tbl>
      <w:tblPr>
        <w:tblW w:w="10656" w:type="dxa"/>
        <w:jc w:val="center"/>
        <w:tblLayout w:type="fixed"/>
        <w:tblCellMar>
          <w:top w:w="14" w:type="dxa"/>
          <w:left w:w="29" w:type="dxa"/>
          <w:bottom w:w="14" w:type="dxa"/>
          <w:right w:w="29" w:type="dxa"/>
        </w:tblCellMar>
        <w:tblLook w:val="0000" w:firstRow="0" w:lastRow="0" w:firstColumn="0" w:lastColumn="0" w:noHBand="0" w:noVBand="0"/>
      </w:tblPr>
      <w:tblGrid>
        <w:gridCol w:w="5868"/>
        <w:gridCol w:w="4788"/>
      </w:tblGrid>
      <w:tr w:rsidR="006E1C90" w:rsidTr="0010456C">
        <w:trPr>
          <w:trHeight w:val="263"/>
          <w:jc w:val="center"/>
        </w:trPr>
        <w:tc>
          <w:tcPr>
            <w:tcW w:w="10656" w:type="dxa"/>
            <w:gridSpan w:val="2"/>
            <w:tcBorders>
              <w:top w:val="single" w:sz="6" w:space="0" w:color="auto"/>
              <w:left w:val="nil"/>
              <w:right w:val="nil"/>
            </w:tcBorders>
          </w:tcPr>
          <w:p w:rsidR="006E1C90" w:rsidRDefault="006E1C90" w:rsidP="00F40F58">
            <w:pPr>
              <w:pStyle w:val="FormFieldCaption"/>
            </w:pPr>
            <w:r>
              <w:t>MAJOR EQUIPMENT: List the most important equipment items already available for this project, noting the location and pertinent capabilities of each.</w:t>
            </w:r>
          </w:p>
          <w:p w:rsidR="006E1C90" w:rsidRDefault="006E1C90" w:rsidP="00F40F58">
            <w:pPr>
              <w:pStyle w:val="DataField11pt"/>
              <w:rPr>
                <w:sz w:val="16"/>
                <w:szCs w:val="16"/>
              </w:rPr>
            </w:pPr>
          </w:p>
        </w:tc>
      </w:tr>
      <w:tr w:rsidR="006E1C90" w:rsidTr="0010456C">
        <w:trPr>
          <w:trHeight w:hRule="exact" w:val="4203"/>
          <w:jc w:val="center"/>
        </w:trPr>
        <w:tc>
          <w:tcPr>
            <w:tcW w:w="5868" w:type="dxa"/>
            <w:tcBorders>
              <w:left w:val="nil"/>
              <w:right w:val="nil"/>
            </w:tcBorders>
          </w:tcPr>
          <w:p w:rsidR="006E1C90" w:rsidRPr="00544944" w:rsidRDefault="006E1C90" w:rsidP="00F40F58">
            <w:pPr>
              <w:pStyle w:val="FormFieldCaption"/>
              <w:rPr>
                <w:b/>
                <w:sz w:val="20"/>
                <w:szCs w:val="20"/>
              </w:rPr>
            </w:pPr>
            <w:r w:rsidRPr="00544944">
              <w:rPr>
                <w:b/>
                <w:sz w:val="20"/>
                <w:szCs w:val="20"/>
              </w:rPr>
              <w:t>The following major equipment is available on site:</w:t>
            </w:r>
          </w:p>
          <w:p w:rsidR="006E1C90" w:rsidRPr="001E7618" w:rsidRDefault="006E1C90" w:rsidP="00F40F58">
            <w:pPr>
              <w:pStyle w:val="FormFieldCaption"/>
              <w:rPr>
                <w:sz w:val="20"/>
                <w:szCs w:val="20"/>
              </w:rPr>
            </w:pPr>
          </w:p>
          <w:p w:rsidR="006E1C90" w:rsidRPr="001E7618" w:rsidRDefault="006E1C90" w:rsidP="00F40F58">
            <w:pPr>
              <w:pStyle w:val="FormFieldCaption"/>
              <w:rPr>
                <w:sz w:val="20"/>
                <w:szCs w:val="20"/>
              </w:rPr>
            </w:pPr>
          </w:p>
          <w:bookmarkStart w:id="7" w:name="Text13"/>
          <w:p w:rsidR="006E1C90"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Text13"/>
                  <w:enabled/>
                  <w:calcOnExit w:val="0"/>
                  <w:textInput>
                    <w:default w:val="• Centrifuges - For collection of cell lysates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t xml:space="preserve">Centrifuges  </w:t>
            </w:r>
            <w:r w:rsidRPr="00914BC3">
              <w:rPr>
                <w:rFonts w:ascii="Times New Roman" w:hAnsi="Times New Roman" w:cs="Times New Roman"/>
                <w:sz w:val="24"/>
                <w:szCs w:val="24"/>
              </w:rPr>
              <w:fldChar w:fldCharType="end"/>
            </w:r>
            <w:bookmarkEnd w:id="7"/>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PCR machines - DNA amplification and qRT-PCR"/>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t>PCR machines - DNA amplification and qRT-PCR</w:t>
            </w:r>
            <w:r w:rsidRPr="00914BC3">
              <w:rPr>
                <w:rFonts w:ascii="Times New Roman" w:hAnsi="Times New Roman" w:cs="Times New Roman"/>
                <w:sz w:val="24"/>
                <w:szCs w:val="24"/>
              </w:rPr>
              <w:fldChar w:fldCharType="end"/>
            </w:r>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Biological Safety Cabinet (BSC)</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PCR hood</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522E7F" w:rsidRPr="001E7618"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tc>
        <w:tc>
          <w:tcPr>
            <w:tcW w:w="4788" w:type="dxa"/>
            <w:tcBorders>
              <w:left w:val="nil"/>
              <w:right w:val="nil"/>
            </w:tcBorders>
          </w:tcPr>
          <w:p w:rsidR="001E7618" w:rsidRPr="00544944" w:rsidRDefault="001E7618" w:rsidP="001E7618">
            <w:pPr>
              <w:pStyle w:val="FormFieldCaption"/>
              <w:rPr>
                <w:b/>
                <w:sz w:val="20"/>
                <w:szCs w:val="20"/>
              </w:rPr>
            </w:pPr>
            <w:r w:rsidRPr="00544944">
              <w:rPr>
                <w:b/>
                <w:sz w:val="20"/>
                <w:szCs w:val="20"/>
              </w:rPr>
              <w:t>The following consumables will be purchased</w:t>
            </w:r>
          </w:p>
          <w:p w:rsidR="001E7618" w:rsidRPr="00544944" w:rsidRDefault="001E7618" w:rsidP="001E7618">
            <w:pPr>
              <w:pStyle w:val="FormFieldCaption"/>
              <w:rPr>
                <w:b/>
                <w:sz w:val="20"/>
                <w:szCs w:val="20"/>
              </w:rPr>
            </w:pPr>
            <w:r w:rsidRPr="00544944">
              <w:rPr>
                <w:b/>
                <w:sz w:val="20"/>
                <w:szCs w:val="20"/>
              </w:rPr>
              <w:t>with grant funding:</w:t>
            </w:r>
          </w:p>
          <w:p w:rsidR="00522E7F" w:rsidRPr="00914BC3" w:rsidRDefault="00522E7F" w:rsidP="001E7618">
            <w:pPr>
              <w:pStyle w:val="FormFieldCaption"/>
              <w:rPr>
                <w:rFonts w:ascii="Times New Roman" w:hAnsi="Times New Roman" w:cs="Times New Roman"/>
                <w:b/>
                <w:sz w:val="24"/>
                <w:szCs w:val="24"/>
              </w:rPr>
            </w:pPr>
          </w:p>
          <w:p w:rsidR="00522E7F" w:rsidRPr="00914BC3" w:rsidRDefault="0077261E" w:rsidP="00D70790">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Protein and DNA Ladders "/>
                  </w:textInput>
                </w:ffData>
              </w:fldChar>
            </w:r>
            <w:r w:rsidR="00CE02D6"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CE02D6" w:rsidRPr="00914BC3">
              <w:rPr>
                <w:rFonts w:ascii="Times New Roman" w:hAnsi="Times New Roman" w:cs="Times New Roman"/>
                <w:noProof/>
                <w:sz w:val="24"/>
                <w:szCs w:val="24"/>
              </w:rPr>
              <w:t>•</w:t>
            </w:r>
            <w:r w:rsidR="00CE02D6"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 xml:space="preserve">Bisulfite Conversion kits </w:t>
            </w:r>
            <w:r w:rsidRPr="00914BC3">
              <w:rPr>
                <w:rFonts w:ascii="Times New Roman" w:hAnsi="Times New Roman" w:cs="Times New Roman"/>
                <w:sz w:val="24"/>
                <w:szCs w:val="24"/>
              </w:rPr>
              <w:fldChar w:fldCharType="end"/>
            </w:r>
            <w:r w:rsidR="00D70790" w:rsidRPr="00914BC3">
              <w:rPr>
                <w:rFonts w:ascii="Times New Roman" w:hAnsi="Times New Roman" w:cs="Times New Roman"/>
                <w:sz w:val="24"/>
                <w:szCs w:val="24"/>
              </w:rPr>
              <w:t xml:space="preserve"> </w:t>
            </w:r>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Pipette Tips (Various Sizes)</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PCR primers</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Pr="00914BC3" w:rsidRDefault="0077261E" w:rsidP="00522E7F">
            <w:pPr>
              <w:pStyle w:val="FormFieldCaption"/>
              <w:tabs>
                <w:tab w:val="clear" w:pos="270"/>
                <w:tab w:val="left" w:pos="259"/>
                <w:tab w:val="left" w:pos="2239"/>
              </w:tabs>
              <w:rPr>
                <w:rFonts w:ascii="Times New Roman" w:hAnsi="Times New Roman" w:cs="Times New Roman"/>
                <w:sz w:val="24"/>
                <w:szCs w:val="24"/>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DNA PCR</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Default="0077261E" w:rsidP="00522E7F">
            <w:pPr>
              <w:pStyle w:val="FormFieldCaption"/>
              <w:tabs>
                <w:tab w:val="clear" w:pos="270"/>
                <w:tab w:val="left" w:pos="259"/>
                <w:tab w:val="left" w:pos="2239"/>
              </w:tabs>
              <w:rPr>
                <w:sz w:val="20"/>
                <w:szCs w:val="20"/>
              </w:rPr>
            </w:pPr>
            <w:r w:rsidRPr="00914BC3">
              <w:rPr>
                <w:rFonts w:ascii="Times New Roman" w:hAnsi="Times New Roman" w:cs="Times New Roman"/>
                <w:sz w:val="24"/>
                <w:szCs w:val="24"/>
              </w:rPr>
              <w:fldChar w:fldCharType="begin">
                <w:ffData>
                  <w:name w:val=""/>
                  <w:enabled/>
                  <w:calcOnExit w:val="0"/>
                  <w:textInput>
                    <w:default w:val="•                                                                                "/>
                  </w:textInput>
                </w:ffData>
              </w:fldChar>
            </w:r>
            <w:r w:rsidR="00522E7F" w:rsidRPr="00914BC3">
              <w:rPr>
                <w:rFonts w:ascii="Times New Roman" w:hAnsi="Times New Roman" w:cs="Times New Roman"/>
                <w:sz w:val="24"/>
                <w:szCs w:val="24"/>
              </w:rPr>
              <w:instrText xml:space="preserve"> FORMTEXT </w:instrText>
            </w:r>
            <w:r w:rsidRPr="00914BC3">
              <w:rPr>
                <w:rFonts w:ascii="Times New Roman" w:hAnsi="Times New Roman" w:cs="Times New Roman"/>
                <w:sz w:val="24"/>
                <w:szCs w:val="24"/>
              </w:rPr>
            </w:r>
            <w:r w:rsidRPr="00914BC3">
              <w:rPr>
                <w:rFonts w:ascii="Times New Roman" w:hAnsi="Times New Roman" w:cs="Times New Roman"/>
                <w:sz w:val="24"/>
                <w:szCs w:val="24"/>
              </w:rPr>
              <w:fldChar w:fldCharType="separate"/>
            </w:r>
            <w:r w:rsidR="00522E7F" w:rsidRPr="00914BC3">
              <w:rPr>
                <w:rFonts w:ascii="Times New Roman" w:hAnsi="Times New Roman" w:cs="Times New Roman"/>
                <w:noProof/>
                <w:sz w:val="24"/>
                <w:szCs w:val="24"/>
              </w:rPr>
              <w:t>•</w:t>
            </w:r>
            <w:r w:rsidR="00522E7F" w:rsidRPr="00914BC3">
              <w:rPr>
                <w:rFonts w:ascii="Times New Roman" w:hAnsi="Times New Roman" w:cs="Times New Roman"/>
                <w:noProof/>
                <w:sz w:val="24"/>
                <w:szCs w:val="24"/>
              </w:rPr>
              <w:tab/>
            </w:r>
            <w:r w:rsidR="00D70790" w:rsidRPr="00914BC3">
              <w:rPr>
                <w:rFonts w:ascii="Times New Roman" w:hAnsi="Times New Roman" w:cs="Times New Roman"/>
                <w:noProof/>
                <w:sz w:val="24"/>
                <w:szCs w:val="24"/>
              </w:rPr>
              <w:t>PCR Kits</w:t>
            </w:r>
            <w:r w:rsidR="00522E7F" w:rsidRPr="00914BC3">
              <w:rPr>
                <w:rFonts w:ascii="Times New Roman" w:hAnsi="Times New Roman" w:cs="Times New Roman"/>
                <w:noProof/>
                <w:sz w:val="24"/>
                <w:szCs w:val="24"/>
              </w:rPr>
              <w:t xml:space="preserve">                                                                              </w:t>
            </w:r>
            <w:r w:rsidRPr="00914BC3">
              <w:rPr>
                <w:rFonts w:ascii="Times New Roman" w:hAnsi="Times New Roman" w:cs="Times New Roman"/>
                <w:sz w:val="24"/>
                <w:szCs w:val="24"/>
              </w:rPr>
              <w:fldChar w:fldCharType="end"/>
            </w:r>
          </w:p>
          <w:p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522E7F" w:rsidRDefault="0077261E"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522E7F" w:rsidRPr="001E7618" w:rsidRDefault="0077261E" w:rsidP="00522E7F">
            <w:pPr>
              <w:pStyle w:val="FormFieldCaption"/>
              <w:rPr>
                <w:b/>
                <w:sz w:val="20"/>
                <w:szCs w:val="20"/>
              </w:rPr>
            </w:pPr>
            <w:r>
              <w:rPr>
                <w:sz w:val="20"/>
                <w:szCs w:val="20"/>
              </w:rPr>
              <w:fldChar w:fldCharType="begin">
                <w:ffData>
                  <w:name w:val=""/>
                  <w:enabled/>
                  <w:calcOnExit w:val="0"/>
                  <w:textInput>
                    <w:default w:val="•                                                                                "/>
                  </w:textInput>
                </w:ffData>
              </w:fldChar>
            </w:r>
            <w:r w:rsidR="00522E7F">
              <w:rPr>
                <w:sz w:val="20"/>
                <w:szCs w:val="20"/>
              </w:rPr>
              <w:instrText xml:space="preserve"> FORMTEXT </w:instrText>
            </w:r>
            <w:r>
              <w:rPr>
                <w:sz w:val="20"/>
                <w:szCs w:val="20"/>
              </w:rPr>
            </w:r>
            <w:r>
              <w:rPr>
                <w:sz w:val="20"/>
                <w:szCs w:val="20"/>
              </w:rPr>
              <w:fldChar w:fldCharType="separate"/>
            </w:r>
            <w:r w:rsidR="00522E7F">
              <w:rPr>
                <w:noProof/>
                <w:sz w:val="20"/>
                <w:szCs w:val="20"/>
              </w:rPr>
              <w:t>•</w:t>
            </w:r>
            <w:r w:rsidR="00522E7F">
              <w:rPr>
                <w:noProof/>
                <w:sz w:val="20"/>
                <w:szCs w:val="20"/>
              </w:rPr>
              <w:tab/>
              <w:t xml:space="preserve">                                                                               </w:t>
            </w:r>
            <w:r>
              <w:rPr>
                <w:sz w:val="20"/>
                <w:szCs w:val="20"/>
              </w:rPr>
              <w:fldChar w:fldCharType="end"/>
            </w:r>
          </w:p>
          <w:p w:rsidR="006E1C90" w:rsidRPr="001E7618" w:rsidRDefault="006E1C90" w:rsidP="00F40F58">
            <w:pPr>
              <w:pStyle w:val="FormFieldCaption"/>
              <w:rPr>
                <w:b/>
                <w:sz w:val="20"/>
                <w:szCs w:val="20"/>
              </w:rPr>
            </w:pPr>
          </w:p>
          <w:p w:rsidR="006E1C90" w:rsidRPr="001E7618" w:rsidRDefault="006E1C90" w:rsidP="0009166D">
            <w:pPr>
              <w:pStyle w:val="FormFieldCaption"/>
              <w:ind w:left="720"/>
              <w:rPr>
                <w:b/>
                <w:sz w:val="20"/>
                <w:szCs w:val="20"/>
              </w:rPr>
            </w:pPr>
          </w:p>
        </w:tc>
      </w:tr>
    </w:tbl>
    <w:p w:rsidR="006E1C90" w:rsidRDefault="006E1C90" w:rsidP="006E1C90">
      <w:pPr>
        <w:pStyle w:val="DataField11pt-Single"/>
        <w:tabs>
          <w:tab w:val="left" w:pos="-450"/>
          <w:tab w:val="left" w:pos="180"/>
          <w:tab w:val="left" w:pos="450"/>
        </w:tabs>
        <w:sectPr w:rsidR="006E1C90" w:rsidSect="00C447B5">
          <w:type w:val="continuous"/>
          <w:pgSz w:w="12240" w:h="15840"/>
          <w:pgMar w:top="563" w:right="810" w:bottom="1440" w:left="990" w:header="450" w:footer="720" w:gutter="0"/>
          <w:cols w:space="720"/>
          <w:docGrid w:linePitch="360"/>
        </w:sectPr>
      </w:pPr>
    </w:p>
    <w:p w:rsidR="00675F48" w:rsidRDefault="00675F48" w:rsidP="00675F48">
      <w:pPr>
        <w:jc w:val="center"/>
        <w:rPr>
          <w:b/>
        </w:rPr>
      </w:pPr>
      <w:r>
        <w:rPr>
          <w:b/>
        </w:rPr>
        <w:lastRenderedPageBreak/>
        <w:t>SPECIFIC AIMS</w:t>
      </w:r>
    </w:p>
    <w:p w:rsidR="00675F48" w:rsidRDefault="00675F48" w:rsidP="00675F48">
      <w:pPr>
        <w:jc w:val="center"/>
        <w:rPr>
          <w:b/>
        </w:rPr>
      </w:pPr>
    </w:p>
    <w:p w:rsidR="00675F48" w:rsidRDefault="00675F48" w:rsidP="00675F48">
      <w:pPr>
        <w:jc w:val="center"/>
        <w:rPr>
          <w:b/>
        </w:rPr>
      </w:pPr>
    </w:p>
    <w:p w:rsidR="002F4F78" w:rsidRPr="00734B19" w:rsidRDefault="002F4F78" w:rsidP="002F4F78">
      <w:pPr>
        <w:spacing w:line="480" w:lineRule="auto"/>
        <w:ind w:firstLine="720"/>
      </w:pPr>
      <w:r w:rsidRPr="007C5D68">
        <w:rPr>
          <w:color w:val="000000"/>
        </w:rPr>
        <w:t xml:space="preserve">The primary goal of the proposed study is </w:t>
      </w:r>
      <w:r>
        <w:rPr>
          <w:color w:val="000000"/>
        </w:rPr>
        <w:t>to compare the prevalence of T2D in the native Ethiopians and the Ethiopian immigrants</w:t>
      </w:r>
      <w:r w:rsidR="00B15619">
        <w:rPr>
          <w:color w:val="000000"/>
        </w:rPr>
        <w:t xml:space="preserve"> </w:t>
      </w:r>
      <w:r>
        <w:rPr>
          <w:color w:val="000000"/>
        </w:rPr>
        <w:t>18 years and above who have been living in the United States for more than 5 years</w:t>
      </w:r>
      <w:r w:rsidRPr="0009317F">
        <w:rPr>
          <w:color w:val="000000"/>
        </w:rPr>
        <w:t xml:space="preserve"> </w:t>
      </w:r>
      <w:r>
        <w:rPr>
          <w:color w:val="000000"/>
        </w:rPr>
        <w:t xml:space="preserve">and </w:t>
      </w:r>
      <w:r w:rsidRPr="007C5D68">
        <w:rPr>
          <w:color w:val="000000"/>
        </w:rPr>
        <w:t xml:space="preserve">to </w:t>
      </w:r>
      <w:r>
        <w:rPr>
          <w:color w:val="000000"/>
        </w:rPr>
        <w:t xml:space="preserve">investigate whether or not </w:t>
      </w:r>
      <w:r w:rsidRPr="007C5D68">
        <w:rPr>
          <w:color w:val="000000"/>
        </w:rPr>
        <w:t>epigenetic</w:t>
      </w:r>
      <w:r>
        <w:rPr>
          <w:color w:val="000000"/>
        </w:rPr>
        <w:t>s</w:t>
      </w:r>
      <w:r w:rsidRPr="007C5D68">
        <w:rPr>
          <w:color w:val="000000"/>
        </w:rPr>
        <w:t xml:space="preserve"> modification </w:t>
      </w:r>
      <w:r w:rsidRPr="0009317F">
        <w:rPr>
          <w:color w:val="000000"/>
        </w:rPr>
        <w:t>could be</w:t>
      </w:r>
      <w:r>
        <w:rPr>
          <w:color w:val="000000"/>
        </w:rPr>
        <w:t xml:space="preserve"> associated with difference in prevalence among the two groups.</w:t>
      </w:r>
      <w:bookmarkStart w:id="8" w:name="_Hlk508611639"/>
      <w:r>
        <w:rPr>
          <w:color w:val="000000"/>
        </w:rPr>
        <w:t xml:space="preserve">  </w:t>
      </w:r>
      <w:r w:rsidRPr="00734B19">
        <w:rPr>
          <w:color w:val="000000"/>
        </w:rPr>
        <w:t>The specific aims are as follow:</w:t>
      </w:r>
    </w:p>
    <w:p w:rsidR="002F4F78" w:rsidRPr="00343615" w:rsidRDefault="002F4F78" w:rsidP="002F4F78">
      <w:pPr>
        <w:pStyle w:val="ListParagraph"/>
        <w:numPr>
          <w:ilvl w:val="0"/>
          <w:numId w:val="22"/>
        </w:numPr>
        <w:spacing w:line="480" w:lineRule="auto"/>
        <w:textAlignment w:val="baseline"/>
      </w:pPr>
      <w:bookmarkStart w:id="9" w:name="_Hlk519160606"/>
      <w:bookmarkStart w:id="10" w:name="_Hlk508548896"/>
      <w:r w:rsidRPr="003203FA">
        <w:rPr>
          <w:rFonts w:eastAsiaTheme="minorEastAsia"/>
          <w:color w:val="000000" w:themeColor="text1"/>
          <w:kern w:val="24"/>
        </w:rPr>
        <w:t>Examine the prevalence of T2D among the Ethiopian immigrant population who ha</w:t>
      </w:r>
      <w:r w:rsidR="00DD131D">
        <w:rPr>
          <w:rFonts w:eastAsiaTheme="minorEastAsia"/>
          <w:color w:val="000000" w:themeColor="text1"/>
          <w:kern w:val="24"/>
        </w:rPr>
        <w:t xml:space="preserve">s </w:t>
      </w:r>
      <w:r w:rsidRPr="003203FA">
        <w:rPr>
          <w:rFonts w:eastAsiaTheme="minorEastAsia"/>
          <w:color w:val="000000" w:themeColor="text1"/>
          <w:kern w:val="24"/>
        </w:rPr>
        <w:t xml:space="preserve">been living in the United States for more than five years and compare </w:t>
      </w:r>
      <w:r w:rsidR="00B15619">
        <w:rPr>
          <w:rFonts w:eastAsiaTheme="minorEastAsia"/>
          <w:color w:val="000000" w:themeColor="text1"/>
          <w:kern w:val="24"/>
        </w:rPr>
        <w:t xml:space="preserve">it </w:t>
      </w:r>
      <w:r w:rsidRPr="003203FA">
        <w:rPr>
          <w:rFonts w:eastAsiaTheme="minorEastAsia"/>
          <w:color w:val="000000" w:themeColor="text1"/>
          <w:kern w:val="24"/>
        </w:rPr>
        <w:t>with the prevalence in native Ethiopian</w:t>
      </w:r>
      <w:bookmarkEnd w:id="9"/>
      <w:r w:rsidR="00DD131D">
        <w:rPr>
          <w:rFonts w:eastAsiaTheme="minorEastAsia"/>
          <w:color w:val="000000" w:themeColor="text1"/>
          <w:kern w:val="24"/>
        </w:rPr>
        <w:t>.</w:t>
      </w:r>
    </w:p>
    <w:p w:rsidR="002F4F78" w:rsidRPr="00C429C1" w:rsidRDefault="002F4F78" w:rsidP="002F4F78">
      <w:pPr>
        <w:numPr>
          <w:ilvl w:val="0"/>
          <w:numId w:val="22"/>
        </w:numPr>
        <w:spacing w:line="480" w:lineRule="auto"/>
        <w:textAlignment w:val="baseline"/>
        <w:rPr>
          <w:rFonts w:ascii="Arial" w:hAnsi="Arial" w:cs="Arial"/>
          <w:color w:val="000000"/>
        </w:rPr>
      </w:pPr>
      <w:bookmarkStart w:id="11" w:name="_Hlk519160676"/>
      <w:bookmarkStart w:id="12" w:name="_Hlk519536958"/>
      <w:bookmarkEnd w:id="10"/>
      <w:r w:rsidRPr="00343615">
        <w:rPr>
          <w:rFonts w:eastAsiaTheme="minorEastAsia"/>
          <w:color w:val="000000" w:themeColor="text1"/>
          <w:kern w:val="24"/>
        </w:rPr>
        <w:t xml:space="preserve">Systematic </w:t>
      </w:r>
      <w:r>
        <w:rPr>
          <w:rFonts w:eastAsiaTheme="minorEastAsia"/>
          <w:color w:val="000000" w:themeColor="text1"/>
          <w:kern w:val="24"/>
        </w:rPr>
        <w:t>review</w:t>
      </w:r>
      <w:r w:rsidRPr="00343615">
        <w:rPr>
          <w:rFonts w:eastAsiaTheme="minorEastAsia"/>
          <w:color w:val="000000" w:themeColor="text1"/>
          <w:kern w:val="24"/>
        </w:rPr>
        <w:t xml:space="preserve"> of literature on world-wide Genome Wide Association Studies (GWAS) to identify genes that have been found to be associated with T2D</w:t>
      </w:r>
      <w:bookmarkEnd w:id="11"/>
      <w:r>
        <w:rPr>
          <w:rFonts w:eastAsiaTheme="minorEastAsia"/>
          <w:color w:val="000000" w:themeColor="text1"/>
          <w:kern w:val="24"/>
        </w:rPr>
        <w:t>.</w:t>
      </w:r>
    </w:p>
    <w:p w:rsidR="002F4F78" w:rsidRDefault="002F4F78" w:rsidP="002F4F78">
      <w:pPr>
        <w:pStyle w:val="ListParagraph"/>
        <w:numPr>
          <w:ilvl w:val="0"/>
          <w:numId w:val="22"/>
        </w:numPr>
        <w:spacing w:line="480" w:lineRule="auto"/>
        <w:textAlignment w:val="baseline"/>
      </w:pPr>
      <w:bookmarkStart w:id="13" w:name="_Hlk519160734"/>
      <w:bookmarkStart w:id="14" w:name="_Hlk508720186"/>
      <w:r w:rsidRPr="00CC1AD5">
        <w:rPr>
          <w:rFonts w:eastAsiaTheme="minorEastAsia"/>
          <w:color w:val="000000" w:themeColor="text1"/>
          <w:kern w:val="24"/>
        </w:rPr>
        <w:t>Compare the degree of epigenetic modifications in diabetes cases and controls possibly resulting in altered gene expressions of the identified genes</w:t>
      </w:r>
      <w:bookmarkEnd w:id="13"/>
      <w:bookmarkEnd w:id="14"/>
      <w:r>
        <w:rPr>
          <w:rFonts w:eastAsiaTheme="minorEastAsia"/>
          <w:color w:val="000000" w:themeColor="text1"/>
          <w:kern w:val="24"/>
        </w:rPr>
        <w:t xml:space="preserve">. </w:t>
      </w:r>
    </w:p>
    <w:bookmarkEnd w:id="8"/>
    <w:bookmarkEnd w:id="12"/>
    <w:p w:rsidR="00675F48" w:rsidRDefault="00675F48" w:rsidP="00675F48">
      <w:pPr>
        <w:spacing w:line="480" w:lineRule="auto"/>
        <w:ind w:firstLine="720"/>
        <w:contextualSpacing/>
        <w:jc w:val="both"/>
      </w:pPr>
    </w:p>
    <w:p w:rsidR="00822D99" w:rsidRDefault="00822D99" w:rsidP="00822D99">
      <w:pPr>
        <w:pStyle w:val="western"/>
        <w:widowControl w:val="0"/>
        <w:spacing w:before="0" w:beforeAutospacing="0" w:after="0" w:afterAutospacing="0" w:line="360" w:lineRule="auto"/>
        <w:ind w:firstLine="720"/>
        <w:jc w:val="both"/>
        <w:rPr>
          <w:szCs w:val="20"/>
        </w:rPr>
      </w:pPr>
    </w:p>
    <w:p w:rsidR="00822D99" w:rsidRDefault="00822D99" w:rsidP="00822D99">
      <w:pPr>
        <w:pStyle w:val="western"/>
        <w:widowControl w:val="0"/>
        <w:spacing w:before="0" w:beforeAutospacing="0" w:after="0" w:afterAutospacing="0" w:line="480" w:lineRule="auto"/>
        <w:ind w:firstLine="720"/>
        <w:jc w:val="both"/>
        <w:rPr>
          <w:szCs w:val="20"/>
        </w:rPr>
      </w:pPr>
    </w:p>
    <w:p w:rsidR="005C041B" w:rsidRDefault="005C041B" w:rsidP="00822D99">
      <w:pPr>
        <w:tabs>
          <w:tab w:val="left" w:pos="840"/>
          <w:tab w:val="center" w:pos="4320"/>
        </w:tabs>
        <w:spacing w:after="360" w:line="480" w:lineRule="auto"/>
        <w:jc w:val="center"/>
        <w:rPr>
          <w:b/>
          <w:szCs w:val="20"/>
        </w:rPr>
      </w:pPr>
    </w:p>
    <w:p w:rsidR="00F77AB0" w:rsidRDefault="00F77AB0" w:rsidP="00822D99">
      <w:pPr>
        <w:tabs>
          <w:tab w:val="left" w:pos="840"/>
          <w:tab w:val="center" w:pos="4320"/>
        </w:tabs>
        <w:spacing w:after="360" w:line="480" w:lineRule="auto"/>
        <w:jc w:val="center"/>
        <w:rPr>
          <w:b/>
          <w:szCs w:val="20"/>
        </w:rPr>
      </w:pPr>
    </w:p>
    <w:p w:rsidR="00822D99" w:rsidRDefault="00822D99" w:rsidP="00822D99">
      <w:pPr>
        <w:tabs>
          <w:tab w:val="left" w:pos="840"/>
          <w:tab w:val="center" w:pos="4320"/>
        </w:tabs>
        <w:spacing w:after="360" w:line="480" w:lineRule="auto"/>
        <w:jc w:val="center"/>
        <w:rPr>
          <w:b/>
          <w:szCs w:val="20"/>
        </w:rPr>
      </w:pPr>
    </w:p>
    <w:p w:rsidR="00675F48" w:rsidRDefault="00675F48">
      <w:pPr>
        <w:rPr>
          <w:b/>
          <w:szCs w:val="20"/>
        </w:rPr>
      </w:pPr>
      <w:r>
        <w:rPr>
          <w:b/>
          <w:szCs w:val="20"/>
        </w:rPr>
        <w:br w:type="page"/>
      </w:r>
    </w:p>
    <w:p w:rsidR="00675F48" w:rsidRDefault="00675F48" w:rsidP="00675F48">
      <w:pPr>
        <w:jc w:val="center"/>
        <w:rPr>
          <w:b/>
        </w:rPr>
      </w:pPr>
      <w:r>
        <w:rPr>
          <w:b/>
        </w:rPr>
        <w:lastRenderedPageBreak/>
        <w:t>BACKGROUND AND SIGNIFICANCE</w:t>
      </w:r>
    </w:p>
    <w:p w:rsidR="00675F48" w:rsidRDefault="00675F48" w:rsidP="00675F48">
      <w:pPr>
        <w:jc w:val="center"/>
        <w:rPr>
          <w:b/>
        </w:rPr>
      </w:pPr>
    </w:p>
    <w:p w:rsidR="00675F48" w:rsidRDefault="00675F48" w:rsidP="00675F48">
      <w:pPr>
        <w:jc w:val="center"/>
        <w:rPr>
          <w:b/>
        </w:rPr>
      </w:pPr>
    </w:p>
    <w:p w:rsidR="00EE4407" w:rsidRDefault="00EE4407" w:rsidP="00EE4407">
      <w:pPr>
        <w:spacing w:line="480" w:lineRule="auto"/>
        <w:ind w:firstLine="720"/>
        <w:rPr>
          <w:color w:val="000000"/>
        </w:rPr>
      </w:pPr>
      <w:r w:rsidRPr="00734B19">
        <w:rPr>
          <w:color w:val="000000"/>
        </w:rPr>
        <w:t xml:space="preserve">Type 2 Diabetes (T2D) is a condition </w:t>
      </w:r>
      <w:r>
        <w:rPr>
          <w:color w:val="000000"/>
        </w:rPr>
        <w:t>of altered carbohydrate metabolism due to lack of, or resistance to, the effects of insulin.  E</w:t>
      </w:r>
      <w:r w:rsidRPr="00734B19">
        <w:rPr>
          <w:color w:val="000000"/>
        </w:rPr>
        <w:t xml:space="preserve">ither </w:t>
      </w:r>
      <w:r>
        <w:rPr>
          <w:color w:val="000000"/>
        </w:rPr>
        <w:t xml:space="preserve">the beta cells in the </w:t>
      </w:r>
      <w:r w:rsidRPr="00734B19">
        <w:rPr>
          <w:color w:val="000000"/>
        </w:rPr>
        <w:t>pancreas</w:t>
      </w:r>
      <w:r>
        <w:rPr>
          <w:color w:val="000000"/>
        </w:rPr>
        <w:t xml:space="preserve"> </w:t>
      </w:r>
      <w:r w:rsidRPr="00734B19">
        <w:rPr>
          <w:color w:val="000000"/>
        </w:rPr>
        <w:t xml:space="preserve">do not produce enough insulin, or the cells become resistant to the effect of insulin or sometimes both </w:t>
      </w:r>
      <w:r>
        <w:rPr>
          <w:color w:val="000000"/>
        </w:rPr>
        <w:fldChar w:fldCharType="begin"/>
      </w:r>
      <w:r>
        <w:rPr>
          <w:color w:val="000000"/>
        </w:rPr>
        <w:instrText xml:space="preserve"> ADDIN ZOTERO_ITEM CSL_CITATION {"citationID":"a1aapvnbu61","properties":{"formattedCitation":"(Gloyn et al. 2009)","plainCitation":"(Gloyn et al. 2009)","noteIndex":0},"citationItems":[{"id":113,"uris":["http://zotero.org/users/4264928/items/ZC64DSBP"],"uri":["http://zotero.org/users/4264928/items/ZC64DSBP"],"itemData":{"id":113,"type":"article-journal","title":"Type 2 Diabetes Susceptibility Gene TCF7L2 and Its Role in β-Cell Function","container-title":"Diabetes","page":"800-802","volume":"58","issue":"4","source":"PubMed Central","DOI":"10.2337/db09-0099","ISSN":"0012-1797","note":"PMID: 19336690\nPMCID: PMC2661580","journalAbbreviation":"Diabetes","author":[{"family":"Gloyn","given":"Anna L."},{"family":"Braun","given":"Matthias"},{"family":"Rorsman","given":"Patrik"}],"issued":{"date-parts":[["2009",4]]}}}],"schema":"https://github.com/citation-style-language/schema/raw/master/csl-citation.json"} </w:instrText>
      </w:r>
      <w:r>
        <w:rPr>
          <w:color w:val="000000"/>
        </w:rPr>
        <w:fldChar w:fldCharType="separate"/>
      </w:r>
      <w:r w:rsidRPr="00AC6ACE">
        <w:t xml:space="preserve">(Gloyn </w:t>
      </w:r>
      <w:r w:rsidRPr="00C95222">
        <w:rPr>
          <w:i/>
        </w:rPr>
        <w:t>et al</w:t>
      </w:r>
      <w:r w:rsidRPr="00AC6ACE">
        <w:t>. 2009)</w:t>
      </w:r>
      <w:r>
        <w:rPr>
          <w:color w:val="000000"/>
        </w:rPr>
        <w:fldChar w:fldCharType="end"/>
      </w:r>
      <w:r w:rsidRPr="00734B19">
        <w:rPr>
          <w:color w:val="000000"/>
        </w:rPr>
        <w:t xml:space="preserve">. </w:t>
      </w:r>
      <w:r>
        <w:rPr>
          <w:color w:val="000000"/>
        </w:rPr>
        <w:t xml:space="preserve"> </w:t>
      </w:r>
      <w:r w:rsidRPr="00734B19">
        <w:rPr>
          <w:color w:val="000000"/>
        </w:rPr>
        <w:t>In healthy individuals, the carbohydrate</w:t>
      </w:r>
      <w:r>
        <w:rPr>
          <w:color w:val="000000"/>
        </w:rPr>
        <w:t>s</w:t>
      </w:r>
      <w:r w:rsidRPr="00734B19">
        <w:rPr>
          <w:color w:val="000000"/>
        </w:rPr>
        <w:t xml:space="preserve"> in the digested food </w:t>
      </w:r>
      <w:r>
        <w:rPr>
          <w:color w:val="000000"/>
        </w:rPr>
        <w:t>are</w:t>
      </w:r>
      <w:r w:rsidRPr="00734B19">
        <w:rPr>
          <w:color w:val="000000"/>
        </w:rPr>
        <w:t xml:space="preserve"> </w:t>
      </w:r>
      <w:r>
        <w:rPr>
          <w:color w:val="000000"/>
        </w:rPr>
        <w:t>metabolized</w:t>
      </w:r>
      <w:r w:rsidRPr="00734B19">
        <w:rPr>
          <w:color w:val="000000"/>
        </w:rPr>
        <w:t xml:space="preserve"> into monosaccharides such as glucose. </w:t>
      </w:r>
      <w:r>
        <w:rPr>
          <w:color w:val="000000"/>
        </w:rPr>
        <w:t xml:space="preserve"> </w:t>
      </w:r>
      <w:r w:rsidRPr="00734B19">
        <w:rPr>
          <w:color w:val="000000"/>
        </w:rPr>
        <w:t>The glucose is absorbed by the small intestine and released into the bloodstream.</w:t>
      </w:r>
      <w:r>
        <w:rPr>
          <w:color w:val="000000"/>
        </w:rPr>
        <w:t xml:space="preserve">  T</w:t>
      </w:r>
      <w:r w:rsidRPr="00734B19">
        <w:rPr>
          <w:color w:val="000000"/>
        </w:rPr>
        <w:t xml:space="preserve">he rise of </w:t>
      </w:r>
      <w:r>
        <w:rPr>
          <w:color w:val="000000"/>
        </w:rPr>
        <w:t xml:space="preserve">the </w:t>
      </w:r>
      <w:r w:rsidRPr="00734B19">
        <w:rPr>
          <w:color w:val="000000"/>
        </w:rPr>
        <w:t>glucose level</w:t>
      </w:r>
      <w:r>
        <w:rPr>
          <w:color w:val="000000"/>
        </w:rPr>
        <w:t xml:space="preserve"> into the bloodstream </w:t>
      </w:r>
      <w:r w:rsidRPr="00734B19">
        <w:rPr>
          <w:color w:val="000000"/>
        </w:rPr>
        <w:t>causes</w:t>
      </w:r>
      <w:r>
        <w:rPr>
          <w:color w:val="000000"/>
        </w:rPr>
        <w:t xml:space="preserve"> </w:t>
      </w:r>
      <w:r w:rsidRPr="00734B19">
        <w:rPr>
          <w:color w:val="000000"/>
        </w:rPr>
        <w:t>beta cells to release insulin to promote the uptake of glucose for metabolism and storage.</w:t>
      </w:r>
      <w:r>
        <w:rPr>
          <w:color w:val="000000"/>
        </w:rPr>
        <w:t xml:space="preserve">  For example, glucose transporter gene </w:t>
      </w:r>
      <w:r w:rsidRPr="00734B19">
        <w:rPr>
          <w:color w:val="000000"/>
        </w:rPr>
        <w:t>bind</w:t>
      </w:r>
      <w:r>
        <w:rPr>
          <w:color w:val="000000"/>
        </w:rPr>
        <w:t>s</w:t>
      </w:r>
      <w:r w:rsidRPr="00734B19">
        <w:rPr>
          <w:color w:val="000000"/>
        </w:rPr>
        <w:t xml:space="preserve"> to its transmembrane receptor</w:t>
      </w:r>
      <w:r w:rsidRPr="00734B19">
        <w:rPr>
          <w:b/>
          <w:bCs/>
          <w:color w:val="000000"/>
        </w:rPr>
        <w:t xml:space="preserve"> </w:t>
      </w:r>
      <w:r w:rsidRPr="00734B19">
        <w:rPr>
          <w:color w:val="000000"/>
        </w:rPr>
        <w:t>and initiates</w:t>
      </w:r>
      <w:r>
        <w:rPr>
          <w:color w:val="000000"/>
        </w:rPr>
        <w:t xml:space="preserve"> </w:t>
      </w:r>
      <w:r w:rsidRPr="00734B19">
        <w:rPr>
          <w:color w:val="000000"/>
        </w:rPr>
        <w:t>intracellular protein activation cascades</w:t>
      </w:r>
      <w:r>
        <w:rPr>
          <w:color w:val="000000"/>
        </w:rPr>
        <w:t>,</w:t>
      </w:r>
      <w:r w:rsidRPr="00734B19">
        <w:rPr>
          <w:color w:val="000000"/>
        </w:rPr>
        <w:t xml:space="preserve"> including the translocation of glucose transporter type 4 (</w:t>
      </w:r>
      <w:r w:rsidRPr="00845716">
        <w:rPr>
          <w:i/>
          <w:color w:val="000000"/>
        </w:rPr>
        <w:t>GLUT4</w:t>
      </w:r>
      <w:r w:rsidRPr="00734B19">
        <w:rPr>
          <w:color w:val="000000"/>
        </w:rPr>
        <w:t xml:space="preserve">) protein to the plasma membrane of the target cells </w:t>
      </w:r>
      <w:r>
        <w:rPr>
          <w:color w:val="000000"/>
        </w:rPr>
        <w:fldChar w:fldCharType="begin"/>
      </w:r>
      <w:r>
        <w:rPr>
          <w:color w:val="000000"/>
        </w:rPr>
        <w:instrText xml:space="preserve"> ADDIN ZOTERO_ITEM CSL_CITATION {"citationID":"a12mgbjtvtk","properties":{"formattedCitation":"(American Diabetes Association 2013)","plainCitation":"(American Diabetes Association 2013)","noteIndex":0},"citationItems":[{"id":106,"uris":["http://zotero.org/users/4264928/items/VLHMZGVQ"],"uri":["http://zotero.org/users/4264928/items/VLHMZGVQ"],"itemData":{"id":106,"type":"article-journal","title":"Economic costs of diabetes in the U.S. in 2012","container-title":"Diabetes Care","page":"1033-1046","volume":"36","issue":"4","source":"PubMed","abstract":"OBJECTIVE: This study updates previous estimates of the economic burden of diagnosed diabetes and quantifies the increased health resource use and lost productivity associated with diabetes in 2012.\nRESEARCH DESIGN AND METHODS: The study uses a prevalence-based approach that combines the demographics of the U.S. population in 2012 with diabetes prevalence, epidemiological data, health care cost, and economic data into a Cost of Diabetes Model. Health resource use and associated medical costs are analyzed by age, sex, race/ethnicity, insurance coverage, medical condition, and health service category. Data sources include national surveys, Medicare standard analytical files, and one of the largest claims databases for the commercially insured population in the U.S.\nRESULTS: The total estimated cost of diagnosed diabetes in 2012 is $245 billion, including $176 billion in direct medical costs and $69 billion in reduced productivity. The largest components of medical expenditures are hospital inpatient care (43% of the total medical cost), prescription medications to treat the complications of diabetes (18%), antidiabetic agents and diabetes supplies (12%), physician office visits (9%), and nursing/residential facility stays (8%). People with diagnosed diabetes incur average medical expenditures of about $13,700 per year, of which about $7,900 is attributed to diabetes. People with diagnosed diabetes, on average, have medical expenditures approximately 2.3 times higher than what expenditures would be in the absence of diabetes. For the cost categories analyzed, care for people with diagnosed diabetes accounts for more than 1 in 5 health care dollars in the U.S., and more than half of that expenditure is directly attributable to diabetes. Indirect costs include increased absenteeism ($5 billion) and reduced productivity while at work ($20.8 billion) for the employed population, reduced productivity for those not in the labor force ($2.7 billion), inability to work as a result of disease-related disability ($21.6 billion), and lost productive capacity due to early mortality ($18.5 billion).\nCONCLUSIONS: The estimated total economic cost of diagnosed diabetes in 2012 is $245 billion, a 41% increase from our previous estimate of $174 billion (in 2007 dollars). This estimate highlights the substantial burden that diabetes imposes on society. Additional components of societal burden omitted from our study include intangibles from pain and suffering, resources from care provided by nonpaid caregivers, and the burden associated with undiagnosed diabetes.","DOI":"10.2337/dc12-2625","ISSN":"1935-5548","note":"PMID: 23468086\nPMCID: PMC3609540","journalAbbreviation":"Diabetes Care","language":"eng","author":[{"literal":"American Diabetes Association"}],"issued":{"date-parts":[["2013",4]]}}}],"schema":"https://github.com/citation-style-language/schema/raw/master/csl-citation.json"} </w:instrText>
      </w:r>
      <w:r>
        <w:rPr>
          <w:color w:val="000000"/>
        </w:rPr>
        <w:fldChar w:fldCharType="separate"/>
      </w:r>
      <w:r w:rsidRPr="00AC6ACE">
        <w:t>(American Diabetes Associatio</w:t>
      </w:r>
      <w:r w:rsidRPr="003E76FC">
        <w:t>n 2</w:t>
      </w:r>
      <w:r w:rsidRPr="00AC6ACE">
        <w:t>013)</w:t>
      </w:r>
      <w:r>
        <w:rPr>
          <w:color w:val="000000"/>
        </w:rPr>
        <w:fldChar w:fldCharType="end"/>
      </w:r>
      <w:r w:rsidRPr="00734B19">
        <w:rPr>
          <w:color w:val="000000"/>
        </w:rPr>
        <w:t xml:space="preserve">. </w:t>
      </w:r>
      <w:r>
        <w:rPr>
          <w:color w:val="000000"/>
        </w:rPr>
        <w:t xml:space="preserve"> </w:t>
      </w:r>
      <w:r w:rsidRPr="00734B19">
        <w:rPr>
          <w:color w:val="000000"/>
        </w:rPr>
        <w:t xml:space="preserve">This results in an influx of glucose </w:t>
      </w:r>
      <w:r>
        <w:rPr>
          <w:color w:val="000000"/>
        </w:rPr>
        <w:t>which</w:t>
      </w:r>
      <w:r w:rsidRPr="00734B19">
        <w:rPr>
          <w:color w:val="000000"/>
        </w:rPr>
        <w:t xml:space="preserve"> leads to glycogen synthesis, glycolysis, and fatty acid synthesis </w:t>
      </w:r>
      <w:r>
        <w:rPr>
          <w:color w:val="000000"/>
        </w:rPr>
        <w:fldChar w:fldCharType="begin"/>
      </w:r>
      <w:r>
        <w:rPr>
          <w:color w:val="000000"/>
        </w:rPr>
        <w:instrText xml:space="preserve"> ADDIN ZOTERO_ITEM CSL_CITATION {"citationID":"amcomm960e","properties":{"formattedCitation":"(Sears and Perry 2015)","plainCitation":"(Sears and Perry 2015)","noteIndex":0},"citationItems":[{"id":163,"uris":["http://zotero.org/users/4264928/items/8PCMLJUW"],"uri":["http://zotero.org/users/4264928/items/8PCMLJUW"],"itemData":{"id":163,"type":"article-journal","title":"The role of fatty acids in insulin resistance","container-title":"Lipids in Health and Disease","volume":"14","source":"PubMed Central","abstract":"Insulin resistance is a multi-faceted disruption of the communication between insulin and the interior of a target cell. The underlying cause of insulin resistance appears to be inflammation that can either be increased or decreased by the fatty acid composition of the diet. However, the molecular basis for insulin resistance can be quite different in various organs. This review deals with various types of inflammatory inputs mediated by fatty acids, which affect the extent of insulin resistance in various organs.","URL":"https://www.ncbi.nlm.nih.gov/pmc/articles/PMC4587882/","DOI":"10.1186/s12944-015-0123-1","ISSN":"1476-511X","note":"PMID: 26415887\nPMCID: PMC4587882","journalAbbreviation":"Lipids Health Dis","author":[{"family":"Sears","given":"Barry"},{"family":"Perry","given":"Mary"}],"issued":{"date-parts":[["2015",9,29]]},"accessed":{"date-parts":[["2018",2,4]]}}}],"schema":"https://github.com/citation-style-language/schema/raw/master/csl-citation.json"} </w:instrText>
      </w:r>
      <w:r>
        <w:rPr>
          <w:color w:val="000000"/>
        </w:rPr>
        <w:fldChar w:fldCharType="separate"/>
      </w:r>
      <w:r w:rsidRPr="00AC6ACE">
        <w:t>(Sears and Perry 2015)</w:t>
      </w:r>
      <w:r>
        <w:rPr>
          <w:color w:val="000000"/>
        </w:rPr>
        <w:fldChar w:fldCharType="end"/>
      </w:r>
      <w:r w:rsidRPr="00734B19">
        <w:rPr>
          <w:color w:val="000000"/>
        </w:rPr>
        <w:t>.</w:t>
      </w:r>
      <w:r>
        <w:rPr>
          <w:color w:val="000000"/>
        </w:rPr>
        <w:t xml:space="preserve">  </w:t>
      </w:r>
      <w:r w:rsidRPr="00734B19">
        <w:rPr>
          <w:color w:val="000000"/>
        </w:rPr>
        <w:t>However, in T2D patients, th</w:t>
      </w:r>
      <w:r>
        <w:rPr>
          <w:color w:val="000000"/>
        </w:rPr>
        <w:t>e</w:t>
      </w:r>
      <w:r w:rsidRPr="00734B19">
        <w:rPr>
          <w:color w:val="000000"/>
        </w:rPr>
        <w:t xml:space="preserve"> normal pathway is compromised. </w:t>
      </w:r>
    </w:p>
    <w:p w:rsidR="00EE4407" w:rsidRDefault="00433B31" w:rsidP="00EE4407">
      <w:pPr>
        <w:spacing w:line="480" w:lineRule="auto"/>
        <w:ind w:firstLine="720"/>
        <w:rPr>
          <w:color w:val="000000"/>
        </w:rPr>
      </w:pPr>
      <w:r>
        <w:rPr>
          <w:color w:val="000000"/>
        </w:rPr>
        <w:t>In individuals with T2D, w</w:t>
      </w:r>
      <w:r w:rsidR="00EE4407">
        <w:rPr>
          <w:color w:val="000000"/>
        </w:rPr>
        <w:t xml:space="preserve">hen </w:t>
      </w:r>
      <w:r w:rsidR="00EE4407" w:rsidRPr="00734B19">
        <w:rPr>
          <w:color w:val="000000"/>
        </w:rPr>
        <w:t>glucose is not taken in by the target cells</w:t>
      </w:r>
      <w:r>
        <w:rPr>
          <w:color w:val="000000"/>
        </w:rPr>
        <w:t>,</w:t>
      </w:r>
      <w:r w:rsidR="00EE4407">
        <w:rPr>
          <w:color w:val="000000"/>
        </w:rPr>
        <w:t xml:space="preserve"> to</w:t>
      </w:r>
      <w:r w:rsidR="00EE4407" w:rsidRPr="00734B19">
        <w:rPr>
          <w:color w:val="000000"/>
        </w:rPr>
        <w:t xml:space="preserve"> compensate for the increased glucose level in the bloodstream, the pancreas produces more insulin.</w:t>
      </w:r>
      <w:r w:rsidR="00EE4407">
        <w:rPr>
          <w:color w:val="000000"/>
        </w:rPr>
        <w:t xml:space="preserve">  </w:t>
      </w:r>
      <w:r w:rsidR="00EE4407" w:rsidRPr="00734B19">
        <w:rPr>
          <w:color w:val="000000"/>
        </w:rPr>
        <w:t xml:space="preserve">Thus, gradually </w:t>
      </w:r>
      <w:r>
        <w:rPr>
          <w:color w:val="000000"/>
        </w:rPr>
        <w:t xml:space="preserve">beta </w:t>
      </w:r>
      <w:r w:rsidR="00EE4407" w:rsidRPr="00734B19">
        <w:rPr>
          <w:color w:val="000000"/>
        </w:rPr>
        <w:t>cells lose their ability to produce enough insulin</w:t>
      </w:r>
      <w:r>
        <w:rPr>
          <w:color w:val="000000"/>
        </w:rPr>
        <w:t>,</w:t>
      </w:r>
      <w:r w:rsidR="00EE4407">
        <w:rPr>
          <w:color w:val="000000"/>
        </w:rPr>
        <w:t xml:space="preserve"> which leads to hyperglycemia</w:t>
      </w:r>
      <w:r w:rsidR="00EE4407" w:rsidRPr="00734B19">
        <w:rPr>
          <w:color w:val="000000"/>
        </w:rPr>
        <w:t>.</w:t>
      </w:r>
      <w:r w:rsidR="00EE4407">
        <w:rPr>
          <w:color w:val="000000"/>
        </w:rPr>
        <w:t xml:space="preserve">  </w:t>
      </w:r>
      <w:r>
        <w:rPr>
          <w:color w:val="000000"/>
        </w:rPr>
        <w:t>P</w:t>
      </w:r>
      <w:r w:rsidR="00EE4407">
        <w:rPr>
          <w:color w:val="000000"/>
        </w:rPr>
        <w:t xml:space="preserve">ersistent hyperglycemia </w:t>
      </w:r>
      <w:r w:rsidR="00EE4407" w:rsidRPr="00734B19">
        <w:rPr>
          <w:color w:val="000000"/>
        </w:rPr>
        <w:t>can</w:t>
      </w:r>
      <w:r w:rsidR="00EE4407">
        <w:rPr>
          <w:color w:val="000000"/>
        </w:rPr>
        <w:t xml:space="preserve"> </w:t>
      </w:r>
      <w:r w:rsidR="00EE4407" w:rsidRPr="00734B19">
        <w:rPr>
          <w:color w:val="000000"/>
        </w:rPr>
        <w:t xml:space="preserve">cause a person to develop long term complications </w:t>
      </w:r>
      <w:r>
        <w:rPr>
          <w:color w:val="000000"/>
        </w:rPr>
        <w:t xml:space="preserve">in </w:t>
      </w:r>
      <w:r w:rsidR="00EE4407" w:rsidRPr="00734B19">
        <w:rPr>
          <w:color w:val="000000"/>
        </w:rPr>
        <w:t xml:space="preserve">eyes, kidneys, </w:t>
      </w:r>
      <w:r w:rsidR="00EE4407">
        <w:rPr>
          <w:color w:val="000000"/>
        </w:rPr>
        <w:t>peripheral nerves, heart</w:t>
      </w:r>
      <w:r w:rsidR="009A0D4A">
        <w:rPr>
          <w:color w:val="000000"/>
        </w:rPr>
        <w:t xml:space="preserve">, and blood </w:t>
      </w:r>
      <w:r w:rsidR="009D1331">
        <w:rPr>
          <w:color w:val="000000"/>
        </w:rPr>
        <w:t xml:space="preserve">vessels </w:t>
      </w:r>
      <w:r w:rsidR="00EE4407">
        <w:rPr>
          <w:color w:val="000000"/>
        </w:rPr>
        <w:fldChar w:fldCharType="begin"/>
      </w:r>
      <w:r w:rsidR="00EE4407">
        <w:rPr>
          <w:color w:val="000000"/>
        </w:rPr>
        <w:instrText xml:space="preserve"> ADDIN ZOTERO_ITEM CSL_CITATION {"citationID":"aqa04d2kv8","properties":{"formattedCitation":"(Chawla et al. 2016)","plainCitation":"(Chawla et al. 2016)","noteIndex":0},"citationItems":[{"id":147,"uris":["http://zotero.org/users/4264928/items/GSUL4NJD"],"uri":["http://zotero.org/users/4264928/items/GSUL4NJD"],"itemData":{"id":147,"type":"article-journal","title":"Microvasular and macrovascular complications in diabetes mellitus: Distinct or continuum?","container-title":"Indian Journal of Endocrinology and Metabolism","page":"546-551","volume":"20","issue":"4","source":"PubMed Central","abstract":"Diabetes and related complications are associated with long-term damage and failure of various organ systems. The line of demarcation between the pathogenic mechanisms of microvascular and macrovascular complications of diabetes and differing responses to therapeutic interventions is blurred. Diabetes induces changes in the microvasculature, causing extracellular matrix protein synthesis, and capillary basement membrane thickening which are the pathognomic features of diabetic microangiopathy. These changes in conjunction with advanced glycation end products, oxidative stress, low grade inflammation, and neovascularization of vasa vasorum can lead to macrovascular complications. Hyperglycemia is the principal cause of microvasculopathy but also appears to play an important role in causation of macrovasculopathy. There is thought to be an intersection between micro and macro vascular complications, but the two disorders seem to be strongly interconnected, with micro vascular diseases promoting atherosclerosis through processes such as hypoxia and changes in vasa vasorum. It is thus imperative to understand whether microvascular complications distinctly precede macrovascular complications or do both of them progress simultaneously as a continuum. This will allow re-focusing on the clinical issues with a unifying perspective which can improve type 2 diabetes mellitus outcomes.","DOI":"10.4103/2230-8210.183480","ISSN":"2230-8210","note":"PMID: 27366724\nPMCID: PMC4911847","shortTitle":"Microvasular and macrovascular complications in diabetes mellitus","journalAbbreviation":"Indian J Endocrinol Metab","author":[{"family":"Chawla","given":"Aastha"},{"family":"Chawla","given":"Rajeev"},{"family":"Jaggi","given":"Shalini"}],"issued":{"date-parts":[["2016"]]}}}],"schema":"https://github.com/citation-style-language/schema/raw/master/csl-citation.json"} </w:instrText>
      </w:r>
      <w:r w:rsidR="00EE4407">
        <w:rPr>
          <w:color w:val="000000"/>
        </w:rPr>
        <w:fldChar w:fldCharType="separate"/>
      </w:r>
      <w:r w:rsidR="00EE4407" w:rsidRPr="003E76FC">
        <w:t>(Chawla</w:t>
      </w:r>
      <w:r w:rsidR="00EE4407" w:rsidRPr="003E76FC">
        <w:rPr>
          <w:i/>
        </w:rPr>
        <w:t xml:space="preserve"> et al</w:t>
      </w:r>
      <w:r w:rsidR="00EE4407" w:rsidRPr="003E76FC">
        <w:t>. 2016)</w:t>
      </w:r>
      <w:r w:rsidR="00EE4407">
        <w:rPr>
          <w:color w:val="000000"/>
        </w:rPr>
        <w:fldChar w:fldCharType="end"/>
      </w:r>
      <w:r w:rsidR="00EE4407" w:rsidRPr="00734B19">
        <w:rPr>
          <w:color w:val="000000"/>
        </w:rPr>
        <w:t>.</w:t>
      </w:r>
      <w:r w:rsidR="00813E57">
        <w:rPr>
          <w:color w:val="000000"/>
        </w:rPr>
        <w:t xml:space="preserve">  Furthermore, a</w:t>
      </w:r>
      <w:r w:rsidR="00813E57" w:rsidRPr="00734B19">
        <w:rPr>
          <w:color w:val="000000"/>
        </w:rPr>
        <w:t xml:space="preserve"> person with T2D could </w:t>
      </w:r>
      <w:r w:rsidR="00813E57">
        <w:rPr>
          <w:color w:val="000000"/>
        </w:rPr>
        <w:t xml:space="preserve">experience, due to hyper/hypo glycemia and ketoacidosis, </w:t>
      </w:r>
      <w:r w:rsidR="00813E57" w:rsidRPr="00734B19">
        <w:rPr>
          <w:color w:val="000000"/>
        </w:rPr>
        <w:t>critical condition</w:t>
      </w:r>
      <w:r w:rsidR="00813E57">
        <w:rPr>
          <w:color w:val="000000"/>
        </w:rPr>
        <w:t>s</w:t>
      </w:r>
      <w:r w:rsidR="00813E57" w:rsidRPr="00734B19">
        <w:rPr>
          <w:color w:val="000000"/>
        </w:rPr>
        <w:t xml:space="preserve"> if</w:t>
      </w:r>
      <w:r w:rsidR="00813E57">
        <w:rPr>
          <w:color w:val="000000"/>
        </w:rPr>
        <w:t xml:space="preserve"> not </w:t>
      </w:r>
      <w:r w:rsidR="00813E57" w:rsidRPr="00734B19">
        <w:rPr>
          <w:color w:val="000000"/>
        </w:rPr>
        <w:t>treated properly.</w:t>
      </w:r>
      <w:r w:rsidR="00813E57">
        <w:rPr>
          <w:color w:val="000000"/>
        </w:rPr>
        <w:t xml:space="preserve">  C</w:t>
      </w:r>
      <w:r w:rsidR="00813E57" w:rsidRPr="00734B19">
        <w:rPr>
          <w:color w:val="000000"/>
        </w:rPr>
        <w:t>urrently</w:t>
      </w:r>
      <w:r w:rsidR="00813E57">
        <w:rPr>
          <w:color w:val="000000"/>
        </w:rPr>
        <w:t>,</w:t>
      </w:r>
      <w:r w:rsidR="00813E57" w:rsidRPr="00734B19">
        <w:rPr>
          <w:color w:val="000000"/>
        </w:rPr>
        <w:t xml:space="preserve"> in the </w:t>
      </w:r>
      <w:r w:rsidR="00813E57">
        <w:rPr>
          <w:color w:val="000000"/>
        </w:rPr>
        <w:t>United States</w:t>
      </w:r>
      <w:r w:rsidR="00813E57" w:rsidRPr="00734B19">
        <w:rPr>
          <w:color w:val="000000"/>
        </w:rPr>
        <w:t xml:space="preserve">, diabetes is the seventh leading cause of death </w:t>
      </w:r>
      <w:r w:rsidR="00813E57">
        <w:rPr>
          <w:color w:val="000000"/>
        </w:rPr>
        <w:t xml:space="preserve">and, </w:t>
      </w:r>
      <w:r w:rsidR="00813E57" w:rsidRPr="00734B19">
        <w:rPr>
          <w:color w:val="000000"/>
        </w:rPr>
        <w:t xml:space="preserve">on </w:t>
      </w:r>
      <w:r w:rsidR="00813E57" w:rsidRPr="00734B19">
        <w:rPr>
          <w:color w:val="000000"/>
        </w:rPr>
        <w:lastRenderedPageBreak/>
        <w:t>average</w:t>
      </w:r>
      <w:r w:rsidR="00813E57">
        <w:rPr>
          <w:color w:val="000000"/>
        </w:rPr>
        <w:t>,</w:t>
      </w:r>
      <w:r w:rsidR="00813E57" w:rsidRPr="00734B19">
        <w:rPr>
          <w:color w:val="000000"/>
        </w:rPr>
        <w:t xml:space="preserve"> people with diabetes spend 2.3 times </w:t>
      </w:r>
      <w:r w:rsidR="00813E57">
        <w:rPr>
          <w:color w:val="000000"/>
        </w:rPr>
        <w:t xml:space="preserve">more on healthcare </w:t>
      </w:r>
      <w:r w:rsidR="00813E57" w:rsidRPr="00734B19">
        <w:rPr>
          <w:color w:val="000000"/>
        </w:rPr>
        <w:t>than people without diabetes</w:t>
      </w:r>
      <w:r w:rsidR="00813E57">
        <w:rPr>
          <w:color w:val="000000"/>
        </w:rPr>
        <w:fldChar w:fldCharType="begin"/>
      </w:r>
      <w:r w:rsidR="00813E57">
        <w:rPr>
          <w:color w:val="000000"/>
        </w:rPr>
        <w:instrText xml:space="preserve"> ADDIN ZOTERO_ITEM CSL_CITATION {"citationID":"ak2femgkq8","properties":{"formattedCitation":"(Stokes and Preston 2017)","plainCitation":"(Stokes and Preston 2017)","dontUpdate":true,"noteIndex":0},"citationItems":[{"id":97,"uris":["http://zotero.org/users/4264928/items/WUVPI268"],"uri":["http://zotero.org/users/4264928/items/WUVPI268"],"itemData":{"id":97,"type":"article-journal","title":"Deaths Attributable to Diabetes in the United States: Comparison of Data Sources and Estimation Approaches","container-title":"PLOS ONE","page":"e0170219","volume":"12","issue":"1","source":"PLoS Journals","abstract":"Objective The goal of this research was to identify the fraction of deaths attributable to diabetes in the United States.   Research Design and Methods We estimated population attributable fractions (PAF) for cohorts aged 30–84 who were surveyed in the National Health Interview Survey (NHIS) between 1997 and 2009 (N = 282,322) and in the National Health and Nutrition Examination Survey (NHANES) between 1999 and 2010 (N = 21,814). Cohort members were followed prospectively for mortality through 2011. We identified diabetes status using self-reported diagnoses in both NHIS and NHANES and using HbA1c in NHANES. Hazard ratios associated with diabetes were estimated using Cox model adjusted for age, sex, race/ethnicity, educational attainment, and smoking status.   Results We found a high degree of consistency between data sets and definitions of diabetes in the hazard ratios, estimates of diabetes prevalence, and estimates of the proportion of deaths attributable to diabetes. The proportion of deaths attributable to diabetes was estimated to be 11.5% using self-reports in NHIS, 11.7% using self-reports in NHANES, and 11.8% using HbA1c in NHANES. Among the sub-groups that we examined, the PAF was highest among obese persons at 19.4%. The proportion of deaths in which diabetes was assigned as the underlying cause of death (3.3–3.7%) severely understated the contribution of diabetes to mortality in the United States.   Conclusion Diabetes may represent a more prominent factor in American mortality than is commonly appreciated, reinforcing the need for robust population-level interventions aimed at diabetes prevention and care.","DOI":"10.1371/journal.pone.0170219","ISSN":"1932-6203","shortTitle":"Deaths Attributable to Diabetes in the United States","journalAbbreviation":"PLOS ONE","author":[{"family":"Stokes","given":"Andrew"},{"family":"Preston","given":"Samuel H."}],"issued":{"date-parts":[["2017",1,25]]}}}],"schema":"https://github.com/citation-style-language/schema/raw/master/csl-citation.json"} </w:instrText>
      </w:r>
      <w:r w:rsidR="00813E57">
        <w:rPr>
          <w:color w:val="000000"/>
        </w:rPr>
        <w:fldChar w:fldCharType="separate"/>
      </w:r>
      <w:r w:rsidR="00813E57">
        <w:t xml:space="preserve"> (</w:t>
      </w:r>
      <w:r w:rsidR="00813E57" w:rsidRPr="003E76FC">
        <w:t>Stokes and Preston 2017</w:t>
      </w:r>
      <w:r w:rsidR="00813E57">
        <w:rPr>
          <w:color w:val="000000"/>
        </w:rPr>
        <w:fldChar w:fldCharType="end"/>
      </w:r>
      <w:r w:rsidR="00813E57">
        <w:rPr>
          <w:color w:val="000000"/>
        </w:rPr>
        <w:t xml:space="preserve">, </w:t>
      </w:r>
      <w:r w:rsidR="00813E57">
        <w:rPr>
          <w:color w:val="000000"/>
        </w:rPr>
        <w:fldChar w:fldCharType="begin"/>
      </w:r>
      <w:r w:rsidR="00813E57">
        <w:rPr>
          <w:color w:val="000000"/>
        </w:rPr>
        <w:instrText xml:space="preserve"> ADDIN ZOTERO_ITEM CSL_CITATION {"citationID":"a1evkdk3qgb","properties":{"formattedCitation":"(CDC 2017 Aug 8)","plainCitation":"(CDC 2017 Aug 8)","dontUpdate":true,"noteIndex":0},"citationItems":[{"id":73,"uris":["http://zotero.org/users/4264928/items/CIXI67L8"],"uri":["http://zotero.org/users/4264928/items/CIXI67L8"],"itemData":{"id":73,"type":"webpage","title":"Diabetes Statistic Report","container-title":"Centers for Disease Control and Prevention","abstract":"In July, CDC's Division of Diabetes Translation (DDT) released the National Diabetes Statistics Report, 2017. Find out more.","URL":"https://www.cdc.gov/features/diabetes-statistic-report/index.html","author":[{"family":"CDC","given":""}],"issued":{"date-parts":[["2017",8,8]]},"accessed":{"date-parts":[["2017",10,24]]}}}],"schema":"https://github.com/citation-style-language/schema/raw/master/csl-citation.json"} </w:instrText>
      </w:r>
      <w:r w:rsidR="00813E57">
        <w:rPr>
          <w:color w:val="000000"/>
        </w:rPr>
        <w:fldChar w:fldCharType="separate"/>
      </w:r>
      <w:r w:rsidR="00813E57" w:rsidRPr="003E76FC">
        <w:t>CDC 2017)</w:t>
      </w:r>
      <w:r w:rsidR="00813E57">
        <w:rPr>
          <w:color w:val="000000"/>
        </w:rPr>
        <w:fldChar w:fldCharType="end"/>
      </w:r>
      <w:r w:rsidR="00813E57" w:rsidRPr="00734B19">
        <w:rPr>
          <w:color w:val="000000"/>
        </w:rPr>
        <w:t>.</w:t>
      </w:r>
    </w:p>
    <w:p w:rsidR="00EE4407" w:rsidRPr="00734B19" w:rsidRDefault="00EE4407" w:rsidP="00EE4407">
      <w:pPr>
        <w:spacing w:line="480" w:lineRule="auto"/>
        <w:ind w:firstLine="720"/>
      </w:pPr>
      <w:r w:rsidRPr="00734B19">
        <w:rPr>
          <w:color w:val="000000"/>
        </w:rPr>
        <w:t xml:space="preserve">Currently, type 2 diabetic patients can monitor their blood sugar level </w:t>
      </w:r>
      <w:r w:rsidR="009D1331">
        <w:rPr>
          <w:color w:val="000000"/>
        </w:rPr>
        <w:t xml:space="preserve">and </w:t>
      </w:r>
      <w:r>
        <w:rPr>
          <w:color w:val="000000"/>
        </w:rPr>
        <w:t xml:space="preserve">glycated </w:t>
      </w:r>
      <w:proofErr w:type="spellStart"/>
      <w:r>
        <w:rPr>
          <w:color w:val="000000"/>
        </w:rPr>
        <w:t>haemoglobin</w:t>
      </w:r>
      <w:proofErr w:type="spellEnd"/>
      <w:r>
        <w:rPr>
          <w:color w:val="000000"/>
        </w:rPr>
        <w:t xml:space="preserve"> (</w:t>
      </w:r>
      <w:r w:rsidRPr="00734B19">
        <w:rPr>
          <w:color w:val="000000"/>
        </w:rPr>
        <w:t>Hba1c</w:t>
      </w:r>
      <w:r>
        <w:rPr>
          <w:color w:val="000000"/>
        </w:rPr>
        <w:t>)</w:t>
      </w:r>
      <w:r w:rsidRPr="00734B19">
        <w:rPr>
          <w:color w:val="000000"/>
        </w:rPr>
        <w:t xml:space="preserve"> </w:t>
      </w:r>
      <w:r w:rsidR="009D1331">
        <w:rPr>
          <w:color w:val="000000"/>
        </w:rPr>
        <w:t>which reflect glycemia over time</w:t>
      </w:r>
      <w:r w:rsidRPr="00734B19">
        <w:rPr>
          <w:color w:val="000000"/>
        </w:rPr>
        <w:t>.</w:t>
      </w:r>
      <w:r w:rsidR="00B22758">
        <w:rPr>
          <w:color w:val="000000"/>
        </w:rPr>
        <w:t xml:space="preserve">  </w:t>
      </w:r>
      <w:r w:rsidR="00B22758" w:rsidRPr="00734B19">
        <w:rPr>
          <w:color w:val="000000"/>
        </w:rPr>
        <w:t>T2D patients should</w:t>
      </w:r>
      <w:r w:rsidR="00B22758">
        <w:rPr>
          <w:color w:val="000000"/>
        </w:rPr>
        <w:t xml:space="preserve"> maintain blood sugar in the range</w:t>
      </w:r>
      <w:r w:rsidR="00B22758" w:rsidRPr="00734B19">
        <w:rPr>
          <w:color w:val="000000"/>
        </w:rPr>
        <w:t xml:space="preserve"> </w:t>
      </w:r>
      <w:r w:rsidR="00B22758">
        <w:rPr>
          <w:color w:val="000000"/>
        </w:rPr>
        <w:t xml:space="preserve">of </w:t>
      </w:r>
      <w:r w:rsidR="00B22758" w:rsidRPr="00734B19">
        <w:rPr>
          <w:color w:val="000000"/>
        </w:rPr>
        <w:t>6.5% (48 mmol/mol)</w:t>
      </w:r>
      <w:r w:rsidR="00B22758">
        <w:rPr>
          <w:color w:val="000000"/>
        </w:rPr>
        <w:t xml:space="preserve"> to </w:t>
      </w:r>
      <w:r w:rsidR="00B22758" w:rsidRPr="00734B19">
        <w:rPr>
          <w:color w:val="000000"/>
        </w:rPr>
        <w:t xml:space="preserve">7.5% (58 mmol/mol) </w:t>
      </w:r>
      <w:r w:rsidR="00B22758">
        <w:rPr>
          <w:color w:val="000000"/>
        </w:rPr>
        <w:t>especially</w:t>
      </w:r>
      <w:r w:rsidR="00B22758" w:rsidRPr="00734B19">
        <w:rPr>
          <w:color w:val="000000"/>
        </w:rPr>
        <w:t xml:space="preserve"> those at greater risk </w:t>
      </w:r>
      <w:r w:rsidR="00B22758">
        <w:rPr>
          <w:color w:val="000000"/>
        </w:rPr>
        <w:t>of</w:t>
      </w:r>
      <w:r w:rsidR="00B22758" w:rsidRPr="00734B19">
        <w:rPr>
          <w:color w:val="000000"/>
        </w:rPr>
        <w:t xml:space="preserve"> hypoglycemia</w:t>
      </w:r>
      <w:r w:rsidR="00B22758">
        <w:rPr>
          <w:color w:val="000000"/>
        </w:rPr>
        <w:t xml:space="preserve"> </w:t>
      </w:r>
      <w:r w:rsidR="00B22758">
        <w:rPr>
          <w:color w:val="000000"/>
        </w:rPr>
        <w:fldChar w:fldCharType="begin"/>
      </w:r>
      <w:r w:rsidR="00B22758">
        <w:rPr>
          <w:color w:val="000000"/>
        </w:rPr>
        <w:instrText xml:space="preserve"> ADDIN ZOTERO_ITEM CSL_CITATION {"citationID":"a1ujminpon1","properties":{"formattedCitation":"(Walaszczyk et al. 2018)","plainCitation":"(Walaszczyk et al. 2018)","noteIndex":0},"citationItems":[{"id":268,"uris":["http://zotero.org/users/4264928/items/4DS6HEIQ"],"uri":["http://zotero.org/users/4264928/items/4DS6HEIQ"],"itemData":{"id":268,"type":"article-journal","title":"DNA methylation markers associated with type 2 diabetes, fasting glucose and HbA1c levels: a systematic review and replication in a case-control sample of the Lifelines study","container-title":"Diabetologia","page":"354-368","volume":"61","issue":"2","source":"PubMed","abstract":"AIMS/HYPOTHESIS: Epigenetic mechanisms may play an important role in the aetiology of type 2 diabetes. Recent epigenome-wide association studies (EWASs) identified several DNA methylation markers associated with type 2 diabetes, fasting glucose and HbA1c levels. Here we present a systematic review of these studies and attempt to replicate the CpG sites (CpGs) with the most significant associations from these EWASs in a case-control sample of the Lifelines study.\nMETHODS: We performed a systematic literature search in PubMed and EMBASE for EWASs to test the association between DNA methylation and type 2 diabetes and/or glycaemic traits and reviewed the search results. For replication purposes we selected 100 unique CpGs identified in peripheral blood, pancreas, adipose tissue and liver from 15 EWASs, using study-specific Bonferroni-corrected significance thresholds. Methylation data (Illumina 450K array) in whole blood from 100 type 2 diabetic individuals and 100 control individuals from the Lifelines study were available. Multivariate linear models were used to examine the associations of the specific CpGs with type 2 diabetes and glycaemic traits.\nRESULTS: From the 52 CpGs identified in blood and selected for replication, 15 CpGs showed nominally significant associations with type 2 diabetes in the Lifelines sample (p &lt; 0.05). The results for five CpGs (in ABCG1, LOXL2, TXNIP, SLC1A5 and SREBF1) remained significant after a stringent multiple-testing correction (changes in methylation from -3% up to 3.6%, p &lt; 0.0009). All associations were directionally consistent with the original EWAS results. None of the selected CpGs from the tissue-specific EWASs were replicated in our methylation data from whole blood. We were also unable to replicate any of the CpGs associated with HbA1c levels in the healthy control individuals of our sample, while two CpGs (in ABCG1 and CCDC57) for fasting glucose were replicated at a nominal significance level (p &lt; 0.05).\nCONCLUSIONS/INTERPRETATION: A number of differentially methylated CpGs reported to be associated with type 2 diabetes in the EWAS literature were replicated in blood and show promise for clinical use as disease biomarkers. However, more prospective studies are needed to support the robustness of these findings.","DOI":"10.1007/s00125-017-4497-7","ISSN":"1432-0428","note":"PMID: 29164275","shortTitle":"DNA methylation markers associated with type 2 diabetes, fasting glucose and HbA1c levels","journalAbbreviation":"Diabetologia","language":"eng","author":[{"family":"Walaszczyk","given":"Eliza"},{"family":"Luijten","given":"Mirjam"},{"family":"Spijkerman","given":"Annemieke M. W."},{"family":"Bonder","given":"Marc J."},{"family":"Lutgers","given":"Helen L."},{"family":"Snieder","given":"Harold"},{"family":"Wolffenbuttel","given":"Bruce H. R."},{"family":"Vliet-Ostaptchouk","given":"Jana V.","non-dropping-particle":"van"}],"issued":{"date-parts":[["2018",2]]}}}],"schema":"https://github.com/citation-style-language/schema/raw/master/csl-citation.json"} </w:instrText>
      </w:r>
      <w:r w:rsidR="00B22758">
        <w:rPr>
          <w:color w:val="000000"/>
        </w:rPr>
        <w:fldChar w:fldCharType="separate"/>
      </w:r>
      <w:r w:rsidR="00B22758" w:rsidRPr="003E76FC">
        <w:t xml:space="preserve">(Walaszczyk </w:t>
      </w:r>
      <w:r w:rsidR="00B22758" w:rsidRPr="003E76FC">
        <w:rPr>
          <w:i/>
        </w:rPr>
        <w:t>et al</w:t>
      </w:r>
      <w:r w:rsidR="00B22758" w:rsidRPr="003E76FC">
        <w:t>. 2018)</w:t>
      </w:r>
      <w:r w:rsidR="00B22758">
        <w:rPr>
          <w:color w:val="000000"/>
        </w:rPr>
        <w:fldChar w:fldCharType="end"/>
      </w:r>
      <w:r w:rsidR="00B22758" w:rsidRPr="00734B19">
        <w:rPr>
          <w:color w:val="000000"/>
        </w:rPr>
        <w:t>.</w:t>
      </w:r>
      <w:r w:rsidR="00B22758">
        <w:rPr>
          <w:color w:val="000000"/>
        </w:rPr>
        <w:t xml:space="preserve">  </w:t>
      </w:r>
      <w:r>
        <w:rPr>
          <w:color w:val="000000"/>
        </w:rPr>
        <w:t>N</w:t>
      </w:r>
      <w:r w:rsidRPr="00734B19">
        <w:rPr>
          <w:color w:val="000000"/>
        </w:rPr>
        <w:t xml:space="preserve">ormal </w:t>
      </w:r>
      <w:r>
        <w:rPr>
          <w:color w:val="000000"/>
        </w:rPr>
        <w:t xml:space="preserve">levels of HbA1c are below </w:t>
      </w:r>
      <w:r w:rsidRPr="00734B19">
        <w:rPr>
          <w:color w:val="000000"/>
        </w:rPr>
        <w:t>5.7% (39 mmol</w:t>
      </w:r>
      <w:r>
        <w:rPr>
          <w:color w:val="000000"/>
        </w:rPr>
        <w:t>/mol</w:t>
      </w:r>
      <w:r w:rsidRPr="00734B19">
        <w:rPr>
          <w:color w:val="000000"/>
        </w:rPr>
        <w:t>)</w:t>
      </w:r>
      <w:r>
        <w:rPr>
          <w:color w:val="000000"/>
        </w:rPr>
        <w:t>.</w:t>
      </w:r>
      <w:r w:rsidR="00A37FC6">
        <w:rPr>
          <w:color w:val="000000"/>
        </w:rPr>
        <w:t xml:space="preserve">  </w:t>
      </w:r>
      <w:r w:rsidRPr="00734B19">
        <w:rPr>
          <w:color w:val="000000"/>
        </w:rPr>
        <w:t xml:space="preserve">It is recommended that individuals with T2D should practice self-management to maintain the desirable HbA1c level by </w:t>
      </w:r>
      <w:r>
        <w:rPr>
          <w:color w:val="000000"/>
        </w:rPr>
        <w:t xml:space="preserve">adhering </w:t>
      </w:r>
      <w:r w:rsidRPr="00734B19">
        <w:rPr>
          <w:color w:val="000000"/>
        </w:rPr>
        <w:t>to a</w:t>
      </w:r>
      <w:r>
        <w:rPr>
          <w:color w:val="000000"/>
        </w:rPr>
        <w:t xml:space="preserve"> recommended</w:t>
      </w:r>
      <w:r w:rsidRPr="00734B19">
        <w:rPr>
          <w:color w:val="000000"/>
        </w:rPr>
        <w:t xml:space="preserve"> medication regime, making dietary changes, and</w:t>
      </w:r>
      <w:r>
        <w:rPr>
          <w:color w:val="000000"/>
        </w:rPr>
        <w:t xml:space="preserve"> routine </w:t>
      </w:r>
      <w:r w:rsidRPr="00734B19">
        <w:rPr>
          <w:color w:val="000000"/>
        </w:rPr>
        <w:t xml:space="preserve">physical </w:t>
      </w:r>
      <w:r>
        <w:rPr>
          <w:color w:val="000000"/>
        </w:rPr>
        <w:t>exercise</w:t>
      </w:r>
      <w:r w:rsidRPr="00734B19">
        <w:rPr>
          <w:color w:val="000000"/>
        </w:rPr>
        <w:t xml:space="preserve"> </w:t>
      </w:r>
      <w:r>
        <w:rPr>
          <w:color w:val="000000"/>
        </w:rPr>
        <w:fldChar w:fldCharType="begin"/>
      </w:r>
      <w:r>
        <w:rPr>
          <w:color w:val="000000"/>
        </w:rPr>
        <w:instrText xml:space="preserve"> ADDIN ZOTERO_ITEM CSL_CITATION {"citationID":"ao1b676qld","properties":{"formattedCitation":"(Cui et al. 2016)","plainCitation":"(Cui et al. 2016)","noteIndex":0},"citationItems":[{"id":167,"uris":["http://zotero.org/users/4264928/items/6XN6AEQX"],"uri":["http://zotero.org/users/4264928/items/6XN6AEQX"],"itemData":{"id":167,"type":"article-journal","title":"T2DM Self-Management via Smartphone Applications: A Systematic Review and Meta-Analysis","container-title":"PLoS ONE","volume":"11","issue":"11","source":"PubMed Central","abstract":"Background\nMobile health interventions (mHealth) based on smartphone applications (apps) are promising tools to help improve diabetes care and self-management; however, more evidence on the efficacy of mHealth in diabetes care is needed. The objective of this study was to conduct a systematic review and meta-analysis of randomized controlled trials (RCTs) assessing the effect of mHealth apps on changes in hemoglobin A1c (HbA1c), blood glucose, blood pressure, serum lipids, and body weight in type 2 diabetes mellitus (T2DM) patients.\n\nMethods\nTwo independent reviewers searched three online databases (PubMed, the Cochrane Library, and EMBASE) to identify relevant studies published between January 2005 and June 2016. Of the 2,596 articles retrieved, 13 RCTs were included. We used random effects model to estimate the pooled results.\n\nResults\nThirteen studies were selected for the systematic review, six of which with data available containing 1,022 patients were included for the meta-analysis. There was a moderate effect on glycemic control after the mHealth app-based interventions. The overall effect on HbA1c shown as mean difference (MD) was -0.40% (-4.37 mmol/mol) (95% confidence interval [CI] -0.69 to -0.11% [-7.54 to -1.20 mmol/mol]; p = 0.007) and standardized mean differences (SMD) was -0.40% (-4.37 mmol/mol) (95% confidence interval [CI] -0.69 to -0.10% [-7.54 to -1.09 mmol/mol]; p = 0.008). A subgroup analysis showed a similar effect with -0.33% (-3.61 mmol/mol) (95% CI -0.59 to -0.06% [-6.45 to -0.66 mmol/mol]; p = 0.02) in MD and -0.38% (-4.15 mmol/mol) (95% CI -0.71 to -0.05% [-7.76 to -0.55 mmol/mol]; p = 0.02) in SMD in studies where patients’ baseline HbA1c levels were less than 8.0%. No effects of mHealth app interventions were found on blood pressure, serum lipids, or weight. Assessment of overall study quality and publication bias demonstrated a low risk of bias among the six studies.\n\nConclusions\nSmartphone apps offered moderate benefits for T2DM self-management. However, more research with valid study designs and longer follow-up is needed to evaluate the impact of mHealth apps for diabetes care and self-management.","URL":"https://www.ncbi.nlm.nih.gov/pmc/articles/PMC5115794/","DOI":"10.1371/journal.pone.0166718","ISSN":"1932-6203","note":"PMID: 27861583\nPMCID: PMC5115794","shortTitle":"T2DM Self-Management via Smartphone Applications","journalAbbreviation":"PLoS One","author":[{"family":"Cui","given":"Mingxuan"},{"family":"Wu","given":"Xueyan"},{"family":"Mao","given":"Jiangfeng"},{"family":"Wang","given":"Xi"},{"family":"Nie","given":"Min"}],"issued":{"date-parts":[["2016",11,18]]},"accessed":{"date-parts":[["2018",2,4]]}}}],"schema":"https://github.com/citation-style-language/schema/raw/master/csl-citation.json"} </w:instrText>
      </w:r>
      <w:r>
        <w:rPr>
          <w:color w:val="000000"/>
        </w:rPr>
        <w:fldChar w:fldCharType="separate"/>
      </w:r>
      <w:r w:rsidRPr="003E76FC">
        <w:t xml:space="preserve">(Cui </w:t>
      </w:r>
      <w:r w:rsidRPr="003E76FC">
        <w:rPr>
          <w:i/>
        </w:rPr>
        <w:t>et al</w:t>
      </w:r>
      <w:r w:rsidRPr="003E76FC">
        <w:t>. 2016)</w:t>
      </w:r>
      <w:r>
        <w:rPr>
          <w:color w:val="000000"/>
        </w:rPr>
        <w:fldChar w:fldCharType="end"/>
      </w:r>
      <w:r w:rsidRPr="00734B19">
        <w:rPr>
          <w:color w:val="000000"/>
        </w:rPr>
        <w:t>.</w:t>
      </w:r>
      <w:r>
        <w:rPr>
          <w:color w:val="000000"/>
        </w:rPr>
        <w:t xml:space="preserve">  </w:t>
      </w:r>
    </w:p>
    <w:p w:rsidR="00EE4407" w:rsidRDefault="00EE4407" w:rsidP="00EE4407">
      <w:pPr>
        <w:spacing w:line="480" w:lineRule="auto"/>
        <w:ind w:firstLine="720"/>
        <w:rPr>
          <w:color w:val="000000"/>
        </w:rPr>
      </w:pPr>
      <w:r w:rsidRPr="00734B19">
        <w:rPr>
          <w:color w:val="000000"/>
        </w:rPr>
        <w:t xml:space="preserve">In the </w:t>
      </w:r>
      <w:r>
        <w:rPr>
          <w:color w:val="000000"/>
        </w:rPr>
        <w:t>United States</w:t>
      </w:r>
      <w:r w:rsidRPr="00734B19">
        <w:rPr>
          <w:color w:val="000000"/>
        </w:rPr>
        <w:t xml:space="preserve">, more than 30.2 million people aged 18 years </w:t>
      </w:r>
      <w:r>
        <w:rPr>
          <w:color w:val="000000"/>
        </w:rPr>
        <w:t>and</w:t>
      </w:r>
      <w:r w:rsidRPr="00734B19">
        <w:rPr>
          <w:color w:val="000000"/>
        </w:rPr>
        <w:t xml:space="preserve"> older have T2D </w:t>
      </w:r>
      <w:r>
        <w:rPr>
          <w:color w:val="000000"/>
        </w:rPr>
        <w:fldChar w:fldCharType="begin"/>
      </w:r>
      <w:r>
        <w:rPr>
          <w:color w:val="000000"/>
        </w:rPr>
        <w:instrText xml:space="preserve"> ADDIN ZOTERO_ITEM CSL_CITATION {"citationID":"ago7umv5n8","properties":{"formattedCitation":"(CDC 2017 Aug 8)","plainCitation":"(CDC 2017 Aug 8)","dontUpdate":true,"noteIndex":0},"citationItems":[{"id":73,"uris":["http://zotero.org/users/4264928/items/CIXI67L8"],"uri":["http://zotero.org/users/4264928/items/CIXI67L8"],"itemData":{"id":73,"type":"webpage","title":"Diabetes Statistic Report","container-title":"Centers for Disease Control and Prevention","abstract":"In July, CDC's Division of Diabetes Translation (DDT) released the National Diabetes Statistics Report, 2017. Find out more.","URL":"https://www.cdc.gov/features/diabetes-statistic-report/index.html","author":[{"family":"CDC","given":""}],"issued":{"date-parts":[["2017",8,8]]},"accessed":{"date-parts":[["2017",10,24]]}}}],"schema":"https://github.com/citation-style-language/schema/raw/master/csl-citation.json"} </w:instrText>
      </w:r>
      <w:r>
        <w:rPr>
          <w:color w:val="000000"/>
        </w:rPr>
        <w:fldChar w:fldCharType="separate"/>
      </w:r>
      <w:r w:rsidRPr="003E76FC">
        <w:t>(CDC 2017)</w:t>
      </w:r>
      <w:r>
        <w:rPr>
          <w:color w:val="000000"/>
        </w:rPr>
        <w:fldChar w:fldCharType="end"/>
      </w:r>
      <w:r w:rsidRPr="00734B19">
        <w:rPr>
          <w:color w:val="000000"/>
        </w:rPr>
        <w:t>. This figure is on the rise because of increased life expectancy</w:t>
      </w:r>
      <w:r>
        <w:rPr>
          <w:color w:val="000000"/>
        </w:rPr>
        <w:t xml:space="preserve">, poor dietary choices, </w:t>
      </w:r>
      <w:r w:rsidR="009D1331">
        <w:rPr>
          <w:color w:val="000000"/>
        </w:rPr>
        <w:t xml:space="preserve">weight gain, </w:t>
      </w:r>
      <w:r>
        <w:rPr>
          <w:color w:val="000000"/>
        </w:rPr>
        <w:t>and a sedentary life style</w:t>
      </w:r>
      <w:r w:rsidR="009D1331">
        <w:rPr>
          <w:color w:val="000000"/>
        </w:rPr>
        <w:t xml:space="preserve">.  </w:t>
      </w:r>
      <w:r w:rsidRPr="00734B19">
        <w:rPr>
          <w:color w:val="000000"/>
          <w:shd w:val="clear" w:color="auto" w:fill="FFFFFF"/>
        </w:rPr>
        <w:t>Even though one in every ten adults who are 20 years and older have diabetes, that figure rises to more than one in five for individuals over the age of 60</w:t>
      </w:r>
      <w:r>
        <w:rPr>
          <w:color w:val="000000"/>
          <w:shd w:val="clear" w:color="auto" w:fill="FFFFFF"/>
        </w:rPr>
        <w:t xml:space="preserve"> </w:t>
      </w:r>
      <w:r>
        <w:rPr>
          <w:color w:val="000000"/>
          <w:shd w:val="clear" w:color="auto" w:fill="FFFFFF"/>
        </w:rPr>
        <w:fldChar w:fldCharType="begin"/>
      </w:r>
      <w:r>
        <w:rPr>
          <w:color w:val="000000"/>
          <w:shd w:val="clear" w:color="auto" w:fill="FFFFFF"/>
        </w:rPr>
        <w:instrText xml:space="preserve"> ADDIN ZOTERO_ITEM CSL_CITATION {"citationID":"a1meo9l8scj","properties":{"formattedCitation":"(CDC 2017 Aug 8)","plainCitation":"(CDC 2017 Aug 8)","dontUpdate":true,"noteIndex":0},"citationItems":[{"id":73,"uris":["http://zotero.org/users/4264928/items/CIXI67L8"],"uri":["http://zotero.org/users/4264928/items/CIXI67L8"],"itemData":{"id":73,"type":"webpage","title":"Diabetes Statistic Report","container-title":"Centers for Disease Control and Prevention","abstract":"In July, CDC's Division of Diabetes Translation (DDT) released the National Diabetes Statistics Report, 2017. Find out more.","URL":"https://www.cdc.gov/features/diabetes-statistic-report/index.html","author":[{"family":"CDC","given":""}],"issued":{"date-parts":[["2017",8,8]]},"accessed":{"date-parts":[["2017",10,24]]}}}],"schema":"https://github.com/citation-style-language/schema/raw/master/csl-citation.json"} </w:instrText>
      </w:r>
      <w:r>
        <w:rPr>
          <w:color w:val="000000"/>
          <w:shd w:val="clear" w:color="auto" w:fill="FFFFFF"/>
        </w:rPr>
        <w:fldChar w:fldCharType="separate"/>
      </w:r>
      <w:r w:rsidRPr="003E76FC">
        <w:t>(CDC 2017)</w:t>
      </w:r>
      <w:r>
        <w:rPr>
          <w:color w:val="000000"/>
          <w:shd w:val="clear" w:color="auto" w:fill="FFFFFF"/>
        </w:rPr>
        <w:fldChar w:fldCharType="end"/>
      </w:r>
      <w:r w:rsidRPr="00734B19">
        <w:rPr>
          <w:color w:val="000000"/>
          <w:shd w:val="clear" w:color="auto" w:fill="FFFFFF"/>
        </w:rPr>
        <w:t>.</w:t>
      </w:r>
      <w:r>
        <w:rPr>
          <w:color w:val="000000"/>
        </w:rPr>
        <w:t xml:space="preserve">  </w:t>
      </w:r>
      <w:r>
        <w:rPr>
          <w:shd w:val="clear" w:color="auto" w:fill="FFFFFF"/>
        </w:rPr>
        <w:t>After the age of 60, lean-muscle mass begins to diminish because of decreased physical activity, disability, and poor diet choices.  If calorie intake continues at the same rate while the muscle mass decreases,</w:t>
      </w:r>
      <w:r w:rsidR="009D1331">
        <w:rPr>
          <w:shd w:val="clear" w:color="auto" w:fill="FFFFFF"/>
        </w:rPr>
        <w:t xml:space="preserve"> </w:t>
      </w:r>
      <w:r>
        <w:rPr>
          <w:shd w:val="clear" w:color="auto" w:fill="FFFFFF"/>
        </w:rPr>
        <w:t xml:space="preserve">older person will most likely become over weight, </w:t>
      </w:r>
      <w:r>
        <w:t xml:space="preserve">which might increase the risk of being diagnosed with T2D </w:t>
      </w:r>
      <w:r>
        <w:fldChar w:fldCharType="begin"/>
      </w:r>
      <w:r>
        <w:instrText xml:space="preserve"> ADDIN ZOTERO_ITEM CSL_CITATION {"citationID":"ael70jiroe","properties":{"formattedCitation":"(Tucker and Buranapin 2001)","plainCitation":"(Tucker and Buranapin 2001)","noteIndex":0},"citationItems":[{"id":292,"uris":["http://zotero.org/users/4264928/items/8IME8P3U"],"uri":["http://zotero.org/users/4264928/items/8IME8P3U"],"itemData":{"id":292,"type":"article-journal","title":"Nutrition and aging in developing countries","container-title":"The Journal of Nutrition","page":"2417S-23S","volume":"131","issue":"9","source":"PubMed","abstract":"The number of individuals aged 60 y or older is projected to double as a proportion of the world's population and to more than triple in number over the next 50 y. These changes will be most dramatic in the less developed countries, where the transition from a young to old age structure will be more compressed in time than it has been for developed countries. At the same time, there is evidence of a characteristic sequence of changes in diet and declines in physical activity associated with social and economic change. Diets are becoming higher in fats, animal products, and refined foods and lower in fiber, contributing to rapidly increasing prevalences of obesity and type 2 diabetes. The number of people with diabetes in developing countries is projected to almost triple by the year 2025. Hypertension and vascular disease are also rapidly becoming more prevalent. Evidence that lower birth weights are associated with greater likelihood of adult obesity and chronic disease underscores the magnitude of risk in these countries. Few programs or institutions currently exist to address the problems of the growing elderly population. The social changes that accompany urbanization will likely increase nutritional risk for this group. Despite lower energy intakes with age, elderly have higher requirements for several micronutrients, making them vulnerable to deficiencies that further aggravate chronic conditions. To reduce the impending burden of disease and disability worldwide, urgent action is needed to understand and to address the nutritional needs of the aging population.","ISSN":"0022-3166","note":"PMID: 11533287","journalAbbreviation":"J. Nutr.","language":"eng","author":[{"family":"Tucker","given":"K. L."},{"family":"Buranapin","given":"S."}],"issued":{"date-parts":[["2001",9]]}}}],"schema":"https://github.com/citation-style-language/schema/raw/master/csl-citation.json"} </w:instrText>
      </w:r>
      <w:r>
        <w:fldChar w:fldCharType="separate"/>
      </w:r>
      <w:r w:rsidRPr="00BE6DE1">
        <w:t>(Tucker and Buranapin 2001)</w:t>
      </w:r>
      <w:r>
        <w:fldChar w:fldCharType="end"/>
      </w:r>
      <w:r>
        <w:t>.</w:t>
      </w:r>
      <w:r>
        <w:rPr>
          <w:color w:val="000000"/>
        </w:rPr>
        <w:t xml:space="preserve">  </w:t>
      </w:r>
      <w:r w:rsidRPr="00734B19">
        <w:rPr>
          <w:color w:val="000000"/>
        </w:rPr>
        <w:t xml:space="preserve">Fortunately, there are ways to lower one’s risk or manage the disease and live a healthier life. </w:t>
      </w:r>
      <w:r>
        <w:rPr>
          <w:color w:val="000000"/>
        </w:rPr>
        <w:t xml:space="preserve"> Some of the examples</w:t>
      </w:r>
      <w:r w:rsidR="009D1331">
        <w:rPr>
          <w:color w:val="000000"/>
        </w:rPr>
        <w:t xml:space="preserve"> of </w:t>
      </w:r>
      <w:r>
        <w:rPr>
          <w:color w:val="000000"/>
        </w:rPr>
        <w:t xml:space="preserve">helpful </w:t>
      </w:r>
      <w:r w:rsidR="009D1331">
        <w:rPr>
          <w:color w:val="000000"/>
        </w:rPr>
        <w:t xml:space="preserve">intervention </w:t>
      </w:r>
      <w:r>
        <w:rPr>
          <w:color w:val="000000"/>
        </w:rPr>
        <w:t>are behavioral changes,</w:t>
      </w:r>
      <w:r w:rsidR="009D1331">
        <w:rPr>
          <w:color w:val="000000"/>
        </w:rPr>
        <w:t xml:space="preserve"> such as</w:t>
      </w:r>
      <w:r>
        <w:rPr>
          <w:color w:val="000000"/>
        </w:rPr>
        <w:t xml:space="preserve"> </w:t>
      </w:r>
      <w:r w:rsidRPr="00734B19">
        <w:rPr>
          <w:color w:val="000000"/>
        </w:rPr>
        <w:t>engaging in regular physical activit</w:t>
      </w:r>
      <w:r>
        <w:rPr>
          <w:color w:val="000000"/>
        </w:rPr>
        <w:t>ies</w:t>
      </w:r>
      <w:r w:rsidRPr="00734B19">
        <w:rPr>
          <w:color w:val="000000"/>
        </w:rPr>
        <w:t xml:space="preserve">, eating healthy, </w:t>
      </w:r>
      <w:r>
        <w:rPr>
          <w:color w:val="000000"/>
        </w:rPr>
        <w:t xml:space="preserve">and managing weight.  When needed, </w:t>
      </w:r>
      <w:r w:rsidRPr="00734B19">
        <w:rPr>
          <w:color w:val="000000"/>
        </w:rPr>
        <w:t xml:space="preserve">medications prescribed </w:t>
      </w:r>
      <w:r w:rsidRPr="00734B19">
        <w:rPr>
          <w:color w:val="000000"/>
        </w:rPr>
        <w:lastRenderedPageBreak/>
        <w:t xml:space="preserve">by healthcare providers </w:t>
      </w:r>
      <w:r w:rsidR="009D1331">
        <w:rPr>
          <w:color w:val="000000"/>
        </w:rPr>
        <w:t xml:space="preserve">can </w:t>
      </w:r>
      <w:r>
        <w:rPr>
          <w:color w:val="000000"/>
        </w:rPr>
        <w:t xml:space="preserve">help </w:t>
      </w:r>
      <w:r w:rsidR="00813E57">
        <w:rPr>
          <w:color w:val="000000"/>
        </w:rPr>
        <w:t xml:space="preserve">control glycemia and </w:t>
      </w:r>
      <w:r>
        <w:rPr>
          <w:color w:val="000000"/>
        </w:rPr>
        <w:t xml:space="preserve">avoid T2D organ damage </w:t>
      </w:r>
      <w:r>
        <w:rPr>
          <w:color w:val="000000"/>
        </w:rPr>
        <w:fldChar w:fldCharType="begin"/>
      </w:r>
      <w:r>
        <w:rPr>
          <w:color w:val="000000"/>
        </w:rPr>
        <w:instrText xml:space="preserve"> ADDIN ZOTERO_ITEM CSL_CITATION {"citationID":"a1vor8lutko","properties":{"formattedCitation":"(Hopkins et al. 2016)","plainCitation":"(Hopkins et al. 2016)","noteIndex":0},"citationItems":[{"id":203,"uris":["http://zotero.org/users/4264928/items/MSKM897H"],"uri":["http://zotero.org/users/4264928/items/MSKM897H"],"itemData":{"id":203,"type":"article-journal","title":"Management of Adults With Diabetes and Cognitive Problems","container-title":"Diabetes Spectrum","page":"224-237","volume":"29","issue":"4","source":"spectrum.diabetesjournals.org","abstract":"Management of diabetes involves a high degree of patient involvement and daily performance of many self-care tasks. These include monitoring of blood glucose; eating healthy meals; engaging in physical activity; taking medications as directed; recognizing and managing hypoglycemia; performing proper hygiene, including foot and dental care; attending medical appointments; and understanding sick-day management (1,2). Pharmacological therapy, particularly when insulin is needed, can be complex. Social, physical, and mental health challenges may hinder self-care and are associated with increased diabetes complications and poor quality of life (3).\n\nCognitive impairment is a common, underdiagnosed complication of diabetes that can interfere with the ability to adequately perform required daily self-management behaviors (Table 1) (4). Mild-to-moderate cognitive impairment and dementia are more frequently observed in older adults, but declines in cognitive function also have been described in younger people with diabetes (5,6). It is estimated that at least half of older people with diabetes will become cognitively impaired and functionally disabled (7). Deficiencies in memory capacity, attention to detail, planning, ability to reason, decision-making, and information processing speed are associated with deficits in diabetes self-care behaviors, including poor compliance with medication, diet, and exercise recommendations; failure to receive appropriate care; and worse glycemic control, including more hypoglycemia (7–12).\n\nView this table:\n\nTABLE 1. \nDaily Diabetes Self-Management Tasks Affected by Cognitive Impairment\n\n\n\nA three-stage classification of cognitive dysfunction in patients with diabetes has been proposed (13). In the first stage, there are mild, subtle changes in cognition that might represent normal cognitive aging. These deficits are unlikely to significantly interfere with activities of daily living or self-management of diabetes in adults with type 2 diabetes treated with oral medications, but they may cause difficulties for patients requiring complex insulin regimens (i.e., those with type 1 diabetes or advanced type 2 diabetes). This …","DOI":"10.2337/ds16-0035","ISSN":"1040-9165, 1944-7353","language":"en","author":[{"family":"Hopkins","given":"Rachel"},{"family":"Shaver","given":"Kristi"},{"family":"Weinstock","given":"Ruth S."}],"issued":{"date-parts":[["2016",11,1]]}}}],"schema":"https://github.com/citation-style-language/schema/raw/master/csl-citation.json"} </w:instrText>
      </w:r>
      <w:r>
        <w:rPr>
          <w:color w:val="000000"/>
        </w:rPr>
        <w:fldChar w:fldCharType="separate"/>
      </w:r>
      <w:r w:rsidRPr="003E76FC">
        <w:t xml:space="preserve">(Hopkins </w:t>
      </w:r>
      <w:r w:rsidRPr="003E76FC">
        <w:rPr>
          <w:i/>
        </w:rPr>
        <w:t>et al</w:t>
      </w:r>
      <w:r w:rsidRPr="003E76FC">
        <w:t>. 2016)</w:t>
      </w:r>
      <w:r>
        <w:rPr>
          <w:color w:val="000000"/>
        </w:rPr>
        <w:fldChar w:fldCharType="end"/>
      </w:r>
      <w:r w:rsidRPr="00734B19">
        <w:rPr>
          <w:color w:val="000000"/>
        </w:rPr>
        <w:t>.</w:t>
      </w:r>
    </w:p>
    <w:p w:rsidR="00EE4407" w:rsidRPr="00295E3B" w:rsidRDefault="00EE4407" w:rsidP="00813E57">
      <w:pPr>
        <w:spacing w:line="480" w:lineRule="auto"/>
        <w:ind w:firstLine="720"/>
        <w:rPr>
          <w:color w:val="000000"/>
        </w:rPr>
      </w:pPr>
      <w:r>
        <w:rPr>
          <w:color w:val="000000"/>
        </w:rPr>
        <w:t>In the United States, d</w:t>
      </w:r>
      <w:r w:rsidRPr="00734B19">
        <w:rPr>
          <w:color w:val="000000"/>
        </w:rPr>
        <w:t>ata show that among</w:t>
      </w:r>
      <w:r>
        <w:rPr>
          <w:color w:val="000000"/>
        </w:rPr>
        <w:t xml:space="preserve"> adults</w:t>
      </w:r>
      <w:r w:rsidRPr="00734B19">
        <w:rPr>
          <w:color w:val="000000"/>
        </w:rPr>
        <w:t xml:space="preserve"> aged 40 to 74 years</w:t>
      </w:r>
      <w:r>
        <w:rPr>
          <w:color w:val="000000"/>
        </w:rPr>
        <w:t xml:space="preserve"> the prevalence differs dramatically for different ethnic groups:</w:t>
      </w:r>
      <w:r w:rsidRPr="00734B19">
        <w:rPr>
          <w:color w:val="000000"/>
        </w:rPr>
        <w:t xml:space="preserve"> 7</w:t>
      </w:r>
      <w:r>
        <w:rPr>
          <w:color w:val="000000"/>
        </w:rPr>
        <w:t>.4</w:t>
      </w:r>
      <w:r w:rsidRPr="00734B19">
        <w:rPr>
          <w:color w:val="000000"/>
        </w:rPr>
        <w:t xml:space="preserve">% for </w:t>
      </w:r>
      <w:r>
        <w:rPr>
          <w:color w:val="000000"/>
        </w:rPr>
        <w:t>Caucasians</w:t>
      </w:r>
      <w:r w:rsidRPr="00734B19">
        <w:rPr>
          <w:color w:val="000000"/>
        </w:rPr>
        <w:t xml:space="preserve">, 15% for African Americans, and 14% for Hispanics. </w:t>
      </w:r>
      <w:r>
        <w:rPr>
          <w:color w:val="000000"/>
        </w:rPr>
        <w:t xml:space="preserve"> </w:t>
      </w:r>
      <w:r w:rsidRPr="00734B19">
        <w:rPr>
          <w:color w:val="000000"/>
        </w:rPr>
        <w:t xml:space="preserve">The highest rates are experienced by Native American tribes in the Southwest, with an estimated prevalence of more than 19% </w:t>
      </w:r>
      <w:r>
        <w:rPr>
          <w:color w:val="000000"/>
        </w:rPr>
        <w:fldChar w:fldCharType="begin"/>
      </w:r>
      <w:r>
        <w:rPr>
          <w:color w:val="000000"/>
        </w:rPr>
        <w:instrText xml:space="preserve"> ADDIN ZOTERO_ITEM CSL_CITATION {"citationID":"a15koume7l6","properties":{"formattedCitation":"(Tareen et al. 2005)","plainCitation":"(Tareen et al. 2005)","noteIndex":0},"citationItems":[{"id":141,"uris":["http://zotero.org/users/4264928/items/KQEEJ5YS"],"uri":["http://zotero.org/users/4264928/items/KQEEJ5YS"],"itemData":{"id":141,"type":"article-journal","title":"Chronic kidney disease in African American and Mexican American populations","container-title":"Kidney International","page":"S137-S140","volume":"68","source":"ScienceDirect","abstract":"Chronic kidney disease in African American and Mexican American populations. Abstract\nAfrican Americans and Mexican Americans suffer from disproportionately high rates of end-stage renal disease in comparison with whites from the United States. An improved understanding of both classic and novel chronic kidney disease risk factors among racial/ethnic minorities may help to facilitate improved prevention, screening, and early intervention strategies for all patients at risk for chronic kidney disease—not only in the United States, but on a global level. The economic implications are equally important to inform health policy recommendations and ensure cost-effective allocation of limited resources.","DOI":"10.1111/j.1523-1755.2005.09723.x","ISSN":"0085-2538","journalAbbreviation":"Kidney International","author":[{"family":"Tareen","given":"Naureen"},{"family":"Zadshir","given":"Ashraf"},{"family":"Martins","given":"David"},{"family":"Pan","given":"Deyu"},{"family":"Nicholas","given":"Susanne"},{"family":"Norris","given":"Keith"}],"issued":{"date-parts":[["2005",8,1]]}}}],"schema":"https://github.com/citation-style-language/schema/raw/master/csl-citation.json"} </w:instrText>
      </w:r>
      <w:r>
        <w:rPr>
          <w:color w:val="000000"/>
        </w:rPr>
        <w:fldChar w:fldCharType="separate"/>
      </w:r>
      <w:r w:rsidRPr="003E76FC">
        <w:t xml:space="preserve">(Tareen </w:t>
      </w:r>
      <w:r w:rsidRPr="003E76FC">
        <w:rPr>
          <w:i/>
        </w:rPr>
        <w:t>et al</w:t>
      </w:r>
      <w:r w:rsidRPr="003E76FC">
        <w:t>. 2005)</w:t>
      </w:r>
      <w:r>
        <w:rPr>
          <w:color w:val="000000"/>
        </w:rPr>
        <w:fldChar w:fldCharType="end"/>
      </w:r>
      <w:r w:rsidRPr="00734B19">
        <w:rPr>
          <w:color w:val="000000"/>
        </w:rPr>
        <w:t>.</w:t>
      </w:r>
      <w:r>
        <w:rPr>
          <w:color w:val="000000"/>
        </w:rPr>
        <w:t xml:space="preserve">  Different ethnic groups have different genetic backgrounds and different lifestyle that could account for the increase of the prevalence.  </w:t>
      </w:r>
      <w:r w:rsidR="00813E57">
        <w:rPr>
          <w:color w:val="000000"/>
        </w:rPr>
        <w:t xml:space="preserve">In other words, </w:t>
      </w:r>
      <w:r w:rsidR="00A37FC6">
        <w:rPr>
          <w:color w:val="000000"/>
        </w:rPr>
        <w:t xml:space="preserve">while </w:t>
      </w:r>
      <w:r w:rsidR="00813E57">
        <w:rPr>
          <w:color w:val="000000"/>
        </w:rPr>
        <w:t>s</w:t>
      </w:r>
      <w:r>
        <w:rPr>
          <w:color w:val="000000"/>
        </w:rPr>
        <w:t xml:space="preserve">ome of the risk factors are non-modifiable </w:t>
      </w:r>
      <w:r w:rsidR="00813E57">
        <w:rPr>
          <w:color w:val="000000"/>
        </w:rPr>
        <w:t>like</w:t>
      </w:r>
      <w:r>
        <w:rPr>
          <w:color w:val="000000"/>
        </w:rPr>
        <w:t xml:space="preserve"> age and genetics, and </w:t>
      </w:r>
      <w:r w:rsidR="00813E57">
        <w:rPr>
          <w:color w:val="000000"/>
        </w:rPr>
        <w:t xml:space="preserve">others </w:t>
      </w:r>
      <w:r>
        <w:rPr>
          <w:color w:val="000000"/>
        </w:rPr>
        <w:t>modifiabl</w:t>
      </w:r>
      <w:r w:rsidR="00813E57">
        <w:rPr>
          <w:color w:val="000000"/>
        </w:rPr>
        <w:t>e</w:t>
      </w:r>
      <w:r w:rsidR="00C356CA">
        <w:rPr>
          <w:color w:val="000000"/>
        </w:rPr>
        <w:t xml:space="preserve"> </w:t>
      </w:r>
      <w:r>
        <w:rPr>
          <w:color w:val="000000"/>
        </w:rPr>
        <w:t>are</w:t>
      </w:r>
      <w:r w:rsidR="00C356CA">
        <w:rPr>
          <w:color w:val="000000"/>
        </w:rPr>
        <w:t>:</w:t>
      </w:r>
      <w:r>
        <w:rPr>
          <w:color w:val="000000"/>
        </w:rPr>
        <w:t xml:space="preserve"> poor diet, obesity, and sedentary lifestyle.</w:t>
      </w:r>
      <w:r w:rsidR="00813E57">
        <w:rPr>
          <w:color w:val="000000"/>
        </w:rPr>
        <w:t xml:space="preserve">  </w:t>
      </w:r>
      <w:r w:rsidR="00813E57" w:rsidRPr="00734B19">
        <w:rPr>
          <w:color w:val="000000"/>
        </w:rPr>
        <w:t xml:space="preserve">Some of the contributing factors </w:t>
      </w:r>
      <w:r w:rsidR="00813E57">
        <w:rPr>
          <w:color w:val="000000"/>
        </w:rPr>
        <w:t xml:space="preserve">for </w:t>
      </w:r>
      <w:r w:rsidR="00813E57" w:rsidRPr="00734B19">
        <w:rPr>
          <w:color w:val="000000"/>
        </w:rPr>
        <w:t xml:space="preserve">those ethnic groups have been reported to be lack of information on nutritionally appropriate food choices and portion control </w:t>
      </w:r>
      <w:r w:rsidR="00813E57">
        <w:rPr>
          <w:color w:val="000000"/>
        </w:rPr>
        <w:fldChar w:fldCharType="begin"/>
      </w:r>
      <w:r w:rsidR="00813E57">
        <w:rPr>
          <w:color w:val="000000"/>
        </w:rPr>
        <w:instrText xml:space="preserve"> ADDIN ZOTERO_ITEM CSL_CITATION {"citationID":"a1h7l3em0g3","properties":{"formattedCitation":"(Hurt et al. 2010)","plainCitation":"(Hurt et al. 2010)","noteIndex":0},"citationItems":[{"id":149,"uris":["http://zotero.org/users/4264928/items/LNAZ8BHA"],"uri":["http://zotero.org/users/4264928/items/LNAZ8BHA"],"itemData":{"id":149,"type":"article-journal","title":"The Obesity Epidemic: Challenges, Health Initiatives, and Implications for Gastroenterologists","container-title":"Gastroenterology &amp; Hepatology","page":"780-792","volume":"6","issue":"12","source":"PubMed Central","abstract":"Obesity is the next major epidemiologic challenge facing today's doctors, with the annual allocation of healthcare resources for the disease and related comorbidities projected to exceed $150 billion in the United States. The incidence of obesity has risen in the United States over the past 30 years; 60% of adults are currently either obese or overweight. Obesity is associated with a higher incidence of a number of diseases, including diabetes, cardiovascular disease, and cancer. Consumption of fast food, trans fatty acids (TFAs), and fructose—combined with increasing portion sizes and decreased physical activity—has been implicated as a potential contributing factor in the obesity crisis. The use of body mass index (BMI) alone is of limited utility for predicting adverse cardiovascular outcomes, but the utility of this measure may be strengthened when combined with waist circumference and other anthropomorphic measurements. Certain public health initiatives have helped to identify and reduce some of the factors contributing to obesity. In New York City and Denmark, for example, such initiatives have succeeded in passing legislation to reduce or remove TFAs from residents' diets. The obesity epidemic will likely change practice for gastroenterologists, as shifts will be seen in the incidence of obesity-related gastrointestinal disorders, disease severity, and the nature of comorbidities. The experience gained with previous epidemiologic problems such as smoking should help involved parties to expand needed health initiatives and increase the likelihood of preventing future generations from suffering the consequences of obesity.","ISSN":"1554-7914","note":"PMID: 21301632\nPMCID: PMC3033553","shortTitle":"The Obesity Epidemic","journalAbbreviation":"Gastroenterol Hepatol (N Y)","author":[{"family":"Hurt","given":"Ryan T."},{"family":"Kulisek","given":"Christopher"},{"family":"Buchanan","given":"Laura A."},{"family":"McClave","given":"Stephen A."}],"issued":{"date-parts":[["2010",12]]}}}],"schema":"https://github.com/citation-style-language/schema/raw/master/csl-citation.json"} </w:instrText>
      </w:r>
      <w:r w:rsidR="00813E57">
        <w:rPr>
          <w:color w:val="000000"/>
        </w:rPr>
        <w:fldChar w:fldCharType="separate"/>
      </w:r>
      <w:r w:rsidR="00813E57" w:rsidRPr="003E76FC">
        <w:t xml:space="preserve">(Hurt </w:t>
      </w:r>
      <w:r w:rsidR="00813E57" w:rsidRPr="003E76FC">
        <w:rPr>
          <w:i/>
        </w:rPr>
        <w:t>et al.</w:t>
      </w:r>
      <w:r w:rsidR="00813E57" w:rsidRPr="003E76FC">
        <w:t xml:space="preserve"> 2010)</w:t>
      </w:r>
      <w:r w:rsidR="00813E57">
        <w:rPr>
          <w:color w:val="000000"/>
        </w:rPr>
        <w:fldChar w:fldCharType="end"/>
      </w:r>
      <w:r w:rsidR="00813E57" w:rsidRPr="00734B19">
        <w:rPr>
          <w:color w:val="000000"/>
        </w:rPr>
        <w:t xml:space="preserve">. </w:t>
      </w:r>
      <w:r w:rsidR="00813E57">
        <w:rPr>
          <w:color w:val="000000"/>
        </w:rPr>
        <w:t xml:space="preserve"> In general, </w:t>
      </w:r>
      <w:r>
        <w:rPr>
          <w:color w:val="111111"/>
          <w:shd w:val="clear" w:color="auto" w:fill="FFFFFF"/>
        </w:rPr>
        <w:t>b</w:t>
      </w:r>
      <w:r w:rsidRPr="00734B19">
        <w:rPr>
          <w:color w:val="111111"/>
          <w:shd w:val="clear" w:color="auto" w:fill="FFFFFF"/>
        </w:rPr>
        <w:t xml:space="preserve">ecause of lifestyle changes (culture barriers and environmental changes), health outcomes of immigrants tend to fall below those of </w:t>
      </w:r>
      <w:r>
        <w:rPr>
          <w:color w:val="111111"/>
          <w:shd w:val="clear" w:color="auto" w:fill="FFFFFF"/>
        </w:rPr>
        <w:t xml:space="preserve">the </w:t>
      </w:r>
      <w:r w:rsidRPr="00734B19">
        <w:rPr>
          <w:color w:val="111111"/>
          <w:shd w:val="clear" w:color="auto" w:fill="FFFFFF"/>
        </w:rPr>
        <w:t xml:space="preserve">native population </w:t>
      </w:r>
      <w:r>
        <w:rPr>
          <w:color w:val="111111"/>
          <w:shd w:val="clear" w:color="auto" w:fill="FFFFFF"/>
        </w:rPr>
        <w:fldChar w:fldCharType="begin"/>
      </w:r>
      <w:r>
        <w:rPr>
          <w:color w:val="111111"/>
          <w:shd w:val="clear" w:color="auto" w:fill="FFFFFF"/>
        </w:rPr>
        <w:instrText xml:space="preserve"> ADDIN ZOTERO_ITEM CSL_CITATION {"citationID":"a1nvv60g6lc","properties":{"formattedCitation":"(McDonald and Kennedy 2004)","plainCitation":"(McDonald and Kennedy 2004)","noteIndex":0},"citationItems":[{"id":234,"uris":["http://zotero.org/users/4264928/items/ICZGFZT3"],"uri":["http://zotero.org/users/4264928/items/ICZGFZT3"],"itemData":{"id":234,"type":"article-journal","title":"Insights into the 'healthy immigrant effect': health status and health service use of immigrants to Canada","container-title":"Social Science &amp; Medicine (1982)","page":"1613-1627","volume":"59","issue":"8","source":"PubMed","abstract":"This paper combines multiple cross-sections of data drawn from the National Population Health Survey and Canadian Community Health Survey to confirm the existence of the 'healthy immigrant effect', specifically that immigrants are in relatively better health on arrival in Canada compared to native-born Canadians, and that immigrant health converges with years in Canada to native-born levels. The paper finds robust evidence that the healthy immigrant effect is present for the incidence of chronic conditions for both men and women, and results in relatively slow convergence to native-born levels. There is only weak evidence in terms of self-assessed health status. The inclusion of controls for region of origin and year of arrival does not account for the observed effects, although region of origin is an important determinants of immigrant health. The paper then considers some alternative explanations for the observed differences, and support is found for the idea that the healthy immigrant effect reflects convergence in physical health rather than convergence in screening and detection of existing health problems.","DOI":"10.1016/j.socscimed.2004.02.004","ISSN":"0277-9536","note":"PMID: 15279920","shortTitle":"Insights into the 'healthy immigrant effect'","journalAbbreviation":"Soc Sci Med","language":"eng","author":[{"family":"McDonald","given":"James Ted"},{"family":"Kennedy","given":"Steven"}],"issued":{"date-parts":[["2004",10]]}}}],"schema":"https://github.com/citation-style-language/schema/raw/master/csl-citation.json"} </w:instrText>
      </w:r>
      <w:r>
        <w:rPr>
          <w:color w:val="111111"/>
          <w:shd w:val="clear" w:color="auto" w:fill="FFFFFF"/>
        </w:rPr>
        <w:fldChar w:fldCharType="separate"/>
      </w:r>
      <w:r w:rsidRPr="00524D9F">
        <w:t>(McDonald and Kennedy 2004)</w:t>
      </w:r>
      <w:r>
        <w:rPr>
          <w:color w:val="111111"/>
          <w:shd w:val="clear" w:color="auto" w:fill="FFFFFF"/>
        </w:rPr>
        <w:fldChar w:fldCharType="end"/>
      </w:r>
      <w:r w:rsidRPr="00734B19">
        <w:rPr>
          <w:color w:val="111111"/>
          <w:shd w:val="clear" w:color="auto" w:fill="FFFFFF"/>
        </w:rPr>
        <w:t>.</w:t>
      </w:r>
      <w:r>
        <w:rPr>
          <w:color w:val="111111"/>
          <w:shd w:val="clear" w:color="auto" w:fill="FFFFFF"/>
        </w:rPr>
        <w:t xml:space="preserve">  </w:t>
      </w:r>
      <w:r>
        <w:rPr>
          <w:color w:val="000000"/>
        </w:rPr>
        <w:t>Moreover, c</w:t>
      </w:r>
      <w:r w:rsidRPr="00734B19">
        <w:rPr>
          <w:color w:val="000000"/>
        </w:rPr>
        <w:t xml:space="preserve">ompared to </w:t>
      </w:r>
      <w:r>
        <w:rPr>
          <w:color w:val="000000"/>
        </w:rPr>
        <w:t>Caucasians</w:t>
      </w:r>
      <w:r w:rsidRPr="0025502A">
        <w:rPr>
          <w:color w:val="000000"/>
        </w:rPr>
        <w:t xml:space="preserve">, </w:t>
      </w:r>
      <w:r>
        <w:rPr>
          <w:color w:val="000000"/>
        </w:rPr>
        <w:t>African Americans</w:t>
      </w:r>
      <w:r w:rsidRPr="0025502A">
        <w:rPr>
          <w:color w:val="000000"/>
        </w:rPr>
        <w:t xml:space="preserve"> i</w:t>
      </w:r>
      <w:r w:rsidRPr="00734B19">
        <w:rPr>
          <w:color w:val="000000"/>
        </w:rPr>
        <w:t xml:space="preserve">n general are almost twice as likely to develop T2D and to experience diabetes-related blindness and lower-limb amputations. </w:t>
      </w:r>
      <w:r>
        <w:rPr>
          <w:color w:val="000000"/>
        </w:rPr>
        <w:t xml:space="preserve"> </w:t>
      </w:r>
      <w:r w:rsidRPr="00734B19">
        <w:rPr>
          <w:color w:val="000000"/>
        </w:rPr>
        <w:t xml:space="preserve">Similarly, </w:t>
      </w:r>
      <w:r>
        <w:rPr>
          <w:color w:val="000000"/>
        </w:rPr>
        <w:t>African Americans</w:t>
      </w:r>
      <w:r w:rsidRPr="00734B19">
        <w:rPr>
          <w:color w:val="000000"/>
        </w:rPr>
        <w:t xml:space="preserve"> are two to six times more likely to have kidney disease</w:t>
      </w:r>
      <w:r>
        <w:rPr>
          <w:color w:val="000000"/>
        </w:rPr>
        <w:t xml:space="preserve"> compared to Caucasians</w:t>
      </w:r>
      <w:r w:rsidRPr="00734B19">
        <w:rPr>
          <w:color w:val="000000"/>
        </w:rPr>
        <w:t xml:space="preserve"> </w:t>
      </w:r>
      <w:r>
        <w:rPr>
          <w:color w:val="000000"/>
        </w:rPr>
        <w:fldChar w:fldCharType="begin"/>
      </w:r>
      <w:r>
        <w:rPr>
          <w:color w:val="000000"/>
        </w:rPr>
        <w:instrText xml:space="preserve"> ADDIN ZOTERO_ITEM CSL_CITATION {"citationID":"a21753pfh6p","properties":{"formattedCitation":"(Deshpande et al. 2008)","plainCitation":"(Deshpande et al. 2008)","noteIndex":0},"citationItems":[{"id":170,"uris":["http://zotero.org/users/4264928/items/MUM7LMKZ"],"uri":["http://zotero.org/users/4264928/items/MUM7LMKZ"],"itemData":{"id":170,"type":"article-journal","title":"Epidemiology of Diabetes and Diabetes-Related Complications","container-title":"Physical Therapy","page":"1254-1264","volume":"88","issue":"11","source":"PubMed Central","abstract":"In 2005, it was estimated that more than 20 million people in the United States had diabetes. Approximately 30% of these people had undiagnosed cases. Increased risk for diabetes is primarily associated with age, ethnicity, family history of diabetes, smoking, obesity, and physical inactivity. Diabetes-related complications—including cardiovascular disease, kidney disease, neuropathy, blindness, and lower-extremity amputation—are a significant cause of increased morbidity and mortality among people with diabetes, and result in a heavy economic burden on the US health care system. With advances in treatment for diabetes and its associated complications, people with diabetes are living longer with their condition. This longer life span will contribute to further increases in the morbidity associated with diabetes, primarily in elderly people and in minority racial or ethnic groups. In 2050, the number of people in the United States with diagnosed diabetes is estimated to grow to 48.3 million. Results from randomized controlled trials provide evidence that intensive lifestyle interventions can prevent or delay the onset of diabetes in high-risk individuals. In addition, adequate and sustained control of blood sugar levels, blood pressure, and blood lipid levels can prevent or delay the onset of diabetes-related complications in people with diabetes. Effective interventions, at both the individual and population levels, are desperately needed to slow the diabetes epidemic and reduce diabetes-related complications in the United States. This report describes the current diabetes epidemic and the health and economic impact of diabetes complications on individuals and on the health care system. The report also provides suggestions by which the epidemic can be curbed.","DOI":"10.2522/ptj.20080020","ISSN":"0031-9023","note":"PMID: 18801858\nPMCID: PMC3870323","journalAbbreviation":"Phys Ther","author":[{"family":"Deshpande","given":"Anjali D"},{"family":"Harris-Hayes","given":"Marcie"},{"family":"Schootman","given":"Mario"}],"issued":{"date-parts":[["2008",11]]}}}],"schema":"https://github.com/citation-style-language/schema/raw/master/csl-citation.json"} </w:instrText>
      </w:r>
      <w:r>
        <w:rPr>
          <w:color w:val="000000"/>
        </w:rPr>
        <w:fldChar w:fldCharType="separate"/>
      </w:r>
      <w:r w:rsidRPr="008025E2">
        <w:t xml:space="preserve">(Deshpande </w:t>
      </w:r>
      <w:r w:rsidRPr="008025E2">
        <w:rPr>
          <w:i/>
        </w:rPr>
        <w:t>et al</w:t>
      </w:r>
      <w:r w:rsidRPr="008025E2">
        <w:t>. 2008)</w:t>
      </w:r>
      <w:r>
        <w:rPr>
          <w:color w:val="000000"/>
        </w:rPr>
        <w:fldChar w:fldCharType="end"/>
      </w:r>
      <w:r w:rsidRPr="00734B19">
        <w:rPr>
          <w:color w:val="000000"/>
        </w:rPr>
        <w:t>.</w:t>
      </w:r>
      <w:r>
        <w:t xml:space="preserve">    </w:t>
      </w:r>
    </w:p>
    <w:p w:rsidR="00EE4407" w:rsidRPr="004A42B5" w:rsidRDefault="00EE4407" w:rsidP="00EE4407">
      <w:pPr>
        <w:spacing w:line="480" w:lineRule="auto"/>
        <w:ind w:firstLine="720"/>
        <w:rPr>
          <w:color w:val="000000"/>
        </w:rPr>
      </w:pPr>
      <w:r>
        <w:t xml:space="preserve">Both genetic and life style factors contribute to the increased burden of T2D and diabetes-related complications among racial and ethnic minorities including for African American and </w:t>
      </w:r>
      <w:r w:rsidRPr="00845716">
        <w:t xml:space="preserve">Latinos </w:t>
      </w:r>
      <w:r>
        <w:rPr>
          <w:color w:val="000000"/>
        </w:rPr>
        <w:fldChar w:fldCharType="begin"/>
      </w:r>
      <w:r>
        <w:rPr>
          <w:color w:val="000000"/>
        </w:rPr>
        <w:instrText xml:space="preserve"> ADDIN ZOTERO_ITEM CSL_CITATION {"citationID":"agfnua772j","properties":{"formattedCitation":"(Peek et al. 2007)","plainCitation":"(Peek et al. 2007)","noteIndex":0},"citationItems":[{"id":94,"uris":["http://zotero.org/users/4264928/items/8ZW7YQLY"],"uri":["http://zotero.org/users/4264928/items/8ZW7YQLY"],"itemData":{"id":94,"type":"article-journal","title":"Diabetes Health Disparities","container-title":"Medical care research and review : MCRR","page":"101S-156S","volume":"64","issue":"5 Suppl","source":"PubMed Central","abstract":"Racial and ethnic minorities bear a disproportionate burden of the diabetes epidemic; they have higher prevalence rates, worse diabetes control, and higher rates of complications. This article reviews the effectiveness of health care interventions at improving health outcomes and/or reducing diabetes health disparities among racial/ethnic minorities with diabetes. Forty-two studies met inclusion criteria. On average, these health care interventions improved the quality of care for racial/ethnic minorities, improved health outcomes (such as diabetes control and reduced diabetes complications), and possibly reduced health disparities in quality of care. There is evidence supporting the use of interventions that target patients (primarily through culturally tailored programs), providers (especially through one-on-one feedback and education), and health systems (particularly with nurse case managers and nurse clinicians). More research is needed in the areas of racial/ethnic minorities other than African Americans and Latinos, health disparity reductions, long-term diabetes-related outcomes, and the sustainability of health care interventions over time.","DOI":"10.1177/1077558707305409","ISSN":"1077-5587","note":"PMID: 17881626\nPMCID: PMC2367214","journalAbbreviation":"Med Care Res Rev","author":[{"family":"Peek","given":"Monica E."},{"family":"Cargill","given":"Algernon"},{"family":"Huang","given":"Elbert S."}],"issued":{"date-parts":[["2007",10]]}}}],"schema":"https://github.com/citation-style-language/schema/raw/master/csl-citation.json"} </w:instrText>
      </w:r>
      <w:r>
        <w:rPr>
          <w:color w:val="000000"/>
        </w:rPr>
        <w:fldChar w:fldCharType="separate"/>
      </w:r>
      <w:r w:rsidRPr="003E76FC">
        <w:t xml:space="preserve">(Peek </w:t>
      </w:r>
      <w:r w:rsidRPr="003E76FC">
        <w:rPr>
          <w:i/>
        </w:rPr>
        <w:t>et al</w:t>
      </w:r>
      <w:r w:rsidRPr="003E76FC">
        <w:t>. 2007)</w:t>
      </w:r>
      <w:r>
        <w:rPr>
          <w:color w:val="000000"/>
        </w:rPr>
        <w:fldChar w:fldCharType="end"/>
      </w:r>
      <w:r w:rsidRPr="00734B19">
        <w:rPr>
          <w:color w:val="000000"/>
        </w:rPr>
        <w:t>.</w:t>
      </w:r>
      <w:r w:rsidR="00A37FC6">
        <w:rPr>
          <w:color w:val="000000"/>
        </w:rPr>
        <w:t xml:space="preserve">  </w:t>
      </w:r>
      <w:r>
        <w:t xml:space="preserve">A study done by Shipp </w:t>
      </w:r>
      <w:r w:rsidRPr="00BD7D97">
        <w:rPr>
          <w:i/>
        </w:rPr>
        <w:t>et al</w:t>
      </w:r>
      <w:r>
        <w:t>. (2014) showed the prevalence of T2D among African immigrants living in the United States was significantly higher than of the prevalence in their native lands.</w:t>
      </w:r>
      <w:r w:rsidR="00A37FC6">
        <w:t xml:space="preserve">  </w:t>
      </w:r>
      <w:r>
        <w:t xml:space="preserve">Environmental changes </w:t>
      </w:r>
      <w:r>
        <w:lastRenderedPageBreak/>
        <w:t xml:space="preserve">and adoption of a sedentary lifestyle are some of the risk factors that </w:t>
      </w:r>
      <w:r w:rsidR="0087691B">
        <w:t xml:space="preserve">are </w:t>
      </w:r>
      <w:r>
        <w:t xml:space="preserve">associated with the increased prevalence of T2D for African immigrants </w:t>
      </w:r>
      <w:r>
        <w:rPr>
          <w:color w:val="000000"/>
        </w:rPr>
        <w:fldChar w:fldCharType="begin"/>
      </w:r>
      <w:r>
        <w:rPr>
          <w:color w:val="000000"/>
        </w:rPr>
        <w:instrText xml:space="preserve"> ADDIN ZOTERO_ITEM CSL_CITATION {"citationID":"a283tro64v5","properties":{"formattedCitation":"(Shipp et al. 2014)","plainCitation":"(Shipp et al. 2014)","noteIndex":0},"citationItems":[{"id":213,"uris":["http://zotero.org/users/4264928/items/USFRZQQE"],"uri":["http://zotero.org/users/4264928/items/USFRZQQE"],"itemData":{"id":213,"type":"article-journal","title":"Perceived Health Issues: A perspective from East-African immigrants","container-title":"Health, Culture and Society","page":"13-32","volume":"6","issue":"1","source":"hcs.pitt.edu","archive_location":"Volunteer men and women Somali and Ethiopian immigrants living in Ohio","abstract":"This Study explores Somali and Ethiopian community leaders’ perceptions about health issues in their communities and the barriers to access and utilization of primary health care services. Fourteen in-depth interviews were conducted with community leaders and thematic analysis was used to analyze interviews. Participants identified chronic diseases, the unhealthy behaviors associated with them,  and mental health as major health issues. Infectious diseases were secondarily mentioned as important health concerns. Lack of insurance and limited understanding of the health system were viewed as barriers to utilizing health care services. Other identified needs were: better education within immigrant communities about major health issues, enhanced cultural awareness of health care providers, improved health care access, and assistance with the acculturation process. Recommendations to improve the communities’ health status included enhancing providers' cultural competence, educating immigrants about major health issues, and increasing mental health care access.","DOI":"10.5195/hcs.2014.113","ISSN":"2161-6590","shortTitle":"Perceived Health Issues","language":"en","author":[{"family":"Shipp","given":"M. P.-L."},{"family":"Francis","given":"S. A."},{"family":"Fluegge","given":"K. R."},{"family":"Asfaw","given":"S. A."}],"issued":{"date-parts":[["2014",5,19]]}}}],"schema":"https://github.com/citation-style-language/schema/raw/master/csl-citation.json"} </w:instrText>
      </w:r>
      <w:r>
        <w:rPr>
          <w:color w:val="000000"/>
        </w:rPr>
        <w:fldChar w:fldCharType="separate"/>
      </w:r>
      <w:r w:rsidRPr="003E76FC">
        <w:t xml:space="preserve">(Shipp </w:t>
      </w:r>
      <w:r w:rsidRPr="003E76FC">
        <w:rPr>
          <w:i/>
        </w:rPr>
        <w:t>et al</w:t>
      </w:r>
      <w:r w:rsidRPr="003E76FC">
        <w:t>. 2014)</w:t>
      </w:r>
      <w:r>
        <w:rPr>
          <w:color w:val="000000"/>
        </w:rPr>
        <w:fldChar w:fldCharType="end"/>
      </w:r>
      <w:r w:rsidRPr="00734B19">
        <w:rPr>
          <w:color w:val="000000"/>
        </w:rPr>
        <w:t>.</w:t>
      </w:r>
      <w:r>
        <w:rPr>
          <w:color w:val="000000"/>
        </w:rPr>
        <w:t xml:space="preserve">  </w:t>
      </w:r>
    </w:p>
    <w:p w:rsidR="00EE4407" w:rsidRDefault="00192DE4" w:rsidP="00EE4407">
      <w:pPr>
        <w:spacing w:line="480" w:lineRule="auto"/>
        <w:ind w:firstLine="720"/>
        <w:rPr>
          <w:color w:val="000000"/>
        </w:rPr>
      </w:pPr>
      <w:bookmarkStart w:id="15" w:name="_Hlk508573053"/>
      <w:r>
        <w:rPr>
          <w:color w:val="000000"/>
        </w:rPr>
        <w:t>World-wide</w:t>
      </w:r>
      <w:r w:rsidRPr="00734B19">
        <w:rPr>
          <w:color w:val="000000"/>
        </w:rPr>
        <w:t xml:space="preserve"> study shows that the prevalence of T2D is higher in the developed countries compared to developing countries, (6.2%) and (3.5%) respectively </w:t>
      </w:r>
      <w:r>
        <w:rPr>
          <w:color w:val="000000"/>
        </w:rPr>
        <w:fldChar w:fldCharType="begin"/>
      </w:r>
      <w:r>
        <w:rPr>
          <w:color w:val="000000"/>
        </w:rPr>
        <w:instrText xml:space="preserve"> ADDIN ZOTERO_ITEM CSL_CITATION {"citationID":"a1p5n4m7v9b","properties":{"formattedCitation":"(Black 2002)","plainCitation":"(Black 2002)","noteIndex":0},"citationItems":[{"id":138,"uris":["http://zotero.org/users/4264928/items/T97ERS6N"],"uri":["http://zotero.org/users/4264928/items/T97ERS6N"],"itemData":{"id":138,"type":"article-journal","title":"Diabetes, Diversity, and Disparity: What Do We Do With the Evidence?","container-title":"American Journal of Public Health","page":"543-548","volume":"92","issue":"4","source":"PubMed Central","abstract":"The US Department of Health and Human Services has developed an initiative called “Eliminating Racial and Ethnic Disparities in Health,” which parallels Healthy People 2010, the nation's health goals for the next decade. The initiative focuses on areas of health disparity that are known to affect racially and ethnically diverse groups of the population yet hold the promise of improvement., The first step to addressing such health inequities is to understand the scope and nature of the diseases that contribute to such disparities. This commentary reviews the epidemiology and consequences of type 2 diabetes, particularly as it is manifested in socially and culturally diverse groups, and offers recommendations for actions to address the disparities resulting from diabetes.","ISSN":"0090-0036","note":"PMID: 11919048\nPMCID: PMC1447113","shortTitle":"Diabetes, Diversity, and Disparity","journalAbbreviation":"Am J Public Health","author":[{"family":"Black","given":"Sandra A."}],"issued":{"date-parts":[["2002",4]]}}}],"schema":"https://github.com/citation-style-language/schema/raw/master/csl-citation.json"} </w:instrText>
      </w:r>
      <w:r>
        <w:rPr>
          <w:color w:val="000000"/>
        </w:rPr>
        <w:fldChar w:fldCharType="separate"/>
      </w:r>
      <w:r w:rsidRPr="003E76FC">
        <w:t>(Black 2002)</w:t>
      </w:r>
      <w:r>
        <w:rPr>
          <w:color w:val="000000"/>
        </w:rPr>
        <w:fldChar w:fldCharType="end"/>
      </w:r>
      <w:r w:rsidRPr="00734B19">
        <w:rPr>
          <w:color w:val="000000"/>
        </w:rPr>
        <w:t>.</w:t>
      </w:r>
      <w:r>
        <w:rPr>
          <w:color w:val="000000"/>
        </w:rPr>
        <w:t xml:space="preserve">  </w:t>
      </w:r>
      <w:r w:rsidR="00EE4407" w:rsidRPr="00734B19">
        <w:rPr>
          <w:color w:val="000000"/>
        </w:rPr>
        <w:t>In Ethiopia, the prevalence of T2D in the adult population</w:t>
      </w:r>
      <w:r w:rsidR="00EE4407">
        <w:rPr>
          <w:color w:val="000000"/>
        </w:rPr>
        <w:t xml:space="preserve"> aged 18 and above in 2015 was</w:t>
      </w:r>
      <w:r w:rsidR="00EE4407" w:rsidRPr="00734B19">
        <w:rPr>
          <w:color w:val="000000"/>
        </w:rPr>
        <w:t xml:space="preserve"> 1.9%</w:t>
      </w:r>
      <w:r w:rsidR="00EE4407">
        <w:rPr>
          <w:color w:val="000000"/>
        </w:rPr>
        <w:t>,</w:t>
      </w:r>
      <w:r w:rsidR="00EE4407" w:rsidRPr="00734B19">
        <w:rPr>
          <w:color w:val="000000"/>
        </w:rPr>
        <w:t xml:space="preserve"> and for individuals who were older than 40 years of age, their </w:t>
      </w:r>
      <w:r w:rsidR="00EE4407">
        <w:rPr>
          <w:color w:val="000000"/>
        </w:rPr>
        <w:t>prevalence</w:t>
      </w:r>
      <w:r w:rsidR="00EE4407" w:rsidRPr="00734B19">
        <w:rPr>
          <w:color w:val="000000"/>
        </w:rPr>
        <w:t xml:space="preserve"> was higher (2.4%) </w:t>
      </w:r>
      <w:r w:rsidR="00EE4407">
        <w:rPr>
          <w:color w:val="000000"/>
        </w:rPr>
        <w:fldChar w:fldCharType="begin"/>
      </w:r>
      <w:r w:rsidR="00EE4407">
        <w:rPr>
          <w:color w:val="000000"/>
        </w:rPr>
        <w:instrText xml:space="preserve"> ADDIN ZOTERO_ITEM CSL_CITATION {"citationID":"a1bpapb904c","properties":{"formattedCitation":"(Alemu 2015)","plainCitation":"(Alemu 2015)","noteIndex":0},"citationItems":[{"id":128,"uris":["http://zotero.org/users/4264928/items/PK2JP8ZJ"],"uri":["http://zotero.org/users/4264928/items/PK2JP8ZJ"],"itemData":{"id":128,"type":"article-journal","title":"Prevalence of Diabetes Mellitus Disease and its Association with Level of Education Among Adult Patients Attending at Dilla Referral Hospital, Ethiopia","container-title":"Journal of Diabetes &amp; Metabolism","volume":"6","issue":"4","source":"www.omicsonline.org","abstract":"Diabetes mellitus is becoming one of the major health problems in the developing countries. As the International Diabetes Federation suggests that the number of adults living with diabetes worldwide was increasing from time to time. The aim of this study is to assess the educational level of Diabetic patients as well as service given to them and the frequency of the disease over last four years at Dilla Referral Hospital. Data was collected through self administer/interviewer administer questionnaire and document review. According to this finding more exposure to diabetes disease, it must be was found an illiterate individuals 15 (37.50%) followed by Primary school, College and University level individuals 9 (22.50%), 6 (15.00%), 5 (12.50%) respectively. Diabetes type II diseases were highly prevalent across the year than Diabetes type I. The prevalence of diabetes mellitus is increasing and type II is more predominate than type I at Dilla Referral Hospital. Therefore, appropriate actions need to be taken to provide access like education and treatment in order to reduce associated complications","URL":"https://www.omicsonline.org/open-access/prevalence-of-diabetes-mellitus-disease-and-its-association-with-levelof-education-among-adult-patients-attending-at-dilla-referral-hospitalethiopia-2155-6156-1000521.php?aid=50808","DOI":"10.4172/2155-6156.1000521","ISSN":"2155-6156","language":"En","author":[{"family":"Alemu","given":"Fekadu"}],"issued":{"date-parts":[["2015",3,23]]},"accessed":{"date-parts":[["2018",2,4]]}}}],"schema":"https://github.com/citation-style-language/schema/raw/master/csl-citation.json"} </w:instrText>
      </w:r>
      <w:r w:rsidR="00EE4407">
        <w:rPr>
          <w:color w:val="000000"/>
        </w:rPr>
        <w:fldChar w:fldCharType="separate"/>
      </w:r>
      <w:r w:rsidR="00EE4407" w:rsidRPr="008025E2">
        <w:t>(Alemu 2015)</w:t>
      </w:r>
      <w:r w:rsidR="00EE4407">
        <w:rPr>
          <w:color w:val="000000"/>
        </w:rPr>
        <w:fldChar w:fldCharType="end"/>
      </w:r>
      <w:r w:rsidR="00EE4407" w:rsidRPr="00734B19">
        <w:rPr>
          <w:color w:val="000000"/>
        </w:rPr>
        <w:t>.</w:t>
      </w:r>
      <w:bookmarkEnd w:id="15"/>
      <w:r w:rsidR="00A37FC6">
        <w:rPr>
          <w:color w:val="000000"/>
        </w:rPr>
        <w:t xml:space="preserve">  However</w:t>
      </w:r>
      <w:r w:rsidR="00A37FC6" w:rsidRPr="00734B19">
        <w:rPr>
          <w:color w:val="000000"/>
        </w:rPr>
        <w:t>,</w:t>
      </w:r>
      <w:r w:rsidR="00A37FC6">
        <w:rPr>
          <w:color w:val="000000"/>
        </w:rPr>
        <w:t xml:space="preserve"> today,</w:t>
      </w:r>
      <w:r w:rsidR="00A37FC6" w:rsidRPr="00734B19">
        <w:rPr>
          <w:color w:val="000000"/>
        </w:rPr>
        <w:t xml:space="preserve"> because of lifestyle changes, rapid urbanization, and </w:t>
      </w:r>
      <w:r w:rsidR="00A37FC6">
        <w:rPr>
          <w:color w:val="000000"/>
        </w:rPr>
        <w:t>the W</w:t>
      </w:r>
      <w:r w:rsidR="00A37FC6" w:rsidRPr="00734B19">
        <w:rPr>
          <w:color w:val="000000"/>
        </w:rPr>
        <w:t>esternization</w:t>
      </w:r>
      <w:r w:rsidR="00A37FC6">
        <w:rPr>
          <w:color w:val="000000"/>
        </w:rPr>
        <w:t xml:space="preserve"> life style</w:t>
      </w:r>
      <w:r w:rsidR="00A37FC6" w:rsidRPr="00734B19">
        <w:rPr>
          <w:color w:val="000000"/>
        </w:rPr>
        <w:t xml:space="preserve">, the prevalence of T2D in African </w:t>
      </w:r>
      <w:r w:rsidR="00A37FC6" w:rsidRPr="006C4435">
        <w:rPr>
          <w:color w:val="000000"/>
        </w:rPr>
        <w:t>communities is increasing</w:t>
      </w:r>
      <w:r w:rsidR="00A37FC6">
        <w:rPr>
          <w:color w:val="000000"/>
        </w:rPr>
        <w:t xml:space="preserve"> </w:t>
      </w:r>
      <w:r w:rsidR="00A37FC6">
        <w:rPr>
          <w:color w:val="000000"/>
        </w:rPr>
        <w:fldChar w:fldCharType="begin"/>
      </w:r>
      <w:r w:rsidR="00A37FC6">
        <w:rPr>
          <w:color w:val="000000"/>
        </w:rPr>
        <w:instrText xml:space="preserve"> ADDIN ZOTERO_ITEM CSL_CITATION {"citationID":"a279es8eu2l","properties":{"formattedCitation":"(Sobngwi et al. 2001)","plainCitation":"(Sobngwi et al. 2001)","noteIndex":0},"citationItems":[{"id":216,"uris":["http://zotero.org/users/4264928/items/G9IZGNFR"],"uri":["http://zotero.org/users/4264928/items/G9IZGNFR"],"itemData":{"id":216,"type":"article-journal","title":"Diabetes in Africans. Part 1: epidemiology and clinical specificities","container-title":"Diabetes &amp; Metabolism","page":"628-634","volume":"27","issue":"6","source":"PubMed","abstract":"The prevalence of diabetes in African communities is increasing with ageing of the population and lifestyle changes associated with rapid urbanisation and westernisation. Traditional rural communities still have very low prevalence, at most 1-2%, except in some specific high-risk groups, whereas 1-13% or more adults in urban communities have diabetes. Type 2 diabetes is the predominant form (70-90%), the rest being represented by typical type 1 patients and patients with atypical presentations that require more pathophysiological insight. Due to the high urban growth rate, dietary changes, reduction in physical activity, and increasing obesity, it is estimated that the prevalence of diabetes is due to triple within the next 25 years. In addition, long-term complications occur early in the course of diabetes and concern a high proportion of patients, probably higher than in other ethnic groups, and that could be partly explained by uncontrolled hypertension, poor metabolic control and possible ethnic predisposition. The combination of the rising prevalence of diabetes and the high rate of long-term complications in Africans will lead to a drastic increase of the burden of diabetes on health systems of African countries. The design and implementation of appropriate strategy for early diagnosis and treatment, and population-based primary prevention of diabetes in these high-risk populations is therefore a public health priority.","ISSN":"1262-3636","note":"PMID: 11852370","shortTitle":"Diabetes in Africans. Part 1","journalAbbreviation":"Diabetes Metab.","language":"eng","author":[{"family":"Sobngwi","given":"E."},{"family":"Mauvais-Jarvis","given":"F."},{"family":"Vexiau","given":"P."},{"family":"Mbanya","given":"J. C."},{"family":"Gautier","given":"J. F."}],"issued":{"date-parts":[["2001",12]]}}}],"schema":"https://github.com/citation-style-language/schema/raw/master/csl-citation.json"} </w:instrText>
      </w:r>
      <w:r w:rsidR="00A37FC6">
        <w:rPr>
          <w:color w:val="000000"/>
        </w:rPr>
        <w:fldChar w:fldCharType="separate"/>
      </w:r>
      <w:r w:rsidR="00A37FC6" w:rsidRPr="008025E2">
        <w:t xml:space="preserve">(Sobngwi </w:t>
      </w:r>
      <w:r w:rsidR="00A37FC6" w:rsidRPr="008025E2">
        <w:rPr>
          <w:i/>
        </w:rPr>
        <w:t>et al</w:t>
      </w:r>
      <w:r w:rsidR="00A37FC6" w:rsidRPr="008025E2">
        <w:t>. 2001)</w:t>
      </w:r>
      <w:r w:rsidR="00A37FC6">
        <w:rPr>
          <w:color w:val="000000"/>
        </w:rPr>
        <w:fldChar w:fldCharType="end"/>
      </w:r>
      <w:r w:rsidR="00A37FC6" w:rsidRPr="000B4497">
        <w:rPr>
          <w:color w:val="000000"/>
        </w:rPr>
        <w:t>.</w:t>
      </w:r>
      <w:r w:rsidR="00A37FC6">
        <w:rPr>
          <w:color w:val="000000"/>
        </w:rPr>
        <w:t xml:space="preserve">  Similarly, the prevalence i</w:t>
      </w:r>
      <w:r w:rsidR="0059302D">
        <w:rPr>
          <w:color w:val="000000"/>
        </w:rPr>
        <w:t>n Africans increases upon migra</w:t>
      </w:r>
      <w:r w:rsidR="00A37FC6">
        <w:rPr>
          <w:color w:val="000000"/>
        </w:rPr>
        <w:t>tion to higher income seating.  In Ethiopia, prevalence in urban communities</w:t>
      </w:r>
      <w:r w:rsidR="00A37FC6" w:rsidRPr="000B4497">
        <w:rPr>
          <w:color w:val="000000"/>
        </w:rPr>
        <w:t xml:space="preserve"> (1-13%</w:t>
      </w:r>
      <w:r w:rsidR="00A37FC6">
        <w:rPr>
          <w:color w:val="000000"/>
        </w:rPr>
        <w:t xml:space="preserve">) is higher </w:t>
      </w:r>
      <w:r w:rsidR="00A37FC6" w:rsidRPr="000B4497">
        <w:rPr>
          <w:color w:val="000000"/>
        </w:rPr>
        <w:t>compared to rural</w:t>
      </w:r>
      <w:r w:rsidR="00A37FC6" w:rsidRPr="00685921">
        <w:rPr>
          <w:color w:val="000000"/>
        </w:rPr>
        <w:t xml:space="preserve"> communities (1-2%) </w:t>
      </w:r>
      <w:r w:rsidR="00A37FC6">
        <w:rPr>
          <w:color w:val="000000"/>
        </w:rPr>
        <w:fldChar w:fldCharType="begin"/>
      </w:r>
      <w:r w:rsidR="00A37FC6">
        <w:rPr>
          <w:color w:val="000000"/>
        </w:rPr>
        <w:instrText xml:space="preserve"> ADDIN ZOTERO_ITEM CSL_CITATION {"citationID":"a27v8h5kllh","properties":{"formattedCitation":"(Sobngwi et al. 2001)","plainCitation":"(Sobngwi et al. 2001)","noteIndex":0},"citationItems":[{"id":216,"uris":["http://zotero.org/users/4264928/items/G9IZGNFR"],"uri":["http://zotero.org/users/4264928/items/G9IZGNFR"],"itemData":{"id":216,"type":"article-journal","title":"Diabetes in Africans. Part 1: epidemiology and clinical specificities","container-title":"Diabetes &amp; Metabolism","page":"628-634","volume":"27","issue":"6","source":"PubMed","abstract":"The prevalence of diabetes in African communities is increasing with ageing of the population and lifestyle changes associated with rapid urbanisation and westernisation. Traditional rural communities still have very low prevalence, at most 1-2%, except in some specific high-risk groups, whereas 1-13% or more adults in urban communities have diabetes. Type 2 diabetes is the predominant form (70-90%), the rest being represented by typical type 1 patients and patients with atypical presentations that require more pathophysiological insight. Due to the high urban growth rate, dietary changes, reduction in physical activity, and increasing obesity, it is estimated that the prevalence of diabetes is due to triple within the next 25 years. In addition, long-term complications occur early in the course of diabetes and concern a high proportion of patients, probably higher than in other ethnic groups, and that could be partly explained by uncontrolled hypertension, poor metabolic control and possible ethnic predisposition. The combination of the rising prevalence of diabetes and the high rate of long-term complications in Africans will lead to a drastic increase of the burden of diabetes on health systems of African countries. The design and implementation of appropriate strategy for early diagnosis and treatment, and population-based primary prevention of diabetes in these high-risk populations is therefore a public health priority.","ISSN":"1262-3636","note":"PMID: 11852370","shortTitle":"Diabetes in Africans. Part 1","journalAbbreviation":"Diabetes Metab.","language":"eng","author":[{"family":"Sobngwi","given":"E."},{"family":"Mauvais-Jarvis","given":"F."},{"family":"Vexiau","given":"P."},{"family":"Mbanya","given":"J. C."},{"family":"Gautier","given":"J. F."}],"issued":{"date-parts":[["2001",12]]}}}],"schema":"https://github.com/citation-style-language/schema/raw/master/csl-citation.json"} </w:instrText>
      </w:r>
      <w:r w:rsidR="00A37FC6">
        <w:rPr>
          <w:color w:val="000000"/>
        </w:rPr>
        <w:fldChar w:fldCharType="separate"/>
      </w:r>
      <w:r w:rsidR="00A37FC6" w:rsidRPr="008025E2">
        <w:t xml:space="preserve">(Sobngwi </w:t>
      </w:r>
      <w:r w:rsidR="00A37FC6" w:rsidRPr="008025E2">
        <w:rPr>
          <w:i/>
        </w:rPr>
        <w:t>et al</w:t>
      </w:r>
      <w:r w:rsidR="00A37FC6" w:rsidRPr="008025E2">
        <w:t>. 2001)</w:t>
      </w:r>
      <w:r w:rsidR="00A37FC6">
        <w:rPr>
          <w:color w:val="000000"/>
        </w:rPr>
        <w:fldChar w:fldCharType="end"/>
      </w:r>
      <w:r w:rsidR="00A37FC6" w:rsidRPr="00685921">
        <w:rPr>
          <w:color w:val="111111"/>
          <w:shd w:val="clear" w:color="auto" w:fill="FFFFFF"/>
        </w:rPr>
        <w:t>.</w:t>
      </w:r>
      <w:r w:rsidR="00A37FC6">
        <w:rPr>
          <w:color w:val="111111"/>
          <w:shd w:val="clear" w:color="auto" w:fill="FFFFFF"/>
        </w:rPr>
        <w:t xml:space="preserve">  A</w:t>
      </w:r>
      <w:r w:rsidR="00EE4407">
        <w:rPr>
          <w:color w:val="000000"/>
        </w:rPr>
        <w:t xml:space="preserve"> s</w:t>
      </w:r>
      <w:r w:rsidR="00EE4407" w:rsidRPr="00F966E1">
        <w:t xml:space="preserve">tudy done by </w:t>
      </w:r>
      <w:r w:rsidR="00EE4407">
        <w:t xml:space="preserve">Commodore - Mensah </w:t>
      </w:r>
      <w:r w:rsidR="00EE4407" w:rsidRPr="00FF72CE">
        <w:rPr>
          <w:i/>
        </w:rPr>
        <w:t>et al</w:t>
      </w:r>
      <w:r w:rsidR="00EE4407">
        <w:t>.</w:t>
      </w:r>
      <w:r w:rsidR="00EE4407" w:rsidRPr="00F966E1">
        <w:t xml:space="preserve"> (201</w:t>
      </w:r>
      <w:r w:rsidR="00EE4407">
        <w:t>6</w:t>
      </w:r>
      <w:r w:rsidR="00EE4407" w:rsidRPr="00F966E1">
        <w:t>)</w:t>
      </w:r>
      <w:r w:rsidR="00EE4407">
        <w:t xml:space="preserve"> </w:t>
      </w:r>
      <w:r w:rsidR="00EE4407" w:rsidRPr="00F966E1">
        <w:rPr>
          <w:color w:val="000000"/>
        </w:rPr>
        <w:t xml:space="preserve">revealed </w:t>
      </w:r>
      <w:r w:rsidR="00EE4407" w:rsidRPr="00734B19">
        <w:rPr>
          <w:color w:val="000000"/>
        </w:rPr>
        <w:t xml:space="preserve">that for </w:t>
      </w:r>
      <w:r w:rsidR="00EE4407">
        <w:rPr>
          <w:color w:val="000000"/>
        </w:rPr>
        <w:t xml:space="preserve">the African born </w:t>
      </w:r>
      <w:r w:rsidR="00EE4407" w:rsidRPr="00734B19">
        <w:rPr>
          <w:color w:val="000000"/>
        </w:rPr>
        <w:t>subpopulation</w:t>
      </w:r>
      <w:r w:rsidR="00EE4407">
        <w:rPr>
          <w:color w:val="000000"/>
        </w:rPr>
        <w:t xml:space="preserve"> living in the United States for more than five years, obesity risk and being diagnosed with T2D </w:t>
      </w:r>
      <w:r w:rsidR="00EE4407" w:rsidRPr="00A52370">
        <w:rPr>
          <w:color w:val="000000" w:themeColor="text1"/>
        </w:rPr>
        <w:t xml:space="preserve">increases </w:t>
      </w:r>
      <w:r w:rsidR="00EE4407" w:rsidRPr="00A52370">
        <w:rPr>
          <w:color w:val="000000" w:themeColor="text1"/>
          <w:shd w:val="clear" w:color="auto" w:fill="FFFFFF"/>
        </w:rPr>
        <w:fldChar w:fldCharType="begin"/>
      </w:r>
      <w:r w:rsidR="00EE4407" w:rsidRPr="00A52370">
        <w:rPr>
          <w:color w:val="000000" w:themeColor="text1"/>
          <w:shd w:val="clear" w:color="auto" w:fill="FFFFFF"/>
        </w:rPr>
        <w:instrText xml:space="preserve"> ADDIN ZOTERO_ITEM CSL_CITATION {"citationID":"a2pufbmgmpl","properties":{"formattedCitation":"(Commodore\\uc0\\u8208{}Mensah et al. 2016)","plainCitation":"(Commodore‐Mensah et al. 2016)","noteIndex":0},"citationItems":[{"id":301,"uris":["http://zotero.org/users/4264928/items/URLBGUJT"],"uri":["http://zotero.org/users/4264928/items/URLBGUJT"],"itemData":{"id":301,"type":"article-journal","title":"Length of Residence in the United States is Associated With a Higher Prevalence of Cardiometabolic Risk Factors in Immigrants: A Contemporary Analysis of the National Health Interview Survey","container-title":"Journal of the American Heart Association","page":"e004059","volume":"5","issue":"11","source":"jaha.ahajournals.org","abstract":"Background Cardiometabolic risk (CMR) factors including hypertension, overweight/obesity, diabetes mellitus, and hyperlipidemia are high among United States ethnic minorities, and the immigrant population continues to burgeon.\nMethods and Results Hypothesizing that acculturation (length of residence) would be associated with a higher prevalence of CMR factors, the authors analyzed data on 54, 984 US immigrants in the 2010–2014 National Health Interview Surveys. The main predictor was length of residence. The outcomes were hypertension, overweight/obesity, diabetes mellitus, and hyperlipidemia. The authors used multivariable logistic regression to examine the association between length of US residence and these CMR factors.The mean (SE) age of the patients was 43 (0.12) years and half were women. Participants residing in the United States for ≥10 years were more likely to have health insurance than those with &lt;10 years of residence (70% versus 54%, P&lt;0.001). After adjusting for region of birth, poverty income ratio, age, and sex, immigrants residing in the United States for ≥10 years were more likely to be overweight/obese (odds ratio [OR], 1.19; 95% CI, 1.10–1.29), diabetic (OR, 1.43; 95% CI, 1.17–1.73), and hypertensive (OR, 1.18; 95% CI, 1.05–1.32) than those residing in the United States for &lt;10 years.\nConclusions In an ethnically diverse sample of US immigrants, acculturation was associated with CMR factors. Culturally tailored public health strategies should be developed in US immigrant populations to reduce CMR.","DOI":"10.1161/JAHA.116.004059","ISSN":"2047-9980, 2047-9980","note":"PMID: 27815269","shortTitle":"Length of Residence in the United States is Associated With a Higher Prevalence of Cardiometabolic Risk Factors in Immigrants","language":"en","author":[{"family":"Commodore‐Mensah","given":"Yvonne"},{"family":"Ukonu","given":"Nwakaego"},{"family":"Obisesan","given":"Olawunmi"},{"family":"Aboagye","given":"Jonathan Kumi"},{"family":"Agyemang","given":"Charles"},{"family":"Reilly","given":"Carolyn M."},{"family":"Dunbar","given":"Sandra B."},{"family":"Okosun","given":"Ike S."}],"issued":{"date-parts":[["2016",11,1]]}}}],"schema":"https://github.com/citation-style-language/schema/raw/master/csl-citation.json"} </w:instrText>
      </w:r>
      <w:r w:rsidR="00EE4407" w:rsidRPr="00A52370">
        <w:rPr>
          <w:color w:val="000000" w:themeColor="text1"/>
          <w:shd w:val="clear" w:color="auto" w:fill="FFFFFF"/>
        </w:rPr>
        <w:fldChar w:fldCharType="separate"/>
      </w:r>
      <w:r w:rsidR="00EE4407" w:rsidRPr="00A52370">
        <w:rPr>
          <w:color w:val="000000" w:themeColor="text1"/>
        </w:rPr>
        <w:t>(Commodore</w:t>
      </w:r>
      <w:r>
        <w:rPr>
          <w:color w:val="000000" w:themeColor="text1"/>
        </w:rPr>
        <w:t xml:space="preserve"> </w:t>
      </w:r>
      <w:r w:rsidR="00EE4407" w:rsidRPr="00A52370">
        <w:rPr>
          <w:color w:val="000000" w:themeColor="text1"/>
        </w:rPr>
        <w:t xml:space="preserve">‐ Mensah </w:t>
      </w:r>
      <w:r w:rsidR="00EE4407" w:rsidRPr="00A52370">
        <w:rPr>
          <w:i/>
          <w:color w:val="000000" w:themeColor="text1"/>
        </w:rPr>
        <w:t>et al</w:t>
      </w:r>
      <w:r w:rsidR="00EE4407" w:rsidRPr="00A52370">
        <w:rPr>
          <w:color w:val="000000" w:themeColor="text1"/>
        </w:rPr>
        <w:t>. 2016)</w:t>
      </w:r>
      <w:r w:rsidR="00EE4407" w:rsidRPr="00A52370">
        <w:rPr>
          <w:color w:val="000000" w:themeColor="text1"/>
          <w:shd w:val="clear" w:color="auto" w:fill="FFFFFF"/>
        </w:rPr>
        <w:fldChar w:fldCharType="end"/>
      </w:r>
      <w:r w:rsidR="00EE4407" w:rsidRPr="00A52370">
        <w:rPr>
          <w:color w:val="000000" w:themeColor="text1"/>
          <w:shd w:val="clear" w:color="auto" w:fill="FFFFFF"/>
        </w:rPr>
        <w:t xml:space="preserve">.  </w:t>
      </w:r>
      <w:r w:rsidR="00EE4407" w:rsidRPr="00A52370">
        <w:rPr>
          <w:color w:val="000000" w:themeColor="text1"/>
        </w:rPr>
        <w:t>However</w:t>
      </w:r>
      <w:r w:rsidR="00EE4407">
        <w:rPr>
          <w:color w:val="000000"/>
        </w:rPr>
        <w:t>, there</w:t>
      </w:r>
      <w:r w:rsidR="00EE4407" w:rsidRPr="00734B19">
        <w:rPr>
          <w:color w:val="000000"/>
        </w:rPr>
        <w:t xml:space="preserve"> has been little research about the prevalence of T2D occurrence among </w:t>
      </w:r>
      <w:r w:rsidR="00EE4407">
        <w:rPr>
          <w:color w:val="000000"/>
        </w:rPr>
        <w:t xml:space="preserve">the </w:t>
      </w:r>
      <w:r w:rsidR="00EE4407" w:rsidRPr="00734B19">
        <w:rPr>
          <w:color w:val="000000"/>
        </w:rPr>
        <w:t>Ethiopian immigrant</w:t>
      </w:r>
      <w:r w:rsidR="00EE4407">
        <w:rPr>
          <w:color w:val="000000"/>
        </w:rPr>
        <w:t xml:space="preserve"> population i</w:t>
      </w:r>
      <w:r w:rsidR="00EE4407" w:rsidRPr="00734B19">
        <w:rPr>
          <w:color w:val="000000"/>
        </w:rPr>
        <w:t xml:space="preserve">n the </w:t>
      </w:r>
      <w:r w:rsidR="00EE4407">
        <w:rPr>
          <w:color w:val="000000"/>
        </w:rPr>
        <w:t>United States</w:t>
      </w:r>
      <w:r w:rsidR="00EE4407" w:rsidRPr="00734B19">
        <w:rPr>
          <w:color w:val="000000"/>
        </w:rPr>
        <w:t>.</w:t>
      </w:r>
      <w:r w:rsidR="00EE4407">
        <w:rPr>
          <w:color w:val="000000"/>
        </w:rPr>
        <w:t xml:space="preserve">  </w:t>
      </w:r>
    </w:p>
    <w:p w:rsidR="00EE4407" w:rsidRDefault="00EE4407" w:rsidP="00EE4407">
      <w:pPr>
        <w:spacing w:line="480" w:lineRule="auto"/>
        <w:ind w:firstLine="720"/>
        <w:rPr>
          <w:color w:val="000000"/>
        </w:rPr>
      </w:pPr>
      <w:r w:rsidRPr="00734B19">
        <w:rPr>
          <w:color w:val="000000"/>
        </w:rPr>
        <w:t xml:space="preserve">Ethiopian immigrants </w:t>
      </w:r>
      <w:r>
        <w:rPr>
          <w:color w:val="000000"/>
        </w:rPr>
        <w:t xml:space="preserve">diagnosed with T2D </w:t>
      </w:r>
      <w:r w:rsidRPr="00734B19">
        <w:rPr>
          <w:color w:val="000000"/>
        </w:rPr>
        <w:t xml:space="preserve">often </w:t>
      </w:r>
      <w:r>
        <w:rPr>
          <w:color w:val="000000"/>
        </w:rPr>
        <w:t>report</w:t>
      </w:r>
      <w:r w:rsidRPr="00734B19">
        <w:rPr>
          <w:color w:val="000000"/>
        </w:rPr>
        <w:t xml:space="preserve"> </w:t>
      </w:r>
      <w:r>
        <w:rPr>
          <w:color w:val="000000"/>
        </w:rPr>
        <w:t xml:space="preserve">that </w:t>
      </w:r>
      <w:r w:rsidRPr="00734B19">
        <w:rPr>
          <w:color w:val="000000"/>
        </w:rPr>
        <w:t xml:space="preserve">their parents/grandparents seldom </w:t>
      </w:r>
      <w:r w:rsidR="00192DE4">
        <w:rPr>
          <w:color w:val="000000"/>
        </w:rPr>
        <w:t>had</w:t>
      </w:r>
      <w:r w:rsidRPr="00734B19">
        <w:rPr>
          <w:color w:val="000000"/>
        </w:rPr>
        <w:t xml:space="preserve"> </w:t>
      </w:r>
      <w:r>
        <w:rPr>
          <w:color w:val="000000"/>
        </w:rPr>
        <w:t>T2D</w:t>
      </w:r>
      <w:r w:rsidRPr="00734B19">
        <w:rPr>
          <w:color w:val="000000"/>
        </w:rPr>
        <w:t xml:space="preserve">. </w:t>
      </w:r>
      <w:r>
        <w:rPr>
          <w:color w:val="000000"/>
        </w:rPr>
        <w:t xml:space="preserve"> </w:t>
      </w:r>
      <w:r w:rsidRPr="00734B19">
        <w:rPr>
          <w:color w:val="000000"/>
        </w:rPr>
        <w:t>Th</w:t>
      </w:r>
      <w:r>
        <w:rPr>
          <w:color w:val="000000"/>
        </w:rPr>
        <w:t>is</w:t>
      </w:r>
      <w:r w:rsidRPr="00734B19">
        <w:rPr>
          <w:color w:val="000000"/>
        </w:rPr>
        <w:t xml:space="preserve"> may be attributed to their </w:t>
      </w:r>
      <w:r>
        <w:rPr>
          <w:color w:val="000000"/>
        </w:rPr>
        <w:t xml:space="preserve">fiber </w:t>
      </w:r>
      <w:r w:rsidRPr="00734B19">
        <w:rPr>
          <w:color w:val="000000"/>
        </w:rPr>
        <w:t>rich</w:t>
      </w:r>
      <w:r w:rsidR="00192DE4">
        <w:rPr>
          <w:color w:val="000000"/>
        </w:rPr>
        <w:t>, low calorie</w:t>
      </w:r>
      <w:r>
        <w:rPr>
          <w:color w:val="000000"/>
        </w:rPr>
        <w:t xml:space="preserve"> </w:t>
      </w:r>
      <w:r w:rsidRPr="00734B19">
        <w:rPr>
          <w:color w:val="000000"/>
        </w:rPr>
        <w:t xml:space="preserve">diet in Ethiopia compared to </w:t>
      </w:r>
      <w:r>
        <w:rPr>
          <w:color w:val="000000"/>
        </w:rPr>
        <w:t xml:space="preserve">their </w:t>
      </w:r>
      <w:r w:rsidRPr="00734B19">
        <w:rPr>
          <w:color w:val="000000"/>
        </w:rPr>
        <w:t>Western diet</w:t>
      </w:r>
      <w:r>
        <w:rPr>
          <w:color w:val="000000"/>
        </w:rPr>
        <w:t xml:space="preserve"> (United States)</w:t>
      </w:r>
      <w:r w:rsidR="00A37FC6">
        <w:rPr>
          <w:color w:val="000000"/>
        </w:rPr>
        <w:t xml:space="preserve"> or other difference in exposure to risk factors as well as to different </w:t>
      </w:r>
      <w:r w:rsidR="00A56EF1">
        <w:rPr>
          <w:color w:val="000000"/>
        </w:rPr>
        <w:t>genetics</w:t>
      </w:r>
      <w:r w:rsidRPr="00734B19">
        <w:rPr>
          <w:color w:val="000000"/>
        </w:rPr>
        <w:t>.</w:t>
      </w:r>
      <w:r w:rsidR="00A56EF1">
        <w:rPr>
          <w:color w:val="000000"/>
        </w:rPr>
        <w:t xml:space="preserve">  </w:t>
      </w:r>
      <w:r w:rsidR="00A56EF1" w:rsidRPr="00734B19">
        <w:rPr>
          <w:color w:val="000000"/>
        </w:rPr>
        <w:t xml:space="preserve">Aging, obesity, </w:t>
      </w:r>
      <w:r w:rsidR="00A56EF1">
        <w:rPr>
          <w:color w:val="000000"/>
        </w:rPr>
        <w:t xml:space="preserve">diet, </w:t>
      </w:r>
      <w:r w:rsidR="00A56EF1" w:rsidRPr="00734B19">
        <w:rPr>
          <w:color w:val="000000"/>
        </w:rPr>
        <w:t xml:space="preserve">and </w:t>
      </w:r>
      <w:r w:rsidR="00A56EF1">
        <w:rPr>
          <w:color w:val="000000"/>
        </w:rPr>
        <w:t>sedentary lifestyle</w:t>
      </w:r>
      <w:r w:rsidR="00A56EF1" w:rsidRPr="00734B19">
        <w:rPr>
          <w:color w:val="000000"/>
        </w:rPr>
        <w:t xml:space="preserve"> increases susceptibility to </w:t>
      </w:r>
      <w:r w:rsidR="00A56EF1">
        <w:rPr>
          <w:color w:val="000000"/>
        </w:rPr>
        <w:t>T2D</w:t>
      </w:r>
      <w:r w:rsidR="00A56EF1" w:rsidRPr="00734B19">
        <w:rPr>
          <w:color w:val="000000"/>
        </w:rPr>
        <w:t xml:space="preserve"> </w:t>
      </w:r>
      <w:r w:rsidR="00A56EF1">
        <w:rPr>
          <w:color w:val="000000"/>
        </w:rPr>
        <w:t xml:space="preserve">by </w:t>
      </w:r>
      <w:r w:rsidR="00A56EF1" w:rsidRPr="00734B19">
        <w:rPr>
          <w:color w:val="000000"/>
        </w:rPr>
        <w:t>chang</w:t>
      </w:r>
      <w:r w:rsidR="00A56EF1">
        <w:rPr>
          <w:color w:val="000000"/>
        </w:rPr>
        <w:t>ing</w:t>
      </w:r>
      <w:r w:rsidR="00A56EF1" w:rsidRPr="00734B19">
        <w:rPr>
          <w:color w:val="000000"/>
        </w:rPr>
        <w:t xml:space="preserve"> the epigenetic pattern in </w:t>
      </w:r>
      <w:r w:rsidR="00A56EF1">
        <w:rPr>
          <w:color w:val="000000"/>
        </w:rPr>
        <w:t>T2D</w:t>
      </w:r>
      <w:r w:rsidR="00A56EF1" w:rsidRPr="00734B19">
        <w:rPr>
          <w:color w:val="000000"/>
        </w:rPr>
        <w:t xml:space="preserve"> target</w:t>
      </w:r>
      <w:r w:rsidR="00A56EF1">
        <w:rPr>
          <w:color w:val="000000"/>
        </w:rPr>
        <w:t>ed</w:t>
      </w:r>
      <w:r w:rsidR="00A56EF1" w:rsidRPr="00734B19">
        <w:rPr>
          <w:color w:val="000000"/>
        </w:rPr>
        <w:t xml:space="preserve"> tissues and subsequently affect gene expression and metabolism </w:t>
      </w:r>
      <w:r w:rsidR="00A56EF1">
        <w:rPr>
          <w:color w:val="000000"/>
        </w:rPr>
        <w:fldChar w:fldCharType="begin"/>
      </w:r>
      <w:r w:rsidR="00A56EF1">
        <w:rPr>
          <w:color w:val="000000"/>
        </w:rPr>
        <w:instrText xml:space="preserve"> ADDIN ZOTERO_ITEM CSL_CITATION {"citationID":"a2llqitoi4e","properties":{"formattedCitation":"(Ling and Groop 2009)","plainCitation":"(Ling and Groop 2009)","noteIndex":0},"citationItems":[{"id":175,"uris":["http://zotero.org/users/4264928/items/SVFEBDXZ"],"uri":["http://zotero.org/users/4264928/items/SVFEBDXZ"],"itemData":{"id":175,"type":"article-journal","title":"Epigenetics: A Molecular Link Between Environmental Factors and Type 2 Diabetes","container-title":"Diabetes","page":"2718-2725","volume":"58","issue":"12","source":"PubMed Central","DOI":"10.2337/db09-1003","ISSN":"0012-1797","note":"PMID: 19940235\nPMCID: PMC2780862","shortTitle":"Epigenetics","journalAbbreviation":"Diabetes","author":[{"family":"Ling","given":"Charlotte"},{"family":"Groop","given":"Leif"}],"issued":{"date-parts":[["2009",12]]}}}],"schema":"https://github.com/citation-style-language/schema/raw/master/csl-citation.json"} </w:instrText>
      </w:r>
      <w:r w:rsidR="00A56EF1">
        <w:rPr>
          <w:color w:val="000000"/>
        </w:rPr>
        <w:fldChar w:fldCharType="separate"/>
      </w:r>
      <w:r w:rsidR="00A56EF1" w:rsidRPr="00CB3833">
        <w:t>(Ling and Groop 2009)</w:t>
      </w:r>
      <w:r w:rsidR="00A56EF1">
        <w:rPr>
          <w:color w:val="000000"/>
        </w:rPr>
        <w:fldChar w:fldCharType="end"/>
      </w:r>
      <w:r w:rsidR="00A56EF1" w:rsidRPr="00734B19">
        <w:rPr>
          <w:color w:val="000000"/>
        </w:rPr>
        <w:t>.</w:t>
      </w:r>
      <w:r w:rsidR="00A56EF1">
        <w:rPr>
          <w:color w:val="000000"/>
        </w:rPr>
        <w:t xml:space="preserve">  Furthermore, </w:t>
      </w:r>
      <w:r w:rsidR="00A56EF1" w:rsidRPr="00734B19">
        <w:rPr>
          <w:color w:val="000000"/>
        </w:rPr>
        <w:t xml:space="preserve">environmental factors experienced in early life may enhance </w:t>
      </w:r>
      <w:r w:rsidR="00A56EF1" w:rsidRPr="00734B19">
        <w:rPr>
          <w:color w:val="000000"/>
        </w:rPr>
        <w:lastRenderedPageBreak/>
        <w:t xml:space="preserve">the risk of T2D in later life </w:t>
      </w:r>
      <w:r w:rsidR="00A56EF1">
        <w:rPr>
          <w:color w:val="000000"/>
        </w:rPr>
        <w:fldChar w:fldCharType="begin"/>
      </w:r>
      <w:r w:rsidR="00A56EF1">
        <w:rPr>
          <w:color w:val="000000"/>
        </w:rPr>
        <w:instrText xml:space="preserve"> ADDIN ZOTERO_ITEM CSL_CITATION {"citationID":"a1oef8brnkv","properties":{"formattedCitation":"(Stig Andersen et al. 2015)","plainCitation":"(Stig Andersen et al. 2015)","dontUpdate":true,"noteIndex":0},"citationItems":[{"id":100,"uris":["http://zotero.org/users/4264928/items/EAZRXJVS"],"uri":["http://zotero.org/users/4264928/items/EAZRXJVS"],"itemData":{"id":100,"type":"chapter","title":"Ethnicity, Migration and T2DM (revision number 16)","container-title":"Diapedia","publisher":"Diapedia.org","source":"CrossRef","URL":"http://www.diapedia.org/3104465162/rev/16","note":"DOI: 10.14496/dia.3104465162.16","author":[{"family":"Stig Andersen","given":"Gsa"},{"family":"Jørgensen","given":"Maej"},{"family":"Søberg","given":"Ss"}],"issued":{"date-parts":[["2015",2,3]]},"accessed":{"date-parts":[["2017",11,21]]}}}],"schema":"https://github.com/citation-style-language/schema/raw/master/csl-citation.json"} </w:instrText>
      </w:r>
      <w:r w:rsidR="00A56EF1">
        <w:rPr>
          <w:color w:val="000000"/>
        </w:rPr>
        <w:fldChar w:fldCharType="separate"/>
      </w:r>
      <w:r w:rsidR="00A56EF1" w:rsidRPr="00CB3833">
        <w:t xml:space="preserve">(Andersen </w:t>
      </w:r>
      <w:r w:rsidR="00A56EF1" w:rsidRPr="00225B23">
        <w:rPr>
          <w:i/>
        </w:rPr>
        <w:t>et al</w:t>
      </w:r>
      <w:r w:rsidR="00A56EF1" w:rsidRPr="00CB3833">
        <w:t>. 2015)</w:t>
      </w:r>
      <w:r w:rsidR="00A56EF1">
        <w:rPr>
          <w:color w:val="000000"/>
        </w:rPr>
        <w:fldChar w:fldCharType="end"/>
      </w:r>
      <w:r w:rsidR="00A56EF1" w:rsidRPr="003465F6">
        <w:rPr>
          <w:color w:val="000000"/>
        </w:rPr>
        <w:t>.</w:t>
      </w:r>
      <w:r w:rsidR="00A56EF1">
        <w:rPr>
          <w:color w:val="000000"/>
        </w:rPr>
        <w:t xml:space="preserve">  For example</w:t>
      </w:r>
      <w:r w:rsidR="00A56EF1" w:rsidRPr="003465F6">
        <w:rPr>
          <w:color w:val="000000"/>
        </w:rPr>
        <w:t>,</w:t>
      </w:r>
      <w:r w:rsidR="00A56EF1" w:rsidRPr="00734B19">
        <w:rPr>
          <w:color w:val="000000"/>
        </w:rPr>
        <w:t xml:space="preserve"> under-nutrition and low birth weight </w:t>
      </w:r>
      <w:r w:rsidR="00A56EF1">
        <w:rPr>
          <w:color w:val="000000"/>
        </w:rPr>
        <w:t xml:space="preserve">might be </w:t>
      </w:r>
      <w:r w:rsidR="00A56EF1" w:rsidRPr="00734B19">
        <w:rPr>
          <w:color w:val="000000"/>
        </w:rPr>
        <w:t xml:space="preserve">associated with insulin resistance and impaired insulin secretion, which might contribute to the </w:t>
      </w:r>
      <w:r w:rsidR="00A56EF1">
        <w:rPr>
          <w:color w:val="000000"/>
        </w:rPr>
        <w:t xml:space="preserve">increased </w:t>
      </w:r>
      <w:r w:rsidR="00A56EF1" w:rsidRPr="00734B19">
        <w:rPr>
          <w:color w:val="000000"/>
        </w:rPr>
        <w:t xml:space="preserve">risk of </w:t>
      </w:r>
      <w:r w:rsidR="00A56EF1">
        <w:rPr>
          <w:color w:val="000000"/>
        </w:rPr>
        <w:t xml:space="preserve">T2D later in life </w:t>
      </w:r>
      <w:r w:rsidR="00A56EF1">
        <w:rPr>
          <w:color w:val="000000"/>
        </w:rPr>
        <w:fldChar w:fldCharType="begin"/>
      </w:r>
      <w:r w:rsidR="00A56EF1">
        <w:rPr>
          <w:color w:val="000000"/>
        </w:rPr>
        <w:instrText xml:space="preserve"> ADDIN ZOTERO_ITEM CSL_CITATION {"citationID":"a1ij62lhjl6","properties":{"formattedCitation":"(Prasad and Groop 2015)","plainCitation":"(Prasad and Groop 2015)","noteIndex":0},"citationItems":[{"id":157,"uris":["http://zotero.org/users/4264928/items/6KDW3FU7"],"uri":["http://zotero.org/users/4264928/items/6KDW3FU7"],"itemData":{"id":157,"type":"article-journal","title":"Genetics of Type 2 Diabetes—Pitfalls and Possibilities","container-title":"Genes","page":"87-123","volume":"6","issue":"1","source":"PubMed Central","abstract":"Type 2 diabetes (T2D) is a complex disease that is caused by a complex interplay between genetic, epigenetic and environmental factors. While the major environmental factors, diet and activity level, are well known, identification of the genetic factors has been a challenge. However, recent years have seen an explosion of genetic variants in risk and protection of T2D due to the technical development that has allowed genome-wide association studies and next-generation sequencing. Today, more than 120 variants have been convincingly replicated for association with T2D and many more with diabetes-related traits. Still, these variants only explain a small proportion of the total heritability of T2D. In this review, we address the possibilities to elucidate the genetic landscape of T2D as well as discuss pitfalls with current strategies to identify the elusive unknown heritability including the possibility that our definition of diabetes and its subgroups is imprecise and thereby makes the identification of genetic causes difficult.","DOI":"10.3390/genes6010087","ISSN":"2073-4425","note":"PMID: 25774817\nPMCID: PMC4377835","journalAbbreviation":"Genes (Basel)","author":[{"family":"Prasad","given":"Rashmi B."},{"family":"Groop","given":"Leif"}],"issued":{"date-parts":[["2015",3,12]]}}}],"schema":"https://github.com/citation-style-language/schema/raw/master/csl-citation.json"} </w:instrText>
      </w:r>
      <w:r w:rsidR="00A56EF1">
        <w:rPr>
          <w:color w:val="000000"/>
        </w:rPr>
        <w:fldChar w:fldCharType="separate"/>
      </w:r>
      <w:r w:rsidR="00A56EF1" w:rsidRPr="00EC44E3">
        <w:t>(Prasad and Groop 2015)</w:t>
      </w:r>
      <w:r w:rsidR="00A56EF1">
        <w:rPr>
          <w:color w:val="000000"/>
        </w:rPr>
        <w:fldChar w:fldCharType="end"/>
      </w:r>
      <w:r w:rsidR="00A56EF1" w:rsidRPr="00734B19">
        <w:rPr>
          <w:color w:val="000000"/>
        </w:rPr>
        <w:t>.</w:t>
      </w:r>
      <w:r w:rsidR="00A56EF1">
        <w:rPr>
          <w:color w:val="000000"/>
        </w:rPr>
        <w:t xml:space="preserve">  </w:t>
      </w:r>
      <w:r>
        <w:rPr>
          <w:color w:val="000000"/>
        </w:rPr>
        <w:t>O</w:t>
      </w:r>
      <w:r w:rsidRPr="00734B19">
        <w:rPr>
          <w:color w:val="000000"/>
        </w:rPr>
        <w:t xml:space="preserve">ne study conducted in Israel </w:t>
      </w:r>
      <w:r>
        <w:rPr>
          <w:color w:val="000000"/>
        </w:rPr>
        <w:t>showed that</w:t>
      </w:r>
      <w:r w:rsidRPr="00734B19">
        <w:rPr>
          <w:color w:val="000000"/>
        </w:rPr>
        <w:t xml:space="preserve"> Ethiopian immigrants </w:t>
      </w:r>
      <w:r>
        <w:rPr>
          <w:color w:val="000000"/>
        </w:rPr>
        <w:t>had a higher prevalence T</w:t>
      </w:r>
      <w:r w:rsidRPr="00734B19">
        <w:rPr>
          <w:color w:val="000000"/>
        </w:rPr>
        <w:t>2D (3.6%) compared to non-Ethiopian</w:t>
      </w:r>
      <w:r>
        <w:rPr>
          <w:color w:val="000000"/>
        </w:rPr>
        <w:t xml:space="preserve"> residents</w:t>
      </w:r>
      <w:r w:rsidRPr="00734B19">
        <w:rPr>
          <w:color w:val="000000"/>
        </w:rPr>
        <w:t xml:space="preserve"> (2.7%)</w:t>
      </w:r>
      <w:r w:rsidRPr="000B4497">
        <w:rPr>
          <w:color w:val="000000"/>
        </w:rPr>
        <w:t xml:space="preserve">. </w:t>
      </w:r>
      <w:r>
        <w:rPr>
          <w:color w:val="000000"/>
        </w:rPr>
        <w:t xml:space="preserve"> </w:t>
      </w:r>
      <w:r w:rsidRPr="000B4497">
        <w:rPr>
          <w:color w:val="000000"/>
        </w:rPr>
        <w:t xml:space="preserve">The report states that young Ethiopians less than 50 years (particularly women) had the greatest increase in risk compared to the native people </w:t>
      </w:r>
      <w:r>
        <w:rPr>
          <w:color w:val="000000"/>
        </w:rPr>
        <w:fldChar w:fldCharType="begin"/>
      </w:r>
      <w:r>
        <w:rPr>
          <w:color w:val="000000"/>
        </w:rPr>
        <w:instrText xml:space="preserve"> ADDIN ZOTERO_ITEM CSL_CITATION {"citationID":"ab4vq4f6fv","properties":{"formattedCitation":"(Jaffe et al. 2016)","plainCitation":"(Jaffe et al. 2016)","noteIndex":0},"citationItems":[{"id":227,"uris":["http://zotero.org/users/4264928/items/KJ3FBC5X"],"uri":["http://zotero.org/users/4264928/items/KJ3FBC5X"],"itemData":{"id":227,"type":"article-journal","title":"Diabetes among Ethiopian Immigrants to Israel: Exploring the Effects of Migration and Ethnicity on Diabetes Risk","container-title":"PLOS ONE","page":"e0157354","volume":"11","issue":"6","source":"CrossRef","DOI":"10.1371/journal.pone.0157354","ISSN":"1932-6203","shortTitle":"Diabetes among Ethiopian Immigrants to Israel","language":"en","author":[{"family":"Jaffe","given":"Anat"},{"family":"Giveon","given":"Shmuel"},{"family":"Wulffhart","given":"Liat"},{"family":"Oberman","given":"Bernice"},{"family":"Freedman","given":"Laurence"},{"family":"Ziv","given":"Arnona"},{"family":"Kalter-Leibovici","given":"Ofra"}],"editor":[{"family":"Tordjman","given":"Karen M."}],"issued":{"date-parts":[["2016",6,14]]}}}],"schema":"https://github.com/citation-style-language/schema/raw/master/csl-citation.json"} </w:instrText>
      </w:r>
      <w:r>
        <w:rPr>
          <w:color w:val="000000"/>
        </w:rPr>
        <w:fldChar w:fldCharType="separate"/>
      </w:r>
      <w:r w:rsidRPr="008025E2">
        <w:t xml:space="preserve">(Jaffe </w:t>
      </w:r>
      <w:r w:rsidRPr="008025E2">
        <w:rPr>
          <w:i/>
        </w:rPr>
        <w:t>et al</w:t>
      </w:r>
      <w:r w:rsidRPr="008025E2">
        <w:t>. 2016)</w:t>
      </w:r>
      <w:r>
        <w:rPr>
          <w:color w:val="000000"/>
        </w:rPr>
        <w:fldChar w:fldCharType="end"/>
      </w:r>
      <w:r w:rsidRPr="000B4497">
        <w:rPr>
          <w:color w:val="000000"/>
        </w:rPr>
        <w:t xml:space="preserve">. </w:t>
      </w:r>
      <w:r>
        <w:rPr>
          <w:color w:val="000000"/>
        </w:rPr>
        <w:t xml:space="preserve"> This is consistence with a study showing that </w:t>
      </w:r>
      <w:r w:rsidRPr="00734B19">
        <w:rPr>
          <w:color w:val="000000"/>
        </w:rPr>
        <w:t xml:space="preserve">African immigrants in France develop T2D earlier compared to those staying in their country of birth </w:t>
      </w:r>
      <w:r>
        <w:rPr>
          <w:color w:val="000000"/>
        </w:rPr>
        <w:fldChar w:fldCharType="begin"/>
      </w:r>
      <w:r>
        <w:rPr>
          <w:color w:val="000000"/>
        </w:rPr>
        <w:instrText xml:space="preserve"> ADDIN ZOTERO_ITEM CSL_CITATION {"citationID":"a2il03ufruj","properties":{"formattedCitation":"(Choukem et al. 2014)","plainCitation":"(Choukem et al. 2014)","noteIndex":0},"citationItems":[{"id":230,"uris":["http://zotero.org/users/4264928/items/QLID4DIR"],"uri":["http://zotero.org/users/4264928/items/QLID4DIR"],"itemData":{"id":230,"type":"article-journal","title":"Influence of migration on characteristics of type 2 diabetes in sub-Saharan Africans","container-title":"Diabetes &amp; Metabolism","page":"56-60","volume":"40","issue":"1","source":"PubMed","abstract":"AIM: This study compared the clinical and biochemical characteristics and microvascular complications found in three groups of type 2 diabetes (T2D) patients: Africans living in Africa; African immigrants living in France; and Caucasians living in France.\nMETHODS: Diagnosed T2D Africans living in Cameroon (n=100) were compared with 98 African migrants diagnosed with T2D after having moved to France, and a group of 199 T2D Caucasian patients living in France. All underwent clinical and biochemical evaluations, and all were assessed for microvascular complications.\nRESULTS: The median duration of stay of the migrants in France was 15years before being diagnosed with diabetes. Despite similar durations of diagnosis, they were 8.9years younger at the time of diagnosis than Africans living in Cameroon (P&lt;0.001). Caucasians and African immigrants in France had lower HbA1c values than Africans in Cameroon (P&lt;0.001); they were also more aggressively treated for hypertension and dyslipidaemia and, therefore, had significantly lower blood pressure levels and better lipid profiles. Diabetic nephropathy and retinopathy rates were higher in Cameroon than in the two other groups. After adjusting for age, diabetes duration, HbA1c, hypertension and other covariates, only the prevalence of diabetic nephropathy (OR: 5.61, 95% CI: 2.32-13.53; P&lt;0.0001) was higher in Cameroon compared with those living in France.\nCONCLUSION: Our results suggest that Africans who emigrate to France may develop diabetes earlier than those staying in their home country. However, the latter may be a reflection of late diagnosis of diabetes. Also, the less adequate diabetes and hypertension control in the latter would explain their higher rates of nephropathy. Large-scale cohorts are now warranted to substantiate these observations.","DOI":"10.1016/j.diabet.2013.07.004","ISSN":"1878-1780","note":"PMID: 24076360","journalAbbreviation":"Diabetes Metab.","language":"eng","author":[{"family":"Choukem","given":"S. P."},{"family":"Fabreguettes","given":"C."},{"family":"Akwo","given":"E."},{"family":"Porcher","given":"R."},{"family":"Nguewa","given":"J. L."},{"family":"Bouche","given":"C."},{"family":"Kaze","given":"F. F."},{"family":"Kengne","given":"A. P."},{"family":"Vexiau","given":"P."},{"family":"Mbanya","given":"J. C."},{"family":"Sobngwi","given":"E."},{"family":"Gautier","given":"J.-F."}],"issued":{"date-parts":[["2014",2]]}}}],"schema":"https://github.com/citation-style-language/schema/raw/master/csl-citation.json"} </w:instrText>
      </w:r>
      <w:r>
        <w:rPr>
          <w:color w:val="000000"/>
        </w:rPr>
        <w:fldChar w:fldCharType="separate"/>
      </w:r>
      <w:r w:rsidRPr="008025E2">
        <w:t xml:space="preserve">(Choukem </w:t>
      </w:r>
      <w:r w:rsidRPr="008025E2">
        <w:rPr>
          <w:i/>
        </w:rPr>
        <w:t>et al</w:t>
      </w:r>
      <w:r w:rsidRPr="008025E2">
        <w:t>. 2014)</w:t>
      </w:r>
      <w:r>
        <w:rPr>
          <w:color w:val="000000"/>
        </w:rPr>
        <w:fldChar w:fldCharType="end"/>
      </w:r>
      <w:r w:rsidRPr="000B4497">
        <w:rPr>
          <w:color w:val="000000"/>
        </w:rPr>
        <w:t xml:space="preserve">. </w:t>
      </w:r>
      <w:r>
        <w:rPr>
          <w:color w:val="000000"/>
        </w:rPr>
        <w:t xml:space="preserve">   </w:t>
      </w:r>
    </w:p>
    <w:p w:rsidR="00EE4407" w:rsidRDefault="00EE4407" w:rsidP="00EE4407">
      <w:pPr>
        <w:spacing w:line="480" w:lineRule="auto"/>
        <w:ind w:firstLine="720"/>
        <w:rPr>
          <w:color w:val="000000"/>
          <w:shd w:val="clear" w:color="auto" w:fill="FFFFFF"/>
        </w:rPr>
      </w:pPr>
      <w:r>
        <w:rPr>
          <w:color w:val="000000"/>
        </w:rPr>
        <w:t xml:space="preserve">As mentioned, </w:t>
      </w:r>
      <w:r w:rsidR="00192DE4">
        <w:rPr>
          <w:color w:val="000000"/>
        </w:rPr>
        <w:t>g</w:t>
      </w:r>
      <w:r w:rsidRPr="00734B19">
        <w:rPr>
          <w:color w:val="000000"/>
          <w:shd w:val="clear" w:color="auto" w:fill="FFFFFF"/>
        </w:rPr>
        <w:t>enetic factor</w:t>
      </w:r>
      <w:r>
        <w:rPr>
          <w:color w:val="000000"/>
          <w:shd w:val="clear" w:color="auto" w:fill="FFFFFF"/>
        </w:rPr>
        <w:t>s</w:t>
      </w:r>
      <w:r w:rsidRPr="00734B19">
        <w:rPr>
          <w:color w:val="000000"/>
          <w:shd w:val="clear" w:color="auto" w:fill="FFFFFF"/>
        </w:rPr>
        <w:t xml:space="preserve"> also ha</w:t>
      </w:r>
      <w:r>
        <w:rPr>
          <w:color w:val="000000"/>
          <w:shd w:val="clear" w:color="auto" w:fill="FFFFFF"/>
        </w:rPr>
        <w:t xml:space="preserve">ve </w:t>
      </w:r>
      <w:r w:rsidRPr="00734B19">
        <w:rPr>
          <w:color w:val="000000"/>
          <w:shd w:val="clear" w:color="auto" w:fill="FFFFFF"/>
        </w:rPr>
        <w:t>a crucial role in the development of T2D</w:t>
      </w:r>
      <w:r w:rsidR="004D7B71">
        <w:rPr>
          <w:color w:val="000000"/>
          <w:shd w:val="clear" w:color="auto" w:fill="FFFFFF"/>
        </w:rPr>
        <w:t xml:space="preserve">.  </w:t>
      </w:r>
      <w:r w:rsidRPr="00734B19">
        <w:rPr>
          <w:color w:val="000000"/>
          <w:shd w:val="clear" w:color="auto" w:fill="FFFFFF"/>
        </w:rPr>
        <w:t>At least 75 independent genetic loci and several DNA methylation markers have been identified that are associated with the risk of T2D</w:t>
      </w:r>
      <w:r>
        <w:rPr>
          <w:color w:val="000000"/>
          <w:shd w:val="clear" w:color="auto" w:fill="FFFFFF"/>
        </w:rPr>
        <w:t xml:space="preserve">.  </w:t>
      </w:r>
      <w:r w:rsidRPr="00734B19">
        <w:rPr>
          <w:color w:val="000000"/>
          <w:shd w:val="clear" w:color="auto" w:fill="FFFFFF"/>
        </w:rPr>
        <w:t xml:space="preserve">Subjects having T2D affected siblings are at a two to three-fold increased risk of developing T2D compared with the general population. </w:t>
      </w:r>
      <w:r>
        <w:rPr>
          <w:color w:val="000000"/>
          <w:shd w:val="clear" w:color="auto" w:fill="FFFFFF"/>
        </w:rPr>
        <w:t xml:space="preserve"> </w:t>
      </w:r>
      <w:r w:rsidRPr="00734B19">
        <w:rPr>
          <w:color w:val="000000"/>
          <w:shd w:val="clear" w:color="auto" w:fill="FFFFFF"/>
        </w:rPr>
        <w:t xml:space="preserve">While having one parent with T2D increases the risk by 30%-40%, having both parents with the disease increases the risk by 70% </w:t>
      </w:r>
      <w:r>
        <w:rPr>
          <w:color w:val="000000"/>
          <w:shd w:val="clear" w:color="auto" w:fill="FFFFFF"/>
        </w:rPr>
        <w:fldChar w:fldCharType="begin"/>
      </w:r>
      <w:r>
        <w:rPr>
          <w:color w:val="000000"/>
          <w:shd w:val="clear" w:color="auto" w:fill="FFFFFF"/>
        </w:rPr>
        <w:instrText xml:space="preserve"> ADDIN ZOTERO_ITEM CSL_CITATION {"citationID":"a2j95gv1gj0","properties":{"formattedCitation":"(Kwak and Park 2016)","plainCitation":"(Kwak and Park 2016)","noteIndex":0},"citationItems":[{"id":154,"uris":["http://zotero.org/users/4264928/items/G7Y6MPBB"],"uri":["http://zotero.org/users/4264928/items/G7Y6MPBB"],"itemData":{"id":154,"type":"article-journal","title":"Recent progress in genetic and epigenetic research on type 2 diabetes","container-title":"Experimental &amp; Molecular Medicine","page":"e220","volume":"48","issue":"3","source":"PubMed Central","abstract":"Type 2 diabetes (T2DM) is a common complex metabolic disorder that has a strong genetic predisposition. During the past decade, progress in genetic association studies has enabled the identification of at least 75 independent genetic loci for T2DM, thus allowing a better understanding of the genetic architecture of T2DM. International collaborations and large-scale meta-analyses of genome-wide association studies have made these achievements possible. However, whether the identified common variants are causal is largely unknown. In addition, the detailed mechanism of how these genetic variants exert their effect on the pathogenesis of T2DM requires further investigation. Currently, there are ongoing large-scale sequencing studies to identify rare, functional variants for T2DM. Environmental factors also have a crucial role in the development of T2DM. These could modulate gene expression via epigenetic mechanisms, including DNA methylation, histone modification and microRNA regulation. There is evidence that epigenetic changes are important in the development of T2DM. Recent studies have identified several DNA methylation markers of T2DM from peripheral blood and pancreatic islets. In this review, we will briefly summarize the recent progress in the genetic and epigenetic research on T2DM and discuss how environmental factors, genetics and epigenetics can interact in the pathogenesis of T2DM.","DOI":"10.1038/emm.2016.7","ISSN":"1226-3613","note":"PMID: 26964836\nPMCID: PMC4892885","journalAbbreviation":"Exp Mol Med","author":[{"family":"Kwak","given":"Soo Heon"},{"family":"Park","given":"Kyong Soo"}],"issued":{"date-parts":[["2016",3]]}}}],"schema":"https://github.com/citation-style-language/schema/raw/master/csl-citation.json"} </w:instrText>
      </w:r>
      <w:r>
        <w:rPr>
          <w:color w:val="000000"/>
          <w:shd w:val="clear" w:color="auto" w:fill="FFFFFF"/>
        </w:rPr>
        <w:fldChar w:fldCharType="separate"/>
      </w:r>
      <w:r w:rsidRPr="00CB3833">
        <w:t>(Kwak and Park 2016)</w:t>
      </w:r>
      <w:r>
        <w:rPr>
          <w:color w:val="000000"/>
          <w:shd w:val="clear" w:color="auto" w:fill="FFFFFF"/>
        </w:rPr>
        <w:fldChar w:fldCharType="end"/>
      </w:r>
      <w:r w:rsidRPr="00734B19">
        <w:rPr>
          <w:color w:val="000000"/>
          <w:shd w:val="clear" w:color="auto" w:fill="FFFFFF"/>
        </w:rPr>
        <w:t>.</w:t>
      </w:r>
      <w:r>
        <w:rPr>
          <w:color w:val="000000"/>
          <w:shd w:val="clear" w:color="auto" w:fill="FFFFFF"/>
        </w:rPr>
        <w:t xml:space="preserve">  </w:t>
      </w:r>
    </w:p>
    <w:p w:rsidR="00EE4407" w:rsidRDefault="00EE4407" w:rsidP="00EE4407">
      <w:pPr>
        <w:spacing w:line="480" w:lineRule="auto"/>
        <w:ind w:firstLine="720"/>
        <w:rPr>
          <w:color w:val="000000"/>
          <w:shd w:val="clear" w:color="auto" w:fill="FFFFFF"/>
        </w:rPr>
      </w:pPr>
      <w:r w:rsidRPr="00094149">
        <w:rPr>
          <w:color w:val="000000"/>
          <w:shd w:val="clear" w:color="auto" w:fill="FFFFFF"/>
        </w:rPr>
        <w:t>Genome Wide Association Studies (GWAS)</w:t>
      </w:r>
      <w:r>
        <w:rPr>
          <w:color w:val="000000"/>
          <w:shd w:val="clear" w:color="auto" w:fill="FFFFFF"/>
        </w:rPr>
        <w:t xml:space="preserve"> </w:t>
      </w:r>
      <w:r w:rsidR="00192DE4">
        <w:rPr>
          <w:color w:val="000000"/>
          <w:shd w:val="clear" w:color="auto" w:fill="FFFFFF"/>
        </w:rPr>
        <w:t>are</w:t>
      </w:r>
      <w:r>
        <w:rPr>
          <w:color w:val="000000"/>
          <w:shd w:val="clear" w:color="auto" w:fill="FFFFFF"/>
        </w:rPr>
        <w:t xml:space="preserve"> used to</w:t>
      </w:r>
      <w:r w:rsidRPr="00094149">
        <w:rPr>
          <w:color w:val="000000"/>
          <w:shd w:val="clear" w:color="auto" w:fill="FFFFFF"/>
        </w:rPr>
        <w:t xml:space="preserve"> scan</w:t>
      </w:r>
      <w:r>
        <w:rPr>
          <w:color w:val="000000"/>
          <w:shd w:val="clear" w:color="auto" w:fill="FFFFFF"/>
        </w:rPr>
        <w:t xml:space="preserve"> </w:t>
      </w:r>
      <w:r w:rsidRPr="00094149">
        <w:rPr>
          <w:color w:val="000000"/>
          <w:shd w:val="clear" w:color="auto" w:fill="FFFFFF"/>
        </w:rPr>
        <w:t>a large number of genetic markers</w:t>
      </w:r>
      <w:r>
        <w:rPr>
          <w:color w:val="000000"/>
          <w:shd w:val="clear" w:color="auto" w:fill="FFFFFF"/>
        </w:rPr>
        <w:t xml:space="preserve"> (</w:t>
      </w:r>
      <w:r w:rsidRPr="00094149">
        <w:rPr>
          <w:color w:val="000000"/>
          <w:shd w:val="clear" w:color="auto" w:fill="FFFFFF"/>
        </w:rPr>
        <w:t>~10</w:t>
      </w:r>
      <w:r w:rsidRPr="00094149">
        <w:rPr>
          <w:color w:val="000000"/>
          <w:shd w:val="clear" w:color="auto" w:fill="FFFFFF"/>
          <w:vertAlign w:val="superscript"/>
        </w:rPr>
        <w:t>4</w:t>
      </w:r>
      <w:r w:rsidRPr="00094149">
        <w:rPr>
          <w:color w:val="000000"/>
          <w:shd w:val="clear" w:color="auto" w:fill="FFFFFF"/>
        </w:rPr>
        <w:t xml:space="preserve"> to 10</w:t>
      </w:r>
      <w:r w:rsidRPr="00094149">
        <w:rPr>
          <w:color w:val="000000"/>
          <w:shd w:val="clear" w:color="auto" w:fill="FFFFFF"/>
          <w:vertAlign w:val="superscript"/>
        </w:rPr>
        <w:t>6</w:t>
      </w:r>
      <w:r w:rsidRPr="00094149">
        <w:rPr>
          <w:color w:val="000000"/>
          <w:shd w:val="clear" w:color="auto" w:fill="FFFFFF"/>
        </w:rPr>
        <w:t>)</w:t>
      </w:r>
      <w:r>
        <w:rPr>
          <w:color w:val="000000"/>
          <w:shd w:val="clear" w:color="auto" w:fill="FFFFFF"/>
        </w:rPr>
        <w:t>,</w:t>
      </w:r>
      <w:r w:rsidRPr="00094149">
        <w:rPr>
          <w:color w:val="000000"/>
          <w:shd w:val="clear" w:color="auto" w:fill="FFFFFF"/>
        </w:rPr>
        <w:t xml:space="preserve"> single-nucleotide polymorphisms (SNPs)</w:t>
      </w:r>
      <w:r>
        <w:rPr>
          <w:color w:val="000000"/>
          <w:shd w:val="clear" w:color="auto" w:fill="FFFFFF"/>
        </w:rPr>
        <w:t>,</w:t>
      </w:r>
      <w:r w:rsidRPr="00094149">
        <w:rPr>
          <w:color w:val="000000"/>
          <w:shd w:val="clear" w:color="auto" w:fill="FFFFFF"/>
        </w:rPr>
        <w:t xml:space="preserve"> across the whole genome of many individuals (&gt;1000) to find specific genetic variations associated with complex disease</w:t>
      </w:r>
      <w:r>
        <w:rPr>
          <w:color w:val="000000"/>
          <w:shd w:val="clear" w:color="auto" w:fill="FFFFFF"/>
        </w:rPr>
        <w:t xml:space="preserve">s, such as T2D </w:t>
      </w:r>
      <w:r w:rsidRPr="00094149">
        <w:rPr>
          <w:color w:val="000000"/>
          <w:shd w:val="clear" w:color="auto" w:fill="FFFFFF"/>
        </w:rPr>
        <w:fldChar w:fldCharType="begin"/>
      </w:r>
      <w:r>
        <w:rPr>
          <w:color w:val="000000"/>
          <w:shd w:val="clear" w:color="auto" w:fill="FFFFFF"/>
        </w:rPr>
        <w:instrText xml:space="preserve"> ADDIN ZOTERO_ITEM CSL_CITATION {"citationID":"a16vpal7muq","properties":{"formattedCitation":"(Witte 2010)","plainCitation":"(Witte 2010)","noteIndex":0},"citationItems":[{"id":197,"uris":["http://zotero.org/users/4264928/items/LQTX6R3B"],"uri":["http://zotero.org/users/4264928/items/LQTX6R3B"],"itemData":{"id":197,"type":"article-journal","title":"Genome-Wide Association Studies and Beyond","container-title":"Annual review of public health","page":"9-20","volume":"31","source":"PubMed Central","abstract":"Genome-wide association studies (GWAS) provide an important avenue for\nundertaking an agnostic evaluation of the association between common genetic\nvariants and risk of disease. Recent advances in our understanding of human\ngenetic variation and the technology to measure such variation have made GWAS\nfeasible. Over the past few years a multitude of GWAS have identified and\nreplicated many associated variants. These findings are enriching our knowledge\nabout the genetic basis of disease and leading some to advocate using GWA study\nresults for genetic testing. For many of the GWA study results, however, the\nunderlying mechanisms remain unclear and the findings explain only a limited\namount of heritability. These issues may be clarified by more detailed\ninvestigations, including analyses of less common variants, sequence-level data,\nand environmental exposures. Such studies should help clarify the potential\nvalue of genetic testing to the public’s health.","DOI":"10.1146/annurev.publhealth.012809.103723","ISSN":"0163-7525","note":"PMID: 20235850\nPMCID: PMC3997166","journalAbbreviation":"Annu Rev Public Health","author":[{"family":"Witte","given":"John S."}],"issued":{"date-parts":[["2010"]]}}}],"schema":"https://github.com/citation-style-language/schema/raw/master/csl-citation.json"} </w:instrText>
      </w:r>
      <w:r w:rsidRPr="00094149">
        <w:rPr>
          <w:color w:val="000000"/>
          <w:shd w:val="clear" w:color="auto" w:fill="FFFFFF"/>
        </w:rPr>
        <w:fldChar w:fldCharType="separate"/>
      </w:r>
      <w:r w:rsidRPr="00094149">
        <w:t>(Witte 2010)</w:t>
      </w:r>
      <w:r w:rsidRPr="00094149">
        <w:rPr>
          <w:color w:val="000000"/>
          <w:shd w:val="clear" w:color="auto" w:fill="FFFFFF"/>
        </w:rPr>
        <w:fldChar w:fldCharType="end"/>
      </w:r>
      <w:r w:rsidRPr="00094149">
        <w:rPr>
          <w:color w:val="000000"/>
          <w:shd w:val="clear" w:color="auto" w:fill="FFFFFF"/>
        </w:rPr>
        <w:t>.</w:t>
      </w:r>
      <w:r>
        <w:rPr>
          <w:color w:val="000000"/>
          <w:shd w:val="clear" w:color="auto" w:fill="FFFFFF"/>
        </w:rPr>
        <w:t xml:space="preserve">  After collecting data using GWAS, t</w:t>
      </w:r>
      <w:r w:rsidRPr="00094149">
        <w:rPr>
          <w:color w:val="000000"/>
          <w:shd w:val="clear" w:color="auto" w:fill="FFFFFF"/>
        </w:rPr>
        <w:t xml:space="preserve">he specific genetic markers that are associated with T2D </w:t>
      </w:r>
      <w:r>
        <w:rPr>
          <w:color w:val="000000"/>
          <w:shd w:val="clear" w:color="auto" w:fill="FFFFFF"/>
        </w:rPr>
        <w:t>are</w:t>
      </w:r>
      <w:r w:rsidRPr="00094149">
        <w:rPr>
          <w:color w:val="000000"/>
          <w:shd w:val="clear" w:color="auto" w:fill="FFFFFF"/>
        </w:rPr>
        <w:t xml:space="preserve"> identified using </w:t>
      </w:r>
      <w:r>
        <w:rPr>
          <w:color w:val="000000"/>
          <w:shd w:val="clear" w:color="auto" w:fill="FFFFFF"/>
        </w:rPr>
        <w:t xml:space="preserve">the </w:t>
      </w:r>
      <w:r w:rsidRPr="00094149">
        <w:rPr>
          <w:color w:val="000000"/>
          <w:shd w:val="clear" w:color="auto" w:fill="FFFFFF"/>
        </w:rPr>
        <w:t>Manhattan plot.</w:t>
      </w:r>
      <w:r>
        <w:rPr>
          <w:color w:val="000000"/>
          <w:shd w:val="clear" w:color="auto" w:fill="FFFFFF"/>
        </w:rPr>
        <w:t xml:space="preserve">  As shown in figure 1, the Manhattan plot </w:t>
      </w:r>
      <w:r w:rsidR="00192DE4">
        <w:rPr>
          <w:color w:val="000000"/>
          <w:shd w:val="clear" w:color="auto" w:fill="FFFFFF"/>
        </w:rPr>
        <w:t>is</w:t>
      </w:r>
      <w:r>
        <w:rPr>
          <w:color w:val="000000"/>
          <w:shd w:val="clear" w:color="auto" w:fill="FFFFFF"/>
        </w:rPr>
        <w:t xml:space="preserve"> performed to visualize the SNPs associated with the trait and suggest the genes that were associated with T2D patients compared to the healthy individuals </w:t>
      </w:r>
      <w:r w:rsidRPr="00E05CA1">
        <w:rPr>
          <w:shd w:val="clear" w:color="auto" w:fill="FFFFFF"/>
        </w:rPr>
        <w:fldChar w:fldCharType="begin"/>
      </w:r>
      <w:r w:rsidRPr="00E05CA1">
        <w:rPr>
          <w:shd w:val="clear" w:color="auto" w:fill="FFFFFF"/>
        </w:rPr>
        <w:instrText xml:space="preserve"> ADDIN ZOTERO_ITEM CSL_CITATION {"citationID":"LpBoRMa5","properties":{"formattedCitation":"(Cho et al. 2011)","plainCitation":"(Cho et al. 2011)","noteIndex":0},"citationItems":[{"id":326,"uris":["http://zotero.org/users/4264928/items/MC5ULIT8"],"uri":["http://zotero.org/users/4264928/items/MC5ULIT8"],"itemData":{"id":326,"type":"article-journal","title":"Meta-analysis of genome-wide association studies identifies 8 new loci for type 2 diabetes in East Asians","container-title":"Nature genetics","page":"67-72","volume":"44","issue":"1","source":"PubMed Central","abstract":"We conducted a three-stage genetic study to identify susceptibility loci for type 2 diabetes (T2D) in East Asian populations. The first stage meta-analysis of eight T2D genome-wide association studies (6,952 cases and 11,865 controls) was followed by a second stage in silico replication analysis (5,843 cases and 4,574 controls) and a stage 3 de novo replication analysis (12,284 cases and 13,172 controls). The combined analysis identified eight new T2D loci reaching genome-wide significance, which were mapped in or near GLIS3, PEPD, FITM2-R3HDML-HNF4A, KCNK16, MAEA, GCC1-PAX4, PSMD6 and ZFAND3. GLIS3, involved in pancreatic beta cell development and insulin gene expression,, is known for its association with fasting glucose levels,. The evidence of T2D association for PEPD and HNF4A, has been detected in previous studies. KCNK16 may regulate glucose-dependent insulin secretion in the pancreas. These findings derived from East Asians provide new perspectives on the etiology of T2D.","DOI":"10.1038/ng.1019","ISSN":"1061-4036","note":"PMID: 22158537\nPMCID: PMC3582398","journalAbbreviation":"Nat Genet","author":[{"family":"Cho","given":"Yoon Shin"},{"family":"Chen","given":"Chien-Hsiun"},{"family":"Hu","given":"Cheng"},{"family":"Long","given":"Jirong"},{"family":"Ong","given":"Rick Twee Hee"},{"family":"Sim","given":"Xueling"},{"family":"Takeuchi","given":"Fumihiko"},{"family":"Wu","given":"Ying"},{"family":"Go","given":"Min Jin"},{"family":"Yamauchi","given":"Toshimasa"},{"family":"Chang","given":"Yi-Cheng"},{"family":"Kwak","given":"Soo Heon"},{"family":"Ma","given":"Ronald C.W."},{"family":"Yamamoto","given":"Ken"},{"family":"Adair","given":"Linda S."},{"family":"Aung","given":"Tin"},{"family":"Cai","given":"Qiuyin"},{"family":"Chang","given":"Li-Ching"},{"family":"Chen","given":"Yuan-Tsong"},{"family":"Gao","given":"Yutang"},{"family":"Hu","given":"Frank B."},{"family":"Kim","given":"Hyung-Lae"},{"family":"Kim","given":"Sangsoo"},{"family":"Kim","given":"Young Jin"},{"family":"Lee","given":"Jeannette Jen-Mai"},{"family":"Lee","given":"Nanette R."},{"family":"Li","given":"Yun"},{"family":"Liu","given":"Jian Jun"},{"family":"Lu","given":"Wei"},{"family":"Nakamura","given":"Jiro"},{"family":"Nakashima","given":"Eitaro"},{"family":"Ng","given":"Daniel Peng-Keat"},{"family":"Tay","given":"Wan Ting"},{"family":"Tsai","given":"Fuu-Jen"},{"family":"Wong","given":"Tien Yin"},{"family":"Yokota","given":"Mitsuhiro"},{"family":"Zheng","given":"Wei"},{"family":"Zhang","given":"Rong"},{"family":"Wang","given":"Congrong"},{"family":"So","given":"Wing Yee"},{"family":"Ohnaka","given":"Keizo"},{"family":"Ikegami","given":"Hiroshi"},{"family":"Hara","given":"Kazuo"},{"family":"Cho","given":"Young Min"},{"family":"Cho","given":"Nam H"},{"family":"Chang","given":"Tien-Jyun"},{"family":"Bao","given":"Yuqian"},{"family":"Hedman","given":"Åsa K."},{"family":"Morris","given":"Andrew P."},{"family":"McCarthy","given":"Mark I."},{"family":"Takayanagi","given":"Ryoichi"},{"family":"Park","given":"Kyong Soo"},{"family":"Jia","given":"Weiping"},{"family":"Chuang","given":"Lee-Ming"},{"family":"Chan","given":"Juliana C.N."},{"family":"Maeda","given":"Shiro"},{"family":"Kadowaki","given":"Takashi"},{"family":"Lee","given":"Jong-Young"},{"family":"Wu","given":"Jer-Yuarn"},{"family":"Teo","given":"Yik Ying"},{"family":"Tai","given":"E Shyong"},{"family":"Shu","given":"Xiao Ou"},{"family":"Mohlke","given":"Karen L."},{"family":"Kato","given":"Norihiro"},{"family":"Han","given":"Bok-Ghee"},{"family":"Seielstad","given":"Mark"}],"issued":{"date-parts":[["2011",12,11]]}}}],"schema":"https://github.com/citation-style-language/schema/raw/master/csl-citation.json"} </w:instrText>
      </w:r>
      <w:r w:rsidRPr="00E05CA1">
        <w:rPr>
          <w:shd w:val="clear" w:color="auto" w:fill="FFFFFF"/>
        </w:rPr>
        <w:fldChar w:fldCharType="separate"/>
      </w:r>
      <w:r w:rsidRPr="00E05CA1">
        <w:t xml:space="preserve">(Cho </w:t>
      </w:r>
      <w:r w:rsidRPr="00FF72CE">
        <w:rPr>
          <w:i/>
        </w:rPr>
        <w:t>et al</w:t>
      </w:r>
      <w:r w:rsidRPr="00E05CA1">
        <w:t>. 2011)</w:t>
      </w:r>
      <w:r w:rsidRPr="00E05CA1">
        <w:rPr>
          <w:shd w:val="clear" w:color="auto" w:fill="FFFFFF"/>
        </w:rPr>
        <w:fldChar w:fldCharType="end"/>
      </w:r>
      <w:r w:rsidRPr="00E05CA1">
        <w:rPr>
          <w:color w:val="000000"/>
          <w:shd w:val="clear" w:color="auto" w:fill="FFFFFF"/>
        </w:rPr>
        <w:t>.</w:t>
      </w:r>
    </w:p>
    <w:p w:rsidR="00EE4407" w:rsidRDefault="00EE4407" w:rsidP="00EE4407">
      <w:pPr>
        <w:ind w:firstLine="720"/>
        <w:rPr>
          <w:color w:val="000000"/>
          <w:shd w:val="clear" w:color="auto" w:fill="FFFFFF"/>
        </w:rPr>
      </w:pPr>
    </w:p>
    <w:p w:rsidR="00EE4407" w:rsidRDefault="00EE4407" w:rsidP="00EE4407">
      <w:pPr>
        <w:ind w:firstLine="720"/>
        <w:rPr>
          <w:color w:val="000000"/>
          <w:shd w:val="clear" w:color="auto" w:fill="FFFFFF"/>
        </w:rPr>
      </w:pPr>
    </w:p>
    <w:p w:rsidR="00EE4407" w:rsidRDefault="00EE4407" w:rsidP="00EE4407">
      <w:pPr>
        <w:ind w:firstLine="720"/>
        <w:rPr>
          <w:color w:val="000000"/>
          <w:shd w:val="clear" w:color="auto" w:fill="FFFFFF"/>
        </w:rPr>
      </w:pPr>
    </w:p>
    <w:p w:rsidR="00EE4407" w:rsidRPr="00135FEE" w:rsidRDefault="00EE4407" w:rsidP="00EE4407">
      <w:pPr>
        <w:rPr>
          <w:color w:val="000000"/>
          <w:shd w:val="clear" w:color="auto" w:fill="FFFFFF"/>
        </w:rPr>
      </w:pPr>
      <w:r w:rsidRPr="00E36D1B">
        <w:rPr>
          <w:noProof/>
        </w:rPr>
        <w:drawing>
          <wp:inline distT="0" distB="0" distL="0" distR="0" wp14:anchorId="2EE2829B" wp14:editId="42B94109">
            <wp:extent cx="570547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59" t="43891" r="9936" b="27847"/>
                    <a:stretch/>
                  </pic:blipFill>
                  <pic:spPr bwMode="auto">
                    <a:xfrm>
                      <a:off x="0" y="0"/>
                      <a:ext cx="5705478" cy="2238376"/>
                    </a:xfrm>
                    <a:prstGeom prst="rect">
                      <a:avLst/>
                    </a:prstGeom>
                    <a:ln>
                      <a:noFill/>
                    </a:ln>
                    <a:extLst>
                      <a:ext uri="{53640926-AAD7-44D8-BBD7-CCE9431645EC}">
                        <a14:shadowObscured xmlns:a14="http://schemas.microsoft.com/office/drawing/2010/main"/>
                      </a:ext>
                    </a:extLst>
                  </pic:spPr>
                </pic:pic>
              </a:graphicData>
            </a:graphic>
          </wp:inline>
        </w:drawing>
      </w:r>
    </w:p>
    <w:p w:rsidR="0059302D" w:rsidRDefault="00EE4407" w:rsidP="0059302D">
      <w:pPr>
        <w:jc w:val="both"/>
        <w:rPr>
          <w:shd w:val="clear" w:color="auto" w:fill="FFFFFF"/>
        </w:rPr>
      </w:pPr>
      <w:r w:rsidRPr="00E36D1B">
        <w:rPr>
          <w:shd w:val="clear" w:color="auto" w:fill="FFFFFF"/>
        </w:rPr>
        <w:t>Figure</w:t>
      </w:r>
      <w:r>
        <w:rPr>
          <w:shd w:val="clear" w:color="auto" w:fill="FFFFFF"/>
        </w:rPr>
        <w:t xml:space="preserve"> 1.</w:t>
      </w:r>
      <w:r w:rsidRPr="00E36D1B">
        <w:rPr>
          <w:shd w:val="clear" w:color="auto" w:fill="FFFFFF"/>
        </w:rPr>
        <w:t xml:space="preserve"> </w:t>
      </w:r>
      <w:r w:rsidRPr="00E05CA1">
        <w:rPr>
          <w:shd w:val="clear" w:color="auto" w:fill="FFFFFF"/>
        </w:rPr>
        <w:t xml:space="preserve">Genome-wide Manhattan plot for genes that were associated with T2D </w:t>
      </w:r>
      <w:r w:rsidRPr="00E05CA1">
        <w:rPr>
          <w:shd w:val="clear" w:color="auto" w:fill="FFFFFF"/>
        </w:rPr>
        <w:fldChar w:fldCharType="begin"/>
      </w:r>
      <w:r w:rsidRPr="00E05CA1">
        <w:rPr>
          <w:shd w:val="clear" w:color="auto" w:fill="FFFFFF"/>
        </w:rPr>
        <w:instrText xml:space="preserve"> ADDIN ZOTERO_ITEM CSL_CITATION {"citationID":"LpBoRMa5","properties":{"formattedCitation":"(Cho et al. 2011)","plainCitation":"(Cho et al. 2011)","noteIndex":0},"citationItems":[{"id":326,"uris":["http://zotero.org/users/4264928/items/MC5ULIT8"],"uri":["http://zotero.org/users/4264928/items/MC5ULIT8"],"itemData":{"id":326,"type":"article-journal","title":"Meta-analysis of genome-wide association studies identifies 8 new loci for type 2 diabetes in East Asians","container-title":"Nature genetics","page":"67-72","volume":"44","issue":"1","source":"PubMed Central","abstract":"We conducted a three-stage genetic study to identify susceptibility loci for type 2 diabetes (T2D) in East Asian populations. The first stage meta-analysis of eight T2D genome-wide association studies (6,952 cases and 11,865 controls) was followed by a second stage in silico replication analysis (5,843 cases and 4,574 controls) and a stage 3 de novo replication analysis (12,284 cases and 13,172 controls). The combined analysis identified eight new T2D loci reaching genome-wide significance, which were mapped in or near GLIS3, PEPD, FITM2-R3HDML-HNF4A, KCNK16, MAEA, GCC1-PAX4, PSMD6 and ZFAND3. GLIS3, involved in pancreatic beta cell development and insulin gene expression,, is known for its association with fasting glucose levels,. The evidence of T2D association for PEPD and HNF4A, has been detected in previous studies. KCNK16 may regulate glucose-dependent insulin secretion in the pancreas. These findings derived from East Asians provide new perspectives on the etiology of T2D.","DOI":"10.1038/ng.1019","ISSN":"1061-4036","note":"PMID: 22158537\nPMCID: PMC3582398","journalAbbreviation":"Nat Genet","author":[{"family":"Cho","given":"Yoon Shin"},{"family":"Chen","given":"Chien-Hsiun"},{"family":"Hu","given":"Cheng"},{"family":"Long","given":"Jirong"},{"family":"Ong","given":"Rick Twee Hee"},{"family":"Sim","given":"Xueling"},{"family":"Takeuchi","given":"Fumihiko"},{"family":"Wu","given":"Ying"},{"family":"Go","given":"Min Jin"},{"family":"Yamauchi","given":"Toshimasa"},{"family":"Chang","given":"Yi-Cheng"},{"family":"Kwak","given":"Soo Heon"},{"family":"Ma","given":"Ronald C.W."},{"family":"Yamamoto","given":"Ken"},{"family":"Adair","given":"Linda S."},{"family":"Aung","given":"Tin"},{"family":"Cai","given":"Qiuyin"},{"family":"Chang","given":"Li-Ching"},{"family":"Chen","given":"Yuan-Tsong"},{"family":"Gao","given":"Yutang"},{"family":"Hu","given":"Frank B."},{"family":"Kim","given":"Hyung-Lae"},{"family":"Kim","given":"Sangsoo"},{"family":"Kim","given":"Young Jin"},{"family":"Lee","given":"Jeannette Jen-Mai"},{"family":"Lee","given":"Nanette R."},{"family":"Li","given":"Yun"},{"family":"Liu","given":"Jian Jun"},{"family":"Lu","given":"Wei"},{"family":"Nakamura","given":"Jiro"},{"family":"Nakashima","given":"Eitaro"},{"family":"Ng","given":"Daniel Peng-Keat"},{"family":"Tay","given":"Wan Ting"},{"family":"Tsai","given":"Fuu-Jen"},{"family":"Wong","given":"Tien Yin"},{"family":"Yokota","given":"Mitsuhiro"},{"family":"Zheng","given":"Wei"},{"family":"Zhang","given":"Rong"},{"family":"Wang","given":"Congrong"},{"family":"So","given":"Wing Yee"},{"family":"Ohnaka","given":"Keizo"},{"family":"Ikegami","given":"Hiroshi"},{"family":"Hara","given":"Kazuo"},{"family":"Cho","given":"Young Min"},{"family":"Cho","given":"Nam H"},{"family":"Chang","given":"Tien-Jyun"},{"family":"Bao","given":"Yuqian"},{"family":"Hedman","given":"Åsa K."},{"family":"Morris","given":"Andrew P."},{"family":"McCarthy","given":"Mark I."},{"family":"Takayanagi","given":"Ryoichi"},{"family":"Park","given":"Kyong Soo"},{"family":"Jia","given":"Weiping"},{"family":"Chuang","given":"Lee-Ming"},{"family":"Chan","given":"Juliana C.N."},{"family":"Maeda","given":"Shiro"},{"family":"Kadowaki","given":"Takashi"},{"family":"Lee","given":"Jong-Young"},{"family":"Wu","given":"Jer-Yuarn"},{"family":"Teo","given":"Yik Ying"},{"family":"Tai","given":"E Shyong"},{"family":"Shu","given":"Xiao Ou"},{"family":"Mohlke","given":"Karen L."},{"family":"Kato","given":"Norihiro"},{"family":"Han","given":"Bok-Ghee"},{"family":"Seielstad","given":"Mark"}],"issued":{"date-parts":[["2011",12,11]]}}}],"schema":"https://github.com/citation-style-language/schema/raw/master/csl-citation.json"} </w:instrText>
      </w:r>
      <w:r w:rsidRPr="00E05CA1">
        <w:rPr>
          <w:shd w:val="clear" w:color="auto" w:fill="FFFFFF"/>
        </w:rPr>
        <w:fldChar w:fldCharType="separate"/>
      </w:r>
      <w:r w:rsidRPr="00E05CA1">
        <w:t xml:space="preserve">(Cho </w:t>
      </w:r>
      <w:r w:rsidRPr="00FF72CE">
        <w:rPr>
          <w:i/>
        </w:rPr>
        <w:t>et al</w:t>
      </w:r>
      <w:r w:rsidRPr="00E05CA1">
        <w:t>. 2011)</w:t>
      </w:r>
      <w:r w:rsidRPr="00E05CA1">
        <w:rPr>
          <w:shd w:val="clear" w:color="auto" w:fill="FFFFFF"/>
        </w:rPr>
        <w:fldChar w:fldCharType="end"/>
      </w:r>
      <w:r w:rsidRPr="00E05CA1">
        <w:rPr>
          <w:shd w:val="clear" w:color="auto" w:fill="FFFFFF"/>
        </w:rPr>
        <w:t xml:space="preserve"> </w:t>
      </w:r>
    </w:p>
    <w:p w:rsidR="0059302D" w:rsidRDefault="0059302D" w:rsidP="0059302D">
      <w:pPr>
        <w:rPr>
          <w:color w:val="000000"/>
        </w:rPr>
      </w:pPr>
    </w:p>
    <w:p w:rsidR="0059302D" w:rsidRDefault="0059302D" w:rsidP="0059302D">
      <w:pPr>
        <w:rPr>
          <w:color w:val="000000"/>
        </w:rPr>
      </w:pPr>
    </w:p>
    <w:p w:rsidR="0059302D" w:rsidRDefault="0059302D" w:rsidP="0059302D">
      <w:pPr>
        <w:rPr>
          <w:color w:val="000000"/>
        </w:rPr>
      </w:pPr>
    </w:p>
    <w:p w:rsidR="00EE4407" w:rsidRPr="00803205" w:rsidRDefault="00EE4407" w:rsidP="0059302D">
      <w:pPr>
        <w:spacing w:line="480" w:lineRule="auto"/>
        <w:ind w:firstLine="720"/>
      </w:pPr>
      <w:r>
        <w:rPr>
          <w:color w:val="000000"/>
        </w:rPr>
        <w:t>Genome wide association study helps i</w:t>
      </w:r>
      <w:r w:rsidRPr="00094149">
        <w:rPr>
          <w:color w:val="000000"/>
        </w:rPr>
        <w:t xml:space="preserve">dentify genetic variants that </w:t>
      </w:r>
      <w:r>
        <w:rPr>
          <w:color w:val="000000"/>
        </w:rPr>
        <w:t>are</w:t>
      </w:r>
      <w:r w:rsidRPr="00094149">
        <w:rPr>
          <w:color w:val="000000"/>
        </w:rPr>
        <w:t xml:space="preserve"> potentially associated with T2D where one allele w</w:t>
      </w:r>
      <w:r>
        <w:rPr>
          <w:color w:val="000000"/>
        </w:rPr>
        <w:t>ill be</w:t>
      </w:r>
      <w:r w:rsidRPr="00094149">
        <w:rPr>
          <w:color w:val="000000"/>
        </w:rPr>
        <w:t xml:space="preserve"> significantly more common in cases than</w:t>
      </w:r>
      <w:r>
        <w:rPr>
          <w:color w:val="000000"/>
        </w:rPr>
        <w:t xml:space="preserve"> in </w:t>
      </w:r>
      <w:r w:rsidRPr="00094149">
        <w:rPr>
          <w:color w:val="000000"/>
        </w:rPr>
        <w:t>controls.</w:t>
      </w:r>
      <w:r>
        <w:rPr>
          <w:color w:val="000000"/>
        </w:rPr>
        <w:t xml:space="preserve">  Figure 2 shows a typical </w:t>
      </w:r>
      <w:r w:rsidRPr="00734B19">
        <w:rPr>
          <w:color w:val="000000"/>
          <w:shd w:val="clear" w:color="auto" w:fill="FFFFFF"/>
        </w:rPr>
        <w:t xml:space="preserve">GWAS workflow </w:t>
      </w:r>
      <w:r>
        <w:rPr>
          <w:color w:val="000000"/>
          <w:shd w:val="clear" w:color="auto" w:fill="FFFFFF"/>
        </w:rPr>
        <w:t>in identifying</w:t>
      </w:r>
      <w:r w:rsidRPr="00734B19">
        <w:rPr>
          <w:color w:val="000000"/>
          <w:shd w:val="clear" w:color="auto" w:fill="FFFFFF"/>
        </w:rPr>
        <w:t xml:space="preserve"> SNP associations</w:t>
      </w:r>
      <w:r>
        <w:rPr>
          <w:color w:val="000000"/>
          <w:shd w:val="clear" w:color="auto" w:fill="FFFFFF"/>
        </w:rPr>
        <w:t xml:space="preserve"> with complex diseases </w:t>
      </w:r>
      <w:r>
        <w:rPr>
          <w:color w:val="000000"/>
          <w:shd w:val="clear" w:color="auto" w:fill="FFFFFF"/>
        </w:rPr>
        <w:fldChar w:fldCharType="begin"/>
      </w:r>
      <w:r>
        <w:rPr>
          <w:color w:val="000000"/>
          <w:shd w:val="clear" w:color="auto" w:fill="FFFFFF"/>
        </w:rPr>
        <w:instrText xml:space="preserve"> ADDIN ZOTERO_ITEM CSL_CITATION {"citationID":"a2iedaflsjt","properties":{"formattedCitation":"(Kingsmore et al. 2008)","plainCitation":"(Kingsmore et al. 2008)","noteIndex":0},"citationItems":[{"id":186,"uris":["http://zotero.org/users/4264928/items/5E9KQ7D8"],"uri":["http://zotero.org/users/4264928/items/5E9KQ7D8"],"itemData":{"id":186,"type":"article-journal","title":"Genome-wide association studies: progress and potential for drug discovery and development","container-title":"Nature Reviews. Drug Discovery","page":"221-230","volume":"7","issue":"3","source":"PubMed","abstract":"Although genetic studies have been critically important for the identification of therapeutic targets in Mendelian disorders, genetic approaches aiming to identify targets for common, complex diseases have traditionally had much more limited success. However, during the past year, a novel genetic approach - genome-wide association (GWA) - has demonstrated its potential to identify common genetic variants associated with complex diseases such as diabetes, inflammatory bowel disease and cancer. Here, we highlight some of these recent successes, and discuss the potential for GWA studies to identify novel therapeutic targets and genetic biomarkers that will be useful for drug discovery, patient selection and stratification in common diseases.","DOI":"10.1038/nrd2519","ISSN":"1474-1784","note":"PMID: 18274536\nPMCID: PMC2853477","shortTitle":"Genome-wide association studies","journalAbbreviation":"Nat Rev Drug Discov","language":"eng","author":[{"family":"Kingsmore","given":"Stephen F."},{"family":"Lindquist","given":"Ingrid E."},{"family":"Mudge","given":"Joann"},{"family":"Gessler","given":"Damian D."},{"family":"Beavis","given":"William D."}],"issued":{"date-parts":[["2008",3]]}}}],"schema":"https://github.com/citation-style-language/schema/raw/master/csl-citation.json"} </w:instrText>
      </w:r>
      <w:r>
        <w:rPr>
          <w:color w:val="000000"/>
          <w:shd w:val="clear" w:color="auto" w:fill="FFFFFF"/>
        </w:rPr>
        <w:fldChar w:fldCharType="separate"/>
      </w:r>
      <w:r w:rsidRPr="009C46FB">
        <w:t xml:space="preserve">(Kingsmore </w:t>
      </w:r>
      <w:r w:rsidRPr="009C46FB">
        <w:rPr>
          <w:i/>
        </w:rPr>
        <w:t>et al</w:t>
      </w:r>
      <w:r w:rsidRPr="009C46FB">
        <w:t>. 2008</w:t>
      </w:r>
      <w:r>
        <w:t>;</w:t>
      </w:r>
      <w:r w:rsidRPr="00D85374">
        <w:rPr>
          <w:color w:val="000000"/>
        </w:rPr>
        <w:t xml:space="preserve"> </w:t>
      </w:r>
      <w:r w:rsidRPr="00094149">
        <w:rPr>
          <w:color w:val="000000"/>
        </w:rPr>
        <w:fldChar w:fldCharType="begin"/>
      </w:r>
      <w:r>
        <w:rPr>
          <w:color w:val="000000"/>
        </w:rPr>
        <w:instrText xml:space="preserve"> ADDIN ZOTERO_ITEM CSL_CITATION {"citationID":"a233sbdrnna","properties":{"formattedCitation":"(Bush and Moore 2012)","plainCitation":"(Bush and Moore 2012)","noteIndex":0},"citationItems":[{"id":194,"uris":["http://zotero.org/users/4264928/items/PUX4Z7ET"],"uri":["http://zotero.org/users/4264928/items/PUX4Z7ET"],"itemData":{"id":194,"type":"article-journal","title":"Chapter 11: Genome-Wide Association Studies","container-title":"PLoS Computational Biology","volume":"8","issue":"12","source":"PubMed Central","abstract":"Genome-wide association studies (GWAS) have evolved over the last ten years into a powerful tool for investigating the genetic architecture of human disease. In this work, we review the key concepts underlying GWAS, including the architecture of common diseases, the structure of common human genetic variation, technologies for capturing genetic information, study designs, and the statistical methods used for data analysis. We also look forward to the future beyond GWAS.","URL":"https://www.ncbi.nlm.nih.gov/pmc/articles/PMC3531285/","DOI":"10.1371/journal.pcbi.1002822","ISSN":"1553-734X","note":"PMID: 23300413\nPMCID: PMC3531285","shortTitle":"Chapter 11","journalAbbreviation":"PLoS Comput Biol","author":[{"family":"Bush","given":"William S."},{"family":"Moore","given":"Jason H."}],"issued":{"date-parts":[["2012",12,27]]},"accessed":{"date-parts":[["2018",2,4]]}}}],"schema":"https://github.com/citation-style-language/schema/raw/master/csl-citation.json"} </w:instrText>
      </w:r>
      <w:r w:rsidRPr="00094149">
        <w:rPr>
          <w:color w:val="000000"/>
        </w:rPr>
        <w:fldChar w:fldCharType="separate"/>
      </w:r>
      <w:r w:rsidRPr="00094149">
        <w:t>Bush and Moore 2012)</w:t>
      </w:r>
      <w:r w:rsidRPr="00094149">
        <w:rPr>
          <w:color w:val="000000"/>
        </w:rPr>
        <w:fldChar w:fldCharType="end"/>
      </w:r>
      <w:r>
        <w:rPr>
          <w:color w:val="000000"/>
          <w:shd w:val="clear" w:color="auto" w:fill="FFFFFF"/>
        </w:rPr>
        <w:fldChar w:fldCharType="end"/>
      </w:r>
      <w:r w:rsidRPr="00734B19">
        <w:rPr>
          <w:color w:val="000000"/>
          <w:shd w:val="clear" w:color="auto" w:fill="FFFFFF"/>
        </w:rPr>
        <w:t>.</w:t>
      </w:r>
    </w:p>
    <w:p w:rsidR="00EE4407" w:rsidRPr="00734B19" w:rsidRDefault="00EE4407" w:rsidP="00EE4407">
      <w:pPr>
        <w:ind w:firstLine="720"/>
      </w:pPr>
      <w:r w:rsidRPr="00734B19">
        <w:rPr>
          <w:noProof/>
          <w:color w:val="000000"/>
          <w:shd w:val="clear" w:color="auto" w:fill="FFFFFF"/>
        </w:rPr>
        <w:lastRenderedPageBreak/>
        <w:drawing>
          <wp:inline distT="0" distB="0" distL="0" distR="0" wp14:anchorId="5800D01B" wp14:editId="323C93D8">
            <wp:extent cx="4876800" cy="5667375"/>
            <wp:effectExtent l="0" t="0" r="0" b="9525"/>
            <wp:docPr id="5" name="Picture 5" descr="https://lh4.googleusercontent.com/bXFlv9dbV3ZNkcX_z_L7QTLJ24Lpa2WVStGJZTfiT1k3iDRa6LBgssYYP9UQ1AFYmnuafi55ItwEXdp7tJbztYcexKVzuxaRo8Bw2VLMs1cObbny-iT3Y-n8LYvImcwemUEa0x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XFlv9dbV3ZNkcX_z_L7QTLJ24Lpa2WVStGJZTfiT1k3iDRa6LBgssYYP9UQ1AFYmnuafi55ItwEXdp7tJbztYcexKVzuxaRo8Bw2VLMs1cObbny-iT3Y-n8LYvImcwemUEa0x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5667375"/>
                    </a:xfrm>
                    <a:prstGeom prst="rect">
                      <a:avLst/>
                    </a:prstGeom>
                    <a:noFill/>
                    <a:ln>
                      <a:noFill/>
                    </a:ln>
                  </pic:spPr>
                </pic:pic>
              </a:graphicData>
            </a:graphic>
          </wp:inline>
        </w:drawing>
      </w:r>
    </w:p>
    <w:p w:rsidR="00EE4407" w:rsidRDefault="00EE4407" w:rsidP="00EE4407">
      <w:pPr>
        <w:rPr>
          <w:color w:val="000000"/>
          <w:shd w:val="clear" w:color="auto" w:fill="FFFFFF"/>
        </w:rPr>
      </w:pPr>
    </w:p>
    <w:p w:rsidR="00EE4407" w:rsidRPr="00E8409F" w:rsidRDefault="00EE4407" w:rsidP="00EE4407">
      <w:pPr>
        <w:spacing w:line="480" w:lineRule="auto"/>
      </w:pPr>
      <w:r w:rsidRPr="00734B19">
        <w:rPr>
          <w:color w:val="000000"/>
          <w:shd w:val="clear" w:color="auto" w:fill="FFFFFF"/>
        </w:rPr>
        <w:t xml:space="preserve">Figure </w:t>
      </w:r>
      <w:r>
        <w:rPr>
          <w:color w:val="000000"/>
          <w:shd w:val="clear" w:color="auto" w:fill="FFFFFF"/>
        </w:rPr>
        <w:t>2</w:t>
      </w:r>
      <w:r w:rsidRPr="00734B19">
        <w:rPr>
          <w:color w:val="000000"/>
          <w:shd w:val="clear" w:color="auto" w:fill="FFFFFF"/>
        </w:rPr>
        <w:t xml:space="preserve">. GWAS workflow to find SNP-disease associations </w:t>
      </w:r>
      <w:r>
        <w:rPr>
          <w:color w:val="000000"/>
          <w:shd w:val="clear" w:color="auto" w:fill="FFFFFF"/>
        </w:rPr>
        <w:fldChar w:fldCharType="begin"/>
      </w:r>
      <w:r>
        <w:rPr>
          <w:color w:val="000000"/>
          <w:shd w:val="clear" w:color="auto" w:fill="FFFFFF"/>
        </w:rPr>
        <w:instrText xml:space="preserve"> ADDIN ZOTERO_ITEM CSL_CITATION {"citationID":"a2iedaflsjt","properties":{"formattedCitation":"(Kingsmore et al. 2008)","plainCitation":"(Kingsmore et al. 2008)","noteIndex":0},"citationItems":[{"id":186,"uris":["http://zotero.org/users/4264928/items/5E9KQ7D8"],"uri":["http://zotero.org/users/4264928/items/5E9KQ7D8"],"itemData":{"id":186,"type":"article-journal","title":"Genome-wide association studies: progress and potential for drug discovery and development","container-title":"Nature Reviews. Drug Discovery","page":"221-230","volume":"7","issue":"3","source":"PubMed","abstract":"Although genetic studies have been critically important for the identification of therapeutic targets in Mendelian disorders, genetic approaches aiming to identify targets for common, complex diseases have traditionally had much more limited success. However, during the past year, a novel genetic approach - genome-wide association (GWA) - has demonstrated its potential to identify common genetic variants associated with complex diseases such as diabetes, inflammatory bowel disease and cancer. Here, we highlight some of these recent successes, and discuss the potential for GWA studies to identify novel therapeutic targets and genetic biomarkers that will be useful for drug discovery, patient selection and stratification in common diseases.","DOI":"10.1038/nrd2519","ISSN":"1474-1784","note":"PMID: 18274536\nPMCID: PMC2853477","shortTitle":"Genome-wide association studies","journalAbbreviation":"Nat Rev Drug Discov","language":"eng","author":[{"family":"Kingsmore","given":"Stephen F."},{"family":"Lindquist","given":"Ingrid E."},{"family":"Mudge","given":"Joann"},{"family":"Gessler","given":"Damian D."},{"family":"Beavis","given":"William D."}],"issued":{"date-parts":[["2008",3]]}}}],"schema":"https://github.com/citation-style-language/schema/raw/master/csl-citation.json"} </w:instrText>
      </w:r>
      <w:r>
        <w:rPr>
          <w:color w:val="000000"/>
          <w:shd w:val="clear" w:color="auto" w:fill="FFFFFF"/>
        </w:rPr>
        <w:fldChar w:fldCharType="separate"/>
      </w:r>
      <w:r w:rsidRPr="009C46FB">
        <w:t xml:space="preserve">(Kingsmore </w:t>
      </w:r>
      <w:r w:rsidRPr="009C46FB">
        <w:rPr>
          <w:i/>
        </w:rPr>
        <w:t>et al</w:t>
      </w:r>
      <w:r w:rsidRPr="009C46FB">
        <w:t>. 2008)</w:t>
      </w:r>
      <w:r>
        <w:rPr>
          <w:color w:val="000000"/>
          <w:shd w:val="clear" w:color="auto" w:fill="FFFFFF"/>
        </w:rPr>
        <w:fldChar w:fldCharType="end"/>
      </w:r>
      <w:r w:rsidRPr="00734B19">
        <w:rPr>
          <w:color w:val="000000"/>
          <w:shd w:val="clear" w:color="auto" w:fill="FFFFFF"/>
        </w:rPr>
        <w:t>.</w:t>
      </w:r>
    </w:p>
    <w:p w:rsidR="0059302D" w:rsidRDefault="0059302D" w:rsidP="00EE4407">
      <w:pPr>
        <w:spacing w:line="480" w:lineRule="auto"/>
        <w:ind w:firstLine="720"/>
      </w:pPr>
    </w:p>
    <w:p w:rsidR="00EE4407" w:rsidRDefault="00EE4407" w:rsidP="00EE4407">
      <w:pPr>
        <w:spacing w:line="480" w:lineRule="auto"/>
        <w:ind w:firstLine="720"/>
        <w:rPr>
          <w:rFonts w:eastAsiaTheme="minorEastAsia"/>
          <w:color w:val="000000" w:themeColor="text1"/>
          <w:kern w:val="24"/>
        </w:rPr>
      </w:pPr>
      <w:r>
        <w:t xml:space="preserve">An intermediate aim of this study is to conduct </w:t>
      </w:r>
      <w:r w:rsidRPr="008E7BAD">
        <w:t xml:space="preserve">a systematic review </w:t>
      </w:r>
      <w:r>
        <w:t>of</w:t>
      </w:r>
      <w:r w:rsidRPr="008E7BAD">
        <w:t xml:space="preserve"> the literature </w:t>
      </w:r>
      <w:r>
        <w:t xml:space="preserve">of GWAS </w:t>
      </w:r>
      <w:r w:rsidRPr="008E7BAD">
        <w:t xml:space="preserve">reporting the validity and reliability of the outcome data. </w:t>
      </w:r>
      <w:r>
        <w:t xml:space="preserve"> </w:t>
      </w:r>
      <w:r w:rsidRPr="00AD1263">
        <w:rPr>
          <w:color w:val="000000"/>
          <w:shd w:val="clear" w:color="auto" w:fill="FFFFFF"/>
        </w:rPr>
        <w:t>A systematic review is a research study that collects</w:t>
      </w:r>
      <w:r>
        <w:rPr>
          <w:color w:val="000000"/>
          <w:shd w:val="clear" w:color="auto" w:fill="FFFFFF"/>
        </w:rPr>
        <w:t xml:space="preserve">, selects, </w:t>
      </w:r>
      <w:r w:rsidRPr="00AD1263">
        <w:rPr>
          <w:color w:val="000000"/>
          <w:shd w:val="clear" w:color="auto" w:fill="FFFFFF"/>
        </w:rPr>
        <w:t xml:space="preserve">and </w:t>
      </w:r>
      <w:r>
        <w:rPr>
          <w:color w:val="000000"/>
          <w:shd w:val="clear" w:color="auto" w:fill="FFFFFF"/>
        </w:rPr>
        <w:t xml:space="preserve">summarizes </w:t>
      </w:r>
      <w:r w:rsidRPr="00AD1263">
        <w:rPr>
          <w:color w:val="000000"/>
          <w:shd w:val="clear" w:color="auto" w:fill="FFFFFF"/>
        </w:rPr>
        <w:t>multiple studies.</w:t>
      </w:r>
      <w:r w:rsidR="00EA2390">
        <w:rPr>
          <w:color w:val="000000"/>
          <w:shd w:val="clear" w:color="auto" w:fill="FFFFFF"/>
        </w:rPr>
        <w:t xml:space="preserve">  </w:t>
      </w:r>
      <w:r w:rsidR="00A37FC6">
        <w:rPr>
          <w:color w:val="000000"/>
          <w:shd w:val="clear" w:color="auto" w:fill="FFFFFF"/>
        </w:rPr>
        <w:t>According to pre-specified criteria, a</w:t>
      </w:r>
      <w:r w:rsidRPr="00AD1263">
        <w:rPr>
          <w:color w:val="000000"/>
          <w:shd w:val="clear" w:color="auto" w:fill="FFFFFF"/>
        </w:rPr>
        <w:t xml:space="preserve"> systematic review is created after </w:t>
      </w:r>
      <w:r w:rsidRPr="00AD1263">
        <w:rPr>
          <w:color w:val="000000"/>
          <w:shd w:val="clear" w:color="auto" w:fill="FFFFFF"/>
        </w:rPr>
        <w:lastRenderedPageBreak/>
        <w:t>reviewing and combining all the information from prior published literature studies and then summarizing the relevant finding</w:t>
      </w:r>
      <w:r w:rsidRPr="008E4DDE">
        <w:rPr>
          <w:color w:val="000000"/>
          <w:shd w:val="clear" w:color="auto" w:fill="FFFFFF"/>
        </w:rPr>
        <w:t xml:space="preserve">s </w:t>
      </w:r>
      <w:r w:rsidRPr="008E4DDE">
        <w:rPr>
          <w:color w:val="000000"/>
          <w:shd w:val="clear" w:color="auto" w:fill="FFFFFF"/>
        </w:rPr>
        <w:fldChar w:fldCharType="begin"/>
      </w:r>
      <w:r>
        <w:rPr>
          <w:color w:val="000000"/>
          <w:shd w:val="clear" w:color="auto" w:fill="FFFFFF"/>
        </w:rPr>
        <w:instrText xml:space="preserve"> ADDIN ZOTERO_ITEM CSL_CITATION {"citationID":"KKlCh5Qh","properties":{"formattedCitation":"(Uman 2011)","plainCitation":"(Uman 2011)","noteIndex":0},"citationItems":[{"id":306,"uris":["http://zotero.org/users/4264928/items/IJQV9JEP"],"uri":["http://zotero.org/users/4264928/items/IJQV9JEP"],"itemData":{"id":306,"type":"article-journal","title":"Systematic Reviews and Meta-Analyses","container-title":"Journal of the Canadian Academy of Child and Adolescent Psychiatry","page":"57-59","volume":"20","issue":"1","source":"PubMed Central","ISSN":"1719-8429","note":"PMID: 21286370\nPMCID: PMC3024725","journalAbbreviation":"J Can Acad Child Adolesc Psychiatry","author":[{"family":"Uman","given":"Lindsay S."}],"issued":{"date-parts":[["2011",2]]}}}],"schema":"https://github.com/citation-style-language/schema/raw/master/csl-citation.json"} </w:instrText>
      </w:r>
      <w:r w:rsidRPr="008E4DDE">
        <w:rPr>
          <w:color w:val="000000"/>
          <w:shd w:val="clear" w:color="auto" w:fill="FFFFFF"/>
        </w:rPr>
        <w:fldChar w:fldCharType="separate"/>
      </w:r>
      <w:r w:rsidRPr="00224B18">
        <w:t>(Uman 2011)</w:t>
      </w:r>
      <w:r w:rsidRPr="008E4DDE">
        <w:rPr>
          <w:color w:val="000000"/>
          <w:shd w:val="clear" w:color="auto" w:fill="FFFFFF"/>
        </w:rPr>
        <w:fldChar w:fldCharType="end"/>
      </w:r>
      <w:r>
        <w:rPr>
          <w:color w:val="000000"/>
          <w:shd w:val="clear" w:color="auto" w:fill="FFFFFF"/>
        </w:rPr>
        <w:t>.</w:t>
      </w:r>
      <w:r>
        <w:rPr>
          <w:rFonts w:eastAsiaTheme="minorEastAsia"/>
          <w:color w:val="000000" w:themeColor="text1"/>
          <w:kern w:val="24"/>
        </w:rPr>
        <w:t xml:space="preserve">  </w:t>
      </w:r>
      <w:r w:rsidR="00657B70">
        <w:rPr>
          <w:rFonts w:eastAsiaTheme="minorEastAsia"/>
          <w:color w:val="000000" w:themeColor="text1"/>
          <w:kern w:val="24"/>
        </w:rPr>
        <w:t>In this project, a s</w:t>
      </w:r>
      <w:r w:rsidRPr="00387515">
        <w:rPr>
          <w:rFonts w:eastAsiaTheme="minorEastAsia"/>
          <w:color w:val="000000" w:themeColor="text1"/>
          <w:kern w:val="24"/>
        </w:rPr>
        <w:t>ystematic review of literature on world-wide GWA</w:t>
      </w:r>
      <w:r>
        <w:rPr>
          <w:rFonts w:eastAsiaTheme="minorEastAsia"/>
          <w:color w:val="000000" w:themeColor="text1"/>
          <w:kern w:val="24"/>
        </w:rPr>
        <w:t>S</w:t>
      </w:r>
      <w:r w:rsidRPr="00387515">
        <w:rPr>
          <w:rFonts w:eastAsiaTheme="minorEastAsia"/>
          <w:color w:val="000000" w:themeColor="text1"/>
          <w:kern w:val="24"/>
        </w:rPr>
        <w:t xml:space="preserve"> </w:t>
      </w:r>
      <w:r>
        <w:rPr>
          <w:rFonts w:eastAsiaTheme="minorEastAsia"/>
          <w:color w:val="000000" w:themeColor="text1"/>
          <w:kern w:val="24"/>
        </w:rPr>
        <w:t>w</w:t>
      </w:r>
      <w:r w:rsidR="00657B70">
        <w:rPr>
          <w:rFonts w:eastAsiaTheme="minorEastAsia"/>
          <w:color w:val="000000" w:themeColor="text1"/>
          <w:kern w:val="24"/>
        </w:rPr>
        <w:t>ill</w:t>
      </w:r>
      <w:r>
        <w:rPr>
          <w:rFonts w:eastAsiaTheme="minorEastAsia"/>
          <w:color w:val="000000" w:themeColor="text1"/>
          <w:kern w:val="24"/>
        </w:rPr>
        <w:t xml:space="preserve"> be used t</w:t>
      </w:r>
      <w:r w:rsidRPr="00387515">
        <w:rPr>
          <w:rFonts w:eastAsiaTheme="minorEastAsia"/>
          <w:color w:val="000000" w:themeColor="text1"/>
          <w:kern w:val="24"/>
        </w:rPr>
        <w:t>o identify genes that have been found to be associated with T2D.</w:t>
      </w:r>
    </w:p>
    <w:p w:rsidR="0059302D" w:rsidRDefault="0059302D" w:rsidP="00EE4407">
      <w:pPr>
        <w:spacing w:line="480" w:lineRule="auto"/>
        <w:ind w:firstLine="720"/>
        <w:rPr>
          <w:rFonts w:eastAsiaTheme="minorEastAsia"/>
          <w:color w:val="000000" w:themeColor="text1"/>
          <w:kern w:val="24"/>
        </w:rPr>
      </w:pPr>
    </w:p>
    <w:p w:rsidR="00EE4407" w:rsidRPr="0066785A" w:rsidRDefault="00EE4407" w:rsidP="00EE4407">
      <w:pPr>
        <w:ind w:firstLine="720"/>
        <w:rPr>
          <w:rFonts w:eastAsiaTheme="minorEastAsia"/>
          <w:color w:val="000000" w:themeColor="text1"/>
          <w:kern w:val="24"/>
        </w:rPr>
      </w:pPr>
    </w:p>
    <w:p w:rsidR="00EE4407" w:rsidRDefault="00EE4407" w:rsidP="00EE4407">
      <w:r>
        <w:rPr>
          <w:noProof/>
        </w:rPr>
        <w:drawing>
          <wp:inline distT="0" distB="0" distL="0" distR="0" wp14:anchorId="59009EDB" wp14:editId="07DB2C27">
            <wp:extent cx="5381625" cy="3333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875" t="12644" r="23982" b="21813"/>
                    <a:stretch/>
                  </pic:blipFill>
                  <pic:spPr bwMode="auto">
                    <a:xfrm>
                      <a:off x="0" y="0"/>
                      <a:ext cx="5381625" cy="3333750"/>
                    </a:xfrm>
                    <a:prstGeom prst="rect">
                      <a:avLst/>
                    </a:prstGeom>
                    <a:ln>
                      <a:noFill/>
                    </a:ln>
                    <a:extLst>
                      <a:ext uri="{53640926-AAD7-44D8-BBD7-CCE9431645EC}">
                        <a14:shadowObscured xmlns:a14="http://schemas.microsoft.com/office/drawing/2010/main"/>
                      </a:ext>
                    </a:extLst>
                  </pic:spPr>
                </pic:pic>
              </a:graphicData>
            </a:graphic>
          </wp:inline>
        </w:drawing>
      </w:r>
    </w:p>
    <w:p w:rsidR="00EE4407" w:rsidRDefault="00EE4407" w:rsidP="00EE4407">
      <w:pPr>
        <w:rPr>
          <w:color w:val="000000"/>
        </w:rPr>
      </w:pPr>
    </w:p>
    <w:p w:rsidR="00EE4407" w:rsidRDefault="00EE4407" w:rsidP="00EE4407">
      <w:r w:rsidRPr="00734B19">
        <w:rPr>
          <w:color w:val="000000"/>
        </w:rPr>
        <w:t xml:space="preserve">Figure </w:t>
      </w:r>
      <w:r>
        <w:rPr>
          <w:color w:val="000000"/>
        </w:rPr>
        <w:t>3</w:t>
      </w:r>
      <w:r w:rsidRPr="00734B19">
        <w:rPr>
          <w:color w:val="000000"/>
        </w:rPr>
        <w:t xml:space="preserve">. The complex interaction between epigenetics, genetics, and environment. The figure shows how </w:t>
      </w:r>
      <w:r>
        <w:rPr>
          <w:color w:val="000000"/>
        </w:rPr>
        <w:t xml:space="preserve">environmental factors, genetic factors, and </w:t>
      </w:r>
      <w:r w:rsidRPr="00734B19">
        <w:rPr>
          <w:color w:val="000000"/>
        </w:rPr>
        <w:t>epigenetic regulations c</w:t>
      </w:r>
      <w:r>
        <w:rPr>
          <w:color w:val="000000"/>
        </w:rPr>
        <w:t xml:space="preserve">ould </w:t>
      </w:r>
      <w:r w:rsidRPr="00734B19">
        <w:rPr>
          <w:color w:val="000000"/>
        </w:rPr>
        <w:t xml:space="preserve">influence </w:t>
      </w:r>
      <w:r>
        <w:rPr>
          <w:color w:val="000000"/>
        </w:rPr>
        <w:t xml:space="preserve">T2D </w:t>
      </w:r>
      <w:r>
        <w:rPr>
          <w:color w:val="000000"/>
        </w:rPr>
        <w:fldChar w:fldCharType="begin"/>
      </w:r>
      <w:r>
        <w:rPr>
          <w:color w:val="000000"/>
        </w:rPr>
        <w:instrText xml:space="preserve"> ADDIN ZOTERO_ITEM CSL_CITATION {"citationID":"a17i3uaeg3t","properties":{"formattedCitation":"(Kwak and Park 2016)","plainCitation":"(Kwak and Park 2016)","noteIndex":0},"citationItems":[{"id":154,"uris":["http://zotero.org/users/4264928/items/G7Y6MPBB"],"uri":["http://zotero.org/users/4264928/items/G7Y6MPBB"],"itemData":{"id":154,"type":"article-journal","title":"Recent progress in genetic and epigenetic research on type 2 diabetes","container-title":"Experimental &amp; Molecular Medicine","page":"e220","volume":"48","issue":"3","source":"PubMed Central","abstract":"Type 2 diabetes (T2DM) is a common complex metabolic disorder that has a strong genetic predisposition. During the past decade, progress in genetic association studies has enabled the identification of at least 75 independent genetic loci for T2DM, thus allowing a better understanding of the genetic architecture of T2DM. International collaborations and large-scale meta-analyses of genome-wide association studies have made these achievements possible. However, whether the identified common variants are causal is largely unknown. In addition, the detailed mechanism of how these genetic variants exert their effect on the pathogenesis of T2DM requires further investigation. Currently, there are ongoing large-scale sequencing studies to identify rare, functional variants for T2DM. Environmental factors also have a crucial role in the development of T2DM. These could modulate gene expression via epigenetic mechanisms, including DNA methylation, histone modification and microRNA regulation. There is evidence that epigenetic changes are important in the development of T2DM. Recent studies have identified several DNA methylation markers of T2DM from peripheral blood and pancreatic islets. In this review, we will briefly summarize the recent progress in the genetic and epigenetic research on T2DM and discuss how environmental factors, genetics and epigenetics can interact in the pathogenesis of T2DM.","DOI":"10.1038/emm.2016.7","ISSN":"1226-3613","note":"PMID: 26964836\nPMCID: PMC4892885","journalAbbreviation":"Exp Mol Med","author":[{"family":"Kwak","given":"Soo Heon"},{"family":"Park","given":"Kyong Soo"}],"issued":{"date-parts":[["2016",3]]}}}],"schema":"https://github.com/citation-style-language/schema/raw/master/csl-citation.json"} </w:instrText>
      </w:r>
      <w:r>
        <w:rPr>
          <w:color w:val="000000"/>
        </w:rPr>
        <w:fldChar w:fldCharType="separate"/>
      </w:r>
      <w:r w:rsidRPr="00524D9F">
        <w:t>(Kwak and Park 2016)</w:t>
      </w:r>
      <w:r>
        <w:rPr>
          <w:color w:val="000000"/>
        </w:rPr>
        <w:fldChar w:fldCharType="end"/>
      </w:r>
      <w:r w:rsidRPr="00734B19">
        <w:rPr>
          <w:color w:val="000000"/>
        </w:rPr>
        <w:t>.</w:t>
      </w:r>
    </w:p>
    <w:p w:rsidR="0059302D" w:rsidRDefault="0059302D" w:rsidP="0059302D">
      <w:pPr>
        <w:ind w:firstLine="720"/>
        <w:rPr>
          <w:color w:val="000000"/>
        </w:rPr>
      </w:pPr>
    </w:p>
    <w:p w:rsidR="0059302D" w:rsidRDefault="0059302D" w:rsidP="0059302D">
      <w:pPr>
        <w:ind w:firstLine="720"/>
        <w:rPr>
          <w:color w:val="000000"/>
        </w:rPr>
      </w:pPr>
    </w:p>
    <w:p w:rsidR="0059302D" w:rsidRDefault="0059302D" w:rsidP="0059302D">
      <w:pPr>
        <w:ind w:firstLine="720"/>
        <w:rPr>
          <w:color w:val="000000"/>
        </w:rPr>
      </w:pPr>
    </w:p>
    <w:p w:rsidR="00EE4407" w:rsidRPr="00A56EF1" w:rsidRDefault="00EE4407" w:rsidP="0059302D">
      <w:pPr>
        <w:spacing w:line="480" w:lineRule="auto"/>
        <w:ind w:firstLine="720"/>
        <w:rPr>
          <w:color w:val="000000"/>
        </w:rPr>
      </w:pPr>
      <w:r>
        <w:rPr>
          <w:color w:val="000000"/>
        </w:rPr>
        <w:t>Type 2 diabetes is a polygenic diseases and b</w:t>
      </w:r>
      <w:r w:rsidRPr="00845716">
        <w:rPr>
          <w:color w:val="000000"/>
        </w:rPr>
        <w:t xml:space="preserve">oth </w:t>
      </w:r>
      <w:r>
        <w:rPr>
          <w:color w:val="000000"/>
        </w:rPr>
        <w:t>environmental factors</w:t>
      </w:r>
      <w:r w:rsidRPr="00845716">
        <w:rPr>
          <w:color w:val="000000"/>
        </w:rPr>
        <w:t xml:space="preserve"> and a combination of genetic factors modify</w:t>
      </w:r>
      <w:r>
        <w:rPr>
          <w:color w:val="000000"/>
        </w:rPr>
        <w:t xml:space="preserve"> the</w:t>
      </w:r>
      <w:r w:rsidRPr="00845716">
        <w:rPr>
          <w:color w:val="000000"/>
        </w:rPr>
        <w:t xml:space="preserve"> risks </w:t>
      </w:r>
      <w:r w:rsidRPr="00845716">
        <w:rPr>
          <w:color w:val="000000"/>
        </w:rPr>
        <w:fldChar w:fldCharType="begin"/>
      </w:r>
      <w:r w:rsidRPr="00845716">
        <w:rPr>
          <w:color w:val="000000"/>
        </w:rPr>
        <w:instrText xml:space="preserve"> ADDIN ZOTERO_ITEM CSL_CITATION {"citationID":"a2a7oc7iecm","properties":{"formattedCitation":"(Das and Elbein 2006)","plainCitation":"(Das and Elbein 2006)","noteIndex":0},"citationItems":[{"id":144,"uris":["http://zotero.org/users/4264928/items/W5P3S2FL"],"uri":["http://zotero.org/users/4264928/items/W5P3S2FL"],"itemData":{"id":144,"type":"article-journal","title":"The Genetic Basis of Type 2 Diabetes","container-title":"Cellscience","page":"100-131","volume":"2","issue":"4","source":"PubMed Central","abstract":"Type 2 Diabetes results from a complex physiologic process that includes the pancreatic beta cells, peripheral glucose uptake in muscle, the secretion of multiple cytokines and hormone-like molecules from adipocytes, hepatic glucose production, and likely the central nervous system. Consistent with the complex web of physiologic defects, the emerging picture of the genetics will involve a large number of risk susceptibility genes, each individually with relatively small effect (odds ratios below 1.2 in most cases). The challenge for the future will include cataloging and confirming the genetic risk factors, and understanding how these risk factors interact with each other and with the known environmental and lifestyle risk factors that increase the propensity to type 2 diabetes.","DOI":"10.1901/jaba.2006.2-100","ISSN":"1742-8130","note":"PMID: 16892160\nPMCID: PMC1526773","journalAbbreviation":"Cellscience","author":[{"family":"Das","given":"Swapan Kumar"},{"family":"Elbein","given":"Steven C"}],"issued":{"date-parts":[["2006",4,30]]}}}],"schema":"https://github.com/citation-style-language/schema/raw/master/csl-citation.json"} </w:instrText>
      </w:r>
      <w:r w:rsidRPr="00845716">
        <w:rPr>
          <w:color w:val="000000"/>
        </w:rPr>
        <w:fldChar w:fldCharType="separate"/>
      </w:r>
      <w:r w:rsidRPr="00845716">
        <w:t>(Das and Elbein 2006)</w:t>
      </w:r>
      <w:r w:rsidRPr="00845716">
        <w:rPr>
          <w:color w:val="000000"/>
        </w:rPr>
        <w:fldChar w:fldCharType="end"/>
      </w:r>
      <w:r w:rsidRPr="00845716">
        <w:rPr>
          <w:color w:val="000000"/>
        </w:rPr>
        <w:t>.</w:t>
      </w:r>
      <w:r>
        <w:rPr>
          <w:color w:val="000000"/>
        </w:rPr>
        <w:t xml:space="preserve">  </w:t>
      </w:r>
      <w:r>
        <w:rPr>
          <w:color w:val="000000"/>
          <w:shd w:val="clear" w:color="auto" w:fill="FFFFFF"/>
        </w:rPr>
        <w:t xml:space="preserve">Since </w:t>
      </w:r>
      <w:r w:rsidR="00657B70">
        <w:rPr>
          <w:color w:val="000000"/>
          <w:shd w:val="clear" w:color="auto" w:fill="FFFFFF"/>
        </w:rPr>
        <w:t>T2D</w:t>
      </w:r>
      <w:r>
        <w:rPr>
          <w:color w:val="000000"/>
          <w:shd w:val="clear" w:color="auto" w:fill="FFFFFF"/>
        </w:rPr>
        <w:t xml:space="preserve"> </w:t>
      </w:r>
      <w:r w:rsidR="00657B70">
        <w:rPr>
          <w:color w:val="000000"/>
          <w:shd w:val="clear" w:color="auto" w:fill="FFFFFF"/>
        </w:rPr>
        <w:t xml:space="preserve">is only </w:t>
      </w:r>
      <w:r w:rsidRPr="00734B19">
        <w:rPr>
          <w:color w:val="000000"/>
          <w:shd w:val="clear" w:color="auto" w:fill="FFFFFF"/>
        </w:rPr>
        <w:t>10–15%</w:t>
      </w:r>
      <w:r w:rsidR="00657B70">
        <w:rPr>
          <w:color w:val="000000"/>
          <w:shd w:val="clear" w:color="auto" w:fill="FFFFFF"/>
        </w:rPr>
        <w:t xml:space="preserve"> </w:t>
      </w:r>
      <w:r w:rsidR="00657B70" w:rsidRPr="00734B19">
        <w:rPr>
          <w:color w:val="000000"/>
          <w:shd w:val="clear" w:color="auto" w:fill="FFFFFF"/>
        </w:rPr>
        <w:t>heritable</w:t>
      </w:r>
      <w:r w:rsidR="00657B70">
        <w:rPr>
          <w:color w:val="000000"/>
          <w:shd w:val="clear" w:color="auto" w:fill="FFFFFF"/>
        </w:rPr>
        <w:t>, e</w:t>
      </w:r>
      <w:r w:rsidRPr="00734B19">
        <w:rPr>
          <w:color w:val="000000"/>
        </w:rPr>
        <w:t xml:space="preserve">nvironmental </w:t>
      </w:r>
      <w:r>
        <w:rPr>
          <w:color w:val="000000"/>
        </w:rPr>
        <w:t>exposure</w:t>
      </w:r>
      <w:r w:rsidR="00657B70">
        <w:rPr>
          <w:color w:val="000000"/>
        </w:rPr>
        <w:t>s</w:t>
      </w:r>
      <w:r>
        <w:rPr>
          <w:color w:val="000000"/>
        </w:rPr>
        <w:t xml:space="preserve"> play a </w:t>
      </w:r>
      <w:r w:rsidRPr="00734B19">
        <w:rPr>
          <w:color w:val="000000"/>
        </w:rPr>
        <w:t xml:space="preserve">major role in </w:t>
      </w:r>
      <w:r>
        <w:rPr>
          <w:color w:val="000000"/>
        </w:rPr>
        <w:t xml:space="preserve">T2D (85-90%) </w:t>
      </w:r>
      <w:r>
        <w:rPr>
          <w:color w:val="000000"/>
        </w:rPr>
        <w:fldChar w:fldCharType="begin"/>
      </w:r>
      <w:r>
        <w:rPr>
          <w:color w:val="000000"/>
        </w:rPr>
        <w:instrText xml:space="preserve"> ADDIN ZOTERO_ITEM CSL_CITATION {"citationID":"a1q7hj0ep2s","properties":{"formattedCitation":"(Karachanak-Yankova et al. 2016)","plainCitation":"(Karachanak-Yankova et al. 2016)","noteIndex":0},"citationItems":[{"id":28,"uris":["http://zotero.org/users/4264928/items/44BMIPS9"],"uri":["http://zotero.org/users/4264928/items/44BMIPS9"],"itemData":{"id":28,"type":"article-journal","title":"Epigenetic alterations in patients with type 2 diabetes mellitus","container-title":"Balkan Journal of Medical Genetics : BJMG","page":"15-24","volume":"18","issue":"2","source":"PubMed Central","abstract":"Epigenetic changes, in particular DNA methylation processes, play a role in the pathogenesis and progression of type 2 diabetes mellitus (T2DM) linking genetic and environmental factors. To clarify this role, we have analyzed in patients with different duration of T2DM: (i) expression levels of methyl-CpG-binding domain protein 2 (MBD2) as marker of DNA methylation, and ii) methylation changes in 22 genes connected to cellular stress and toxicity. We have analyzed MBD2 mRNA expression levels in16 patients and 12 controls and the methylation status of stress and toxicity genes in four DNA pools: (i) controls; (ii) newly-diagnosed T2DM patients; (iii) patients with T2DM duration of &lt;5 years and (iv) of &gt;5 years. The MBD2 expression levels were 10.4-times increased on average in T2DM patients compared to controls. Consistent increase in DNA methylation fraction with the increase in T2DM duration was observed in Prdx2 and SCARA3 genes, connected to oxidative stress protection and in BRCA1 and Tp53 tumor-suppressor genes. In conclusion, increased MBD2 expression in patients indicated general dysregulation of DNA methylation in T2DM. The elevated methylation of Prdx2 and SCARA3 genes suggests disturbance in oxidative stress protection in T2DM. The increased methylation of BRCA1 and Tp53 genes unraveled an epigenetic cause for T2DM related increase in cancer risk.","DOI":"10.1515/bjmg-2015-0081","ISSN":"1311-0160","note":"PMID: 27785392\nPMCID: PMC5026264","journalAbbreviation":"Balkan J Med Genet","author":[{"family":"Karachanak-Yankova","given":"S"},{"family":"Dimova","given":"R"},{"family":"Nikolova","given":"D"},{"family":"Nesheva","given":"D"},{"family":"Koprinarova","given":"M"},{"family":"Maslyankov","given":"S"},{"family":"Tafradjiska","given":"R"},{"family":"Gateva","given":"P"},{"family":"Velizarova","given":"M"},{"family":"Hammoudeh","given":"Z"},{"family":"Stoynev","given":"N"},{"family":"Toncheva","given":"D"},{"family":"Tankova","given":"T"},{"family":"Dimova","given":"I"}],"issued":{"date-parts":[["2016",7,9]]}}}],"schema":"https://github.com/citation-style-language/schema/raw/master/csl-citation.json"} </w:instrText>
      </w:r>
      <w:r>
        <w:rPr>
          <w:color w:val="000000"/>
        </w:rPr>
        <w:fldChar w:fldCharType="separate"/>
      </w:r>
      <w:r w:rsidRPr="00CB3833">
        <w:t xml:space="preserve">(Karachanak-Yankova </w:t>
      </w:r>
      <w:r w:rsidRPr="00CB3833">
        <w:rPr>
          <w:i/>
        </w:rPr>
        <w:t>et al</w:t>
      </w:r>
      <w:r w:rsidRPr="00CB3833">
        <w:t>. 2016)</w:t>
      </w:r>
      <w:r>
        <w:rPr>
          <w:color w:val="000000"/>
        </w:rPr>
        <w:fldChar w:fldCharType="end"/>
      </w:r>
      <w:r w:rsidRPr="00734B19">
        <w:rPr>
          <w:color w:val="000000"/>
        </w:rPr>
        <w:t>.</w:t>
      </w:r>
      <w:r>
        <w:rPr>
          <w:color w:val="000000"/>
        </w:rPr>
        <w:t xml:space="preserve">  </w:t>
      </w:r>
      <w:r w:rsidR="00657B70">
        <w:rPr>
          <w:color w:val="000000"/>
        </w:rPr>
        <w:t>O</w:t>
      </w:r>
      <w:r>
        <w:rPr>
          <w:color w:val="000000"/>
        </w:rPr>
        <w:t xml:space="preserve">ne of the biggest mediator for environmental </w:t>
      </w:r>
      <w:r>
        <w:rPr>
          <w:color w:val="000000"/>
        </w:rPr>
        <w:lastRenderedPageBreak/>
        <w:t xml:space="preserve">exposure </w:t>
      </w:r>
      <w:r w:rsidR="00657B70">
        <w:rPr>
          <w:color w:val="000000"/>
        </w:rPr>
        <w:t>are</w:t>
      </w:r>
      <w:r>
        <w:rPr>
          <w:color w:val="000000"/>
        </w:rPr>
        <w:t xml:space="preserve"> epigenetics.</w:t>
      </w:r>
      <w:r w:rsidR="00657B70">
        <w:rPr>
          <w:color w:val="000000"/>
        </w:rPr>
        <w:t xml:space="preserve">  Thus, e</w:t>
      </w:r>
      <w:r>
        <w:rPr>
          <w:color w:val="000000"/>
        </w:rPr>
        <w:t xml:space="preserve">pigenetic modifications might be a possible mechanism for the increased prevalence of T2D among the immigrant population </w:t>
      </w:r>
      <w:r w:rsidR="00657B70">
        <w:rPr>
          <w:color w:val="000000"/>
        </w:rPr>
        <w:t xml:space="preserve">to high income country </w:t>
      </w:r>
      <w:r>
        <w:rPr>
          <w:color w:val="000000"/>
        </w:rPr>
        <w:t xml:space="preserve">that occurs following exposure to </w:t>
      </w:r>
      <w:r w:rsidR="00657B70">
        <w:rPr>
          <w:color w:val="000000"/>
        </w:rPr>
        <w:t xml:space="preserve">different </w:t>
      </w:r>
      <w:r>
        <w:rPr>
          <w:color w:val="000000"/>
        </w:rPr>
        <w:t>environment</w:t>
      </w:r>
      <w:r w:rsidR="00657B70">
        <w:rPr>
          <w:color w:val="000000"/>
        </w:rPr>
        <w:t>s</w:t>
      </w:r>
      <w:r>
        <w:rPr>
          <w:color w:val="000000"/>
        </w:rPr>
        <w:t xml:space="preserve"> and lifestyle</w:t>
      </w:r>
      <w:r w:rsidR="00657B70">
        <w:rPr>
          <w:color w:val="000000"/>
        </w:rPr>
        <w:t>s</w:t>
      </w:r>
      <w:r>
        <w:rPr>
          <w:color w:val="000000"/>
        </w:rPr>
        <w:t>.</w:t>
      </w:r>
    </w:p>
    <w:p w:rsidR="00EE4407" w:rsidRDefault="00EE4407" w:rsidP="0059302D">
      <w:pPr>
        <w:spacing w:line="480" w:lineRule="auto"/>
        <w:ind w:firstLine="720"/>
        <w:rPr>
          <w:color w:val="000000"/>
          <w:shd w:val="clear" w:color="auto" w:fill="FFFFFF"/>
        </w:rPr>
      </w:pPr>
      <w:r w:rsidRPr="00920748">
        <w:rPr>
          <w:color w:val="000000"/>
        </w:rPr>
        <w:t xml:space="preserve">Epigenetics is the study of heritable changes </w:t>
      </w:r>
      <w:r>
        <w:rPr>
          <w:color w:val="000000"/>
        </w:rPr>
        <w:t xml:space="preserve">of DNA, not involving in the DNA sequence, that regulates gene expression </w:t>
      </w:r>
      <w:r w:rsidRPr="00920748">
        <w:rPr>
          <w:color w:val="000000"/>
        </w:rPr>
        <w:fldChar w:fldCharType="begin"/>
      </w:r>
      <w:r>
        <w:rPr>
          <w:color w:val="000000"/>
        </w:rPr>
        <w:instrText xml:space="preserve"> ADDIN ZOTERO_ITEM CSL_CITATION {"citationID":"aj3244rrs3","properties":{"formattedCitation":"(Karachanak-Yankova et al. 2016)","plainCitation":"(Karachanak-Yankova et al. 2016)","noteIndex":0},"citationItems":[{"id":28,"uris":["http://zotero.org/users/4264928/items/44BMIPS9"],"uri":["http://zotero.org/users/4264928/items/44BMIPS9"],"itemData":{"id":28,"type":"article-journal","title":"Epigenetic alterations in patients with type 2 diabetes mellitus","container-title":"Balkan Journal of Medical Genetics : BJMG","page":"15-24","volume":"18","issue":"2","source":"PubMed Central","abstract":"Epigenetic changes, in particular DNA methylation processes, play a role in the pathogenesis and progression of type 2 diabetes mellitus (T2DM) linking genetic and environmental factors. To clarify this role, we have analyzed in patients with different duration of T2DM: (i) expression levels of methyl-CpG-binding domain protein 2 (MBD2) as marker of DNA methylation, and ii) methylation changes in 22 genes connected to cellular stress and toxicity. We have analyzed MBD2 mRNA expression levels in16 patients and 12 controls and the methylation status of stress and toxicity genes in four DNA pools: (i) controls; (ii) newly-diagnosed T2DM patients; (iii) patients with T2DM duration of &lt;5 years and (iv) of &gt;5 years. The MBD2 expression levels were 10.4-times increased on average in T2DM patients compared to controls. Consistent increase in DNA methylation fraction with the increase in T2DM duration was observed in Prdx2 and SCARA3 genes, connected to oxidative stress protection and in BRCA1 and Tp53 tumor-suppressor genes. In conclusion, increased MBD2 expression in patients indicated general dysregulation of DNA methylation in T2DM. The elevated methylation of Prdx2 and SCARA3 genes suggests disturbance in oxidative stress protection in T2DM. The increased methylation of BRCA1 and Tp53 genes unraveled an epigenetic cause for T2DM related increase in cancer risk.","DOI":"10.1515/bjmg-2015-0081","ISSN":"1311-0160","note":"PMID: 27785392\nPMCID: PMC5026264","journalAbbreviation":"Balkan J Med Genet","author":[{"family":"Karachanak-Yankova","given":"S"},{"family":"Dimova","given":"R"},{"family":"Nikolova","given":"D"},{"family":"Nesheva","given":"D"},{"family":"Koprinarova","given":"M"},{"family":"Maslyankov","given":"S"},{"family":"Tafradjiska","given":"R"},{"family":"Gateva","given":"P"},{"family":"Velizarova","given":"M"},{"family":"Hammoudeh","given":"Z"},{"family":"Stoynev","given":"N"},{"family":"Toncheva","given":"D"},{"family":"Tankova","given":"T"},{"family":"Dimova","given":"I"}],"issued":{"date-parts":[["2016",7,9]]}}}],"schema":"https://github.com/citation-style-language/schema/raw/master/csl-citation.json"} </w:instrText>
      </w:r>
      <w:r w:rsidRPr="00920748">
        <w:rPr>
          <w:color w:val="000000"/>
        </w:rPr>
        <w:fldChar w:fldCharType="separate"/>
      </w:r>
      <w:r w:rsidRPr="00920748">
        <w:t xml:space="preserve">(Karachanak-Yankova </w:t>
      </w:r>
      <w:r w:rsidRPr="00920748">
        <w:rPr>
          <w:i/>
        </w:rPr>
        <w:t>et al</w:t>
      </w:r>
      <w:r w:rsidRPr="00920748">
        <w:t>. 2016)</w:t>
      </w:r>
      <w:r w:rsidRPr="00920748">
        <w:rPr>
          <w:color w:val="000000"/>
        </w:rPr>
        <w:fldChar w:fldCharType="end"/>
      </w:r>
      <w:r w:rsidRPr="00920748">
        <w:rPr>
          <w:color w:val="000000"/>
        </w:rPr>
        <w:t>.</w:t>
      </w:r>
      <w:r>
        <w:rPr>
          <w:color w:val="000000"/>
        </w:rPr>
        <w:t xml:space="preserve">  </w:t>
      </w:r>
      <w:r w:rsidRPr="00734B19">
        <w:rPr>
          <w:color w:val="000000"/>
        </w:rPr>
        <w:t>Epigenetic</w:t>
      </w:r>
      <w:r>
        <w:rPr>
          <w:color w:val="000000"/>
        </w:rPr>
        <w:t xml:space="preserve"> </w:t>
      </w:r>
      <w:r w:rsidRPr="00727A4D">
        <w:rPr>
          <w:color w:val="000000"/>
        </w:rPr>
        <w:t>modifications</w:t>
      </w:r>
      <w:r>
        <w:rPr>
          <w:color w:val="000000"/>
        </w:rPr>
        <w:t xml:space="preserve"> </w:t>
      </w:r>
      <w:r w:rsidRPr="00734B19">
        <w:rPr>
          <w:color w:val="000000"/>
        </w:rPr>
        <w:t xml:space="preserve">provide additional instruction on how, when, and where genes should be expressed. </w:t>
      </w:r>
      <w:r>
        <w:rPr>
          <w:color w:val="000000"/>
        </w:rPr>
        <w:t xml:space="preserve"> </w:t>
      </w:r>
      <w:r w:rsidRPr="00734B19">
        <w:rPr>
          <w:color w:val="000000"/>
          <w:shd w:val="clear" w:color="auto" w:fill="FFFFFF"/>
        </w:rPr>
        <w:t xml:space="preserve">Figure </w:t>
      </w:r>
      <w:r>
        <w:rPr>
          <w:color w:val="000000"/>
          <w:shd w:val="clear" w:color="auto" w:fill="FFFFFF"/>
        </w:rPr>
        <w:t>4</w:t>
      </w:r>
      <w:r w:rsidRPr="00734B19">
        <w:rPr>
          <w:color w:val="000000"/>
          <w:shd w:val="clear" w:color="auto" w:fill="FFFFFF"/>
        </w:rPr>
        <w:t xml:space="preserve"> shows the pairing of cytosine</w:t>
      </w:r>
      <w:r>
        <w:rPr>
          <w:color w:val="000000"/>
          <w:shd w:val="clear" w:color="auto" w:fill="FFFFFF"/>
        </w:rPr>
        <w:t xml:space="preserve"> </w:t>
      </w:r>
      <w:r w:rsidRPr="00734B19">
        <w:rPr>
          <w:color w:val="000000"/>
          <w:shd w:val="clear" w:color="auto" w:fill="FFFFFF"/>
        </w:rPr>
        <w:t>and guanine</w:t>
      </w:r>
      <w:r>
        <w:rPr>
          <w:color w:val="000000"/>
          <w:shd w:val="clear" w:color="auto" w:fill="FFFFFF"/>
        </w:rPr>
        <w:t>, and</w:t>
      </w:r>
      <w:r w:rsidRPr="00734B19">
        <w:rPr>
          <w:color w:val="000000"/>
          <w:shd w:val="clear" w:color="auto" w:fill="FFFFFF"/>
        </w:rPr>
        <w:t xml:space="preserve"> also shows cytosine methylation at the 5′ to a guanosine (commonly annotated as </w:t>
      </w:r>
      <w:proofErr w:type="spellStart"/>
      <w:r w:rsidRPr="00734B19">
        <w:rPr>
          <w:color w:val="000000"/>
          <w:shd w:val="clear" w:color="auto" w:fill="FFFFFF"/>
        </w:rPr>
        <w:t>CpGs</w:t>
      </w:r>
      <w:proofErr w:type="spellEnd"/>
      <w:r w:rsidRPr="00734B19">
        <w:rPr>
          <w:color w:val="000000"/>
          <w:shd w:val="clear" w:color="auto" w:fill="FFFFFF"/>
        </w:rPr>
        <w:t>, where the intervening ‘p’ represents the phosphodiester bond linking cytosine</w:t>
      </w:r>
      <w:r>
        <w:rPr>
          <w:color w:val="000000"/>
          <w:shd w:val="clear" w:color="auto" w:fill="FFFFFF"/>
        </w:rPr>
        <w:t xml:space="preserve"> (C) </w:t>
      </w:r>
      <w:r w:rsidRPr="00734B19">
        <w:rPr>
          <w:color w:val="000000"/>
          <w:shd w:val="clear" w:color="auto" w:fill="FFFFFF"/>
        </w:rPr>
        <w:t>and guanine</w:t>
      </w:r>
      <w:r>
        <w:rPr>
          <w:color w:val="000000"/>
          <w:shd w:val="clear" w:color="auto" w:fill="FFFFFF"/>
        </w:rPr>
        <w:t xml:space="preserve"> (G) </w:t>
      </w:r>
      <w:r w:rsidRPr="00734B19">
        <w:rPr>
          <w:color w:val="000000"/>
          <w:shd w:val="clear" w:color="auto" w:fill="FFFFFF"/>
        </w:rPr>
        <w:t xml:space="preserve">containing nucleotides) </w:t>
      </w:r>
      <w:r>
        <w:rPr>
          <w:color w:val="000000"/>
          <w:shd w:val="clear" w:color="auto" w:fill="FFFFFF"/>
        </w:rPr>
        <w:fldChar w:fldCharType="begin"/>
      </w:r>
      <w:r>
        <w:rPr>
          <w:color w:val="000000"/>
          <w:shd w:val="clear" w:color="auto" w:fill="FFFFFF"/>
        </w:rPr>
        <w:instrText xml:space="preserve"> ADDIN ZOTERO_ITEM CSL_CITATION {"citationID":"ah7r2ilefc","properties":{"formattedCitation":"(Gibney and Nolan 2010)","plainCitation":"(Gibney and Nolan 2010)","noteIndex":0},"citationItems":[{"id":270,"uris":["http://zotero.org/users/4264928/items/B8STMA2W"],"uri":["http://zotero.org/users/4264928/items/B8STMA2W"],"itemData":{"id":270,"type":"article-journal","title":"Epigenetics and gene expression","container-title":"Heredity","page":"4-13","volume":"105","issue":"1","source":"www.nature.com","abstract":"Transcription, translation and subsequent protein modification represent the transfer of genetic information from the archival copy of DNA to the short-lived messenger RNA, usually with subsequent production of protein. Although all cells in an organism contain essentially the same DNA, cell types and functions differ because of qualitative and quantitative differences in their gene expression. Thus, control of gene expression is at the heart of differentiation and development. Epigenetic processes, including DNA methylation, histone modification and various RNA-mediated processes, are thought to influence gene expression chiefly at the level of transcription; however, other steps in the process (for example, translation) may also be regulated epigenetically. The following paper will outline the role epigenetics is believed to have in influencing gene expression.","DOI":"10.1038/hdy.2010.54","ISSN":"1365-2540","language":"en","author":[{"family":"Gibney","given":"E. R."},{"family":"Nolan","given":"C. M."}],"issued":{"date-parts":[["2010",7]]}}}],"schema":"https://github.com/citation-style-language/schema/raw/master/csl-citation.json"} </w:instrText>
      </w:r>
      <w:r>
        <w:rPr>
          <w:color w:val="000000"/>
          <w:shd w:val="clear" w:color="auto" w:fill="FFFFFF"/>
        </w:rPr>
        <w:fldChar w:fldCharType="separate"/>
      </w:r>
      <w:r w:rsidRPr="00CB3833">
        <w:t>(Gibney and Nolan 2010)</w:t>
      </w:r>
      <w:r>
        <w:rPr>
          <w:color w:val="000000"/>
          <w:shd w:val="clear" w:color="auto" w:fill="FFFFFF"/>
        </w:rPr>
        <w:fldChar w:fldCharType="end"/>
      </w:r>
      <w:r w:rsidRPr="00734B19">
        <w:rPr>
          <w:color w:val="000000"/>
          <w:shd w:val="clear" w:color="auto" w:fill="FFFFFF"/>
        </w:rPr>
        <w:t>.</w:t>
      </w:r>
    </w:p>
    <w:p w:rsidR="0059302D" w:rsidRPr="00734B19" w:rsidRDefault="0059302D" w:rsidP="0059302D">
      <w:pPr>
        <w:spacing w:line="480" w:lineRule="auto"/>
        <w:ind w:firstLine="720"/>
      </w:pPr>
    </w:p>
    <w:p w:rsidR="00EE4407" w:rsidRPr="00734B19" w:rsidRDefault="00EE4407" w:rsidP="00EE4407">
      <w:r w:rsidRPr="00EB0B57">
        <w:rPr>
          <w:noProof/>
        </w:rPr>
        <mc:AlternateContent>
          <mc:Choice Requires="wps">
            <w:drawing>
              <wp:anchor distT="0" distB="0" distL="114300" distR="114300" simplePos="0" relativeHeight="251659264" behindDoc="0" locked="0" layoutInCell="1" allowOverlap="1" wp14:anchorId="7E39798E" wp14:editId="7DF92EEC">
                <wp:simplePos x="0" y="0"/>
                <wp:positionH relativeFrom="column">
                  <wp:posOffset>3286125</wp:posOffset>
                </wp:positionH>
                <wp:positionV relativeFrom="paragraph">
                  <wp:posOffset>175260</wp:posOffset>
                </wp:positionV>
                <wp:extent cx="447675" cy="371475"/>
                <wp:effectExtent l="0" t="0" r="28575" b="28575"/>
                <wp:wrapNone/>
                <wp:docPr id="2" name="Rectangle 1">
                  <a:extLst xmlns:a="http://schemas.openxmlformats.org/drawingml/2006/main">
                    <a:ext uri="{FF2B5EF4-FFF2-40B4-BE49-F238E27FC236}">
                      <a16:creationId xmlns:a16="http://schemas.microsoft.com/office/drawing/2014/main" id="{0B632591-365C-48EA-937A-DF5491BE5BE2}"/>
                    </a:ext>
                  </a:extLst>
                </wp:docPr>
                <wp:cNvGraphicFramePr/>
                <a:graphic xmlns:a="http://schemas.openxmlformats.org/drawingml/2006/main">
                  <a:graphicData uri="http://schemas.microsoft.com/office/word/2010/wordprocessingShape">
                    <wps:wsp>
                      <wps:cNvSpPr/>
                      <wps:spPr>
                        <a:xfrm>
                          <a:off x="0" y="0"/>
                          <a:ext cx="447675" cy="371475"/>
                        </a:xfrm>
                        <a:prstGeom prst="rect">
                          <a:avLst/>
                        </a:prstGeom>
                        <a:solidFill>
                          <a:srgbClr val="FFFF00"/>
                        </a:solidFill>
                        <a:ln w="25400" cap="flat" cmpd="sng" algn="ctr">
                          <a:solidFill>
                            <a:srgbClr val="F79646"/>
                          </a:solidFill>
                          <a:prstDash val="solid"/>
                        </a:ln>
                        <a:effectLst/>
                      </wps:spPr>
                      <wps:txbx>
                        <w:txbxContent>
                          <w:p w:rsidR="005B7FF0" w:rsidRPr="00972DFC" w:rsidRDefault="005B7FF0" w:rsidP="00EE4407">
                            <w:pPr>
                              <w:pStyle w:val="NormalWeb"/>
                              <w:spacing w:before="0" w:beforeAutospacing="0" w:after="0" w:afterAutospacing="0"/>
                              <w:jc w:val="center"/>
                            </w:pPr>
                            <w:r w:rsidRPr="00972DFC">
                              <w:rPr>
                                <w:rFonts w:asciiTheme="minorHAnsi" w:hAnsi="Calibri" w:cstheme="minorBidi"/>
                                <w:b/>
                                <w:bCs/>
                                <w:color w:val="000000" w:themeColor="dark1"/>
                                <w:kern w:val="24"/>
                              </w:rPr>
                              <w:t>CH</w:t>
                            </w:r>
                            <w:r w:rsidRPr="00972DFC">
                              <w:rPr>
                                <w:rFonts w:asciiTheme="minorHAnsi" w:hAnsi="Calibri" w:cstheme="minorBidi"/>
                                <w:b/>
                                <w:bCs/>
                                <w:color w:val="000000" w:themeColor="dark1"/>
                                <w:kern w:val="24"/>
                                <w:position w:val="-12"/>
                                <w:vertAlign w:val="subscript"/>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39798E" id="Rectangle 1" o:spid="_x0000_s1026" style="position:absolute;margin-left:258.75pt;margin-top:13.8pt;width:35.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" fillcolor="yellow" strokecolor="#f79646" strokeweight="2pt">
                <v:textbox>
                  <w:txbxContent>
                    <w:p w:rsidR="005B7FF0" w:rsidRPr="00972DFC" w:rsidRDefault="005B7FF0" w:rsidP="00EE4407">
                      <w:pPr>
                        <w:pStyle w:val="NormalWeb"/>
                        <w:spacing w:before="0" w:beforeAutospacing="0" w:after="0" w:afterAutospacing="0"/>
                        <w:jc w:val="center"/>
                      </w:pPr>
                      <w:r w:rsidRPr="00972DFC">
                        <w:rPr>
                          <w:rFonts w:asciiTheme="minorHAnsi" w:hAnsi="Calibri" w:cstheme="minorBidi"/>
                          <w:b/>
                          <w:bCs/>
                          <w:color w:val="000000" w:themeColor="dark1"/>
                          <w:kern w:val="24"/>
                        </w:rPr>
                        <w:t>CH</w:t>
                      </w:r>
                      <w:r w:rsidRPr="00972DFC">
                        <w:rPr>
                          <w:rFonts w:asciiTheme="minorHAnsi" w:hAnsi="Calibri" w:cstheme="minorBidi"/>
                          <w:b/>
                          <w:bCs/>
                          <w:color w:val="000000" w:themeColor="dark1"/>
                          <w:kern w:val="24"/>
                          <w:position w:val="-12"/>
                          <w:vertAlign w:val="subscript"/>
                        </w:rPr>
                        <w:t>3</w:t>
                      </w:r>
                    </w:p>
                  </w:txbxContent>
                </v:textbox>
              </v:rect>
            </w:pict>
          </mc:Fallback>
        </mc:AlternateContent>
      </w:r>
      <w:r w:rsidRPr="00734B19">
        <w:rPr>
          <w:noProof/>
          <w:color w:val="000000"/>
          <w:shd w:val="clear" w:color="auto" w:fill="FFFFFF"/>
        </w:rPr>
        <w:drawing>
          <wp:inline distT="0" distB="0" distL="0" distR="0" wp14:anchorId="5B8A1B21" wp14:editId="5C3FA385">
            <wp:extent cx="3571875" cy="2447925"/>
            <wp:effectExtent l="0" t="0" r="9525" b="9525"/>
            <wp:docPr id="7" name="Picture 7" descr="https://lh3.googleusercontent.com/LNlpM-ljBQN2tsAQdnN6fZ-TKivuRQ3Yfg9MSgt4HBthmIRLMDtn_iIU3hFMDCcMtqZy2RI4t36-JvhVLWLlX4NecyY6S92TK4wPZfBRXdVqZ6HEW1GIGEHk_ead8ym2K3QLRl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NlpM-ljBQN2tsAQdnN6fZ-TKivuRQ3Yfg9MSgt4HBthmIRLMDtn_iIU3hFMDCcMtqZy2RI4t36-JvhVLWLlX4NecyY6S92TK4wPZfBRXdVqZ6HEW1GIGEHk_ead8ym2K3QLRlp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2447925"/>
                    </a:xfrm>
                    <a:prstGeom prst="rect">
                      <a:avLst/>
                    </a:prstGeom>
                    <a:noFill/>
                    <a:ln>
                      <a:noFill/>
                    </a:ln>
                  </pic:spPr>
                </pic:pic>
              </a:graphicData>
            </a:graphic>
          </wp:inline>
        </w:drawing>
      </w:r>
      <w:r w:rsidRPr="00734B19">
        <w:rPr>
          <w:color w:val="000000"/>
          <w:shd w:val="clear" w:color="auto" w:fill="FFFFFF"/>
        </w:rPr>
        <w:t xml:space="preserve"> </w:t>
      </w:r>
    </w:p>
    <w:p w:rsidR="00EE4407" w:rsidRDefault="00EE4407" w:rsidP="00EE4407">
      <w:pPr>
        <w:rPr>
          <w:color w:val="000000"/>
          <w:shd w:val="clear" w:color="auto" w:fill="FFFFFF"/>
        </w:rPr>
      </w:pPr>
    </w:p>
    <w:p w:rsidR="00EE4407" w:rsidRDefault="00EE4407" w:rsidP="0059302D">
      <w:pPr>
        <w:rPr>
          <w:color w:val="000000"/>
        </w:rPr>
      </w:pPr>
      <w:r w:rsidRPr="00734B19">
        <w:rPr>
          <w:color w:val="000000"/>
          <w:shd w:val="clear" w:color="auto" w:fill="FFFFFF"/>
        </w:rPr>
        <w:t xml:space="preserve">Figure </w:t>
      </w:r>
      <w:r>
        <w:rPr>
          <w:color w:val="000000"/>
          <w:shd w:val="clear" w:color="auto" w:fill="FFFFFF"/>
        </w:rPr>
        <w:t>4</w:t>
      </w:r>
      <w:r w:rsidRPr="00734B19">
        <w:rPr>
          <w:color w:val="000000"/>
          <w:shd w:val="clear" w:color="auto" w:fill="FFFFFF"/>
        </w:rPr>
        <w:t xml:space="preserve">. Cytosine and guanine bonding and cytosine methylation at CpG sites </w:t>
      </w:r>
      <w:r>
        <w:rPr>
          <w:color w:val="000000"/>
          <w:shd w:val="clear" w:color="auto" w:fill="FFFFFF"/>
        </w:rPr>
        <w:fldChar w:fldCharType="begin"/>
      </w:r>
      <w:r>
        <w:rPr>
          <w:color w:val="000000"/>
          <w:shd w:val="clear" w:color="auto" w:fill="FFFFFF"/>
        </w:rPr>
        <w:instrText xml:space="preserve"> ADDIN ZOTERO_ITEM CSL_CITATION {"citationID":"a1ae2j39hm6","properties":{"formattedCitation":"(Gibney and Nolan 2010)","plainCitation":"(Gibney and Nolan 2010)","noteIndex":0},"citationItems":[{"id":270,"uris":["http://zotero.org/users/4264928/items/B8STMA2W"],"uri":["http://zotero.org/users/4264928/items/B8STMA2W"],"itemData":{"id":270,"type":"article-journal","title":"Epigenetics and gene expression","container-title":"Heredity","page":"4-13","volume":"105","issue":"1","source":"www.nature.com","abstract":"Transcription, translation and subsequent protein modification represent the transfer of genetic information from the archival copy of DNA to the short-lived messenger RNA, usually with subsequent production of protein. Although all cells in an organism contain essentially the same DNA, cell types and functions differ because of qualitative and quantitative differences in their gene expression. Thus, control of gene expression is at the heart of differentiation and development. Epigenetic processes, including DNA methylation, histone modification and various RNA-mediated processes, are thought to influence gene expression chiefly at the level of transcription; however, other steps in the process (for example, translation) may also be regulated epigenetically. The following paper will outline the role epigenetics is believed to have in influencing gene expression.","DOI":"10.1038/hdy.2010.54","ISSN":"1365-2540","language":"en","author":[{"family":"Gibney","given":"E. R."},{"family":"Nolan","given":"C. M."}],"issued":{"date-parts":[["2010",7]]}}}],"schema":"https://github.com/citation-style-language/schema/raw/master/csl-citation.json"} </w:instrText>
      </w:r>
      <w:r>
        <w:rPr>
          <w:color w:val="000000"/>
          <w:shd w:val="clear" w:color="auto" w:fill="FFFFFF"/>
        </w:rPr>
        <w:fldChar w:fldCharType="separate"/>
      </w:r>
      <w:r w:rsidRPr="00CB3833">
        <w:t>(Gibney and Nolan 2010)</w:t>
      </w:r>
      <w:r>
        <w:rPr>
          <w:color w:val="000000"/>
          <w:shd w:val="clear" w:color="auto" w:fill="FFFFFF"/>
        </w:rPr>
        <w:fldChar w:fldCharType="end"/>
      </w:r>
      <w:r w:rsidRPr="00734B19">
        <w:rPr>
          <w:color w:val="000000"/>
        </w:rPr>
        <w:t>.</w:t>
      </w:r>
    </w:p>
    <w:p w:rsidR="00EE4407" w:rsidRPr="00734B19" w:rsidRDefault="00EE4407" w:rsidP="0059302D"/>
    <w:p w:rsidR="0059302D" w:rsidRDefault="0059302D" w:rsidP="0059302D">
      <w:pPr>
        <w:ind w:firstLine="720"/>
        <w:rPr>
          <w:color w:val="000000"/>
          <w:shd w:val="clear" w:color="auto" w:fill="FFFFFF"/>
        </w:rPr>
      </w:pPr>
    </w:p>
    <w:p w:rsidR="0059302D" w:rsidRDefault="0059302D" w:rsidP="0059302D">
      <w:pPr>
        <w:ind w:firstLine="720"/>
        <w:rPr>
          <w:color w:val="000000"/>
          <w:shd w:val="clear" w:color="auto" w:fill="FFFFFF"/>
        </w:rPr>
      </w:pPr>
    </w:p>
    <w:p w:rsidR="0059302D" w:rsidRDefault="0059302D" w:rsidP="0059302D">
      <w:pPr>
        <w:ind w:firstLine="720"/>
        <w:rPr>
          <w:color w:val="000000"/>
          <w:shd w:val="clear" w:color="auto" w:fill="FFFFFF"/>
        </w:rPr>
      </w:pPr>
    </w:p>
    <w:p w:rsidR="0059302D" w:rsidRDefault="0059302D" w:rsidP="0059302D">
      <w:pPr>
        <w:ind w:firstLine="720"/>
        <w:rPr>
          <w:color w:val="000000"/>
          <w:shd w:val="clear" w:color="auto" w:fill="FFFFFF"/>
        </w:rPr>
      </w:pPr>
    </w:p>
    <w:p w:rsidR="00EE4407" w:rsidRDefault="007B351A" w:rsidP="0059302D">
      <w:pPr>
        <w:spacing w:line="480" w:lineRule="auto"/>
        <w:ind w:firstLine="720"/>
        <w:rPr>
          <w:color w:val="000000"/>
          <w:shd w:val="clear" w:color="auto" w:fill="FFFFFF"/>
        </w:rPr>
      </w:pPr>
      <w:r>
        <w:rPr>
          <w:color w:val="000000"/>
          <w:shd w:val="clear" w:color="auto" w:fill="FFFFFF"/>
        </w:rPr>
        <w:lastRenderedPageBreak/>
        <w:t>The e</w:t>
      </w:r>
      <w:r w:rsidR="00EE4407">
        <w:rPr>
          <w:color w:val="000000"/>
          <w:shd w:val="clear" w:color="auto" w:fill="FFFFFF"/>
        </w:rPr>
        <w:t xml:space="preserve">xpression of </w:t>
      </w:r>
      <w:r w:rsidR="00EE4407" w:rsidRPr="00734B19">
        <w:rPr>
          <w:color w:val="000000"/>
          <w:shd w:val="clear" w:color="auto" w:fill="FFFFFF"/>
        </w:rPr>
        <w:t>specific gene</w:t>
      </w:r>
      <w:r w:rsidR="00EE4407">
        <w:rPr>
          <w:color w:val="000000"/>
          <w:shd w:val="clear" w:color="auto" w:fill="FFFFFF"/>
        </w:rPr>
        <w:t>s</w:t>
      </w:r>
      <w:r w:rsidR="00EE4407" w:rsidRPr="00734B19">
        <w:rPr>
          <w:color w:val="000000"/>
          <w:shd w:val="clear" w:color="auto" w:fill="FFFFFF"/>
        </w:rPr>
        <w:t xml:space="preserve"> </w:t>
      </w:r>
      <w:r>
        <w:rPr>
          <w:color w:val="000000"/>
          <w:shd w:val="clear" w:color="auto" w:fill="FFFFFF"/>
        </w:rPr>
        <w:t xml:space="preserve">can be influenced by </w:t>
      </w:r>
      <w:r w:rsidR="00EE4407" w:rsidRPr="00734B19">
        <w:rPr>
          <w:color w:val="000000"/>
          <w:shd w:val="clear" w:color="auto" w:fill="FFFFFF"/>
        </w:rPr>
        <w:t>adding methyl groups to cytosine</w:t>
      </w:r>
      <w:r w:rsidR="00EE4407">
        <w:rPr>
          <w:color w:val="000000"/>
          <w:shd w:val="clear" w:color="auto" w:fill="FFFFFF"/>
        </w:rPr>
        <w:t xml:space="preserve"> </w:t>
      </w:r>
      <w:r>
        <w:rPr>
          <w:color w:val="000000"/>
          <w:shd w:val="clear" w:color="auto" w:fill="FFFFFF"/>
        </w:rPr>
        <w:t xml:space="preserve">by the </w:t>
      </w:r>
      <w:r w:rsidR="00EE4407" w:rsidRPr="00734B19">
        <w:rPr>
          <w:color w:val="000000"/>
          <w:shd w:val="clear" w:color="auto" w:fill="FFFFFF"/>
        </w:rPr>
        <w:t>enzymes DNA methyltransferases (DNMTs).</w:t>
      </w:r>
      <w:r>
        <w:rPr>
          <w:color w:val="000000"/>
          <w:shd w:val="clear" w:color="auto" w:fill="FFFFFF"/>
        </w:rPr>
        <w:t xml:space="preserve">  </w:t>
      </w:r>
      <w:r w:rsidR="00EE4407">
        <w:rPr>
          <w:color w:val="000000"/>
          <w:shd w:val="clear" w:color="auto" w:fill="FFFFFF"/>
        </w:rPr>
        <w:t xml:space="preserve">As shown in figure 5, </w:t>
      </w:r>
      <w:r w:rsidR="00EE4407" w:rsidRPr="00A4791B">
        <w:t>DNA methylation is catalyzed by DNMT to the 5-carbon of cytosine in a CpG island sites.</w:t>
      </w:r>
      <w:r w:rsidR="00EE4407">
        <w:t xml:space="preserve">  </w:t>
      </w:r>
      <w:r w:rsidR="00EE4407" w:rsidRPr="00734B19">
        <w:rPr>
          <w:color w:val="000000"/>
          <w:shd w:val="clear" w:color="auto" w:fill="FFFFFF"/>
        </w:rPr>
        <w:t>So far, four DNMTs have been identified: DNMT1, DNMT2, DNMT3a and DNMT3b.</w:t>
      </w:r>
      <w:r w:rsidR="00EE4407">
        <w:rPr>
          <w:color w:val="000000"/>
          <w:shd w:val="clear" w:color="auto" w:fill="FFFFFF"/>
        </w:rPr>
        <w:t xml:space="preserve">  </w:t>
      </w:r>
      <w:r w:rsidR="00EE4407" w:rsidRPr="00734B19">
        <w:rPr>
          <w:color w:val="000000"/>
          <w:shd w:val="clear" w:color="auto" w:fill="FFFFFF"/>
        </w:rPr>
        <w:t>While DNMT1 maintains the parent DNA methylation pattern during replication, DNMT3a and DNMT3b target unmethylated CpG sites (</w:t>
      </w:r>
      <w:r w:rsidR="00EE4407" w:rsidRPr="00734B19">
        <w:rPr>
          <w:i/>
          <w:iCs/>
          <w:color w:val="000000"/>
          <w:shd w:val="clear" w:color="auto" w:fill="FFFFFF"/>
        </w:rPr>
        <w:t>de novo</w:t>
      </w:r>
      <w:r w:rsidR="00EE4407" w:rsidRPr="00734B19">
        <w:rPr>
          <w:color w:val="000000"/>
          <w:shd w:val="clear" w:color="auto" w:fill="FFFFFF"/>
        </w:rPr>
        <w:t xml:space="preserve"> DNA methylation) </w:t>
      </w:r>
      <w:r w:rsidR="00EE4407">
        <w:rPr>
          <w:color w:val="000000"/>
          <w:shd w:val="clear" w:color="auto" w:fill="FFFFFF"/>
        </w:rPr>
        <w:fldChar w:fldCharType="begin"/>
      </w:r>
      <w:r w:rsidR="00EE4407">
        <w:rPr>
          <w:color w:val="000000"/>
          <w:shd w:val="clear" w:color="auto" w:fill="FFFFFF"/>
        </w:rPr>
        <w:instrText xml:space="preserve"> ADDIN ZOTERO_ITEM CSL_CITATION {"citationID":"a2jjl4g04nv","properties":{"formattedCitation":"(Gibney and Nolan 2010)","plainCitation":"(Gibney and Nolan 2010)","noteIndex":0},"citationItems":[{"id":270,"uris":["http://zotero.org/users/4264928/items/B8STMA2W"],"uri":["http://zotero.org/users/4264928/items/B8STMA2W"],"itemData":{"id":270,"type":"article-journal","title":"Epigenetics and gene expression","container-title":"Heredity","page":"4-13","volume":"105","issue":"1","source":"www.nature.com","abstract":"Transcription, translation and subsequent protein modification represent the transfer of genetic information from the archival copy of DNA to the short-lived messenger RNA, usually with subsequent production of protein. Although all cells in an organism contain essentially the same DNA, cell types and functions differ because of qualitative and quantitative differences in their gene expression. Thus, control of gene expression is at the heart of differentiation and development. Epigenetic processes, including DNA methylation, histone modification and various RNA-mediated processes, are thought to influence gene expression chiefly at the level of transcription; however, other steps in the process (for example, translation) may also be regulated epigenetically. The following paper will outline the role epigenetics is believed to have in influencing gene expression.","DOI":"10.1038/hdy.2010.54","ISSN":"1365-2540","language":"en","author":[{"family":"Gibney","given":"E. R."},{"family":"Nolan","given":"C. M."}],"issued":{"date-parts":[["2010",7]]}}}],"schema":"https://github.com/citation-style-language/schema/raw/master/csl-citation.json"} </w:instrText>
      </w:r>
      <w:r w:rsidR="00EE4407">
        <w:rPr>
          <w:color w:val="000000"/>
          <w:shd w:val="clear" w:color="auto" w:fill="FFFFFF"/>
        </w:rPr>
        <w:fldChar w:fldCharType="separate"/>
      </w:r>
      <w:r w:rsidR="00EE4407" w:rsidRPr="00CB3833">
        <w:t>(Gibney and Nolan 2010)</w:t>
      </w:r>
      <w:r w:rsidR="00EE4407">
        <w:rPr>
          <w:color w:val="000000"/>
          <w:shd w:val="clear" w:color="auto" w:fill="FFFFFF"/>
        </w:rPr>
        <w:fldChar w:fldCharType="end"/>
      </w:r>
      <w:r w:rsidR="00EE4407" w:rsidRPr="00734B19">
        <w:rPr>
          <w:color w:val="000000"/>
        </w:rPr>
        <w:t>.</w:t>
      </w:r>
      <w:r>
        <w:rPr>
          <w:color w:val="000000"/>
          <w:shd w:val="clear" w:color="auto" w:fill="FFFFFF"/>
        </w:rPr>
        <w:t xml:space="preserve">  When methyl is added to the 5’Cytosine, the DNA becomes inaccessible to transcription factors.  Therefore, the genes are not transcribed.</w:t>
      </w:r>
    </w:p>
    <w:p w:rsidR="0059302D" w:rsidRDefault="0059302D" w:rsidP="0059302D">
      <w:pPr>
        <w:spacing w:line="480" w:lineRule="auto"/>
        <w:ind w:firstLine="720"/>
        <w:rPr>
          <w:color w:val="000000"/>
        </w:rPr>
      </w:pPr>
    </w:p>
    <w:p w:rsidR="003E3445" w:rsidRDefault="003E3445" w:rsidP="0059302D">
      <w:pPr>
        <w:spacing w:line="480" w:lineRule="auto"/>
        <w:ind w:firstLine="720"/>
        <w:rPr>
          <w:color w:val="000000"/>
        </w:rPr>
      </w:pPr>
    </w:p>
    <w:p w:rsidR="00EE4407" w:rsidRPr="009566F2" w:rsidRDefault="00EE4407" w:rsidP="00EE4407">
      <w:pPr>
        <w:spacing w:line="480" w:lineRule="auto"/>
        <w:rPr>
          <w:color w:val="000000"/>
        </w:rPr>
      </w:pPr>
      <w:r>
        <w:rPr>
          <w:noProof/>
        </w:rPr>
        <w:drawing>
          <wp:inline distT="0" distB="0" distL="0" distR="0" wp14:anchorId="1070F9B0" wp14:editId="59279CA5">
            <wp:extent cx="5486400" cy="2409825"/>
            <wp:effectExtent l="57150" t="0" r="57150" b="123825"/>
            <wp:docPr id="22" name="Picture 2" descr="Image result for methylation">
              <a:extLst xmlns:a="http://schemas.openxmlformats.org/drawingml/2006/main">
                <a:ext uri="{FF2B5EF4-FFF2-40B4-BE49-F238E27FC236}">
                  <a16:creationId xmlns:a16="http://schemas.microsoft.com/office/drawing/2014/main" id="{A2DCF414-0A90-4195-A439-ADE05992A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methylation">
                      <a:extLst>
                        <a:ext uri="{FF2B5EF4-FFF2-40B4-BE49-F238E27FC236}">
                          <a16:creationId xmlns:a16="http://schemas.microsoft.com/office/drawing/2014/main" id="{A2DCF414-0A90-4195-A439-ADE05992A41B}"/>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9210"/>
                    <a:stretch/>
                  </pic:blipFill>
                  <pic:spPr bwMode="auto">
                    <a:xfrm>
                      <a:off x="0" y="0"/>
                      <a:ext cx="5486400" cy="2409825"/>
                    </a:xfrm>
                    <a:prstGeom prst="rect">
                      <a:avLst/>
                    </a:prstGeom>
                    <a:noFill/>
                    <a:ln>
                      <a:noFill/>
                    </a:ln>
                    <a:effectLst>
                      <a:outerShdw blurRad="50800" dist="50800" dir="5400000" algn="ctr" rotWithShape="0">
                        <a:srgbClr val="4F81BD">
                          <a:lumMod val="60000"/>
                          <a:lumOff val="40000"/>
                        </a:srgbClr>
                      </a:outerShdw>
                    </a:effectLst>
                    <a:extLst>
                      <a:ext uri="{53640926-AAD7-44D8-BBD7-CCE9431645EC}">
                        <a14:shadowObscured xmlns:a14="http://schemas.microsoft.com/office/drawing/2010/main"/>
                      </a:ext>
                    </a:extLst>
                  </pic:spPr>
                </pic:pic>
              </a:graphicData>
            </a:graphic>
          </wp:inline>
        </w:drawing>
      </w:r>
    </w:p>
    <w:p w:rsidR="00EE4407" w:rsidRDefault="00EE4407" w:rsidP="00EE4407">
      <w:pPr>
        <w:rPr>
          <w:color w:val="000000"/>
          <w:shd w:val="clear" w:color="auto" w:fill="FFFFFF"/>
        </w:rPr>
      </w:pPr>
      <w:r w:rsidRPr="00734B19">
        <w:rPr>
          <w:color w:val="000000"/>
          <w:shd w:val="clear" w:color="auto" w:fill="FFFFFF"/>
        </w:rPr>
        <w:t xml:space="preserve">Figure </w:t>
      </w:r>
      <w:r>
        <w:rPr>
          <w:color w:val="000000"/>
          <w:shd w:val="clear" w:color="auto" w:fill="FFFFFF"/>
        </w:rPr>
        <w:t>5</w:t>
      </w:r>
      <w:r w:rsidRPr="00734B19">
        <w:rPr>
          <w:color w:val="000000"/>
          <w:shd w:val="clear" w:color="auto" w:fill="FFFFFF"/>
        </w:rPr>
        <w:t xml:space="preserve">. Conversion of cytosine to 5-methylcytosine by DNMT </w:t>
      </w:r>
      <w:r>
        <w:rPr>
          <w:color w:val="000000"/>
          <w:shd w:val="clear" w:color="auto" w:fill="FFFFFF"/>
        </w:rPr>
        <w:fldChar w:fldCharType="begin"/>
      </w:r>
      <w:r>
        <w:rPr>
          <w:color w:val="000000"/>
          <w:shd w:val="clear" w:color="auto" w:fill="FFFFFF"/>
        </w:rPr>
        <w:instrText xml:space="preserve"> ADDIN ZOTERO_ITEM CSL_CITATION {"citationID":"a256nc9psqs","properties":{"formattedCitation":"(Gibney and Nolan 2010)","plainCitation":"(Gibney and Nolan 2010)","noteIndex":0},"citationItems":[{"id":270,"uris":["http://zotero.org/users/4264928/items/B8STMA2W"],"uri":["http://zotero.org/users/4264928/items/B8STMA2W"],"itemData":{"id":270,"type":"article-journal","title":"Epigenetics and gene expression","container-title":"Heredity","page":"4-13","volume":"105","issue":"1","source":"www.nature.com","abstract":"Transcription, translation and subsequent protein modification represent the transfer of genetic information from the archival copy of DNA to the short-lived messenger RNA, usually with subsequent production of protein. Although all cells in an organism contain essentially the same DNA, cell types and functions differ because of qualitative and quantitative differences in their gene expression. Thus, control of gene expression is at the heart of differentiation and development. Epigenetic processes, including DNA methylation, histone modification and various RNA-mediated processes, are thought to influence gene expression chiefly at the level of transcription; however, other steps in the process (for example, translation) may also be regulated epigenetically. The following paper will outline the role epigenetics is believed to have in influencing gene expression.","DOI":"10.1038/hdy.2010.54","ISSN":"1365-2540","language":"en","author":[{"family":"Gibney","given":"E. R."},{"family":"Nolan","given":"C. M."}],"issued":{"date-parts":[["2010",7]]}}}],"schema":"https://github.com/citation-style-language/schema/raw/master/csl-citation.json"} </w:instrText>
      </w:r>
      <w:r>
        <w:rPr>
          <w:color w:val="000000"/>
          <w:shd w:val="clear" w:color="auto" w:fill="FFFFFF"/>
        </w:rPr>
        <w:fldChar w:fldCharType="separate"/>
      </w:r>
      <w:r w:rsidRPr="00CB3833">
        <w:t>(Gibney and Nolan 2010)</w:t>
      </w:r>
      <w:r>
        <w:rPr>
          <w:color w:val="000000"/>
          <w:shd w:val="clear" w:color="auto" w:fill="FFFFFF"/>
        </w:rPr>
        <w:fldChar w:fldCharType="end"/>
      </w:r>
      <w:r w:rsidRPr="00734B19">
        <w:rPr>
          <w:color w:val="000000"/>
          <w:shd w:val="clear" w:color="auto" w:fill="FFFFFF"/>
        </w:rPr>
        <w:t>.</w:t>
      </w:r>
    </w:p>
    <w:p w:rsidR="00EE4407" w:rsidRDefault="00EE4407" w:rsidP="00EE4407">
      <w:pPr>
        <w:rPr>
          <w:color w:val="000000"/>
          <w:shd w:val="clear" w:color="auto" w:fill="FFFFFF"/>
        </w:rPr>
      </w:pPr>
    </w:p>
    <w:p w:rsidR="0059302D" w:rsidRDefault="0059302D" w:rsidP="00EE4407">
      <w:pPr>
        <w:rPr>
          <w:color w:val="000000"/>
          <w:shd w:val="clear" w:color="auto" w:fill="FFFFFF"/>
        </w:rPr>
      </w:pPr>
    </w:p>
    <w:p w:rsidR="003E3445" w:rsidRDefault="003E3445" w:rsidP="00EE4407">
      <w:pPr>
        <w:rPr>
          <w:color w:val="000000"/>
          <w:shd w:val="clear" w:color="auto" w:fill="FFFFFF"/>
        </w:rPr>
      </w:pPr>
    </w:p>
    <w:p w:rsidR="0059302D" w:rsidRPr="009566F2" w:rsidRDefault="0059302D" w:rsidP="00EE4407">
      <w:pPr>
        <w:rPr>
          <w:color w:val="000000"/>
          <w:shd w:val="clear" w:color="auto" w:fill="FFFFFF"/>
        </w:rPr>
      </w:pPr>
    </w:p>
    <w:p w:rsidR="00EE4407" w:rsidRDefault="00EE4407" w:rsidP="00EE4407">
      <w:pPr>
        <w:spacing w:line="480" w:lineRule="auto"/>
        <w:ind w:firstLine="720"/>
      </w:pPr>
      <w:r w:rsidRPr="006F5EB9">
        <w:lastRenderedPageBreak/>
        <w:t>Bisulfite assay</w:t>
      </w:r>
      <w:r w:rsidR="00F8201A">
        <w:t>s are</w:t>
      </w:r>
      <w:r w:rsidRPr="006F5EB9">
        <w:t xml:space="preserve"> used to identify and detect the </w:t>
      </w:r>
      <w:r>
        <w:t>degree o</w:t>
      </w:r>
      <w:r w:rsidRPr="006F5EB9">
        <w:t>f methylation</w:t>
      </w:r>
      <w:r>
        <w:t xml:space="preserve"> </w:t>
      </w:r>
      <w:r w:rsidRPr="006F5EB9">
        <w:t xml:space="preserve">at the CpG islands </w:t>
      </w:r>
      <w:r w:rsidRPr="006F5EB9">
        <w:fldChar w:fldCharType="begin"/>
      </w:r>
      <w:r>
        <w:instrText xml:space="preserve"> ADDIN ZOTERO_ITEM CSL_CITATION {"citationID":"a22qep3lq56","properties":{"formattedCitation":"(Chung et al. 2010)","plainCitation":"(Chung et al. 2010)","noteIndex":0},"citationItems":[{"id":103,"uris":["http://zotero.org/users/4264928/items/8WEM6AAZ"],"uri":["http://zotero.org/users/4264928/items/8WEM6AAZ"],"itemData":{"id":103,"type":"article-journal","title":"Whole Methylome Analysis by Ultra-Deep Sequencing Using Two-Base Encoding","container-title":"PLOS ONE","page":"e9320","volume":"5","issue":"2","source":"PLoS Journals","abstract":"Methylation, the addition of methyl groups to cytosine (C), plays an important role in the regulation of gene expression in both normal and dysfunctional cells. During bisulfite conversion and subsequent PCR amplification, unmethylated Cs are converted into thymine (T), while methylated Cs will not be converted. Sequencing of this bisulfite-treated DNA permits the detection of methylation at specific sites. Through the introduction of next-generation sequencing technologies (NGS) simultaneous analysis of methylation motifs in multiple regions provides the opportunity for hypothesis-free study of the entire methylome. Here we present a whole methylome sequencing study that compares two different bisulfite conversion methods (in solution versus in gel), utilizing the high throughput of the SOLiD™ System. Advantages and disadvantages of the two different bisulfite conversion methods for constructing sequencing libraries are discussed. Furthermore, the application of the SOLiD™ bisulfite sequencing to larger and more complex genomes is shown with preliminary in silico created bisulfite converted reads.","DOI":"10.1371/journal.pone.0009320","ISSN":"1932-6203","journalAbbreviation":"PLOS ONE","author":[{"family":"Chung","given":"Christina A. Bormann"},{"family":"Boyd","given":"Victoria L."},{"family":"McKernan","given":"Kevin J."},{"family":"Fu","given":"Yutao"},{"family":"Monighetti","given":"Cinna"},{"family":"Peckham","given":"Heather E."},{"family":"Barker","given":"Melissa"}],"issued":{"date-parts":[["2010",2,22]]}}}],"schema":"https://github.com/citation-style-language/schema/raw/master/csl-citation.json"} </w:instrText>
      </w:r>
      <w:r w:rsidRPr="006F5EB9">
        <w:fldChar w:fldCharType="separate"/>
      </w:r>
      <w:r w:rsidRPr="006F5EB9">
        <w:t xml:space="preserve">(Chung </w:t>
      </w:r>
      <w:r w:rsidRPr="006F5EB9">
        <w:rPr>
          <w:i/>
        </w:rPr>
        <w:t>et al.</w:t>
      </w:r>
      <w:r w:rsidRPr="006F5EB9">
        <w:t xml:space="preserve"> 2010)</w:t>
      </w:r>
      <w:r w:rsidRPr="006F5EB9">
        <w:fldChar w:fldCharType="end"/>
      </w:r>
      <w:r w:rsidRPr="006F5EB9">
        <w:t>.</w:t>
      </w:r>
      <w:r>
        <w:t xml:space="preserve">  A</w:t>
      </w:r>
      <w:r w:rsidRPr="006F5EB9">
        <w:t xml:space="preserve">s shown in </w:t>
      </w:r>
      <w:r>
        <w:t xml:space="preserve">the following figure, </w:t>
      </w:r>
      <w:r w:rsidRPr="006F5EB9">
        <w:t xml:space="preserve">DNA is denatured and then treated with sodium bisulfite </w:t>
      </w:r>
      <w:r>
        <w:t xml:space="preserve">at specific CpG sites of the promoter region to convert </w:t>
      </w:r>
      <w:r w:rsidRPr="006F5EB9">
        <w:t>unmethylated cytosine</w:t>
      </w:r>
      <w:r>
        <w:t xml:space="preserve"> to thymine while methylated cytosine stays the same.  Bisulfite-treated DNAs</w:t>
      </w:r>
      <w:r w:rsidR="00F8201A">
        <w:t xml:space="preserve"> are</w:t>
      </w:r>
      <w:r>
        <w:t xml:space="preserve"> amplified using Polymerase Chain Reaction (PCR) and sequenced to detect methylation at specific sites.  </w:t>
      </w:r>
    </w:p>
    <w:p w:rsidR="003E3445" w:rsidRDefault="003E3445" w:rsidP="00EE4407">
      <w:pPr>
        <w:spacing w:line="480" w:lineRule="auto"/>
      </w:pPr>
    </w:p>
    <w:p w:rsidR="00EE4407" w:rsidRPr="006F5EB9" w:rsidRDefault="0059302D" w:rsidP="00EE4407">
      <w:pPr>
        <w:spacing w:line="480" w:lineRule="auto"/>
      </w:pPr>
      <w:r w:rsidRPr="006F5EB9">
        <w:rPr>
          <w:noProof/>
        </w:rPr>
        <w:drawing>
          <wp:inline distT="0" distB="0" distL="0" distR="0" wp14:anchorId="19B427FB" wp14:editId="2F6E9AD5">
            <wp:extent cx="4772025" cy="4848225"/>
            <wp:effectExtent l="0" t="0" r="9525" b="9525"/>
            <wp:docPr id="9" name="Picture 9" descr="An external file that holds a picture, illustration, etc.&#10;Object name is nihms33977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nihms339778f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2025" cy="4858385"/>
                    </a:xfrm>
                    <a:prstGeom prst="rect">
                      <a:avLst/>
                    </a:prstGeom>
                    <a:noFill/>
                    <a:ln>
                      <a:noFill/>
                    </a:ln>
                  </pic:spPr>
                </pic:pic>
              </a:graphicData>
            </a:graphic>
          </wp:inline>
        </w:drawing>
      </w:r>
    </w:p>
    <w:p w:rsidR="00EE4407" w:rsidRPr="006F5EB9" w:rsidRDefault="00EE4407" w:rsidP="00EE4407">
      <w:pPr>
        <w:spacing w:line="480" w:lineRule="auto"/>
      </w:pPr>
      <w:r w:rsidRPr="006F5EB9">
        <w:t xml:space="preserve">Figure </w:t>
      </w:r>
      <w:r>
        <w:t>6</w:t>
      </w:r>
      <w:r w:rsidRPr="006F5EB9">
        <w:t>: Bisulfite conversion</w:t>
      </w:r>
      <w:r>
        <w:t xml:space="preserve"> </w:t>
      </w:r>
      <w:r w:rsidRPr="00061061">
        <w:fldChar w:fldCharType="begin"/>
      </w:r>
      <w:r>
        <w:instrText xml:space="preserve"> ADDIN ZOTERO_ITEM CSL_CITATION {"citationID":"c1rnMEX4","properties":{"formattedCitation":"(Li and Tollefsbol 2011)","plainCitation":"(Li and Tollefsbol 2011)","noteIndex":0},"citationItems":[{"id":372,"uris":["http://zotero.org/users/4264928/items/AI5LHTUT"],"uri":["http://zotero.org/users/4264928/items/AI5LHTUT"],"itemData":{"id":372,"type":"article-journal","title":"DNA methylation detection: Bisulfite genomic sequencing analysis","container-title":"Methods in molecular biology (Clifton, N.J.)","page":"11-21","volume":"791","source":"PubMed Central","abstract":"DNA methylation, which most commonly occurs at the C5 position of cytosines within CpG dinucleotides, plays a pivotal role in many biological procedures such as gene expression, embryonic development, cellular proliferation, differentiation and chromosome stability. Aberrant DNA methylation is often associated with loss of DNA homeostasis and genomic instability leading to development of human diseases such as cancer. The importance of DNA methylation creates an urgent demand for effective methods with highly sensitivity and reliability to explore innovative diagnostic and therapeutic strategies. Bisulfite genomic sequencing developed by Frommer and colleagues was recognized as a revolution in DNA methylation analysis based on conversion of genomic DNA by using sodium bisulfite. Besides various merits of the bisulfite genomic sequencing method such as being highly qualitatively and quantitatively, it serves as a fundamental principle to many derived methods to better interpret the mystery of DNA methylation. Here we will present a protocol currently frequently used in our laboratory that has proved to yield optimal outcomes. We will also discuss the potential technical problems and troubleshooting notes for a variety of applications in this field.","DOI":"10.1007/978-1-61779-316-5_2","ISSN":"1064-3745","note":"PMID: 21913068\nPMCID: PMC3233226","shortTitle":"DNA methylation detection","journalAbbreviation":"Methods Mol Biol","author":[{"family":"Li","given":"Yuanyuan"},{"family":"Tollefsbol","given":"Trygve O."}],"issued":{"date-parts":[["2011"]]}}}],"schema":"https://github.com/citation-style-language/schema/raw/master/csl-citation.json"} </w:instrText>
      </w:r>
      <w:r w:rsidRPr="00061061">
        <w:fldChar w:fldCharType="separate"/>
      </w:r>
      <w:r w:rsidRPr="00224B18">
        <w:t>(Li and Tollefsbol 2011)</w:t>
      </w:r>
      <w:r w:rsidRPr="00061061">
        <w:fldChar w:fldCharType="end"/>
      </w:r>
    </w:p>
    <w:p w:rsidR="0059302D" w:rsidRDefault="0059302D" w:rsidP="00EE4407">
      <w:pPr>
        <w:spacing w:line="480" w:lineRule="auto"/>
        <w:ind w:firstLine="720"/>
      </w:pPr>
    </w:p>
    <w:p w:rsidR="00675F48" w:rsidRDefault="00EE4407" w:rsidP="00EE4407">
      <w:pPr>
        <w:spacing w:line="480" w:lineRule="auto"/>
        <w:ind w:firstLine="720"/>
        <w:rPr>
          <w:rFonts w:cstheme="minorHAnsi"/>
          <w:b/>
        </w:rPr>
      </w:pPr>
      <w:r>
        <w:lastRenderedPageBreak/>
        <w:t>F</w:t>
      </w:r>
      <w:r w:rsidRPr="006F5EB9">
        <w:t xml:space="preserve">ollowing bisulfite conversion, the DNA strands are no longer complementary, and primers are designed to assay the methylation </w:t>
      </w:r>
      <w:r>
        <w:t>s</w:t>
      </w:r>
      <w:r w:rsidRPr="006F5EB9">
        <w:t xml:space="preserve">tatus of a specific strand </w:t>
      </w:r>
      <w:bookmarkStart w:id="16" w:name="_Hlk516097773"/>
      <w:r w:rsidRPr="00061061">
        <w:fldChar w:fldCharType="begin"/>
      </w:r>
      <w:r>
        <w:instrText xml:space="preserve"> ADDIN ZOTERO_ITEM CSL_CITATION {"citationID":"iGUyO4zs","properties":{"formattedCitation":"(Zilberman and Henikoff 2007; Li and Tollefsbol 2011)","plainCitation":"(Zilberman and Henikoff 2007; Li and Tollefsbol 2011)","dontUpdate":true,"noteIndex":0},"citationItems":[{"id":375,"uris":["http://zotero.org/users/4264928/items/PVQMXW8K"],"uri":["http://zotero.org/users/4264928/items/PVQMXW8K"],"itemData":{"id":375,"type":"article-journal","title":"Genome-wide analysis of DNA methylation patterns","container-title":"Development","page":"3959-3965","volume":"134","issue":"22","source":"dev.biologists.org","abstract":"Skip to Next Section\nCytosine methylation is the most common covalent modification of DNA in eukaryotes. DNA methylation has an important role in many aspects of biology, including development and disease. Methylation can be detected using bisulfite conversion, methylation-sensitive restriction enzymes, methyl-binding proteins and anti-methylcytosine antibodies. Combining these techniques with DNA microarrays and high-throughput sequencing has made the mapping of DNA methylation feasible on a genome-wide scale. Here we discuss recent developments and future directions for identifying and mapping methylation, in an effort to help colleagues to identify the approaches that best serve their research interests.","DOI":"10.1242/dev.001131","ISSN":"0950-1991, 1477-9129","note":"PMID: 17928417","language":"en","author":[{"family":"Zilberman","given":"Daniel"},{"family":"Henikoff","given":"Steven"}],"issued":{"date-parts":[["2007",11,15]]}}},{"id":372,"uris":["http://zotero.org/users/4264928/items/AI5LHTUT"],"uri":["http://zotero.org/users/4264928/items/AI5LHTUT"],"itemData":{"id":372,"type":"article-journal","title":"DNA methylation detection: Bisulfite genomic sequencing analysis","container-title":"Methods in molecular biology (Clifton, N.J.)","page":"11-21","volume":"791","source":"PubMed Central","abstract":"DNA methylation, which most commonly occurs at the C5 position of cytosines within CpG dinucleotides, plays a pivotal role in many biological procedures such as gene expression, embryonic development, cellular proliferation, differentiation and chromosome stability. Aberrant DNA methylation is often associated with loss of DNA homeostasis and genomic instability leading to development of human diseases such as cancer. The importance of DNA methylation creates an urgent demand for effective methods with highly sensitivity and reliability to explore innovative diagnostic and therapeutic strategies. Bisulfite genomic sequencing developed by Frommer and colleagues was recognized as a revolution in DNA methylation analysis based on conversion of genomic DNA by using sodium bisulfite. Besides various merits of the bisulfite genomic sequencing method such as being highly qualitatively and quantitatively, it serves as a fundamental principle to many derived methods to better interpret the mystery of DNA methylation. Here we will present a protocol currently frequently used in our laboratory that has proved to yield optimal outcomes. We will also discuss the potential technical problems and troubleshooting notes for a variety of applications in this field.","DOI":"10.1007/978-1-61779-316-5_2","ISSN":"1064-3745","note":"PMID: 21913068\nPMCID: PMC3233226","shortTitle":"DNA methylation detection","journalAbbreviation":"Methods Mol Biol","author":[{"family":"Li","given":"Yuanyuan"},{"family":"Tollefsbol","given":"Trygve O."}],"issued":{"date-parts":[["2011"]]}}}],"schema":"https://github.com/citation-style-language/schema/raw/master/csl-citation.json"} </w:instrText>
      </w:r>
      <w:r w:rsidRPr="00061061">
        <w:fldChar w:fldCharType="separate"/>
      </w:r>
      <w:r w:rsidRPr="00224B18">
        <w:t>(Zilberman and Henikoff 2007; Li and Tollefsbol 2011)</w:t>
      </w:r>
      <w:r w:rsidRPr="00061061">
        <w:fldChar w:fldCharType="end"/>
      </w:r>
      <w:bookmarkEnd w:id="16"/>
      <w:r w:rsidRPr="006F5EB9">
        <w:t>.</w:t>
      </w:r>
      <w:r>
        <w:t xml:space="preserve">  </w:t>
      </w:r>
      <w:r w:rsidRPr="006F5EB9">
        <w:rPr>
          <w:shd w:val="clear" w:color="auto" w:fill="FFFFFF"/>
        </w:rPr>
        <w:t xml:space="preserve">DNA methylation status can be interpreted by comparing the sequencing results and the original DNA sequence.  </w:t>
      </w:r>
      <w:r>
        <w:rPr>
          <w:shd w:val="clear" w:color="auto" w:fill="FFFFFF"/>
        </w:rPr>
        <w:t>A</w:t>
      </w:r>
      <w:r w:rsidRPr="006F5EB9">
        <w:rPr>
          <w:shd w:val="clear" w:color="auto" w:fill="FFFFFF"/>
        </w:rPr>
        <w:t>ll unmethylated cytosines convert to thymine and the presence of a C-peak indicates the presence of 5-methylcytosine (5mC) in the genome.  If both C-and T-peaks appear, this indicates partial meth</w:t>
      </w:r>
      <w:r w:rsidRPr="00061061">
        <w:rPr>
          <w:shd w:val="clear" w:color="auto" w:fill="FFFFFF"/>
        </w:rPr>
        <w:t xml:space="preserve">ylation or potentially incomplete bisulfite conversion has occurred </w:t>
      </w:r>
      <w:r w:rsidRPr="00061061">
        <w:rPr>
          <w:shd w:val="clear" w:color="auto" w:fill="FFFFFF"/>
        </w:rPr>
        <w:fldChar w:fldCharType="begin"/>
      </w:r>
      <w:r>
        <w:rPr>
          <w:shd w:val="clear" w:color="auto" w:fill="FFFFFF"/>
        </w:rPr>
        <w:instrText xml:space="preserve"> ADDIN ZOTERO_ITEM CSL_CITATION {"citationID":"E05dLP9P","properties":{"formattedCitation":"(Zilberman and Henikoff 2007)","plainCitation":"(Zilberman and Henikoff 2007)","noteIndex":0},"citationItems":[{"id":375,"uris":["http://zotero.org/users/4264928/items/PVQMXW8K"],"uri":["http://zotero.org/users/4264928/items/PVQMXW8K"],"itemData":{"id":375,"type":"article-journal","title":"Genome-wide analysis of DNA methylation patterns","container-title":"Development","page":"3959-3965","volume":"134","issue":"22","source":"dev.biologists.org","abstract":"Skip to Next Section\nCytosine methylation is the most common covalent modification of DNA in eukaryotes. DNA methylation has an important role in many aspects of biology, including development and disease. Methylation can be detected using bisulfite conversion, methylation-sensitive restriction enzymes, methyl-binding proteins and anti-methylcytosine antibodies. Combining these techniques with DNA microarrays and high-throughput sequencing has made the mapping of DNA methylation feasible on a genome-wide scale. Here we discuss recent developments and future directions for identifying and mapping methylation, in an effort to help colleagues to identify the approaches that best serve their research interests.","DOI":"10.1242/dev.001131","ISSN":"0950-1991, 1477-9129","note":"PMID: 17928417","language":"en","author":[{"family":"Zilberman","given":"Daniel"},{"family":"Henikoff","given":"Steven"}],"issued":{"date-parts":[["2007",11,15]]}}}],"schema":"https://github.com/citation-style-language/schema/raw/master/csl-citation.json"} </w:instrText>
      </w:r>
      <w:r w:rsidRPr="00061061">
        <w:rPr>
          <w:shd w:val="clear" w:color="auto" w:fill="FFFFFF"/>
        </w:rPr>
        <w:fldChar w:fldCharType="separate"/>
      </w:r>
      <w:r w:rsidRPr="00224B18">
        <w:t>(Zilberman and Henikoff 2007)</w:t>
      </w:r>
      <w:r w:rsidRPr="00061061">
        <w:rPr>
          <w:shd w:val="clear" w:color="auto" w:fill="FFFFFF"/>
        </w:rPr>
        <w:fldChar w:fldCharType="end"/>
      </w:r>
      <w:r>
        <w:t xml:space="preserve">. </w:t>
      </w:r>
      <w:r w:rsidR="00675F48">
        <w:rPr>
          <w:rFonts w:cstheme="minorHAnsi"/>
          <w:b/>
        </w:rPr>
        <w:br w:type="page"/>
      </w:r>
    </w:p>
    <w:p w:rsidR="000A2C1D" w:rsidRDefault="000A2C1D" w:rsidP="000A2C1D">
      <w:pPr>
        <w:jc w:val="center"/>
        <w:rPr>
          <w:b/>
        </w:rPr>
      </w:pPr>
      <w:r>
        <w:rPr>
          <w:b/>
        </w:rPr>
        <w:lastRenderedPageBreak/>
        <w:t>RESEACH DESIGN / METHODS</w:t>
      </w:r>
    </w:p>
    <w:p w:rsidR="000A2C1D" w:rsidRDefault="000A2C1D" w:rsidP="000A2C1D">
      <w:pPr>
        <w:jc w:val="center"/>
        <w:rPr>
          <w:b/>
        </w:rPr>
      </w:pPr>
    </w:p>
    <w:p w:rsidR="000A2C1D" w:rsidRDefault="000A2C1D" w:rsidP="000A2C1D">
      <w:pPr>
        <w:jc w:val="center"/>
        <w:rPr>
          <w:b/>
        </w:rPr>
      </w:pPr>
    </w:p>
    <w:p w:rsidR="000A2C1D" w:rsidRDefault="00863E61" w:rsidP="000A2C1D">
      <w:pPr>
        <w:spacing w:line="480" w:lineRule="auto"/>
        <w:ind w:firstLine="720"/>
        <w:contextualSpacing/>
        <w:jc w:val="both"/>
      </w:pPr>
      <w:r>
        <w:t xml:space="preserve">In this study, I am going to determine whether the prevalence of T2D is </w:t>
      </w:r>
      <w:r w:rsidR="00F32325">
        <w:t>different</w:t>
      </w:r>
      <w:r>
        <w:t xml:space="preserve"> in native Ethiopians (2.1%) compared to </w:t>
      </w:r>
      <w:r w:rsidR="00F32325">
        <w:t xml:space="preserve">that in </w:t>
      </w:r>
      <w:r>
        <w:t xml:space="preserve">the Ethiopian immigrants </w:t>
      </w:r>
      <w:r w:rsidR="00F32325">
        <w:t xml:space="preserve">who </w:t>
      </w:r>
      <w:r>
        <w:t>have been living in the United States for more than five years.  Next, I will do a systematic review of literature on worldwide GWAS to identify the genes that are associated with the predisposition of T2D.  Finally, I will compare the degree of epigenetic modifications of th</w:t>
      </w:r>
      <w:r w:rsidR="00743B38">
        <w:t>o</w:t>
      </w:r>
      <w:r>
        <w:t>se genes between the native and immigrant Ethiopian populations for both case and control groups.</w:t>
      </w:r>
    </w:p>
    <w:p w:rsidR="000A2C1D" w:rsidRDefault="00863E61" w:rsidP="000A2C1D">
      <w:pPr>
        <w:spacing w:line="480" w:lineRule="auto"/>
        <w:contextualSpacing/>
        <w:rPr>
          <w:b/>
        </w:rPr>
      </w:pPr>
      <w:r w:rsidRPr="00734B19">
        <w:rPr>
          <w:b/>
          <w:bCs/>
          <w:color w:val="000000"/>
        </w:rPr>
        <w:t>Aim 1</w:t>
      </w:r>
      <w:r w:rsidRPr="003203FA">
        <w:rPr>
          <w:b/>
          <w:bCs/>
          <w:color w:val="000000"/>
        </w:rPr>
        <w:t xml:space="preserve">: </w:t>
      </w:r>
      <w:r w:rsidRPr="003203FA">
        <w:rPr>
          <w:rFonts w:eastAsiaTheme="minorEastAsia"/>
          <w:b/>
          <w:color w:val="000000" w:themeColor="text1"/>
          <w:kern w:val="24"/>
        </w:rPr>
        <w:t>Examine the prevalence of T2D among the Ethiopian immigrant population who h</w:t>
      </w:r>
      <w:r w:rsidR="00F32325">
        <w:rPr>
          <w:rFonts w:eastAsiaTheme="minorEastAsia"/>
          <w:b/>
          <w:color w:val="000000" w:themeColor="text1"/>
          <w:kern w:val="24"/>
        </w:rPr>
        <w:t>as</w:t>
      </w:r>
      <w:r w:rsidRPr="003203FA">
        <w:rPr>
          <w:rFonts w:eastAsiaTheme="minorEastAsia"/>
          <w:b/>
          <w:color w:val="000000" w:themeColor="text1"/>
          <w:kern w:val="24"/>
        </w:rPr>
        <w:t xml:space="preserve"> been living in the United States for more than five years and compare </w:t>
      </w:r>
      <w:r w:rsidR="00FF2EFE">
        <w:rPr>
          <w:rFonts w:eastAsiaTheme="minorEastAsia"/>
          <w:b/>
          <w:color w:val="000000" w:themeColor="text1"/>
          <w:kern w:val="24"/>
        </w:rPr>
        <w:t xml:space="preserve">it </w:t>
      </w:r>
      <w:r w:rsidRPr="003203FA">
        <w:rPr>
          <w:rFonts w:eastAsiaTheme="minorEastAsia"/>
          <w:b/>
          <w:color w:val="000000" w:themeColor="text1"/>
          <w:kern w:val="24"/>
        </w:rPr>
        <w:t xml:space="preserve">with the prevalence in native Ethiopian </w:t>
      </w:r>
    </w:p>
    <w:p w:rsidR="00863E61" w:rsidRPr="002B5C12" w:rsidRDefault="00863E61" w:rsidP="00863E61">
      <w:pPr>
        <w:spacing w:line="480" w:lineRule="auto"/>
        <w:ind w:firstLine="720"/>
        <w:rPr>
          <w:color w:val="000000"/>
        </w:rPr>
      </w:pPr>
      <w:r w:rsidRPr="00734B19">
        <w:rPr>
          <w:color w:val="000000"/>
        </w:rPr>
        <w:t xml:space="preserve">The purpose of this aim is to </w:t>
      </w:r>
      <w:r>
        <w:rPr>
          <w:color w:val="000000"/>
        </w:rPr>
        <w:t>examine</w:t>
      </w:r>
      <w:r w:rsidRPr="00734B19">
        <w:rPr>
          <w:color w:val="000000"/>
        </w:rPr>
        <w:t xml:space="preserve"> the prevalence of T2D among </w:t>
      </w:r>
      <w:r>
        <w:rPr>
          <w:color w:val="000000"/>
        </w:rPr>
        <w:t xml:space="preserve">Ethiopian immigrant population 18 years old and above who have been living in the United States for more than 5 years and compare the result with </w:t>
      </w:r>
      <w:r w:rsidRPr="00734B19">
        <w:rPr>
          <w:color w:val="000000"/>
        </w:rPr>
        <w:t>native Ethiopian</w:t>
      </w:r>
      <w:r>
        <w:rPr>
          <w:color w:val="000000"/>
        </w:rPr>
        <w:t xml:space="preserve"> individuals 18 years old and above.  Prevalence is the number of cases of a disease that are present in a particular population at a given time.  </w:t>
      </w:r>
      <w:r w:rsidRPr="00734B19">
        <w:rPr>
          <w:color w:val="000000"/>
        </w:rPr>
        <w:t xml:space="preserve">In Ethiopia, the prevalence of T2D </w:t>
      </w:r>
      <w:r>
        <w:rPr>
          <w:color w:val="000000"/>
        </w:rPr>
        <w:t xml:space="preserve">among the whole adult population (18 years and older) </w:t>
      </w:r>
      <w:r w:rsidRPr="00734B19">
        <w:rPr>
          <w:color w:val="000000"/>
        </w:rPr>
        <w:t xml:space="preserve">was </w:t>
      </w:r>
      <w:r>
        <w:rPr>
          <w:color w:val="000000"/>
        </w:rPr>
        <w:t xml:space="preserve">estimated </w:t>
      </w:r>
      <w:r w:rsidRPr="00734B19">
        <w:rPr>
          <w:color w:val="000000"/>
        </w:rPr>
        <w:t>2</w:t>
      </w:r>
      <w:r>
        <w:rPr>
          <w:color w:val="000000"/>
        </w:rPr>
        <w:t>.1</w:t>
      </w:r>
      <w:r w:rsidRPr="00734B19">
        <w:rPr>
          <w:color w:val="000000"/>
        </w:rPr>
        <w:t xml:space="preserve">% in 2015 </w:t>
      </w:r>
      <w:r>
        <w:rPr>
          <w:color w:val="000000"/>
        </w:rPr>
        <w:fldChar w:fldCharType="begin"/>
      </w:r>
      <w:r>
        <w:rPr>
          <w:color w:val="000000"/>
        </w:rPr>
        <w:instrText xml:space="preserve"> ADDIN ZOTERO_ITEM CSL_CITATION {"citationID":"adpep86e5i","properties":{"formattedCitation":"(Alemu 2015)","plainCitation":"(Alemu 2015)","noteIndex":0},"citationItems":[{"id":128,"uris":["http://zotero.org/users/4264928/items/PK2JP8ZJ"],"uri":["http://zotero.org/users/4264928/items/PK2JP8ZJ"],"itemData":{"id":128,"type":"article-journal","title":"Prevalence of Diabetes Mellitus Disease and its Association with Level of Education Among Adult Patients Attending at Dilla Referral Hospital, Ethiopia","container-title":"Journal of Diabetes &amp; Metabolism","volume":"6","issue":"4","source":"www.omicsonline.org","abstract":"Diabetes mellitus is becoming one of the major health problems in the developing countries. As the International Diabetes Federation suggests that the number of adults living with diabetes worldwide was increasing from time to time. The aim of this study is to assess the educational level of Diabetic patients as well as service given to them and the frequency of the disease over last four years at Dilla Referral Hospital. Data was collected through self administer/interviewer administer questionnaire and document review. According to this finding more exposure to diabetes disease, it must be was found an illiterate individuals 15 (37.50%) followed by Primary school, College and University level individuals 9 (22.50%), 6 (15.00%), 5 (12.50%) respectively. Diabetes type II diseases were highly prevalent across the year than Diabetes type I. The prevalence of diabetes mellitus is increasing and type II is more predominate than type I at Dilla Referral Hospital. Therefore, appropriate actions need to be taken to provide access like education and treatment in order to reduce associated complications","URL":"https://www.omicsonline.org/open-access/prevalence-of-diabetes-mellitus-disease-and-its-association-with-levelof-education-among-adult-patients-attending-at-dilla-referral-hospitalethiopia-2155-6156-1000521.php?aid=50808","DOI":"10.4172/2155-6156.1000521","ISSN":"2155-6156","language":"En","author":[{"family":"Alemu","given":"Fekadu"}],"issued":{"date-parts":[["2015",3,23]]},"accessed":{"date-parts":[["2018",2,4]]}}}],"schema":"https://github.com/citation-style-language/schema/raw/master/csl-citation.json"} </w:instrText>
      </w:r>
      <w:r>
        <w:rPr>
          <w:color w:val="000000"/>
        </w:rPr>
        <w:fldChar w:fldCharType="separate"/>
      </w:r>
      <w:r w:rsidRPr="00980C41">
        <w:t>(Alemu 2015)</w:t>
      </w:r>
      <w:r>
        <w:rPr>
          <w:color w:val="000000"/>
        </w:rPr>
        <w:fldChar w:fldCharType="end"/>
      </w:r>
      <w:r w:rsidRPr="00734B19">
        <w:rPr>
          <w:color w:val="000000"/>
        </w:rPr>
        <w:t>.</w:t>
      </w:r>
      <w:r>
        <w:rPr>
          <w:color w:val="000000"/>
        </w:rPr>
        <w:t xml:space="preserve">  </w:t>
      </w:r>
    </w:p>
    <w:p w:rsidR="00863E61" w:rsidRDefault="00863E61" w:rsidP="00863E61">
      <w:pPr>
        <w:spacing w:line="480" w:lineRule="auto"/>
        <w:ind w:firstLine="720"/>
      </w:pPr>
      <w:r>
        <w:rPr>
          <w:color w:val="000000"/>
          <w:shd w:val="clear" w:color="auto" w:fill="FFFFFF"/>
        </w:rPr>
        <w:t>T</w:t>
      </w:r>
      <w:r w:rsidRPr="00734B19">
        <w:rPr>
          <w:color w:val="000000"/>
          <w:shd w:val="clear" w:color="auto" w:fill="FFFFFF"/>
        </w:rPr>
        <w:t xml:space="preserve">he prevalence of T2D among Ethiopian immigrants in the </w:t>
      </w:r>
      <w:r>
        <w:rPr>
          <w:color w:val="000000"/>
          <w:shd w:val="clear" w:color="auto" w:fill="FFFFFF"/>
        </w:rPr>
        <w:t xml:space="preserve">United States </w:t>
      </w:r>
      <w:r w:rsidRPr="00734B19">
        <w:rPr>
          <w:color w:val="000000"/>
          <w:shd w:val="clear" w:color="auto" w:fill="FFFFFF"/>
        </w:rPr>
        <w:t>is unknown</w:t>
      </w:r>
      <w:r>
        <w:rPr>
          <w:color w:val="000000"/>
          <w:shd w:val="clear" w:color="auto" w:fill="FFFFFF"/>
        </w:rPr>
        <w:t xml:space="preserve">.  </w:t>
      </w:r>
      <w:r w:rsidRPr="004E3594">
        <w:t xml:space="preserve">Tareen </w:t>
      </w:r>
      <w:r w:rsidRPr="004E3594">
        <w:rPr>
          <w:i/>
        </w:rPr>
        <w:t>et al</w:t>
      </w:r>
      <w:r w:rsidRPr="004E3594">
        <w:t xml:space="preserve">. (2005) reported that the prevalence for African Americans in the </w:t>
      </w:r>
      <w:r>
        <w:t>United States</w:t>
      </w:r>
      <w:r w:rsidRPr="004E3594">
        <w:t xml:space="preserve"> was 15% (Ethiopian immigrants are part of this data) (Tareen </w:t>
      </w:r>
      <w:r w:rsidRPr="004E3594">
        <w:rPr>
          <w:i/>
        </w:rPr>
        <w:t>et al</w:t>
      </w:r>
      <w:r w:rsidRPr="004E3594">
        <w:t>. 2005).</w:t>
      </w:r>
      <w:r>
        <w:t xml:space="preserve">    </w:t>
      </w:r>
    </w:p>
    <w:p w:rsidR="00863E61" w:rsidRPr="00734B19" w:rsidRDefault="00863E61" w:rsidP="00863E61">
      <w:pPr>
        <w:spacing w:line="480" w:lineRule="auto"/>
        <w:ind w:firstLine="720"/>
      </w:pPr>
      <w:r w:rsidRPr="00734B19">
        <w:rPr>
          <w:color w:val="000000"/>
        </w:rPr>
        <w:t xml:space="preserve">The total Ethiopian immigrant population in the </w:t>
      </w:r>
      <w:r>
        <w:rPr>
          <w:color w:val="000000"/>
        </w:rPr>
        <w:t>United States</w:t>
      </w:r>
      <w:r w:rsidRPr="00734B19">
        <w:rPr>
          <w:color w:val="000000"/>
        </w:rPr>
        <w:t xml:space="preserve"> in 2012 was 187,000.</w:t>
      </w:r>
      <w:r>
        <w:rPr>
          <w:color w:val="000000"/>
          <w:shd w:val="clear" w:color="auto" w:fill="FFFFFF"/>
        </w:rPr>
        <w:t xml:space="preserve">  Most of the Ethiopian immigrant population live in Washington DC, Seattle, </w:t>
      </w:r>
      <w:r>
        <w:rPr>
          <w:color w:val="000000"/>
          <w:shd w:val="clear" w:color="auto" w:fill="FFFFFF"/>
        </w:rPr>
        <w:lastRenderedPageBreak/>
        <w:t xml:space="preserve">Minneapolis, and Atlanta.  </w:t>
      </w:r>
      <w:r w:rsidRPr="00734B19">
        <w:rPr>
          <w:color w:val="000000"/>
          <w:shd w:val="clear" w:color="auto" w:fill="FFFFFF"/>
        </w:rPr>
        <w:t xml:space="preserve">According to the 2012 </w:t>
      </w:r>
      <w:r>
        <w:rPr>
          <w:color w:val="000000"/>
          <w:shd w:val="clear" w:color="auto" w:fill="FFFFFF"/>
        </w:rPr>
        <w:t>United States</w:t>
      </w:r>
      <w:r w:rsidRPr="00734B19">
        <w:rPr>
          <w:color w:val="000000"/>
          <w:shd w:val="clear" w:color="auto" w:fill="FFFFFF"/>
        </w:rPr>
        <w:t xml:space="preserve"> Census Bureau, </w:t>
      </w:r>
      <w:r>
        <w:rPr>
          <w:color w:val="000000"/>
          <w:shd w:val="clear" w:color="auto" w:fill="FFFFFF"/>
        </w:rPr>
        <w:t>the highest number of Ethiopian immigrants</w:t>
      </w:r>
      <w:r w:rsidR="00FF2EFE">
        <w:rPr>
          <w:color w:val="000000"/>
          <w:shd w:val="clear" w:color="auto" w:fill="FFFFFF"/>
        </w:rPr>
        <w:t>,</w:t>
      </w:r>
      <w:r>
        <w:rPr>
          <w:color w:val="000000"/>
          <w:shd w:val="clear" w:color="auto" w:fill="FFFFFF"/>
        </w:rPr>
        <w:t xml:space="preserve"> </w:t>
      </w:r>
      <w:r w:rsidRPr="00734B19">
        <w:rPr>
          <w:color w:val="000000"/>
          <w:shd w:val="clear" w:color="auto" w:fill="FFFFFF"/>
        </w:rPr>
        <w:t>an estimated 37,924 adult</w:t>
      </w:r>
      <w:r>
        <w:rPr>
          <w:color w:val="000000"/>
          <w:shd w:val="clear" w:color="auto" w:fill="FFFFFF"/>
        </w:rPr>
        <w:t xml:space="preserve">, age greater than 18 and older, live in the </w:t>
      </w:r>
      <w:r w:rsidRPr="00734B19">
        <w:rPr>
          <w:color w:val="000000"/>
          <w:shd w:val="clear" w:color="auto" w:fill="FFFFFF"/>
        </w:rPr>
        <w:t>Washington DC metro area (</w:t>
      </w:r>
      <w:proofErr w:type="spellStart"/>
      <w:r w:rsidRPr="00734B19">
        <w:rPr>
          <w:color w:val="000000"/>
        </w:rPr>
        <w:t>Ogunwole</w:t>
      </w:r>
      <w:proofErr w:type="spellEnd"/>
      <w:r>
        <w:rPr>
          <w:color w:val="000000"/>
        </w:rPr>
        <w:t xml:space="preserve"> </w:t>
      </w:r>
      <w:r w:rsidRPr="00FF72CE">
        <w:rPr>
          <w:i/>
          <w:color w:val="000000"/>
        </w:rPr>
        <w:t>et al</w:t>
      </w:r>
      <w:r>
        <w:rPr>
          <w:color w:val="000000"/>
        </w:rPr>
        <w:t>.</w:t>
      </w:r>
      <w:r w:rsidRPr="00734B19">
        <w:rPr>
          <w:color w:val="000000"/>
        </w:rPr>
        <w:t xml:space="preserve"> 2017).</w:t>
      </w:r>
    </w:p>
    <w:p w:rsidR="00863E61" w:rsidRDefault="00863E61" w:rsidP="00863E61">
      <w:pPr>
        <w:spacing w:line="480" w:lineRule="auto"/>
        <w:ind w:firstLine="720"/>
      </w:pPr>
      <w:r w:rsidRPr="00734B19">
        <w:rPr>
          <w:color w:val="000000"/>
        </w:rPr>
        <w:t xml:space="preserve">In </w:t>
      </w:r>
      <w:r>
        <w:rPr>
          <w:color w:val="000000"/>
        </w:rPr>
        <w:t xml:space="preserve">the </w:t>
      </w:r>
      <w:r w:rsidRPr="00734B19">
        <w:rPr>
          <w:color w:val="000000"/>
        </w:rPr>
        <w:t xml:space="preserve">Washington DC metro area, </w:t>
      </w:r>
      <w:r w:rsidR="007B351A">
        <w:rPr>
          <w:color w:val="000000"/>
        </w:rPr>
        <w:t>t</w:t>
      </w:r>
      <w:r>
        <w:rPr>
          <w:color w:val="000000"/>
        </w:rPr>
        <w:t xml:space="preserve">he </w:t>
      </w:r>
      <w:r w:rsidRPr="00734B19">
        <w:rPr>
          <w:color w:val="000000"/>
        </w:rPr>
        <w:t xml:space="preserve">Office of </w:t>
      </w:r>
      <w:r>
        <w:rPr>
          <w:color w:val="000000"/>
        </w:rPr>
        <w:t>M</w:t>
      </w:r>
      <w:r w:rsidRPr="00734B19">
        <w:rPr>
          <w:color w:val="000000"/>
        </w:rPr>
        <w:t xml:space="preserve">inority Health </w:t>
      </w:r>
      <w:r>
        <w:rPr>
          <w:color w:val="000000"/>
        </w:rPr>
        <w:t>S</w:t>
      </w:r>
      <w:r w:rsidRPr="00734B19">
        <w:rPr>
          <w:color w:val="000000"/>
        </w:rPr>
        <w:t>ystem</w:t>
      </w:r>
      <w:r w:rsidR="007B351A">
        <w:rPr>
          <w:color w:val="000000"/>
        </w:rPr>
        <w:t xml:space="preserve"> (OMHS)</w:t>
      </w:r>
      <w:r w:rsidRPr="00734B19">
        <w:rPr>
          <w:color w:val="000000"/>
        </w:rPr>
        <w:t xml:space="preserve"> provides and utilizes health care services </w:t>
      </w:r>
      <w:r>
        <w:rPr>
          <w:color w:val="000000"/>
        </w:rPr>
        <w:t>for</w:t>
      </w:r>
      <w:r w:rsidRPr="00734B19">
        <w:rPr>
          <w:color w:val="000000"/>
        </w:rPr>
        <w:t xml:space="preserve"> the Ethiopian </w:t>
      </w:r>
      <w:r w:rsidR="007B351A">
        <w:rPr>
          <w:color w:val="000000"/>
        </w:rPr>
        <w:t xml:space="preserve">residents and other minorities.  </w:t>
      </w:r>
      <w:r>
        <w:rPr>
          <w:color w:val="000000"/>
          <w:u w:val="single"/>
        </w:rPr>
        <w:t xml:space="preserve"> </w:t>
      </w:r>
      <w:r>
        <w:t xml:space="preserve"> </w:t>
      </w:r>
    </w:p>
    <w:p w:rsidR="00863E61" w:rsidRDefault="00863E61" w:rsidP="00863E61">
      <w:pPr>
        <w:spacing w:line="480" w:lineRule="auto"/>
        <w:ind w:firstLine="720"/>
        <w:rPr>
          <w:color w:val="000000"/>
        </w:rPr>
      </w:pPr>
      <w:r>
        <w:rPr>
          <w:color w:val="000000"/>
        </w:rPr>
        <w:t xml:space="preserve">I will take a representative sample </w:t>
      </w:r>
      <w:r w:rsidR="007B351A">
        <w:rPr>
          <w:color w:val="000000"/>
        </w:rPr>
        <w:t xml:space="preserve">of </w:t>
      </w:r>
      <w:r>
        <w:rPr>
          <w:color w:val="000000"/>
        </w:rPr>
        <w:t>from the medical records</w:t>
      </w:r>
      <w:r w:rsidR="007B351A">
        <w:rPr>
          <w:color w:val="000000"/>
        </w:rPr>
        <w:t xml:space="preserve"> access through this organization.  T</w:t>
      </w:r>
      <w:r>
        <w:rPr>
          <w:color w:val="000000"/>
        </w:rPr>
        <w:t xml:space="preserve">hen, from the sample, I will abstract T2D data to estimate the </w:t>
      </w:r>
      <w:r w:rsidR="007B351A">
        <w:rPr>
          <w:color w:val="000000"/>
        </w:rPr>
        <w:t xml:space="preserve">deidentified </w:t>
      </w:r>
      <w:r>
        <w:rPr>
          <w:color w:val="000000"/>
        </w:rPr>
        <w:t xml:space="preserve">prevalence of the Ethiopian immigrants in the United states using the following formula: </w:t>
      </w:r>
    </w:p>
    <w:p w:rsidR="004D7B71" w:rsidRDefault="004D7B71" w:rsidP="00863E61">
      <w:pPr>
        <w:rPr>
          <w:color w:val="000000"/>
        </w:rPr>
      </w:pPr>
    </w:p>
    <w:p w:rsidR="008E74F0" w:rsidRDefault="008E74F0" w:rsidP="00863E61">
      <w:pPr>
        <w:rPr>
          <w:color w:val="000000"/>
        </w:rPr>
      </w:pPr>
    </w:p>
    <w:p w:rsidR="00863E61" w:rsidRPr="00734B19" w:rsidRDefault="00863E61" w:rsidP="00863E61">
      <w:r w:rsidRPr="00734B19">
        <w:rPr>
          <w:color w:val="000000"/>
        </w:rPr>
        <w:t xml:space="preserve">Prevalence = </w:t>
      </w:r>
      <w:r w:rsidRPr="00734B19">
        <w:rPr>
          <w:color w:val="000000"/>
          <w:u w:val="single"/>
        </w:rPr>
        <w:t>Number of people diagnosed with the disease</w:t>
      </w:r>
      <w:r w:rsidRPr="00734B19">
        <w:rPr>
          <w:color w:val="000000"/>
        </w:rPr>
        <w:t xml:space="preserve"> X 100</w:t>
      </w:r>
    </w:p>
    <w:p w:rsidR="00863E61" w:rsidRPr="00734B19" w:rsidRDefault="00863E61" w:rsidP="00863E61">
      <w:r w:rsidRPr="00734B19">
        <w:rPr>
          <w:color w:val="000000"/>
        </w:rPr>
        <w:t xml:space="preserve">                    </w:t>
      </w:r>
      <w:r w:rsidRPr="00734B19">
        <w:rPr>
          <w:color w:val="000000"/>
        </w:rPr>
        <w:tab/>
        <w:t xml:space="preserve">        </w:t>
      </w:r>
      <w:r w:rsidRPr="00734B19">
        <w:rPr>
          <w:color w:val="000000"/>
        </w:rPr>
        <w:tab/>
        <w:t xml:space="preserve"> Total population</w:t>
      </w:r>
    </w:p>
    <w:p w:rsidR="008E74F0" w:rsidRDefault="00863E61" w:rsidP="00863E61">
      <w:pPr>
        <w:rPr>
          <w:color w:val="000000"/>
        </w:rPr>
      </w:pPr>
      <w:r w:rsidRPr="00734B19">
        <w:rPr>
          <w:color w:val="000000"/>
        </w:rPr>
        <w:t xml:space="preserve">        </w:t>
      </w:r>
    </w:p>
    <w:p w:rsidR="00863E61" w:rsidRDefault="00863E61" w:rsidP="00863E61">
      <w:pPr>
        <w:rPr>
          <w:color w:val="000000"/>
        </w:rPr>
      </w:pPr>
      <w:r w:rsidRPr="00734B19">
        <w:rPr>
          <w:color w:val="000000"/>
        </w:rPr>
        <w:tab/>
      </w:r>
    </w:p>
    <w:p w:rsidR="00195EAE" w:rsidRDefault="00863E61" w:rsidP="00755EC4">
      <w:pPr>
        <w:spacing w:line="480" w:lineRule="auto"/>
        <w:ind w:firstLine="720"/>
        <w:rPr>
          <w:b/>
          <w:bCs/>
          <w:color w:val="000000"/>
        </w:rPr>
      </w:pPr>
      <w:r>
        <w:t>I am hypostasizing that the expected estimate prevalence for the Ethiopian immigrant population will vary between 2% (native Ethiopian) and 15% (African American).</w:t>
      </w:r>
    </w:p>
    <w:p w:rsidR="00195EAE" w:rsidRPr="003203FA" w:rsidRDefault="00195EAE" w:rsidP="00195EAE">
      <w:pPr>
        <w:spacing w:line="480" w:lineRule="auto"/>
        <w:rPr>
          <w:b/>
        </w:rPr>
      </w:pPr>
      <w:r w:rsidRPr="003203FA">
        <w:rPr>
          <w:b/>
          <w:bCs/>
          <w:color w:val="000000"/>
        </w:rPr>
        <w:t xml:space="preserve">Aim 2: </w:t>
      </w:r>
      <w:bookmarkStart w:id="17" w:name="_Hlk515977281"/>
      <w:r w:rsidRPr="00343615">
        <w:rPr>
          <w:rFonts w:eastAsiaTheme="minorEastAsia"/>
          <w:b/>
          <w:color w:val="000000" w:themeColor="text1"/>
          <w:kern w:val="24"/>
        </w:rPr>
        <w:t xml:space="preserve">Systematic </w:t>
      </w:r>
      <w:r>
        <w:rPr>
          <w:rFonts w:eastAsiaTheme="minorEastAsia"/>
          <w:b/>
          <w:color w:val="000000" w:themeColor="text1"/>
          <w:kern w:val="24"/>
        </w:rPr>
        <w:t>review</w:t>
      </w:r>
      <w:r w:rsidRPr="00343615">
        <w:rPr>
          <w:rFonts w:eastAsiaTheme="minorEastAsia"/>
          <w:b/>
          <w:color w:val="000000" w:themeColor="text1"/>
          <w:kern w:val="24"/>
        </w:rPr>
        <w:t xml:space="preserve"> of literature on world-wide Genome Wide Association Studies (GWAS) to identify genes that have been found to be associated with T2D more frequently</w:t>
      </w:r>
      <w:r w:rsidRPr="003203FA">
        <w:rPr>
          <w:b/>
        </w:rPr>
        <w:t xml:space="preserve"> </w:t>
      </w:r>
    </w:p>
    <w:bookmarkEnd w:id="17"/>
    <w:p w:rsidR="00195EAE" w:rsidRPr="00CA7899" w:rsidRDefault="00195EAE" w:rsidP="00195EAE">
      <w:pPr>
        <w:spacing w:line="480" w:lineRule="auto"/>
        <w:ind w:firstLine="720"/>
      </w:pPr>
      <w:r w:rsidRPr="00CA7899">
        <w:t xml:space="preserve">The </w:t>
      </w:r>
      <w:r>
        <w:t>purpose of this aim was to c</w:t>
      </w:r>
      <w:r w:rsidRPr="00CA7899">
        <w:t xml:space="preserve">onduct a systematic review to examine the literature reporting the genes </w:t>
      </w:r>
      <w:r>
        <w:t xml:space="preserve">that were associated with T2D </w:t>
      </w:r>
      <w:r w:rsidRPr="00CA7899">
        <w:t>researchers identified using GWAS.</w:t>
      </w:r>
      <w:r w:rsidR="00FF2EFE">
        <w:t xml:space="preserve">  A</w:t>
      </w:r>
      <w:r w:rsidR="00FF2EFE" w:rsidRPr="00CA7899">
        <w:t>ccording to the 2009 PRISMA guidelines checklist</w:t>
      </w:r>
      <w:r w:rsidR="00FF2EFE">
        <w:t xml:space="preserve"> (PRISMA, 2009), </w:t>
      </w:r>
      <w:r w:rsidRPr="00CA7899">
        <w:t xml:space="preserve">I searched PubMed and </w:t>
      </w:r>
      <w:r>
        <w:t xml:space="preserve">used </w:t>
      </w:r>
      <w:proofErr w:type="spellStart"/>
      <w:r w:rsidRPr="00CA7899">
        <w:t>MeSH</w:t>
      </w:r>
      <w:proofErr w:type="spellEnd"/>
      <w:r>
        <w:t xml:space="preserve"> (Medical Subject Headings)</w:t>
      </w:r>
      <w:r w:rsidRPr="00CA7899">
        <w:t xml:space="preserve"> </w:t>
      </w:r>
      <w:bookmarkStart w:id="18" w:name="_Hlk515968015"/>
      <w:r>
        <w:t xml:space="preserve">terms </w:t>
      </w:r>
      <w:r w:rsidRPr="00CA7899">
        <w:t>to retrieve relevant articles</w:t>
      </w:r>
      <w:bookmarkEnd w:id="18"/>
      <w:r>
        <w:t>.</w:t>
      </w:r>
      <w:r w:rsidRPr="00CA7899">
        <w:t xml:space="preserve"> </w:t>
      </w:r>
      <w:r>
        <w:t xml:space="preserve"> </w:t>
      </w:r>
      <w:r w:rsidRPr="00CA7899">
        <w:t>A search constraint for articles published between January 200</w:t>
      </w:r>
      <w:r>
        <w:t>9</w:t>
      </w:r>
      <w:r w:rsidRPr="00CA7899">
        <w:t xml:space="preserve"> and January 2017 was applied.</w:t>
      </w:r>
      <w:r>
        <w:t xml:space="preserve">  </w:t>
      </w:r>
      <w:r w:rsidRPr="008D27AF">
        <w:t xml:space="preserve">I </w:t>
      </w:r>
      <w:r w:rsidR="00FF2EFE">
        <w:t>s</w:t>
      </w:r>
      <w:r w:rsidRPr="008D27AF">
        <w:t>earch</w:t>
      </w:r>
      <w:r w:rsidR="00FF2EFE">
        <w:t>ed</w:t>
      </w:r>
      <w:r w:rsidRPr="008D27AF">
        <w:t xml:space="preserve"> PubMed </w:t>
      </w:r>
      <w:r>
        <w:t xml:space="preserve">using </w:t>
      </w:r>
      <w:proofErr w:type="spellStart"/>
      <w:r>
        <w:t>MeSH</w:t>
      </w:r>
      <w:proofErr w:type="spellEnd"/>
      <w:r>
        <w:t xml:space="preserve"> terms f</w:t>
      </w:r>
      <w:r w:rsidRPr="008D27AF">
        <w:t xml:space="preserve">or all published studies: </w:t>
      </w:r>
      <w:r w:rsidRPr="008D27AF">
        <w:lastRenderedPageBreak/>
        <w:t xml:space="preserve">((Genome-Wide Association </w:t>
      </w:r>
      <w:proofErr w:type="gramStart"/>
      <w:r w:rsidRPr="008D27AF">
        <w:t>Study[</w:t>
      </w:r>
      <w:proofErr w:type="spellStart"/>
      <w:proofErr w:type="gramEnd"/>
      <w:r w:rsidRPr="008D27AF">
        <w:t>MeSH</w:t>
      </w:r>
      <w:proofErr w:type="spellEnd"/>
      <w:r w:rsidRPr="008D27AF">
        <w:t xml:space="preserve"> Major Topic]) AND type 2 diabetes[</w:t>
      </w:r>
      <w:proofErr w:type="spellStart"/>
      <w:r w:rsidRPr="008D27AF">
        <w:t>MeSH</w:t>
      </w:r>
      <w:proofErr w:type="spellEnd"/>
      <w:r w:rsidRPr="008D27AF">
        <w:t xml:space="preserve"> Major Topic]).</w:t>
      </w:r>
      <w:r>
        <w:t xml:space="preserve">  </w:t>
      </w:r>
      <w:r w:rsidRPr="00CA7899">
        <w:t xml:space="preserve">The work-flow of the systematic review I used </w:t>
      </w:r>
      <w:r w:rsidR="00FF2EFE">
        <w:t>is</w:t>
      </w:r>
      <w:r w:rsidRPr="00CA7899">
        <w:t xml:space="preserve"> as follow</w:t>
      </w:r>
      <w:r>
        <w:t>:</w:t>
      </w:r>
    </w:p>
    <w:p w:rsidR="00195EAE" w:rsidRDefault="00195EAE" w:rsidP="00195EAE">
      <w:pPr>
        <w:ind w:left="720" w:firstLine="720"/>
      </w:pPr>
      <w:r w:rsidRPr="00CA7899">
        <w:t xml:space="preserve">Identification </w:t>
      </w:r>
      <w:r w:rsidRPr="00CA7899">
        <w:sym w:font="Wingdings" w:char="F0E0"/>
      </w:r>
      <w:r w:rsidRPr="00CA7899">
        <w:t xml:space="preserve"> Screening </w:t>
      </w:r>
      <w:r w:rsidRPr="00CA7899">
        <w:sym w:font="Wingdings" w:char="F0E0"/>
      </w:r>
      <w:r w:rsidRPr="00CA7899">
        <w:t xml:space="preserve"> </w:t>
      </w:r>
      <w:r>
        <w:t>E</w:t>
      </w:r>
      <w:r w:rsidRPr="00CA7899">
        <w:t xml:space="preserve">ligibility </w:t>
      </w:r>
      <w:r w:rsidRPr="00CA7899">
        <w:sym w:font="Wingdings" w:char="F0E0"/>
      </w:r>
      <w:r w:rsidRPr="00CA7899">
        <w:t xml:space="preserve"> </w:t>
      </w:r>
      <w:r>
        <w:t>I</w:t>
      </w:r>
      <w:r w:rsidRPr="00CA7899">
        <w:t>nclude</w:t>
      </w:r>
      <w:r>
        <w:t>d</w:t>
      </w:r>
    </w:p>
    <w:p w:rsidR="00195EAE" w:rsidRDefault="00195EAE" w:rsidP="00195EAE"/>
    <w:p w:rsidR="003E3445" w:rsidRDefault="003E3445" w:rsidP="00195EAE"/>
    <w:p w:rsidR="003E3445" w:rsidRDefault="003E3445" w:rsidP="00195EAE"/>
    <w:p w:rsidR="00195EAE" w:rsidRDefault="00195EAE" w:rsidP="00195EAE">
      <w:r>
        <w:t xml:space="preserve">Table 1. </w:t>
      </w:r>
      <w:r w:rsidRPr="00CA7899">
        <w:t>The work-flow of the systematic review</w:t>
      </w:r>
    </w:p>
    <w:p w:rsidR="00195EAE" w:rsidRDefault="00195EAE" w:rsidP="00195EAE"/>
    <w:p w:rsidR="00195EAE" w:rsidRDefault="00195EAE" w:rsidP="00195EAE">
      <w:r>
        <w:rPr>
          <w:noProof/>
        </w:rPr>
        <mc:AlternateContent>
          <mc:Choice Requires="wps">
            <w:drawing>
              <wp:anchor distT="0" distB="0" distL="114300" distR="114300" simplePos="0" relativeHeight="251664384" behindDoc="0" locked="0" layoutInCell="1" allowOverlap="1" wp14:anchorId="2DF3ECBE" wp14:editId="01CDF83D">
                <wp:simplePos x="0" y="0"/>
                <wp:positionH relativeFrom="column">
                  <wp:posOffset>3228975</wp:posOffset>
                </wp:positionH>
                <wp:positionV relativeFrom="paragraph">
                  <wp:posOffset>11430</wp:posOffset>
                </wp:positionV>
                <wp:extent cx="1590675" cy="4762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59067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C14B24" w:rsidRDefault="005B7FF0" w:rsidP="00195EAE">
                            <w:pPr>
                              <w:jc w:val="center"/>
                            </w:pPr>
                            <w:r w:rsidRPr="00C14B24">
                              <w:t>PubMed T2D 962,038 January 2009</w:t>
                            </w:r>
                            <w:r>
                              <w:t xml:space="preserve"> - </w:t>
                            </w:r>
                            <w:r w:rsidRPr="00C14B24">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ECBE" id="Rectangle 10" o:spid="_x0000_s1027" style="position:absolute;margin-left:254.25pt;margin-top:.9pt;width:125.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" fillcolor="window" strokecolor="windowText" strokeweight="1pt">
                <v:textbox>
                  <w:txbxContent>
                    <w:p w:rsidR="005B7FF0" w:rsidRPr="00C14B24" w:rsidRDefault="005B7FF0" w:rsidP="00195EAE">
                      <w:pPr>
                        <w:jc w:val="center"/>
                      </w:pPr>
                      <w:r w:rsidRPr="00C14B24">
                        <w:t>PubMed T2D 962,038 January 2009</w:t>
                      </w:r>
                      <w:r>
                        <w:t xml:space="preserve"> - </w:t>
                      </w:r>
                      <w:r w:rsidRPr="00C14B24">
                        <w:t>2017</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5B8ED03" wp14:editId="3269766B">
                <wp:simplePos x="0" y="0"/>
                <wp:positionH relativeFrom="column">
                  <wp:posOffset>685800</wp:posOffset>
                </wp:positionH>
                <wp:positionV relativeFrom="paragraph">
                  <wp:posOffset>98425</wp:posOffset>
                </wp:positionV>
                <wp:extent cx="1590675" cy="4762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59067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B06434" w:rsidRDefault="005B7FF0" w:rsidP="00195EAE">
                            <w:pPr>
                              <w:jc w:val="center"/>
                              <w:rPr>
                                <w:b/>
                              </w:rPr>
                            </w:pPr>
                            <w:r w:rsidRPr="00B06434">
                              <w:t xml:space="preserve">PubMed GWAS </w:t>
                            </w:r>
                            <w:r w:rsidRPr="00C14B24">
                              <w:t>7,826</w:t>
                            </w:r>
                            <w:r w:rsidRPr="00B06434">
                              <w:rPr>
                                <w:b/>
                              </w:rPr>
                              <w:t xml:space="preserve"> </w:t>
                            </w:r>
                            <w:r w:rsidRPr="00B06434">
                              <w:t>January 2009 - 2017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8ED03" id="_x0000_s1028" style="position:absolute;margin-left:54pt;margin-top:7.75pt;width:125.2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" fillcolor="window" strokecolor="windowText" strokeweight="1pt">
                <v:textbox>
                  <w:txbxContent>
                    <w:p w:rsidR="005B7FF0" w:rsidRPr="00B06434" w:rsidRDefault="005B7FF0" w:rsidP="00195EAE">
                      <w:pPr>
                        <w:jc w:val="center"/>
                        <w:rPr>
                          <w:b/>
                        </w:rPr>
                      </w:pPr>
                      <w:r w:rsidRPr="00B06434">
                        <w:t xml:space="preserve">PubMed GWAS </w:t>
                      </w:r>
                      <w:r w:rsidRPr="00C14B24">
                        <w:t>7,826</w:t>
                      </w:r>
                      <w:r w:rsidRPr="00B06434">
                        <w:rPr>
                          <w:b/>
                        </w:rPr>
                        <w:t xml:space="preserve"> </w:t>
                      </w:r>
                      <w:r w:rsidRPr="00B06434">
                        <w:t>January 2009 - 2017</w:t>
                      </w:r>
                    </w:p>
                  </w:txbxContent>
                </v:textbox>
              </v:rect>
            </w:pict>
          </mc:Fallback>
        </mc:AlternateContent>
      </w:r>
    </w:p>
    <w:p w:rsidR="00195EAE" w:rsidRDefault="00195EAE" w:rsidP="00195EAE">
      <w:r>
        <w:rPr>
          <w:noProof/>
        </w:rPr>
        <mc:AlternateContent>
          <mc:Choice Requires="wps">
            <w:drawing>
              <wp:anchor distT="0" distB="0" distL="114300" distR="114300" simplePos="0" relativeHeight="251663360" behindDoc="0" locked="0" layoutInCell="1" allowOverlap="1" wp14:anchorId="12F0A7B0" wp14:editId="355DC2FC">
                <wp:simplePos x="0" y="0"/>
                <wp:positionH relativeFrom="column">
                  <wp:posOffset>-362266</wp:posOffset>
                </wp:positionH>
                <wp:positionV relativeFrom="paragraph">
                  <wp:posOffset>228917</wp:posOffset>
                </wp:positionV>
                <wp:extent cx="1066800" cy="276225"/>
                <wp:effectExtent l="0" t="4763" r="14288" b="14287"/>
                <wp:wrapNone/>
                <wp:docPr id="11" name="Rectangle 11"/>
                <wp:cNvGraphicFramePr/>
                <a:graphic xmlns:a="http://schemas.openxmlformats.org/drawingml/2006/main">
                  <a:graphicData uri="http://schemas.microsoft.com/office/word/2010/wordprocessingShape">
                    <wps:wsp>
                      <wps:cNvSpPr/>
                      <wps:spPr>
                        <a:xfrm rot="16200000">
                          <a:off x="0" y="0"/>
                          <a:ext cx="106680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6E62B2" w:rsidRDefault="005B7FF0" w:rsidP="00195EAE">
                            <w:pPr>
                              <w:jc w:val="center"/>
                            </w:pPr>
                            <w:r w:rsidRPr="006E62B2">
                              <w:t xml:space="preserve">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A7B0" id="Rectangle 11" o:spid="_x0000_s1029" style="position:absolute;margin-left:-28.5pt;margin-top:18pt;width:84pt;height:21.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" fillcolor="window" strokecolor="windowText" strokeweight="1pt">
                <v:textbox>
                  <w:txbxContent>
                    <w:p w:rsidR="005B7FF0" w:rsidRPr="006E62B2" w:rsidRDefault="005B7FF0" w:rsidP="00195EAE">
                      <w:pPr>
                        <w:jc w:val="center"/>
                      </w:pPr>
                      <w:r w:rsidRPr="006E62B2">
                        <w:t xml:space="preserve">Identification </w:t>
                      </w:r>
                    </w:p>
                  </w:txbxContent>
                </v:textbox>
              </v:rect>
            </w:pict>
          </mc:Fallback>
        </mc:AlternateContent>
      </w:r>
    </w:p>
    <w:p w:rsidR="00195EAE" w:rsidRDefault="00195EAE" w:rsidP="00195EAE">
      <w:r>
        <w:rPr>
          <w:noProof/>
        </w:rPr>
        <mc:AlternateContent>
          <mc:Choice Requires="wps">
            <w:drawing>
              <wp:anchor distT="0" distB="0" distL="114300" distR="114300" simplePos="0" relativeHeight="251672576" behindDoc="0" locked="0" layoutInCell="1" allowOverlap="1" wp14:anchorId="690E124A" wp14:editId="5BE08B6E">
                <wp:simplePos x="0" y="0"/>
                <wp:positionH relativeFrom="column">
                  <wp:posOffset>2999740</wp:posOffset>
                </wp:positionH>
                <wp:positionV relativeFrom="paragraph">
                  <wp:posOffset>141605</wp:posOffset>
                </wp:positionV>
                <wp:extent cx="333375" cy="40957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33337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DD0F3B" id="_x0000_t32" coordsize="21600,21600" o:spt="32" o:oned="t" path="m,l21600,21600e" filled="f">
                <v:path arrowok="t" fillok="f" o:connecttype="none"/>
                <o:lock v:ext="edit" shapetype="t"/>
              </v:shapetype>
              <v:shape id="Straight Arrow Connector 16" o:spid="_x0000_s1026" type="#_x0000_t32" style="position:absolute;margin-left:236.2pt;margin-top:11.15pt;width:26.25pt;height:3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" strokecolor="windowText" strokeweight=".5pt">
                <v:stroke endarrow="block" joinstyle="miter"/>
              </v:shape>
            </w:pict>
          </mc:Fallback>
        </mc:AlternateContent>
      </w:r>
    </w:p>
    <w:p w:rsidR="00195EAE" w:rsidRDefault="00195EAE" w:rsidP="00195EAE">
      <w:r>
        <w:rPr>
          <w:noProof/>
        </w:rPr>
        <mc:AlternateContent>
          <mc:Choice Requires="wps">
            <w:drawing>
              <wp:anchor distT="0" distB="0" distL="114300" distR="114300" simplePos="0" relativeHeight="251671552" behindDoc="0" locked="0" layoutInCell="1" allowOverlap="1" wp14:anchorId="5051E00A" wp14:editId="700CBABE">
                <wp:simplePos x="0" y="0"/>
                <wp:positionH relativeFrom="column">
                  <wp:posOffset>1552575</wp:posOffset>
                </wp:positionH>
                <wp:positionV relativeFrom="paragraph">
                  <wp:posOffset>137796</wp:posOffset>
                </wp:positionV>
                <wp:extent cx="390525" cy="304800"/>
                <wp:effectExtent l="0" t="0" r="85725" b="57150"/>
                <wp:wrapNone/>
                <wp:docPr id="14" name="Straight Arrow Connector 14"/>
                <wp:cNvGraphicFramePr/>
                <a:graphic xmlns:a="http://schemas.openxmlformats.org/drawingml/2006/main">
                  <a:graphicData uri="http://schemas.microsoft.com/office/word/2010/wordprocessingShape">
                    <wps:wsp>
                      <wps:cNvCnPr/>
                      <wps:spPr>
                        <a:xfrm>
                          <a:off x="0" y="0"/>
                          <a:ext cx="39052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D8F6B7" id="Straight Arrow Connector 14" o:spid="_x0000_s1026" type="#_x0000_t32" style="position:absolute;margin-left:122.25pt;margin-top:10.85pt;width:30.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">
                <v:stroke endarrow="block"/>
              </v:shape>
            </w:pict>
          </mc:Fallback>
        </mc:AlternateContent>
      </w:r>
    </w:p>
    <w:p w:rsidR="00195EAE" w:rsidRDefault="00195EAE" w:rsidP="00195EAE"/>
    <w:p w:rsidR="00195EAE" w:rsidRDefault="00195EAE" w:rsidP="00195EAE">
      <w:r>
        <w:rPr>
          <w:noProof/>
        </w:rPr>
        <mc:AlternateContent>
          <mc:Choice Requires="wps">
            <w:drawing>
              <wp:anchor distT="0" distB="0" distL="114300" distR="114300" simplePos="0" relativeHeight="251668480" behindDoc="0" locked="0" layoutInCell="1" allowOverlap="1" wp14:anchorId="3365066E" wp14:editId="45B48A18">
                <wp:simplePos x="0" y="0"/>
                <wp:positionH relativeFrom="column">
                  <wp:posOffset>3600450</wp:posOffset>
                </wp:positionH>
                <wp:positionV relativeFrom="paragraph">
                  <wp:posOffset>86995</wp:posOffset>
                </wp:positionV>
                <wp:extent cx="1552575" cy="666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55257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C14B24" w:rsidRDefault="005B7FF0" w:rsidP="00195EAE">
                            <w:pPr>
                              <w:jc w:val="center"/>
                            </w:pPr>
                            <w:r w:rsidRPr="00C14B24">
                              <w:t xml:space="preserve">118 Articles excluded after title/abstract screen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066E" id="Rectangle 12" o:spid="_x0000_s1030" style="position:absolute;margin-left:283.5pt;margin-top:6.85pt;width:122.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" fillcolor="window" strokecolor="windowText" strokeweight="1pt">
                <v:textbox>
                  <w:txbxContent>
                    <w:p w:rsidR="005B7FF0" w:rsidRPr="00C14B24" w:rsidRDefault="005B7FF0" w:rsidP="00195EAE">
                      <w:pPr>
                        <w:jc w:val="center"/>
                      </w:pPr>
                      <w:r w:rsidRPr="00C14B24">
                        <w:t xml:space="preserve">118 Articles excluded after title/abstract screen </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A229648" wp14:editId="5BEC20A5">
                <wp:simplePos x="0" y="0"/>
                <wp:positionH relativeFrom="column">
                  <wp:posOffset>1619250</wp:posOffset>
                </wp:positionH>
                <wp:positionV relativeFrom="paragraph">
                  <wp:posOffset>91440</wp:posOffset>
                </wp:positionV>
                <wp:extent cx="1609725" cy="314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097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C14B24" w:rsidRDefault="005B7FF0" w:rsidP="00195EAE">
                            <w:pPr>
                              <w:jc w:val="center"/>
                            </w:pPr>
                            <w:r w:rsidRPr="00C14B24">
                              <w:t xml:space="preserve">185 Citations screened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29648" id="Rectangle 13" o:spid="_x0000_s1031" style="position:absolute;margin-left:127.5pt;margin-top:7.2pt;width:126.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" fillcolor="window" strokecolor="windowText" strokeweight="1pt">
                <v:textbox>
                  <w:txbxContent>
                    <w:p w:rsidR="005B7FF0" w:rsidRPr="00C14B24" w:rsidRDefault="005B7FF0" w:rsidP="00195EAE">
                      <w:pPr>
                        <w:jc w:val="center"/>
                      </w:pPr>
                      <w:r w:rsidRPr="00C14B24">
                        <w:t xml:space="preserve">185 Citations screened </w:t>
                      </w:r>
                    </w:p>
                  </w:txbxContent>
                </v:textbox>
              </v:rect>
            </w:pict>
          </mc:Fallback>
        </mc:AlternateContent>
      </w:r>
    </w:p>
    <w:p w:rsidR="00195EAE" w:rsidRDefault="00195EAE" w:rsidP="00195EAE">
      <w:r>
        <w:rPr>
          <w:noProof/>
        </w:rPr>
        <mc:AlternateContent>
          <mc:Choice Requires="wps">
            <w:drawing>
              <wp:anchor distT="0" distB="0" distL="114300" distR="114300" simplePos="0" relativeHeight="251676672" behindDoc="0" locked="0" layoutInCell="1" allowOverlap="1" wp14:anchorId="0CAD47A4" wp14:editId="6EA20F0E">
                <wp:simplePos x="0" y="0"/>
                <wp:positionH relativeFrom="column">
                  <wp:posOffset>3295015</wp:posOffset>
                </wp:positionH>
                <wp:positionV relativeFrom="paragraph">
                  <wp:posOffset>135255</wp:posOffset>
                </wp:positionV>
                <wp:extent cx="333375" cy="45719"/>
                <wp:effectExtent l="0" t="38100" r="28575" b="88265"/>
                <wp:wrapNone/>
                <wp:docPr id="25" name="Straight Arrow Connector 25"/>
                <wp:cNvGraphicFramePr/>
                <a:graphic xmlns:a="http://schemas.openxmlformats.org/drawingml/2006/main">
                  <a:graphicData uri="http://schemas.microsoft.com/office/word/2010/wordprocessingShape">
                    <wps:wsp>
                      <wps:cNvCnPr/>
                      <wps:spPr>
                        <a:xfrm>
                          <a:off x="0" y="0"/>
                          <a:ext cx="3333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9DDA1" id="Straight Arrow Connector 25" o:spid="_x0000_s1026" type="#_x0000_t32" style="position:absolute;margin-left:259.45pt;margin-top:10.65pt;width:26.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" strokecolor="windowText" strokeweight=".5pt">
                <v:stroke endarrow="block" joinstyle="miter"/>
              </v:shape>
            </w:pict>
          </mc:Fallback>
        </mc:AlternateContent>
      </w:r>
    </w:p>
    <w:p w:rsidR="00195EAE" w:rsidRDefault="00195EAE" w:rsidP="00195EAE">
      <w:r>
        <w:rPr>
          <w:noProof/>
        </w:rPr>
        <mc:AlternateContent>
          <mc:Choice Requires="wps">
            <w:drawing>
              <wp:anchor distT="0" distB="0" distL="114300" distR="114300" simplePos="0" relativeHeight="251662336" behindDoc="0" locked="0" layoutInCell="1" allowOverlap="1" wp14:anchorId="5A2879EE" wp14:editId="5DDA8463">
                <wp:simplePos x="0" y="0"/>
                <wp:positionH relativeFrom="column">
                  <wp:posOffset>-242252</wp:posOffset>
                </wp:positionH>
                <wp:positionV relativeFrom="paragraph">
                  <wp:posOffset>122873</wp:posOffset>
                </wp:positionV>
                <wp:extent cx="814070" cy="275590"/>
                <wp:effectExtent l="2540" t="0" r="26670" b="26670"/>
                <wp:wrapNone/>
                <wp:docPr id="15" name="Rectangle 15"/>
                <wp:cNvGraphicFramePr/>
                <a:graphic xmlns:a="http://schemas.openxmlformats.org/drawingml/2006/main">
                  <a:graphicData uri="http://schemas.microsoft.com/office/word/2010/wordprocessingShape">
                    <wps:wsp>
                      <wps:cNvSpPr/>
                      <wps:spPr>
                        <a:xfrm rot="16200000">
                          <a:off x="0" y="0"/>
                          <a:ext cx="814070" cy="275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6E62B2" w:rsidRDefault="005B7FF0" w:rsidP="00195EAE">
                            <w:pPr>
                              <w:jc w:val="center"/>
                            </w:pPr>
                            <w:r w:rsidRPr="006E62B2">
                              <w:t xml:space="preserve">Screening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879EE" id="Rectangle 15" o:spid="_x0000_s1032" style="position:absolute;margin-left:-19.05pt;margin-top:9.7pt;width:64.1pt;height:21.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" fillcolor="window" strokecolor="windowText" strokeweight="1pt">
                <v:textbox>
                  <w:txbxContent>
                    <w:p w:rsidR="005B7FF0" w:rsidRPr="006E62B2" w:rsidRDefault="005B7FF0" w:rsidP="00195EAE">
                      <w:pPr>
                        <w:jc w:val="center"/>
                      </w:pPr>
                      <w:r w:rsidRPr="006E62B2">
                        <w:t xml:space="preserve">Screening </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315BD82" wp14:editId="1413DB27">
                <wp:simplePos x="0" y="0"/>
                <wp:positionH relativeFrom="column">
                  <wp:posOffset>2381250</wp:posOffset>
                </wp:positionH>
                <wp:positionV relativeFrom="paragraph">
                  <wp:posOffset>122556</wp:posOffset>
                </wp:positionV>
                <wp:extent cx="47625" cy="171450"/>
                <wp:effectExtent l="38100" t="0" r="66675" b="57150"/>
                <wp:wrapNone/>
                <wp:docPr id="20" name="Straight Arrow Connector 20"/>
                <wp:cNvGraphicFramePr/>
                <a:graphic xmlns:a="http://schemas.openxmlformats.org/drawingml/2006/main">
                  <a:graphicData uri="http://schemas.microsoft.com/office/word/2010/wordprocessingShape">
                    <wps:wsp>
                      <wps:cNvCnPr/>
                      <wps:spPr>
                        <a:xfrm>
                          <a:off x="0" y="0"/>
                          <a:ext cx="4762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F2D573" id="Straight Arrow Connector 20" o:spid="_x0000_s1026" type="#_x0000_t32" style="position:absolute;margin-left:187.5pt;margin-top:9.65pt;width:3.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" strokecolor="windowText" strokeweight=".5pt">
                <v:stroke endarrow="block" joinstyle="miter"/>
              </v:shape>
            </w:pict>
          </mc:Fallback>
        </mc:AlternateContent>
      </w:r>
    </w:p>
    <w:p w:rsidR="00195EAE" w:rsidRDefault="00195EAE" w:rsidP="00195EAE">
      <w:r>
        <w:rPr>
          <w:noProof/>
        </w:rPr>
        <mc:AlternateContent>
          <mc:Choice Requires="wps">
            <w:drawing>
              <wp:anchor distT="0" distB="0" distL="114300" distR="114300" simplePos="0" relativeHeight="251670528" behindDoc="0" locked="0" layoutInCell="1" allowOverlap="1" wp14:anchorId="58CB201D" wp14:editId="039BD42D">
                <wp:simplePos x="0" y="0"/>
                <wp:positionH relativeFrom="column">
                  <wp:posOffset>1657350</wp:posOffset>
                </wp:positionH>
                <wp:positionV relativeFrom="paragraph">
                  <wp:posOffset>116205</wp:posOffset>
                </wp:positionV>
                <wp:extent cx="1428750" cy="4572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4287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C65958" w:rsidRDefault="005B7FF0" w:rsidP="00195EAE">
                            <w:pPr>
                              <w:jc w:val="center"/>
                            </w:pPr>
                            <w:r w:rsidRPr="00C65958">
                              <w:t xml:space="preserve">67 Articles were retrieved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B201D" id="Rectangle 17" o:spid="_x0000_s1033" style="position:absolute;margin-left:130.5pt;margin-top:9.15pt;width:11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" fillcolor="window" strokecolor="windowText" strokeweight="1pt">
                <v:textbox>
                  <w:txbxContent>
                    <w:p w:rsidR="005B7FF0" w:rsidRPr="00C65958" w:rsidRDefault="005B7FF0" w:rsidP="00195EAE">
                      <w:pPr>
                        <w:jc w:val="center"/>
                      </w:pPr>
                      <w:r w:rsidRPr="00C65958">
                        <w:t xml:space="preserve">67 Articles were retrieved </w:t>
                      </w:r>
                    </w:p>
                  </w:txbxContent>
                </v:textbox>
              </v:rect>
            </w:pict>
          </mc:Fallback>
        </mc:AlternateContent>
      </w:r>
    </w:p>
    <w:p w:rsidR="00195EAE" w:rsidRDefault="00195EAE" w:rsidP="00195EAE"/>
    <w:p w:rsidR="00195EAE" w:rsidRDefault="00195EAE" w:rsidP="00195EAE"/>
    <w:p w:rsidR="00195EAE" w:rsidRDefault="00195EAE" w:rsidP="00195EAE">
      <w:r>
        <w:rPr>
          <w:noProof/>
        </w:rPr>
        <mc:AlternateContent>
          <mc:Choice Requires="wps">
            <w:drawing>
              <wp:anchor distT="0" distB="0" distL="114300" distR="114300" simplePos="0" relativeHeight="251674624" behindDoc="0" locked="0" layoutInCell="1" allowOverlap="1" wp14:anchorId="0C277B72" wp14:editId="61B7879F">
                <wp:simplePos x="0" y="0"/>
                <wp:positionH relativeFrom="column">
                  <wp:posOffset>2428875</wp:posOffset>
                </wp:positionH>
                <wp:positionV relativeFrom="paragraph">
                  <wp:posOffset>50165</wp:posOffset>
                </wp:positionV>
                <wp:extent cx="45719" cy="257175"/>
                <wp:effectExtent l="38100" t="0" r="69215" b="47625"/>
                <wp:wrapNone/>
                <wp:docPr id="23" name="Straight Arrow Connector 23"/>
                <wp:cNvGraphicFramePr/>
                <a:graphic xmlns:a="http://schemas.openxmlformats.org/drawingml/2006/main">
                  <a:graphicData uri="http://schemas.microsoft.com/office/word/2010/wordprocessingShape">
                    <wps:wsp>
                      <wps:cNvCnPr/>
                      <wps:spPr>
                        <a:xfrm>
                          <a:off x="0" y="0"/>
                          <a:ext cx="45719"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3D5F8" id="Straight Arrow Connector 23" o:spid="_x0000_s1026" type="#_x0000_t32" style="position:absolute;margin-left:191.25pt;margin-top:3.95pt;width:3.6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" strokecolor="windowText" strokeweight=".5pt">
                <v:stroke endarrow="block" joinstyle="miter"/>
              </v:shape>
            </w:pict>
          </mc:Fallback>
        </mc:AlternateContent>
      </w:r>
    </w:p>
    <w:p w:rsidR="00195EAE" w:rsidRDefault="00195EAE" w:rsidP="00195EAE">
      <w:r>
        <w:rPr>
          <w:noProof/>
        </w:rPr>
        <mc:AlternateContent>
          <mc:Choice Requires="wps">
            <w:drawing>
              <wp:anchor distT="0" distB="0" distL="114300" distR="114300" simplePos="0" relativeHeight="251661312" behindDoc="0" locked="0" layoutInCell="1" allowOverlap="1" wp14:anchorId="58DADC57" wp14:editId="5F43DFED">
                <wp:simplePos x="0" y="0"/>
                <wp:positionH relativeFrom="column">
                  <wp:posOffset>-289242</wp:posOffset>
                </wp:positionH>
                <wp:positionV relativeFrom="paragraph">
                  <wp:posOffset>108584</wp:posOffset>
                </wp:positionV>
                <wp:extent cx="914400" cy="295277"/>
                <wp:effectExtent l="4762" t="0" r="23813" b="23812"/>
                <wp:wrapNone/>
                <wp:docPr id="18" name="Rectangle 18"/>
                <wp:cNvGraphicFramePr/>
                <a:graphic xmlns:a="http://schemas.openxmlformats.org/drawingml/2006/main">
                  <a:graphicData uri="http://schemas.microsoft.com/office/word/2010/wordprocessingShape">
                    <wps:wsp>
                      <wps:cNvSpPr/>
                      <wps:spPr>
                        <a:xfrm rot="16200000">
                          <a:off x="0" y="0"/>
                          <a:ext cx="914400" cy="29527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6E62B2" w:rsidRDefault="005B7FF0" w:rsidP="00195EAE">
                            <w:pPr>
                              <w:jc w:val="center"/>
                            </w:pPr>
                            <w:r w:rsidRPr="006E62B2">
                              <w:t xml:space="preserve">Eligibility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ADC57" id="Rectangle 18" o:spid="_x0000_s1034" style="position:absolute;margin-left:-22.75pt;margin-top:8.55pt;width:1in;height:23.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" fillcolor="window" strokecolor="windowText" strokeweight="1pt">
                <v:textbox>
                  <w:txbxContent>
                    <w:p w:rsidR="005B7FF0" w:rsidRPr="006E62B2" w:rsidRDefault="005B7FF0" w:rsidP="00195EAE">
                      <w:pPr>
                        <w:jc w:val="center"/>
                      </w:pPr>
                      <w:r w:rsidRPr="006E62B2">
                        <w:t xml:space="preserve">Eligibility </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9F27DA2" wp14:editId="76CA9753">
                <wp:simplePos x="0" y="0"/>
                <wp:positionH relativeFrom="column">
                  <wp:posOffset>3705225</wp:posOffset>
                </wp:positionH>
                <wp:positionV relativeFrom="paragraph">
                  <wp:posOffset>132080</wp:posOffset>
                </wp:positionV>
                <wp:extent cx="1524000" cy="438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5240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D57F64" w:rsidRDefault="005B7FF0" w:rsidP="00195EAE">
                            <w:pPr>
                              <w:jc w:val="center"/>
                            </w:pPr>
                            <w:r>
                              <w:t xml:space="preserve">51 Articles excluded after full screen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27DA2" id="Rectangle 26" o:spid="_x0000_s1035" style="position:absolute;margin-left:291.75pt;margin-top:10.4pt;width:120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" fillcolor="window" strokecolor="windowText" strokeweight="1pt">
                <v:textbox>
                  <w:txbxContent>
                    <w:p w:rsidR="005B7FF0" w:rsidRPr="00D57F64" w:rsidRDefault="005B7FF0" w:rsidP="00195EAE">
                      <w:pPr>
                        <w:jc w:val="center"/>
                      </w:pPr>
                      <w:r>
                        <w:t xml:space="preserve">51 Articles excluded after full screen </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51C456F" wp14:editId="38A09DF3">
                <wp:simplePos x="0" y="0"/>
                <wp:positionH relativeFrom="column">
                  <wp:posOffset>1654810</wp:posOffset>
                </wp:positionH>
                <wp:positionV relativeFrom="paragraph">
                  <wp:posOffset>129540</wp:posOffset>
                </wp:positionV>
                <wp:extent cx="1428750" cy="533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4287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D57F64" w:rsidRDefault="005B7FF0" w:rsidP="00195EAE">
                            <w:pPr>
                              <w:jc w:val="center"/>
                            </w:pPr>
                            <w:r w:rsidRPr="00D57F64">
                              <w:t xml:space="preserve">Inclusion/exclusion criteria applied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456F" id="Rectangle 19" o:spid="_x0000_s1036" style="position:absolute;margin-left:130.3pt;margin-top:10.2pt;width:11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" fillcolor="window" strokecolor="windowText" strokeweight="1pt">
                <v:textbox>
                  <w:txbxContent>
                    <w:p w:rsidR="005B7FF0" w:rsidRPr="00D57F64" w:rsidRDefault="005B7FF0" w:rsidP="00195EAE">
                      <w:pPr>
                        <w:jc w:val="center"/>
                      </w:pPr>
                      <w:r w:rsidRPr="00D57F64">
                        <w:t xml:space="preserve">Inclusion/exclusion criteria applied </w:t>
                      </w:r>
                    </w:p>
                  </w:txbxContent>
                </v:textbox>
              </v:rect>
            </w:pict>
          </mc:Fallback>
        </mc:AlternateContent>
      </w:r>
    </w:p>
    <w:p w:rsidR="00195EAE" w:rsidRDefault="00195EAE" w:rsidP="00195EAE">
      <w:r>
        <w:rPr>
          <w:noProof/>
        </w:rPr>
        <mc:AlternateContent>
          <mc:Choice Requires="wps">
            <w:drawing>
              <wp:anchor distT="0" distB="0" distL="114300" distR="114300" simplePos="0" relativeHeight="251678720" behindDoc="0" locked="0" layoutInCell="1" allowOverlap="1" wp14:anchorId="04D838F7" wp14:editId="760E0C5B">
                <wp:simplePos x="0" y="0"/>
                <wp:positionH relativeFrom="column">
                  <wp:posOffset>3085465</wp:posOffset>
                </wp:positionH>
                <wp:positionV relativeFrom="paragraph">
                  <wp:posOffset>148590</wp:posOffset>
                </wp:positionV>
                <wp:extent cx="619125" cy="45719"/>
                <wp:effectExtent l="0" t="38100" r="47625" b="88265"/>
                <wp:wrapNone/>
                <wp:docPr id="27" name="Straight Arrow Connector 27"/>
                <wp:cNvGraphicFramePr/>
                <a:graphic xmlns:a="http://schemas.openxmlformats.org/drawingml/2006/main">
                  <a:graphicData uri="http://schemas.microsoft.com/office/word/2010/wordprocessingShape">
                    <wps:wsp>
                      <wps:cNvCnPr/>
                      <wps:spPr>
                        <a:xfrm>
                          <a:off x="0" y="0"/>
                          <a:ext cx="61912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FA6B58" id="Straight Arrow Connector 27" o:spid="_x0000_s1026" type="#_x0000_t32" style="position:absolute;margin-left:242.95pt;margin-top:11.7pt;width:48.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" strokecolor="windowText" strokeweight=".5pt">
                <v:stroke endarrow="block" joinstyle="miter"/>
              </v:shape>
            </w:pict>
          </mc:Fallback>
        </mc:AlternateContent>
      </w:r>
    </w:p>
    <w:p w:rsidR="00195EAE" w:rsidRDefault="00195EAE" w:rsidP="00195EAE">
      <w:pPr>
        <w:spacing w:line="480" w:lineRule="auto"/>
        <w:ind w:firstLine="720"/>
      </w:pPr>
      <w:r>
        <w:rPr>
          <w:noProof/>
        </w:rPr>
        <mc:AlternateContent>
          <mc:Choice Requires="wps">
            <w:drawing>
              <wp:anchor distT="0" distB="0" distL="114300" distR="114300" simplePos="0" relativeHeight="251675648" behindDoc="0" locked="0" layoutInCell="1" allowOverlap="1" wp14:anchorId="13FCFAD8" wp14:editId="6B2FE6A4">
                <wp:simplePos x="0" y="0"/>
                <wp:positionH relativeFrom="column">
                  <wp:posOffset>2362200</wp:posOffset>
                </wp:positionH>
                <wp:positionV relativeFrom="paragraph">
                  <wp:posOffset>314960</wp:posOffset>
                </wp:positionV>
                <wp:extent cx="45719" cy="219075"/>
                <wp:effectExtent l="38100" t="0" r="69215" b="47625"/>
                <wp:wrapNone/>
                <wp:docPr id="24" name="Straight Arrow Connector 24"/>
                <wp:cNvGraphicFramePr/>
                <a:graphic xmlns:a="http://schemas.openxmlformats.org/drawingml/2006/main">
                  <a:graphicData uri="http://schemas.microsoft.com/office/word/2010/wordprocessingShape">
                    <wps:wsp>
                      <wps:cNvCnPr/>
                      <wps:spPr>
                        <a:xfrm>
                          <a:off x="0" y="0"/>
                          <a:ext cx="45719"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D5F80B" id="Straight Arrow Connector 24" o:spid="_x0000_s1026" type="#_x0000_t32" style="position:absolute;margin-left:186pt;margin-top:24.8pt;width:3.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" strokecolor="windowText" strokeweight=".5pt">
                <v:stroke endarrow="block" joinstyle="miter"/>
              </v:shape>
            </w:pict>
          </mc:Fallback>
        </mc:AlternateContent>
      </w:r>
    </w:p>
    <w:p w:rsidR="00195EAE" w:rsidRDefault="00195EAE" w:rsidP="00195EAE">
      <w:pPr>
        <w:spacing w:line="480" w:lineRule="auto"/>
        <w:ind w:firstLine="720"/>
      </w:pPr>
      <w:r>
        <w:rPr>
          <w:noProof/>
        </w:rPr>
        <mc:AlternateContent>
          <mc:Choice Requires="wps">
            <w:drawing>
              <wp:anchor distT="0" distB="0" distL="114300" distR="114300" simplePos="0" relativeHeight="251666432" behindDoc="0" locked="0" layoutInCell="1" allowOverlap="1" wp14:anchorId="27B007EF" wp14:editId="272D1419">
                <wp:simplePos x="0" y="0"/>
                <wp:positionH relativeFrom="column">
                  <wp:posOffset>-219077</wp:posOffset>
                </wp:positionH>
                <wp:positionV relativeFrom="paragraph">
                  <wp:posOffset>249238</wp:posOffset>
                </wp:positionV>
                <wp:extent cx="785813" cy="295275"/>
                <wp:effectExtent l="0" t="2540" r="12065" b="12065"/>
                <wp:wrapNone/>
                <wp:docPr id="21" name="Rectangle 21"/>
                <wp:cNvGraphicFramePr/>
                <a:graphic xmlns:a="http://schemas.openxmlformats.org/drawingml/2006/main">
                  <a:graphicData uri="http://schemas.microsoft.com/office/word/2010/wordprocessingShape">
                    <wps:wsp>
                      <wps:cNvSpPr/>
                      <wps:spPr>
                        <a:xfrm rot="16200000">
                          <a:off x="0" y="0"/>
                          <a:ext cx="785813"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6E62B2" w:rsidRDefault="005B7FF0" w:rsidP="00195EAE">
                            <w:pPr>
                              <w:jc w:val="center"/>
                            </w:pPr>
                            <w:r w:rsidRPr="006E62B2">
                              <w:t xml:space="preserve">Included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007EF" id="Rectangle 21" o:spid="_x0000_s1037" style="position:absolute;left:0;text-align:left;margin-left:-17.25pt;margin-top:19.65pt;width:61.9pt;height:23.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" fillcolor="window" strokecolor="windowText" strokeweight="1pt">
                <v:textbox>
                  <w:txbxContent>
                    <w:p w:rsidR="005B7FF0" w:rsidRPr="006E62B2" w:rsidRDefault="005B7FF0" w:rsidP="00195EAE">
                      <w:pPr>
                        <w:jc w:val="center"/>
                      </w:pPr>
                      <w:r w:rsidRPr="006E62B2">
                        <w:t xml:space="preserve">Included </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768C65F" wp14:editId="598EE255">
                <wp:simplePos x="0" y="0"/>
                <wp:positionH relativeFrom="column">
                  <wp:posOffset>2095500</wp:posOffset>
                </wp:positionH>
                <wp:positionV relativeFrom="paragraph">
                  <wp:posOffset>224155</wp:posOffset>
                </wp:positionV>
                <wp:extent cx="895350" cy="480695"/>
                <wp:effectExtent l="0" t="0" r="19050" b="14605"/>
                <wp:wrapNone/>
                <wp:docPr id="30" name="Rectangle 30"/>
                <wp:cNvGraphicFramePr/>
                <a:graphic xmlns:a="http://schemas.openxmlformats.org/drawingml/2006/main">
                  <a:graphicData uri="http://schemas.microsoft.com/office/word/2010/wordprocessingShape">
                    <wps:wsp>
                      <wps:cNvSpPr/>
                      <wps:spPr>
                        <a:xfrm>
                          <a:off x="0" y="0"/>
                          <a:ext cx="895350" cy="4806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B7FF0" w:rsidRPr="00C14B24" w:rsidRDefault="005B7FF0" w:rsidP="00195EAE">
                            <w:pPr>
                              <w:jc w:val="center"/>
                            </w:pPr>
                            <w:r>
                              <w:t xml:space="preserve">16 Articles included </w:t>
                            </w:r>
                            <w:r w:rsidRPr="00C14B2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8C65F" id="Rectangle 30" o:spid="_x0000_s1038" style="position:absolute;left:0;text-align:left;margin-left:165pt;margin-top:17.65pt;width:70.5pt;height:3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" fillcolor="window" strokecolor="windowText" strokeweight="1pt">
                <v:textbox>
                  <w:txbxContent>
                    <w:p w:rsidR="005B7FF0" w:rsidRPr="00C14B24" w:rsidRDefault="005B7FF0" w:rsidP="00195EAE">
                      <w:pPr>
                        <w:jc w:val="center"/>
                      </w:pPr>
                      <w:r>
                        <w:t xml:space="preserve">16 Articles included </w:t>
                      </w:r>
                      <w:r w:rsidRPr="00C14B24">
                        <w:t xml:space="preserve"> </w:t>
                      </w:r>
                    </w:p>
                  </w:txbxContent>
                </v:textbox>
              </v:rect>
            </w:pict>
          </mc:Fallback>
        </mc:AlternateContent>
      </w:r>
    </w:p>
    <w:p w:rsidR="00195EAE" w:rsidRDefault="00195EAE" w:rsidP="00195EAE">
      <w:pPr>
        <w:spacing w:line="480" w:lineRule="auto"/>
      </w:pPr>
    </w:p>
    <w:p w:rsidR="00FF2EFE" w:rsidRDefault="00FF2EFE" w:rsidP="00755EC4">
      <w:pPr>
        <w:spacing w:line="480" w:lineRule="auto"/>
      </w:pPr>
    </w:p>
    <w:p w:rsidR="00DE413D" w:rsidRDefault="00DE413D" w:rsidP="00195EAE">
      <w:pPr>
        <w:spacing w:line="480" w:lineRule="auto"/>
      </w:pPr>
    </w:p>
    <w:p w:rsidR="00DE413D" w:rsidRDefault="00DE413D" w:rsidP="00195EAE">
      <w:pPr>
        <w:spacing w:line="480" w:lineRule="auto"/>
      </w:pPr>
    </w:p>
    <w:p w:rsidR="00DE413D" w:rsidRDefault="00DE413D" w:rsidP="00195EAE">
      <w:pPr>
        <w:spacing w:line="480" w:lineRule="auto"/>
      </w:pPr>
    </w:p>
    <w:p w:rsidR="00DE413D" w:rsidRDefault="00DE413D" w:rsidP="00195EAE">
      <w:pPr>
        <w:spacing w:line="480" w:lineRule="auto"/>
      </w:pPr>
    </w:p>
    <w:p w:rsidR="00DE413D" w:rsidRDefault="00DE413D" w:rsidP="00195EAE">
      <w:pPr>
        <w:spacing w:line="480" w:lineRule="auto"/>
      </w:pPr>
    </w:p>
    <w:p w:rsidR="00DE413D" w:rsidRDefault="00DE413D" w:rsidP="00195EAE">
      <w:pPr>
        <w:spacing w:line="480" w:lineRule="auto"/>
      </w:pPr>
    </w:p>
    <w:p w:rsidR="00DE413D" w:rsidRDefault="00DE413D" w:rsidP="00195EAE">
      <w:pPr>
        <w:spacing w:line="480" w:lineRule="auto"/>
      </w:pPr>
    </w:p>
    <w:p w:rsidR="00195EAE" w:rsidRPr="00337544" w:rsidRDefault="00195EAE" w:rsidP="00195EAE">
      <w:pPr>
        <w:spacing w:line="480" w:lineRule="auto"/>
      </w:pPr>
      <w:r>
        <w:lastRenderedPageBreak/>
        <w:t xml:space="preserve">Table 2: Inclusion and Exclusion criteria </w:t>
      </w:r>
    </w:p>
    <w:tbl>
      <w:tblPr>
        <w:tblStyle w:val="TableGrid"/>
        <w:tblW w:w="0" w:type="auto"/>
        <w:tblInd w:w="-5" w:type="dxa"/>
        <w:tblLook w:val="04A0" w:firstRow="1" w:lastRow="0" w:firstColumn="1" w:lastColumn="0" w:noHBand="0" w:noVBand="1"/>
      </w:tblPr>
      <w:tblGrid>
        <w:gridCol w:w="2970"/>
        <w:gridCol w:w="2790"/>
      </w:tblGrid>
      <w:tr w:rsidR="00195EAE" w:rsidTr="00C55248">
        <w:tc>
          <w:tcPr>
            <w:tcW w:w="2970" w:type="dxa"/>
          </w:tcPr>
          <w:p w:rsidR="00195EAE" w:rsidRDefault="00195EAE" w:rsidP="00C55248">
            <w:pPr>
              <w:spacing w:line="480" w:lineRule="auto"/>
            </w:pPr>
            <w:r>
              <w:t>Parameter</w:t>
            </w:r>
          </w:p>
        </w:tc>
        <w:tc>
          <w:tcPr>
            <w:tcW w:w="2790" w:type="dxa"/>
          </w:tcPr>
          <w:p w:rsidR="00195EAE" w:rsidRDefault="00195EAE" w:rsidP="00C55248">
            <w:pPr>
              <w:spacing w:line="480" w:lineRule="auto"/>
            </w:pPr>
            <w:r>
              <w:t xml:space="preserve">Inclusion </w:t>
            </w:r>
          </w:p>
        </w:tc>
      </w:tr>
      <w:tr w:rsidR="00195EAE" w:rsidTr="00C55248">
        <w:tc>
          <w:tcPr>
            <w:tcW w:w="2970" w:type="dxa"/>
          </w:tcPr>
          <w:p w:rsidR="00195EAE" w:rsidRDefault="00195EAE" w:rsidP="00C55248">
            <w:pPr>
              <w:spacing w:line="480" w:lineRule="auto"/>
            </w:pPr>
            <w:r>
              <w:t>Language</w:t>
            </w:r>
          </w:p>
        </w:tc>
        <w:tc>
          <w:tcPr>
            <w:tcW w:w="2790" w:type="dxa"/>
          </w:tcPr>
          <w:p w:rsidR="00195EAE" w:rsidRDefault="00195EAE" w:rsidP="00C55248">
            <w:pPr>
              <w:spacing w:line="480" w:lineRule="auto"/>
            </w:pPr>
            <w:r>
              <w:t>English</w:t>
            </w:r>
          </w:p>
        </w:tc>
      </w:tr>
      <w:tr w:rsidR="00195EAE" w:rsidTr="00C55248">
        <w:tc>
          <w:tcPr>
            <w:tcW w:w="2970" w:type="dxa"/>
          </w:tcPr>
          <w:p w:rsidR="00195EAE" w:rsidRDefault="00195EAE" w:rsidP="00C55248">
            <w:pPr>
              <w:spacing w:line="480" w:lineRule="auto"/>
            </w:pPr>
            <w:r>
              <w:t>Population</w:t>
            </w:r>
          </w:p>
        </w:tc>
        <w:tc>
          <w:tcPr>
            <w:tcW w:w="2790" w:type="dxa"/>
          </w:tcPr>
          <w:p w:rsidR="00195EAE" w:rsidRDefault="00195EAE" w:rsidP="00C55248">
            <w:pPr>
              <w:spacing w:line="480" w:lineRule="auto"/>
            </w:pPr>
            <w:r>
              <w:t>All</w:t>
            </w:r>
          </w:p>
        </w:tc>
      </w:tr>
      <w:tr w:rsidR="00195EAE" w:rsidTr="00C55248">
        <w:tc>
          <w:tcPr>
            <w:tcW w:w="2970" w:type="dxa"/>
          </w:tcPr>
          <w:p w:rsidR="00195EAE" w:rsidRDefault="00195EAE" w:rsidP="00C55248">
            <w:pPr>
              <w:spacing w:line="480" w:lineRule="auto"/>
            </w:pPr>
            <w:r>
              <w:t>Age</w:t>
            </w:r>
          </w:p>
        </w:tc>
        <w:tc>
          <w:tcPr>
            <w:tcW w:w="2790" w:type="dxa"/>
          </w:tcPr>
          <w:p w:rsidR="00195EAE" w:rsidRDefault="00195EAE" w:rsidP="00C55248">
            <w:pPr>
              <w:spacing w:line="480" w:lineRule="auto"/>
            </w:pPr>
            <w:r>
              <w:t>Adults</w:t>
            </w:r>
          </w:p>
        </w:tc>
      </w:tr>
      <w:tr w:rsidR="00195EAE" w:rsidTr="00C55248">
        <w:tc>
          <w:tcPr>
            <w:tcW w:w="2970" w:type="dxa"/>
          </w:tcPr>
          <w:p w:rsidR="00195EAE" w:rsidRDefault="00195EAE" w:rsidP="00C55248">
            <w:pPr>
              <w:spacing w:line="480" w:lineRule="auto"/>
            </w:pPr>
            <w:r>
              <w:t xml:space="preserve">Topics </w:t>
            </w:r>
          </w:p>
        </w:tc>
        <w:tc>
          <w:tcPr>
            <w:tcW w:w="2790" w:type="dxa"/>
          </w:tcPr>
          <w:p w:rsidR="00195EAE" w:rsidRDefault="00195EAE" w:rsidP="00C55248">
            <w:pPr>
              <w:spacing w:line="480" w:lineRule="auto"/>
            </w:pPr>
            <w:r>
              <w:t>GWAS and T2D</w:t>
            </w:r>
          </w:p>
        </w:tc>
      </w:tr>
      <w:tr w:rsidR="00195EAE" w:rsidTr="00C55248">
        <w:tc>
          <w:tcPr>
            <w:tcW w:w="2970" w:type="dxa"/>
          </w:tcPr>
          <w:p w:rsidR="00195EAE" w:rsidRDefault="00195EAE" w:rsidP="00C55248">
            <w:pPr>
              <w:spacing w:line="480" w:lineRule="auto"/>
            </w:pPr>
            <w:r>
              <w:t xml:space="preserve">Date of publication </w:t>
            </w:r>
          </w:p>
        </w:tc>
        <w:tc>
          <w:tcPr>
            <w:tcW w:w="2790" w:type="dxa"/>
          </w:tcPr>
          <w:p w:rsidR="00195EAE" w:rsidRDefault="00195EAE" w:rsidP="00C55248">
            <w:pPr>
              <w:spacing w:line="480" w:lineRule="auto"/>
            </w:pPr>
            <w:r>
              <w:t>2009 – 2017</w:t>
            </w:r>
          </w:p>
        </w:tc>
      </w:tr>
    </w:tbl>
    <w:p w:rsidR="00DE413D" w:rsidRDefault="00DE413D" w:rsidP="00195EAE">
      <w:pPr>
        <w:spacing w:line="480" w:lineRule="auto"/>
        <w:ind w:firstLine="720"/>
      </w:pPr>
    </w:p>
    <w:p w:rsidR="003E3445" w:rsidRDefault="003E3445" w:rsidP="00195EAE">
      <w:pPr>
        <w:spacing w:line="480" w:lineRule="auto"/>
        <w:ind w:firstLine="720"/>
      </w:pPr>
    </w:p>
    <w:p w:rsidR="00195EAE" w:rsidRDefault="00FF2EFE" w:rsidP="00195EAE">
      <w:pPr>
        <w:spacing w:line="480" w:lineRule="auto"/>
        <w:ind w:firstLine="720"/>
        <w:rPr>
          <w:shd w:val="clear" w:color="auto" w:fill="FFFFFF"/>
        </w:rPr>
      </w:pPr>
      <w:r w:rsidRPr="00CA7899">
        <w:t>I searched PubMed for all publishe</w:t>
      </w:r>
      <w:r>
        <w:t>d</w:t>
      </w:r>
      <w:r w:rsidRPr="00CA7899">
        <w:t xml:space="preserve"> studies that reported the genes that were associated with T2D using GWAS</w:t>
      </w:r>
      <w:r>
        <w:t xml:space="preserve">.  </w:t>
      </w:r>
      <w:r w:rsidRPr="00CA7899">
        <w:t>Studies were included if they have both GWAS and T2D</w:t>
      </w:r>
      <w:r>
        <w:t>.  I</w:t>
      </w:r>
      <w:r w:rsidRPr="00CA7899">
        <w:t xml:space="preserve"> excluded models that did not have both GWAS and T2D</w:t>
      </w:r>
      <w:r>
        <w:t xml:space="preserve">, and </w:t>
      </w:r>
      <w:r w:rsidRPr="00CA7899">
        <w:t xml:space="preserve">studies investigating a complication of diabetes (like cardiovascular diseases) as the outcome. </w:t>
      </w:r>
      <w:r>
        <w:t xml:space="preserve"> </w:t>
      </w:r>
      <w:r w:rsidRPr="00CA7899">
        <w:t>I extracted data from</w:t>
      </w:r>
      <w:r>
        <w:t xml:space="preserve"> </w:t>
      </w:r>
      <w:r w:rsidRPr="00CA7899">
        <w:t>GWA</w:t>
      </w:r>
      <w:r>
        <w:t xml:space="preserve"> studies and T2D study</w:t>
      </w:r>
      <w:r w:rsidRPr="00CA7899">
        <w:t xml:space="preserve"> including information on: study characteristics (the author’s name, year of publication, country, </w:t>
      </w:r>
      <w:r>
        <w:t xml:space="preserve">and </w:t>
      </w:r>
      <w:r w:rsidRPr="00CA7899">
        <w:t>number of cases and population sample size), and the genes that were associated</w:t>
      </w:r>
      <w:r>
        <w:t xml:space="preserve"> </w:t>
      </w:r>
      <w:r w:rsidRPr="00CA7899">
        <w:t>with T2D diagnosed patients</w:t>
      </w:r>
      <w:r>
        <w:t xml:space="preserve">.  </w:t>
      </w:r>
      <w:r w:rsidR="00195EAE" w:rsidRPr="00CA7899">
        <w:t>I reviewed the abstracts to select 65 potentially relevant abstract articles for the full text review</w:t>
      </w:r>
      <w:r w:rsidR="00195EAE">
        <w:t xml:space="preserve">, </w:t>
      </w:r>
      <w:r w:rsidR="00195EAE" w:rsidRPr="00CA7899">
        <w:t xml:space="preserve">and I included </w:t>
      </w:r>
      <w:r w:rsidR="00195EAE">
        <w:t>sixteen</w:t>
      </w:r>
      <w:r w:rsidR="00195EAE" w:rsidRPr="00CA7899">
        <w:t xml:space="preserve"> articles in this systematic review.</w:t>
      </w: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p>
    <w:p w:rsidR="00195EAE" w:rsidRDefault="00195EAE" w:rsidP="00195EAE">
      <w:pPr>
        <w:rPr>
          <w:shd w:val="clear" w:color="auto" w:fill="FFFFFF"/>
        </w:rPr>
      </w:pPr>
      <w:r>
        <w:rPr>
          <w:shd w:val="clear" w:color="auto" w:fill="FFFFFF"/>
        </w:rPr>
        <w:lastRenderedPageBreak/>
        <w:t>Ta</w:t>
      </w:r>
      <w:r w:rsidRPr="00CA7899">
        <w:rPr>
          <w:shd w:val="clear" w:color="auto" w:fill="FFFFFF"/>
        </w:rPr>
        <w:t xml:space="preserve">ble </w:t>
      </w:r>
      <w:r>
        <w:rPr>
          <w:shd w:val="clear" w:color="auto" w:fill="FFFFFF"/>
        </w:rPr>
        <w:t xml:space="preserve">3. The included studies from the GWAS in T2D </w:t>
      </w:r>
    </w:p>
    <w:p w:rsidR="00195EAE" w:rsidRPr="00CA7899" w:rsidRDefault="00195EAE" w:rsidP="00195EAE"/>
    <w:tbl>
      <w:tblPr>
        <w:tblStyle w:val="TableGrid"/>
        <w:tblW w:w="0" w:type="auto"/>
        <w:tblLook w:val="04A0" w:firstRow="1" w:lastRow="0" w:firstColumn="1" w:lastColumn="0" w:noHBand="0" w:noVBand="1"/>
      </w:tblPr>
      <w:tblGrid>
        <w:gridCol w:w="1043"/>
        <w:gridCol w:w="2566"/>
        <w:gridCol w:w="1668"/>
        <w:gridCol w:w="1603"/>
        <w:gridCol w:w="1750"/>
      </w:tblGrid>
      <w:tr w:rsidR="00195EAE" w:rsidRPr="00CA7899" w:rsidTr="00C55248">
        <w:tc>
          <w:tcPr>
            <w:tcW w:w="1003" w:type="dxa"/>
          </w:tcPr>
          <w:p w:rsidR="00195EAE" w:rsidRPr="00CA7899" w:rsidRDefault="00195EAE" w:rsidP="00C55248">
            <w:r>
              <w:t xml:space="preserve">Article numbers </w:t>
            </w:r>
          </w:p>
        </w:tc>
        <w:tc>
          <w:tcPr>
            <w:tcW w:w="2592" w:type="dxa"/>
          </w:tcPr>
          <w:p w:rsidR="00195EAE" w:rsidRPr="00CA7899" w:rsidRDefault="00195EAE" w:rsidP="00C55248">
            <w:r w:rsidRPr="00CA7899">
              <w:t>Genes identified that were associated with T2D</w:t>
            </w:r>
          </w:p>
        </w:tc>
        <w:tc>
          <w:tcPr>
            <w:tcW w:w="1668" w:type="dxa"/>
          </w:tcPr>
          <w:p w:rsidR="00195EAE" w:rsidRPr="00CA7899" w:rsidRDefault="00195EAE" w:rsidP="00C55248">
            <w:r w:rsidRPr="00CA7899">
              <w:t xml:space="preserve">Country/ethnic groups studies happened </w:t>
            </w:r>
          </w:p>
        </w:tc>
        <w:tc>
          <w:tcPr>
            <w:tcW w:w="1603" w:type="dxa"/>
          </w:tcPr>
          <w:p w:rsidR="00195EAE" w:rsidRPr="00CA7899" w:rsidRDefault="00195EAE" w:rsidP="00C55248">
            <w:r w:rsidRPr="00CA7899">
              <w:t xml:space="preserve">Number of people who participated Case/control  </w:t>
            </w:r>
          </w:p>
        </w:tc>
        <w:tc>
          <w:tcPr>
            <w:tcW w:w="1764" w:type="dxa"/>
          </w:tcPr>
          <w:p w:rsidR="00195EAE" w:rsidRPr="00CA7899" w:rsidRDefault="00195EAE" w:rsidP="00C55248">
            <w:r w:rsidRPr="00CA7899">
              <w:t xml:space="preserve">Author lists </w:t>
            </w:r>
          </w:p>
        </w:tc>
      </w:tr>
      <w:tr w:rsidR="00195EAE" w:rsidRPr="00CA7899" w:rsidTr="00C55248">
        <w:trPr>
          <w:trHeight w:val="575"/>
        </w:trPr>
        <w:tc>
          <w:tcPr>
            <w:tcW w:w="1003" w:type="dxa"/>
          </w:tcPr>
          <w:p w:rsidR="00195EAE" w:rsidRPr="00CA7899" w:rsidRDefault="00195EAE" w:rsidP="00C55248">
            <w:r w:rsidRPr="00CA7899">
              <w:t>1</w:t>
            </w:r>
          </w:p>
        </w:tc>
        <w:tc>
          <w:tcPr>
            <w:tcW w:w="2592" w:type="dxa"/>
          </w:tcPr>
          <w:p w:rsidR="00195EAE" w:rsidRPr="001B6980" w:rsidRDefault="00195EAE" w:rsidP="00C55248">
            <w:pPr>
              <w:rPr>
                <w:i/>
              </w:rPr>
            </w:pPr>
            <w:r w:rsidRPr="001B6980">
              <w:rPr>
                <w:i/>
              </w:rPr>
              <w:t>FAF1</w:t>
            </w:r>
          </w:p>
        </w:tc>
        <w:tc>
          <w:tcPr>
            <w:tcW w:w="1668" w:type="dxa"/>
          </w:tcPr>
          <w:p w:rsidR="00195EAE" w:rsidRPr="00CA7899" w:rsidRDefault="00195EAE" w:rsidP="00C55248">
            <w:r>
              <w:t xml:space="preserve">Northern </w:t>
            </w:r>
            <w:r w:rsidRPr="00CA7899">
              <w:t>Han Chinese</w:t>
            </w:r>
          </w:p>
        </w:tc>
        <w:tc>
          <w:tcPr>
            <w:tcW w:w="1603" w:type="dxa"/>
          </w:tcPr>
          <w:p w:rsidR="00195EAE" w:rsidRPr="00CA7899" w:rsidRDefault="00195EAE" w:rsidP="00C55248">
            <w:r w:rsidRPr="00CA7899">
              <w:t>461/434</w:t>
            </w:r>
          </w:p>
        </w:tc>
        <w:tc>
          <w:tcPr>
            <w:tcW w:w="1764" w:type="dxa"/>
          </w:tcPr>
          <w:p w:rsidR="00195EAE" w:rsidRPr="00CA7899" w:rsidRDefault="00195EAE" w:rsidP="00C55248">
            <w:r>
              <w:fldChar w:fldCharType="begin"/>
            </w:r>
            <w:r>
              <w:instrText xml:space="preserve"> ADDIN ZOTERO_ITEM CSL_CITATION {"citationID":"a1jifa7rft7","properties":{"formattedCitation":"(Rao et al. 2016)","plainCitation":"(Rao et al. 2016)","dontUpdate":true,"noteIndex":0},"citationItems":[{"id":309,"uris":["http://zotero.org/users/4264928/items/S7ZHQCJP"],"uri":["http://zotero.org/users/4264928/items/S7ZHQCJP"],"itemData":{"id":309,"type":"article-journal","title":"Validation of Type 2 Diabetes Risk Variants Identified by Genome-Wide Association Studies in Northern Han Chinese","container-title":"International Journal of Environmental Research and Public Health","volume":"13","issue":"9","source":"PubMed Central","abstract":"Background: More than 60 genetic susceptibility loci associated with type 2 diabetes mellitus (T2DM) have been established in populations of Asian and European ancestry. Given ethnic differences and environmental factors, validation of the effects of genetic risk variants with reported associations identified by Genome-Wide Association Studies (GWASs) is essential. The study aims at evaluating the associations of T2DM with 29 single nucleotide polymorphisms (SNPs) from 19 candidate genes derived from GWASs in a northern Han Chinese population. Method: In this case-control study, 461 T2DM-diagnosed patients and 434 controls were recruited at the Jidong oil field hospital (Hebei, China) from January 2009 to October 2013. A cumulative genetic risk score (cGRS) was calculated by summation of the number of risk alleles, and a weight GRS (wGRS) was calculated as the sum of risk alleles at each locus multiplied by their effect sizes for T2DM, using the independent variants selected. Result: The allelic frequency of the “A” allele at rs17106184 (Fas-associated factor 1, FAF1) was significantly higher in the T2DM patients than that of the healthy controls (11.7% vs. 6.4%, p &lt; 0.001). Individuals in the highestquartile of wGRS had an over three-fold increased risk for developing T2DM compared with those in the lowest quartile (odds ratio = 3.06, 95% CI = 1.92–4.88, p &lt; 0.001) adjusted for age, sex, BMI, total cholesterol (TC), triglycerides (TG), low-density lipoprotein cholesterol (LDL-C), systolic blood pressure (SBP) and diastolic blood pressure (DBP). The results were similar when analyzed with the cGRS. Conclusions: We confirmed the association between rs17106184 (FAF1) and T2DM in a northern Han Chinese population. The GRS calculated based on T2DM susceptibility variants may be a useful tool for predicting the T2DM susceptibility.","URL":"https://www.ncbi.nlm.nih.gov/pmc/articles/PMC5036696/","DOI":"10.3390/ijerph13090863","ISSN":"1661-7827","note":"PMID: 27589775\nPMCID: PMC5036696","journalAbbreviation":"Int J Environ Res Public Health","author":[{"family":"Rao","given":"Ping"},{"family":"Zhou","given":"Yong"},{"family":"Ge","given":"Si-Qi"},{"family":"Wang","given":"An-Xin"},{"family":"Yu","given":"Xin-Wei"},{"family":"Alzain","given":"Mohamed Ali"},{"family":"Veronica","given":"Andrea Katherine"},{"family":"Qiu","given":"Jing"},{"family":"Song","given":"Man-Shu"},{"family":"Zhang","given":"Jie"},{"family":"Wang","given":"Hao"},{"family":"Fang","given":"Hong-Hong"},{"family":"Gao","given":"Qing"},{"family":"Wang","given":"You-Xin"},{"family":"Wang","given":"Wei"}],"issued":{"date-parts":[["2016",9]]},"accessed":{"date-parts":[["2018",6,5]]}}}],"schema":"https://github.com/citation-style-language/schema/raw/master/csl-citation.json"} </w:instrText>
            </w:r>
            <w:r>
              <w:fldChar w:fldCharType="separate"/>
            </w:r>
            <w:r w:rsidRPr="00A13C63">
              <w:t xml:space="preserve">Rao </w:t>
            </w:r>
            <w:r w:rsidRPr="00A13C63">
              <w:rPr>
                <w:i/>
              </w:rPr>
              <w:t>et al</w:t>
            </w:r>
            <w:r w:rsidRPr="00A13C63">
              <w:t>.</w:t>
            </w:r>
            <w:r>
              <w:t xml:space="preserve"> </w:t>
            </w:r>
            <w:r w:rsidRPr="00A13C63">
              <w:t>2016</w:t>
            </w:r>
            <w:r>
              <w:fldChar w:fldCharType="end"/>
            </w:r>
          </w:p>
        </w:tc>
      </w:tr>
      <w:tr w:rsidR="00195EAE" w:rsidRPr="00CA7899" w:rsidTr="00C55248">
        <w:trPr>
          <w:trHeight w:val="525"/>
        </w:trPr>
        <w:tc>
          <w:tcPr>
            <w:tcW w:w="1003" w:type="dxa"/>
            <w:tcBorders>
              <w:top w:val="single" w:sz="4" w:space="0" w:color="auto"/>
              <w:bottom w:val="single" w:sz="4" w:space="0" w:color="auto"/>
            </w:tcBorders>
          </w:tcPr>
          <w:p w:rsidR="00195EAE" w:rsidRPr="00CA7899" w:rsidRDefault="00195EAE" w:rsidP="00C55248">
            <w:r>
              <w:t>2</w:t>
            </w:r>
          </w:p>
        </w:tc>
        <w:tc>
          <w:tcPr>
            <w:tcW w:w="2592" w:type="dxa"/>
            <w:tcBorders>
              <w:top w:val="single" w:sz="4" w:space="0" w:color="auto"/>
              <w:bottom w:val="single" w:sz="4" w:space="0" w:color="auto"/>
            </w:tcBorders>
          </w:tcPr>
          <w:p w:rsidR="00195EAE" w:rsidRPr="001B6980" w:rsidRDefault="00195EAE" w:rsidP="00C55248">
            <w:pPr>
              <w:rPr>
                <w:i/>
              </w:rPr>
            </w:pPr>
            <w:r w:rsidRPr="001B6980">
              <w:rPr>
                <w:i/>
              </w:rPr>
              <w:t>TOMM7</w:t>
            </w:r>
          </w:p>
        </w:tc>
        <w:tc>
          <w:tcPr>
            <w:tcW w:w="1668" w:type="dxa"/>
            <w:tcBorders>
              <w:top w:val="single" w:sz="4" w:space="0" w:color="auto"/>
              <w:bottom w:val="single" w:sz="4" w:space="0" w:color="auto"/>
            </w:tcBorders>
          </w:tcPr>
          <w:p w:rsidR="00195EAE" w:rsidRPr="00CA7899" w:rsidRDefault="00195EAE" w:rsidP="00C55248">
            <w:r>
              <w:t xml:space="preserve">Chinese Dong Population </w:t>
            </w:r>
          </w:p>
        </w:tc>
        <w:tc>
          <w:tcPr>
            <w:tcW w:w="1603" w:type="dxa"/>
            <w:tcBorders>
              <w:top w:val="single" w:sz="4" w:space="0" w:color="auto"/>
              <w:bottom w:val="single" w:sz="4" w:space="0" w:color="auto"/>
            </w:tcBorders>
          </w:tcPr>
          <w:p w:rsidR="00195EAE" w:rsidRPr="00CA7899" w:rsidRDefault="00195EAE" w:rsidP="00C55248">
            <w:r>
              <w:t>209/209</w:t>
            </w:r>
          </w:p>
        </w:tc>
        <w:tc>
          <w:tcPr>
            <w:tcW w:w="1764" w:type="dxa"/>
            <w:tcBorders>
              <w:top w:val="single" w:sz="4" w:space="0" w:color="auto"/>
              <w:bottom w:val="single" w:sz="4" w:space="0" w:color="auto"/>
            </w:tcBorders>
          </w:tcPr>
          <w:p w:rsidR="00195EAE" w:rsidRPr="00CA7899" w:rsidRDefault="00195EAE" w:rsidP="00C55248">
            <w:r>
              <w:fldChar w:fldCharType="begin"/>
            </w:r>
            <w:r>
              <w:instrText xml:space="preserve"> ADDIN ZOTERO_ITEM CSL_CITATION {"citationID":"a1rldqv82mv","properties":{"formattedCitation":"(Liu et al. 2015)","plainCitation":"(Liu et al. 2015)","dontUpdate":true,"noteIndex":0},"citationItems":[{"id":312,"uris":["http://zotero.org/users/4264928/items/EDWXDDEW"],"uri":["http://zotero.org/users/4264928/items/EDWXDDEW"],"itemData":{"id":312,"type":"article-journal","title":"[Association of genetic variants in TOMM7 gene and gene environment interaction with type 2 diabetes in Chinese Dong population]","container-title":"Zhong Nan Da Xue Xue Bao. Yi Xue Ban = Journal of Central South University. Medical Sciences","page":"31-38","volume":"40","issue":"1","source":"PubMed","abstract":"OBJECTIVE: To investigate the association of 7 novel genetic loci identified in a recent genome-wide association studies (GWAS) with T2DM in Chinese Dong populations.\nMETHODS: A case-controlled study was performed in individuals of Chinese Dong nationality. The genotypes of PARD3B (rs849230), LOC729993 (rs149228), EPHA4 (rs16862811), HNT (rs3099797), PTPRD (rs17584499 and rs649891), TOMM7 (rs2240727) genes were determined by Multiplex PCR-SNaPshot. The independent association between each polymorphism and T2DM was assessed by unconditional binary logistic regression analysis. The gene-environment interaction was assessed by marginal structural linear odds model.\nRESULTS: A total of 209 cases of T2DM and 209 control subjects were enrolled in the study. The polymorphism of rs2240727 in TOMM7 gene was associated with T2DM (OR=1.50, per copy of the risk T allele, P=0.004). In addition, CT (OR=2.07, 95% CI: 1.14-3.76) and TT (OR=2.75, 95% CI: 1.46-5.17) were risk genotypes for T2DM. After the correction for multiple test, the association remained significant (all P&lt;0.05). After adjustment for the confounders of age, gender, and BMI, the association remained significant (P&lt;0.05). The results of interaction analysis indicated that there were interaction between rs2240727 locus and BMI, WHR, hypertension and family history of diabetes. After adjustment for age and gender, the results of relative excess risk of interaction (RERI) were 1.5430 (95% CI: 0.5797-2.5062), 2.6520 (95% CI: 1.7516-3.5524), 2.9131 (95% CI: 1.7959-4.0303), 4.2062 (95% CI: 1.1686-8.2439), respectively (all P&lt;0.05).\nCONCLUSION: The rs2240727 genetic variant in TOMM7 is associated with T2DM in Chinese Dong population. There is positive interaction between rs2240727 and BMI, WHR, hypertension as well as family history of diabetes.","DOI":"10.11817/j.issn.1672-7347.2015.01.006","ISSN":"1672-7347","note":"PMID: 25652373","journalAbbreviation":"Zhong Nan Da Xue Xue Bao Yi Xue Ban","language":"chi","author":[{"family":"Liu","given":"Liya"},{"family":"Chen","given":"Lizhang"},{"family":"Li","given":"Zhanzhan"},{"family":"Li","given":"Liang"},{"family":"Wang","given":"Mian"},{"family":"Qu","given":"Jian"},{"family":"Xue","given":"Jing"}],"issued":{"date-parts":[["2015",1]]}}}],"schema":"https://github.com/citation-style-language/schema/raw/master/csl-citation.json"} </w:instrText>
            </w:r>
            <w:r>
              <w:fldChar w:fldCharType="separate"/>
            </w:r>
            <w:r w:rsidRPr="00935561">
              <w:t xml:space="preserve">Liu </w:t>
            </w:r>
            <w:r w:rsidRPr="00E55570">
              <w:rPr>
                <w:i/>
              </w:rPr>
              <w:t>et al</w:t>
            </w:r>
            <w:r w:rsidRPr="00935561">
              <w:t>. 2015</w:t>
            </w:r>
            <w:r>
              <w:fldChar w:fldCharType="end"/>
            </w:r>
          </w:p>
        </w:tc>
      </w:tr>
      <w:tr w:rsidR="00195EAE" w:rsidRPr="00CA7899" w:rsidTr="00C55248">
        <w:trPr>
          <w:trHeight w:val="530"/>
        </w:trPr>
        <w:tc>
          <w:tcPr>
            <w:tcW w:w="1003" w:type="dxa"/>
            <w:tcBorders>
              <w:top w:val="single" w:sz="4" w:space="0" w:color="auto"/>
            </w:tcBorders>
          </w:tcPr>
          <w:p w:rsidR="00195EAE" w:rsidRDefault="00195EAE" w:rsidP="00C55248">
            <w:r>
              <w:t>3</w:t>
            </w:r>
          </w:p>
        </w:tc>
        <w:tc>
          <w:tcPr>
            <w:tcW w:w="2592" w:type="dxa"/>
            <w:tcBorders>
              <w:top w:val="single" w:sz="4" w:space="0" w:color="auto"/>
            </w:tcBorders>
          </w:tcPr>
          <w:p w:rsidR="00195EAE" w:rsidRPr="001B6980" w:rsidRDefault="00195EAE" w:rsidP="00C55248">
            <w:pPr>
              <w:rPr>
                <w:i/>
              </w:rPr>
            </w:pPr>
            <w:r w:rsidRPr="001B6980">
              <w:rPr>
                <w:i/>
              </w:rPr>
              <w:t>TCF7L2, CDKAL1</w:t>
            </w:r>
          </w:p>
        </w:tc>
        <w:tc>
          <w:tcPr>
            <w:tcW w:w="1668" w:type="dxa"/>
            <w:tcBorders>
              <w:top w:val="single" w:sz="4" w:space="0" w:color="auto"/>
            </w:tcBorders>
          </w:tcPr>
          <w:p w:rsidR="00195EAE" w:rsidRDefault="00195EAE" w:rsidP="00C55248">
            <w:r>
              <w:t xml:space="preserve">Lebanese </w:t>
            </w:r>
          </w:p>
        </w:tc>
        <w:tc>
          <w:tcPr>
            <w:tcW w:w="1603" w:type="dxa"/>
            <w:tcBorders>
              <w:top w:val="single" w:sz="4" w:space="0" w:color="auto"/>
            </w:tcBorders>
          </w:tcPr>
          <w:p w:rsidR="00195EAE" w:rsidRDefault="00195EAE" w:rsidP="00C55248">
            <w:r>
              <w:t>1384/1902</w:t>
            </w:r>
          </w:p>
        </w:tc>
        <w:tc>
          <w:tcPr>
            <w:tcW w:w="1764" w:type="dxa"/>
            <w:tcBorders>
              <w:top w:val="single" w:sz="4" w:space="0" w:color="auto"/>
            </w:tcBorders>
          </w:tcPr>
          <w:p w:rsidR="00195EAE" w:rsidRDefault="00195EAE" w:rsidP="00C55248">
            <w:r>
              <w:fldChar w:fldCharType="begin"/>
            </w:r>
            <w:r>
              <w:instrText xml:space="preserve"> ADDIN ZOTERO_ITEM CSL_CITATION {"citationID":"adii45ula2","properties":{"formattedCitation":"(Ghassibe-Sabbagh et al. 2014)","plainCitation":"(Ghassibe-Sabbagh et al. 2014)","dontUpdate":true,"noteIndex":0},"citationItems":[{"id":314,"uris":["http://zotero.org/users/4264928/items/ZXDTA9JF"],"uri":["http://zotero.org/users/4264928/items/ZXDTA9JF"],"itemData":{"id":314,"type":"article-journal","title":"T2DM GWAS in the Lebanese population confirms the role of TCF7L2 and CDKAL1 in disease susceptibility","container-title":"Scientific Reports","volume":"4","source":"PubMed Central","abstract":"Genome-wide association studies (GWAS) of multiple populations with distinctive genetic and lifestyle backgrounds are crucial to the understanding of Type 2 Diabetes Mellitus (T2DM) pathophysiology. We report a GWAS on the genetic basis of T2DM in a 3,286 Lebanese participants. More than 5,000,000 SNPs were directly genotyped or imputed using the 1000 Genomes Project reference panels. We identify genome-wide significant variants in two loci CDKAL1 and TCF7L2, independent of sex, age and BMI, with leading variants rs7766070 (OR = 1.39, P = 4.77 × 10−9) and rs34872471 (OR = 1.35, P = 1.01 × 10−8) respectively. The current study is the first GWAS to find genomic regions implicated in T2DM in the Lebanese population. The results support a central role of CDKAL1 and TCF7L2 in T2DM susceptibility in Southwest Asian populations and provide a plausible component for understanding molecular mechanisms involved in the disease.","URL":"https://www.ncbi.nlm.nih.gov/pmc/articles/PMC5376673/","DOI":"10.1038/srep07351","ISSN":"2045-2322","note":"PMID: 25483131\nPMCID: PMC5376673","journalAbbreviation":"Sci Rep","author":[{"family":"Ghassibe-Sabbagh","given":"Michella"},{"family":"Haber","given":"Marc"},{"family":"Salloum","given":"Angelique K."},{"family":"Al-Sarraj","given":"Yasser"},{"family":"Akle","given":"Yasmine"},{"family":"Hirbli","given":"Kamal"},{"family":"Romanos","given":"Jihane"},{"family":"Mouzaya","given":"Francis"},{"family":"Gauguier","given":"Dominique"},{"family":"Platt","given":"Daniel E."},{"family":"El-Shanti","given":"Hatem"},{"family":"Zalloua","given":"Pierre A."}],"issued":{"date-parts":[["2014",12,8]]},"accessed":{"date-parts":[["2018",6,6]]}}}],"schema":"https://github.com/citation-style-language/schema/raw/master/csl-citation.json"} </w:instrText>
            </w:r>
            <w:r>
              <w:fldChar w:fldCharType="separate"/>
            </w:r>
            <w:r w:rsidRPr="00E55570">
              <w:t xml:space="preserve">Ghassibe-Sabbagh </w:t>
            </w:r>
            <w:r w:rsidRPr="00E55570">
              <w:rPr>
                <w:i/>
              </w:rPr>
              <w:t xml:space="preserve">et al. </w:t>
            </w:r>
            <w:r w:rsidRPr="00E55570">
              <w:t>2014</w:t>
            </w:r>
            <w:r>
              <w:fldChar w:fldCharType="end"/>
            </w:r>
          </w:p>
        </w:tc>
      </w:tr>
      <w:tr w:rsidR="00195EAE" w:rsidRPr="00CA7899" w:rsidTr="00C55248">
        <w:tc>
          <w:tcPr>
            <w:tcW w:w="1003" w:type="dxa"/>
            <w:tcBorders>
              <w:top w:val="single" w:sz="4" w:space="0" w:color="auto"/>
              <w:right w:val="single" w:sz="4" w:space="0" w:color="auto"/>
            </w:tcBorders>
          </w:tcPr>
          <w:p w:rsidR="00195EAE" w:rsidRPr="00CA7899" w:rsidRDefault="00195EAE" w:rsidP="00C55248">
            <w:r>
              <w:t>4</w:t>
            </w:r>
          </w:p>
        </w:tc>
        <w:tc>
          <w:tcPr>
            <w:tcW w:w="2592" w:type="dxa"/>
            <w:tcBorders>
              <w:left w:val="single" w:sz="4" w:space="0" w:color="auto"/>
            </w:tcBorders>
          </w:tcPr>
          <w:p w:rsidR="00195EAE" w:rsidRPr="001B6980" w:rsidRDefault="00195EAE" w:rsidP="00C55248">
            <w:pPr>
              <w:rPr>
                <w:i/>
              </w:rPr>
            </w:pPr>
            <w:r w:rsidRPr="001B6980">
              <w:rPr>
                <w:i/>
                <w:shd w:val="clear" w:color="auto" w:fill="FFFFFF"/>
              </w:rPr>
              <w:t>IGF2BP2, CDKAL1, TCF7L2, COL8A1, KCNQ1, ALX4, HNF1</w:t>
            </w:r>
          </w:p>
        </w:tc>
        <w:tc>
          <w:tcPr>
            <w:tcW w:w="1668" w:type="dxa"/>
          </w:tcPr>
          <w:p w:rsidR="00195EAE" w:rsidRPr="00CA7899" w:rsidRDefault="00195EAE" w:rsidP="00C55248">
            <w:r w:rsidRPr="00CA7899">
              <w:rPr>
                <w:shd w:val="clear" w:color="auto" w:fill="FFFFFF"/>
              </w:rPr>
              <w:t>Lebanese Arabs</w:t>
            </w:r>
          </w:p>
        </w:tc>
        <w:tc>
          <w:tcPr>
            <w:tcW w:w="1603" w:type="dxa"/>
          </w:tcPr>
          <w:p w:rsidR="00195EAE" w:rsidRPr="00CA7899" w:rsidRDefault="00195EAE" w:rsidP="00C55248">
            <w:r w:rsidRPr="00CA7899">
              <w:rPr>
                <w:shd w:val="clear" w:color="auto" w:fill="FFFFFF"/>
              </w:rPr>
              <w:t>995/1076</w:t>
            </w:r>
          </w:p>
        </w:tc>
        <w:tc>
          <w:tcPr>
            <w:tcW w:w="1764" w:type="dxa"/>
          </w:tcPr>
          <w:p w:rsidR="00195EAE" w:rsidRPr="00CA7899" w:rsidRDefault="00195EAE" w:rsidP="00C55248">
            <w:r>
              <w:fldChar w:fldCharType="begin"/>
            </w:r>
            <w:r>
              <w:instrText xml:space="preserve"> ADDIN ZOTERO_ITEM CSL_CITATION {"citationID":"att2jh5122","properties":{"formattedCitation":"(Almawi et al. 2013)","plainCitation":"(Almawi et al. 2013)","dontUpdate":true,"noteIndex":0},"citationItems":[{"id":317,"uris":["http://zotero.org/users/4264928/items/8SSEZSBM"],"uri":["http://zotero.org/users/4264928/items/8SSEZSBM"],"itemData":{"id":317,"type":"article-journal","title":"A replication study of 19 GWAS-validated type 2 diabetes at-risk variants in the Lebanese population","container-title":"Diabetes Research and Clinical Practice","page":"117-122","volume":"102","issue":"2","source":"PubMed","abstract":"AIM: Recent genome-wide association scans (GWAS) and replication studies have expanded the list of validated type 2 diabetes (T2DM) susceptibility loci. We replicated T2DM association of 19 SNPs from 15 candidate loci in Lebanese Arabs.\nMETHODS: Case-control association study, comprising 995 T2DM patients and 1076 control participants. We genotyped by the allelic discrimination method 19 SNPs in/near ADAM30, NOTCH2, THADA, TMEFF2, COL8A1, ADAMTS9-AS2, WFS1, JAZF1, SLC30A8, KCNQ1, LOC387761, ALX4, TSPAN8, FTO, and HNF1.\nRESULTS: Allele frequencies of the tested SNPs were comparable with those of Caucasians. COL8A1 rs792837 (P=2.9 × 10(-9)), KCNQ1 rs2237892 (P=1.8 × 10(-18)) and rs2237895 (P=0.002), ALX4 rs729287 (Pc=7.5 × 10(-5)), and HNF1 rs4430796 (P=0.003) were significantly associated with T2DM, with similar effect sizes to those of Europeans. While FTO rs8050136 and rs17817449, ADAMTS9 rs4607103, and WFS1 rs10010131 were initially associated with T2DM, this was lost upon multiple testing correction. The remaining variants were not associated with T2DM, possibly resulting from insufficient power to detect smaller allele effects.\nCONCLUSION: In addition to previous findings on the association of IGF2BP2, CDKAL1, TCF7L2 variants with T2DM among Lebanese, here we extend these by validating the association of five additional loci with T2DM in Lebanese Arabs.","DOI":"10.1016/j.diabres.2013.09.001","ISSN":"1872-8227","note":"PMID: 24145053","journalAbbreviation":"Diabetes Res. Clin. Pract.","language":"eng","author":[{"family":"Almawi","given":"Wassim Y."},{"family":"Nemr","given":"Rita"},{"family":"Keleshian","given":"Sose H."},{"family":"Echtay","given":"Akram"},{"family":"Saldanha","given":"Fabiola Lisa"},{"family":"AlDoseri","given":"Fatima A."},{"family":"Racoubian","given":"Eddie"}],"issued":{"date-parts":[["2013",11]]}}}],"schema":"https://github.com/citation-style-language/schema/raw/master/csl-citation.json"} </w:instrText>
            </w:r>
            <w:r>
              <w:fldChar w:fldCharType="separate"/>
            </w:r>
            <w:r w:rsidRPr="00E55570">
              <w:t xml:space="preserve">Almawi </w:t>
            </w:r>
            <w:r w:rsidRPr="00E55570">
              <w:rPr>
                <w:i/>
              </w:rPr>
              <w:t>et al</w:t>
            </w:r>
            <w:r w:rsidRPr="00E55570">
              <w:t>. 2013</w:t>
            </w:r>
            <w:r>
              <w:fldChar w:fldCharType="end"/>
            </w:r>
          </w:p>
        </w:tc>
      </w:tr>
      <w:tr w:rsidR="00195EAE" w:rsidRPr="00CA7899" w:rsidTr="00C55248">
        <w:tc>
          <w:tcPr>
            <w:tcW w:w="1003" w:type="dxa"/>
            <w:tcBorders>
              <w:right w:val="single" w:sz="4" w:space="0" w:color="auto"/>
            </w:tcBorders>
          </w:tcPr>
          <w:p w:rsidR="00195EAE" w:rsidRPr="00CA7899" w:rsidRDefault="00195EAE" w:rsidP="00C55248">
            <w:r>
              <w:t>5</w:t>
            </w:r>
          </w:p>
        </w:tc>
        <w:tc>
          <w:tcPr>
            <w:tcW w:w="2592" w:type="dxa"/>
            <w:tcBorders>
              <w:left w:val="single" w:sz="4" w:space="0" w:color="auto"/>
            </w:tcBorders>
          </w:tcPr>
          <w:p w:rsidR="00195EAE" w:rsidRPr="001B6980" w:rsidRDefault="00195EAE" w:rsidP="00C55248">
            <w:r w:rsidRPr="001B6980">
              <w:rPr>
                <w:rStyle w:val="Emphasis"/>
                <w:bdr w:val="none" w:sz="0" w:space="0" w:color="auto" w:frame="1"/>
                <w:shd w:val="clear" w:color="auto" w:fill="FFFFFF"/>
              </w:rPr>
              <w:t xml:space="preserve">MIR129-LEP, </w:t>
            </w:r>
            <w:r w:rsidRPr="001B6980">
              <w:rPr>
                <w:shd w:val="clear" w:color="auto" w:fill="FFFFFF"/>
              </w:rPr>
              <w:t>GPSM1, SLC16A13</w:t>
            </w:r>
          </w:p>
        </w:tc>
        <w:tc>
          <w:tcPr>
            <w:tcW w:w="1668" w:type="dxa"/>
          </w:tcPr>
          <w:p w:rsidR="00195EAE" w:rsidRPr="00CA7899" w:rsidRDefault="00195EAE" w:rsidP="00C55248">
            <w:r w:rsidRPr="00CA7899">
              <w:rPr>
                <w:shd w:val="clear" w:color="auto" w:fill="FFFFFF"/>
              </w:rPr>
              <w:t>Japanese patients</w:t>
            </w:r>
          </w:p>
        </w:tc>
        <w:tc>
          <w:tcPr>
            <w:tcW w:w="1603" w:type="dxa"/>
          </w:tcPr>
          <w:p w:rsidR="00195EAE" w:rsidRPr="00CA7899" w:rsidRDefault="00195EAE" w:rsidP="00C55248">
            <w:r>
              <w:t>5976/20,829</w:t>
            </w:r>
          </w:p>
        </w:tc>
        <w:tc>
          <w:tcPr>
            <w:tcW w:w="1764" w:type="dxa"/>
          </w:tcPr>
          <w:p w:rsidR="00195EAE" w:rsidRPr="00CA7899" w:rsidRDefault="00195EAE" w:rsidP="00C55248">
            <w:r>
              <w:fldChar w:fldCharType="begin"/>
            </w:r>
            <w:r>
              <w:instrText xml:space="preserve"> ADDIN ZOTERO_ITEM CSL_CITATION {"citationID":"a2qbs5qm8vl","properties":{"formattedCitation":"(Hara et al. 2014)","plainCitation":"(Hara et al. 2014)","dontUpdate":true,"noteIndex":0},"citationItems":[{"id":319,"uris":["http://zotero.org/users/4264928/items/J4XQEIMT"],"uri":["http://zotero.org/users/4264928/items/J4XQEIMT"],"itemData":{"id":319,"type":"article-journal","title":"Genome-wide association study identifies three novel loci for type 2 diabetes","container-title":"Human Molecular Genetics","page":"239-246","volume":"23","issue":"1","source":"PubMed","abstract":"Although over 60 loci for type 2 diabetes (T2D) have been identified, there still remains a large genetic component to be clarified. To explore unidentified loci for T2D, we performed a genome-wide association study (GWAS) of 6 209 637 single-nucleotide polymorphisms (SNPs), which were directly genotyped or imputed using East Asian references from the 1000 Genomes Project (June 2011 release) in 5976 Japanese patients with T2D and 20 829 nondiabetic individuals. Nineteen unreported loci were selected and taken forward to follow-up analyses. Combined discovery and follow-up analyses (30 392 cases and 34 814 controls) identified three new loci with genome-wide significance, which were MIR129-LEP [rs791595; risk allele = A; risk allele frequency (RAF) = 0.080; P = 2.55 × 10(-13); odds ratio (OR) = 1.17], GPSM1 [rs11787792; risk allele = A; RAF = 0.874; P = 1.74 × 10(-10); OR = 1.15] and SLC16A13 (rs312457; risk allele = G; RAF = 0.078; P = 7.69 × 10(-13); OR = 1.20). This study demonstrates that GWASs based on the imputation of genotypes using modern reference haplotypes such as that from the 1000 Genomes Project data can assist in identification of new loci for common diseases.","DOI":"10.1093/hmg/ddt399","ISSN":"1460-2083","note":"PMID: 23945395","journalAbbreviation":"Hum. Mol. Genet.","language":"eng","author":[{"family":"Hara","given":"Kazuo"},{"family":"Fujita","given":"Hayato"},{"family":"Johnson","given":"Todd A."},{"family":"Yamauchi","given":"Toshimasa"},{"family":"Yasuda","given":"Kazuki"},{"family":"Horikoshi","given":"Momoko"},{"family":"Peng","given":"Chen"},{"family":"Hu","given":"Cheng"},{"family":"Ma","given":"Ronald C. W."},{"family":"Imamura","given":"Minako"},{"family":"Iwata","given":"Minoru"},{"family":"Tsunoda","given":"Tatsuhiko"},{"family":"Morizono","given":"Takashi"},{"family":"Shojima","given":"Nobuhiro"},{"family":"So","given":"Wing Yee"},{"family":"Leung","given":"Ting Fan"},{"family":"Kwan","given":"Patrick"},{"family":"Zhang","given":"Rong"},{"family":"Wang","given":"Jie"},{"family":"Yu","given":"Weihui"},{"family":"Maegawa","given":"Hiroshi"},{"family":"Hirose","given":"Hiroshi"},{"literal":"DIAGRAM consortium"},{"family":"Kaku","given":"Kohei"},{"family":"Ito","given":"Chikako"},{"family":"Watada","given":"Hirotaka"},{"family":"Tanaka","given":"Yasushi"},{"family":"Tobe","given":"Kazuyuki"},{"family":"Kashiwagi","given":"Atsunori"},{"family":"Kawamori","given":"Ryuzo"},{"family":"Jia","given":"Weiping"},{"family":"Chan","given":"Juliana C. N."},{"family":"Teo","given":"Yik Ying"},{"family":"Shyong","given":"Tai E."},{"family":"Kamatani","given":"Naoyuki"},{"family":"Kubo","given":"Michiaki"},{"family":"Maeda","given":"Shiro"},{"family":"Kadowaki","given":"Takashi"}],"issued":{"date-parts":[["2014",1,1]]}}}],"schema":"https://github.com/citation-style-language/schema/raw/master/csl-citation.json"} </w:instrText>
            </w:r>
            <w:r>
              <w:fldChar w:fldCharType="separate"/>
            </w:r>
            <w:r w:rsidRPr="00725CAD">
              <w:t xml:space="preserve">Hara </w:t>
            </w:r>
            <w:r w:rsidRPr="00725CAD">
              <w:rPr>
                <w:i/>
              </w:rPr>
              <w:t>et al</w:t>
            </w:r>
            <w:r>
              <w:rPr>
                <w:i/>
              </w:rPr>
              <w:t xml:space="preserve">. </w:t>
            </w:r>
            <w:r w:rsidRPr="00725CAD">
              <w:t>2014</w:t>
            </w:r>
            <w:r>
              <w:fldChar w:fldCharType="end"/>
            </w:r>
          </w:p>
        </w:tc>
      </w:tr>
      <w:tr w:rsidR="00195EAE" w:rsidRPr="00CA7899" w:rsidTr="00C55248">
        <w:tc>
          <w:tcPr>
            <w:tcW w:w="1003" w:type="dxa"/>
          </w:tcPr>
          <w:p w:rsidR="00195EAE" w:rsidRPr="00CA7899" w:rsidRDefault="00195EAE" w:rsidP="00C55248">
            <w:r>
              <w:t>6</w:t>
            </w:r>
          </w:p>
        </w:tc>
        <w:tc>
          <w:tcPr>
            <w:tcW w:w="2592" w:type="dxa"/>
          </w:tcPr>
          <w:p w:rsidR="00195EAE" w:rsidRPr="001B6980" w:rsidRDefault="00195EAE" w:rsidP="00C55248">
            <w:pPr>
              <w:rPr>
                <w:i/>
              </w:rPr>
            </w:pPr>
            <w:r w:rsidRPr="001B6980">
              <w:rPr>
                <w:i/>
                <w:shd w:val="clear" w:color="auto" w:fill="FFFFFF"/>
              </w:rPr>
              <w:t>IGF2BP2, KCNQ1, WFS1, TCF7L2</w:t>
            </w:r>
          </w:p>
        </w:tc>
        <w:tc>
          <w:tcPr>
            <w:tcW w:w="1668" w:type="dxa"/>
          </w:tcPr>
          <w:p w:rsidR="00195EAE" w:rsidRPr="00CA7899" w:rsidRDefault="00195EAE" w:rsidP="00C55248">
            <w:r w:rsidRPr="00CA7899">
              <w:rPr>
                <w:shd w:val="clear" w:color="auto" w:fill="FFFFFF"/>
              </w:rPr>
              <w:t>African Americans</w:t>
            </w:r>
          </w:p>
        </w:tc>
        <w:tc>
          <w:tcPr>
            <w:tcW w:w="1603" w:type="dxa"/>
          </w:tcPr>
          <w:p w:rsidR="00195EAE" w:rsidRPr="00CA7899" w:rsidRDefault="00195EAE" w:rsidP="00C55248">
            <w:r w:rsidRPr="00CA7899">
              <w:rPr>
                <w:shd w:val="clear" w:color="auto" w:fill="FFFFFF"/>
              </w:rPr>
              <w:t>1,554/2,734</w:t>
            </w:r>
          </w:p>
        </w:tc>
        <w:tc>
          <w:tcPr>
            <w:tcW w:w="1764" w:type="dxa"/>
          </w:tcPr>
          <w:p w:rsidR="00195EAE" w:rsidRPr="00CA7899" w:rsidRDefault="00195EAE" w:rsidP="00C55248">
            <w:r>
              <w:fldChar w:fldCharType="begin"/>
            </w:r>
            <w:r>
              <w:instrText xml:space="preserve"> ADDIN ZOTERO_ITEM CSL_CITATION {"citationID":"a20nbajc0fn","properties":{"formattedCitation":"(Long et al. 2012)","plainCitation":"(Long et al. 2012)","dontUpdate":true,"noteIndex":0},"citationItems":[{"id":321,"uris":["http://zotero.org/users/4264928/items/TU7WSMHE"],"uri":["http://zotero.org/users/4264928/items/TU7WSMHE"],"itemData":{"id":321,"type":"article-journal","title":"Evaluation of Genome-wide Association Study-identified Type 2 Diabetes Loci in African Americans","container-title":"American Journal of Epidemiology","page":"995-1001","volume":"176","issue":"11","source":"PubMed Central","abstract":"Type 2 diabetes (T2D) is up to twice as prevalent among African Americans as Caucasians. Recent genome-wide association studies (GWAS) have identified multiple common genetic risk variants for T2D; however, none of these studies were conducted exclusively among subjects of African ancestry. Investigating these known loci in other populations would be an expedient way to evaluate the generalizability of the current findings. The authors evaluated 29 known T2D loci in a large southeastern US cohort study including 4,288 African Americans (1,554 cases and 2,734 controls) enrolled during 2002–2009. Seven of the 29 single nucleotide polymorphisms (SNPs) examined were found to be associated with T2D risk at P ≤ 0.05, including rs6769511 (IGF2BP2), 2 SNPs in the WFS1 gene (rs4689388 and rs1801214), rs7903146 (TCF7L2), and 3 SNPs in the KCNQ1 gene (rs231362, rs2237892, and rs2237897). Notably, the association for rs7903146 reached the GWAS significance level (P = 3.6 × 10−8), with an odds ratio per T allele of 1.32 (95% confidence interval: 1.20, 1.46). Regional analyses using GWAS data from Vanderbilt University's BioVU DNA biobank showed significant associations (P &lt; 0.05) with 9 loci, though no association was observed for the index SNPs reported in European- or Asian-ancestry populations. These results extend some of the recent GWAS findings to African Americans and may guide future efforts to identify causal variants for T2D.","DOI":"10.1093/aje/kws176","ISSN":"0002-9262","note":"PMID: 23144361\nPMCID: PMC3571243","journalAbbreviation":"Am J Epidemiol","author":[{"family":"Long","given":"Jirong"},{"family":"Edwards","given":"Todd"},{"family":"Signorello","given":"Lisa B."},{"family":"Cai","given":"Qiuyin"},{"family":"Zheng","given":"Wei"},{"family":"Shu","given":"Xiao-Ou"},{"family":"Blot","given":"William J."}],"issued":{"date-parts":[["2012",12,1]]}}}],"schema":"https://github.com/citation-style-language/schema/raw/master/csl-citation.json"} </w:instrText>
            </w:r>
            <w:r>
              <w:fldChar w:fldCharType="separate"/>
            </w:r>
            <w:r w:rsidRPr="00224B18">
              <w:t xml:space="preserve">Long </w:t>
            </w:r>
            <w:r w:rsidRPr="00FF72CE">
              <w:rPr>
                <w:i/>
              </w:rPr>
              <w:t>et al</w:t>
            </w:r>
            <w:r w:rsidRPr="00224B18">
              <w:t>. 2012</w:t>
            </w:r>
            <w:r>
              <w:fldChar w:fldCharType="end"/>
            </w:r>
          </w:p>
        </w:tc>
      </w:tr>
      <w:tr w:rsidR="00195EAE" w:rsidRPr="00CA7899" w:rsidTr="00C55248">
        <w:tc>
          <w:tcPr>
            <w:tcW w:w="1003" w:type="dxa"/>
          </w:tcPr>
          <w:p w:rsidR="00195EAE" w:rsidRPr="00CA7899" w:rsidRDefault="00195EAE" w:rsidP="00C55248">
            <w:r>
              <w:t>7</w:t>
            </w:r>
          </w:p>
        </w:tc>
        <w:tc>
          <w:tcPr>
            <w:tcW w:w="2592" w:type="dxa"/>
          </w:tcPr>
          <w:p w:rsidR="00195EAE" w:rsidRPr="001B6980" w:rsidRDefault="00195EAE" w:rsidP="00C55248">
            <w:pPr>
              <w:rPr>
                <w:i/>
                <w:shd w:val="clear" w:color="auto" w:fill="FFFFFF"/>
              </w:rPr>
            </w:pPr>
            <w:r w:rsidRPr="001B6980">
              <w:rPr>
                <w:i/>
                <w:shd w:val="clear" w:color="auto" w:fill="FFFFFF"/>
              </w:rPr>
              <w:t>KCNQ1, VPS26A</w:t>
            </w:r>
          </w:p>
        </w:tc>
        <w:tc>
          <w:tcPr>
            <w:tcW w:w="1668" w:type="dxa"/>
          </w:tcPr>
          <w:p w:rsidR="00195EAE" w:rsidRPr="00CA7899" w:rsidRDefault="00195EAE" w:rsidP="00C55248">
            <w:r w:rsidRPr="00CA7899">
              <w:t xml:space="preserve">Chinese </w:t>
            </w:r>
          </w:p>
        </w:tc>
        <w:tc>
          <w:tcPr>
            <w:tcW w:w="1603" w:type="dxa"/>
          </w:tcPr>
          <w:p w:rsidR="00195EAE" w:rsidRPr="00CA7899" w:rsidRDefault="00195EAE" w:rsidP="00C55248">
            <w:r w:rsidRPr="00CA7899">
              <w:rPr>
                <w:shd w:val="clear" w:color="auto" w:fill="FFFFFF"/>
              </w:rPr>
              <w:t>498/402</w:t>
            </w:r>
          </w:p>
        </w:tc>
        <w:tc>
          <w:tcPr>
            <w:tcW w:w="1764" w:type="dxa"/>
          </w:tcPr>
          <w:p w:rsidR="00195EAE" w:rsidRPr="00725CAD" w:rsidRDefault="00195EAE" w:rsidP="00C55248">
            <w:r w:rsidRPr="00725CAD">
              <w:fldChar w:fldCharType="begin"/>
            </w:r>
            <w:r>
              <w:instrText xml:space="preserve"> ADDIN ZOTERO_ITEM CSL_CITATION {"citationID":"aqjf66a9r0","properties":{"formattedCitation":"(Lu et al. 2012)","plainCitation":"(Lu et al. 2012)","dontUpdate":true,"noteIndex":0},"citationItems":[{"id":324,"uris":["http://zotero.org/users/4264928/items/9JTJLCKC"],"uri":["http://zotero.org/users/4264928/items/9JTJLCKC"],"itemData":{"id":324,"type":"article-journal","title":"Genome-wide association studies-derived susceptibility loci in type 2 diabetes: confirmation in a Chinese population","container-title":"Clinical and Investigative Medicine. Medecine Clinique Et Experimentale","page":"E327","volume":"35","issue":"5","source":"PubMed","abstract":"PURPOSE: Several novel genetic variants for type 2 diabetes mellitus (T2DM) have been identified through genome-wide association studies (GWAS). A case-controll study was performed to investigate the association of five new European or South Asian GWAS-derived susceptibility loci with T2DM in a Chinese population.\nMETHODS: Five single nucleotide polymorphisms (SNPs) were genotyped: rs3923113 near GRB14, rs16861329 in ST6GAL1, rs1802295 in VPS26A, rs7178572 in HMG20A, and rs231362 near KCNQ1, by high-resolution melting (HRM) of small amplicons. The association between T2DM and related quantitative traits in a total of 900 Chinese individuals, including 498 type 2 diabetic patients and 402 ethnically matched control subjects, were examined.\nRESULTS: After adjusting for age and gender, rs1802295 (OR 5.724, P=0.03) and rs231362 (OR=5.683, P=0.016) were found to be associated with T2DM. Triglyceride levels were higher in TT and CT carriers for rs16861329 (1.05 (0.8-1.34) mmol/l) than in CC carriers (0.91 (0.73-1.23) mmol/l) with P=0.008 and that high-density lipoprotein cholesterol (HDL-C) was lower in TT and CT carriers (1.17 (1.02-1.33) mmol/l) than in CC carriers (1.21 (1.05-1.41) mmol/l), with P=0.034. For rs3923113, the HDL-C levels were lower in the GG carriers (1.08 (0.90-1.18) mmol/l) than in the GT+TT carriers (1.21 (1.04-1.38) mmol/l), with P=0.018. Ours is the first report of this association.\nCONCLUSION: rs231362-KCNQ1 and rs1802295-VPS26A are associated with T2DM in the Chinese population. The remaining three SNPs are associated with other aspects of lipid metabolism.","ISSN":"1488-2353","note":"PMID: 23043714","shortTitle":"Genome-wide association studies-derived susceptibility loci in type 2 diabetes","journalAbbreviation":"Clin Invest Med","language":"eng","author":[{"family":"Lu","given":"Shuangyan"},{"family":"Xie","given":"Yan"},{"family":"Lin","given":"Kun"},{"family":"Li","given":"Siwei"},{"family":"Zhou","given":"Yidan"},{"family":"Ma","given":"Pei"},{"family":"Lv","given":"Zhihua"},{"family":"Zhou","given":"Xin"}],"issued":{"date-parts":[["2012",10,6]]}}}],"schema":"https://github.com/citation-style-language/schema/raw/master/csl-citation.json"} </w:instrText>
            </w:r>
            <w:r w:rsidRPr="00725CAD">
              <w:fldChar w:fldCharType="separate"/>
            </w:r>
            <w:r w:rsidRPr="00224B18">
              <w:t xml:space="preserve">Lu </w:t>
            </w:r>
            <w:r w:rsidRPr="00FF72CE">
              <w:rPr>
                <w:i/>
              </w:rPr>
              <w:t>et al</w:t>
            </w:r>
            <w:r w:rsidRPr="00224B18">
              <w:t>. 2012</w:t>
            </w:r>
            <w:r w:rsidRPr="00725CAD">
              <w:fldChar w:fldCharType="end"/>
            </w:r>
          </w:p>
        </w:tc>
      </w:tr>
      <w:tr w:rsidR="00195EAE" w:rsidRPr="00270EEC" w:rsidTr="00C55248">
        <w:trPr>
          <w:trHeight w:val="1430"/>
        </w:trPr>
        <w:tc>
          <w:tcPr>
            <w:tcW w:w="1003" w:type="dxa"/>
          </w:tcPr>
          <w:p w:rsidR="00195EAE" w:rsidRPr="00CA7899" w:rsidRDefault="00195EAE" w:rsidP="00C55248">
            <w:r w:rsidRPr="00CA7899">
              <w:t>8</w:t>
            </w:r>
          </w:p>
        </w:tc>
        <w:tc>
          <w:tcPr>
            <w:tcW w:w="2592" w:type="dxa"/>
          </w:tcPr>
          <w:p w:rsidR="00195EAE" w:rsidRPr="001B6980" w:rsidRDefault="00195EAE" w:rsidP="00C55248">
            <w:pPr>
              <w:rPr>
                <w:i/>
              </w:rPr>
            </w:pPr>
            <w:r w:rsidRPr="001B6980">
              <w:rPr>
                <w:i/>
                <w:shd w:val="clear" w:color="auto" w:fill="FFFFFF"/>
              </w:rPr>
              <w:t>GLIS3, PEPD, FITM2-R3, HDML-HNF4A, KCNK16, MAEA, GCC1-PAX4, PSMD6, ZFAND3</w:t>
            </w:r>
          </w:p>
        </w:tc>
        <w:tc>
          <w:tcPr>
            <w:tcW w:w="1668" w:type="dxa"/>
          </w:tcPr>
          <w:p w:rsidR="00195EAE" w:rsidRPr="00CA7899" w:rsidRDefault="00195EAE" w:rsidP="00C55248">
            <w:r>
              <w:t xml:space="preserve">East Asians </w:t>
            </w:r>
          </w:p>
        </w:tc>
        <w:tc>
          <w:tcPr>
            <w:tcW w:w="1603" w:type="dxa"/>
          </w:tcPr>
          <w:p w:rsidR="00195EAE" w:rsidRPr="00CA7899" w:rsidRDefault="00195EAE" w:rsidP="00C55248">
            <w:r>
              <w:rPr>
                <w:shd w:val="clear" w:color="auto" w:fill="FFFFFF"/>
              </w:rPr>
              <w:t>12</w:t>
            </w:r>
            <w:r w:rsidRPr="00CA7899">
              <w:rPr>
                <w:shd w:val="clear" w:color="auto" w:fill="FFFFFF"/>
              </w:rPr>
              <w:t>,</w:t>
            </w:r>
            <w:r>
              <w:rPr>
                <w:shd w:val="clear" w:color="auto" w:fill="FFFFFF"/>
              </w:rPr>
              <w:t>284</w:t>
            </w:r>
            <w:r w:rsidRPr="00CA7899">
              <w:rPr>
                <w:shd w:val="clear" w:color="auto" w:fill="FFFFFF"/>
              </w:rPr>
              <w:t>/</w:t>
            </w:r>
            <w:r>
              <w:rPr>
                <w:shd w:val="clear" w:color="auto" w:fill="FFFFFF"/>
              </w:rPr>
              <w:t>13</w:t>
            </w:r>
            <w:r w:rsidRPr="00CA7899">
              <w:rPr>
                <w:shd w:val="clear" w:color="auto" w:fill="FFFFFF"/>
              </w:rPr>
              <w:t>,</w:t>
            </w:r>
            <w:r>
              <w:rPr>
                <w:shd w:val="clear" w:color="auto" w:fill="FFFFFF"/>
              </w:rPr>
              <w:t>172</w:t>
            </w:r>
          </w:p>
        </w:tc>
        <w:tc>
          <w:tcPr>
            <w:tcW w:w="1764" w:type="dxa"/>
          </w:tcPr>
          <w:p w:rsidR="00195EAE" w:rsidRPr="00270EEC" w:rsidRDefault="00195EAE" w:rsidP="00C55248">
            <w:r w:rsidRPr="00270EEC">
              <w:fldChar w:fldCharType="begin"/>
            </w:r>
            <w:r>
              <w:instrText xml:space="preserve"> ADDIN ZOTERO_ITEM CSL_CITATION {"citationID":"a2qojm33raf","properties":{"formattedCitation":"(Cho et al. 2011)","plainCitation":"(Cho et al. 2011)","dontUpdate":true,"noteIndex":0},"citationItems":[{"id":326,"uris":["http://zotero.org/users/4264928/items/MC5ULIT8"],"uri":["http://zotero.org/users/4264928/items/MC5ULIT8"],"itemData":{"id":326,"type":"article-journal","title":"Meta-analysis of genome-wide association studies identifies 8 new loci for type 2 diabetes in East Asians","container-title":"Nature genetics","page":"67-72","volume":"44","issue":"1","source":"PubMed Central","abstract":"We conducted a three-stage genetic study to identify susceptibility loci for type 2 diabetes (T2D) in East Asian populations. The first stage meta-analysis of eight T2D genome-wide association studies (6,952 cases and 11,865 controls) was followed by a second stage in silico replication analysis (5,843 cases and 4,574 controls) and a stage 3 de novo replication analysis (12,284 cases and 13,172 controls). The combined analysis identified eight new T2D loci reaching genome-wide significance, which were mapped in or near GLIS3, PEPD, FITM2-R3HDML-HNF4A, KCNK16, MAEA, GCC1-PAX4, PSMD6 and ZFAND3. GLIS3, involved in pancreatic beta cell development and insulin gene expression,, is known for its association with fasting glucose levels,. The evidence of T2D association for PEPD and HNF4A, has been detected in previous studies. KCNK16 may regulate glucose-dependent insulin secretion in the pancreas. These findings derived from East Asians provide new perspectives on the etiology of T2D.","DOI":"10.1038/ng.1019","ISSN":"1061-4036","note":"PMID: 22158537\nPMCID: PMC3582398","journalAbbreviation":"Nat Genet","author":[{"family":"Cho","given":"Yoon Shin"},{"family":"Chen","given":"Chien-Hsiun"},{"family":"Hu","given":"Cheng"},{"family":"Long","given":"Jirong"},{"family":"Ong","given":"Rick Twee Hee"},{"family":"Sim","given":"Xueling"},{"family":"Takeuchi","given":"Fumihiko"},{"family":"Wu","given":"Ying"},{"family":"Go","given":"Min Jin"},{"family":"Yamauchi","given":"Toshimasa"},{"family":"Chang","given":"Yi-Cheng"},{"family":"Kwak","given":"Soo Heon"},{"family":"Ma","given":"Ronald C.W."},{"family":"Yamamoto","given":"Ken"},{"family":"Adair","given":"Linda S."},{"family":"Aung","given":"Tin"},{"family":"Cai","given":"Qiuyin"},{"family":"Chang","given":"Li-Ching"},{"family":"Chen","given":"Yuan-Tsong"},{"family":"Gao","given":"Yutang"},{"family":"Hu","given":"Frank B."},{"family":"Kim","given":"Hyung-Lae"},{"family":"Kim","given":"Sangsoo"},{"family":"Kim","given":"Young Jin"},{"family":"Lee","given":"Jeannette Jen-Mai"},{"family":"Lee","given":"Nanette R."},{"family":"Li","given":"Yun"},{"family":"Liu","given":"Jian Jun"},{"family":"Lu","given":"Wei"},{"family":"Nakamura","given":"Jiro"},{"family":"Nakashima","given":"Eitaro"},{"family":"Ng","given":"Daniel Peng-Keat"},{"family":"Tay","given":"Wan Ting"},{"family":"Tsai","given":"Fuu-Jen"},{"family":"Wong","given":"Tien Yin"},{"family":"Yokota","given":"Mitsuhiro"},{"family":"Zheng","given":"Wei"},{"family":"Zhang","given":"Rong"},{"family":"Wang","given":"Congrong"},{"family":"So","given":"Wing Yee"},{"family":"Ohnaka","given":"Keizo"},{"family":"Ikegami","given":"Hiroshi"},{"family":"Hara","given":"Kazuo"},{"family":"Cho","given":"Young Min"},{"family":"Cho","given":"Nam H"},{"family":"Chang","given":"Tien-Jyun"},{"family":"Bao","given":"Yuqian"},{"family":"Hedman","given":"Åsa K."},{"family":"Morris","given":"Andrew P."},{"family":"McCarthy","given":"Mark I."},{"family":"Takayanagi","given":"Ryoichi"},{"family":"Park","given":"Kyong Soo"},{"family":"Jia","given":"Weiping"},{"family":"Chuang","given":"Lee-Ming"},{"family":"Chan","given":"Juliana C.N."},{"family":"Maeda","given":"Shiro"},{"family":"Kadowaki","given":"Takashi"},{"family":"Lee","given":"Jong-Young"},{"family":"Wu","given":"Jer-Yuarn"},{"family":"Teo","given":"Yik Ying"},{"family":"Tai","given":"E Shyong"},{"family":"Shu","given":"Xiao Ou"},{"family":"Mohlke","given":"Karen L."},{"family":"Kato","given":"Norihiro"},{"family":"Han","given":"Bok-Ghee"},{"family":"Seielstad","given":"Mark"}],"issued":{"date-parts":[["2011",12,11]]}}}],"schema":"https://github.com/citation-style-language/schema/raw/master/csl-citation.json"} </w:instrText>
            </w:r>
            <w:r w:rsidRPr="00270EEC">
              <w:fldChar w:fldCharType="separate"/>
            </w:r>
            <w:r w:rsidRPr="00224B18">
              <w:t xml:space="preserve">Cho </w:t>
            </w:r>
            <w:r w:rsidRPr="007704EF">
              <w:rPr>
                <w:i/>
              </w:rPr>
              <w:t>et al</w:t>
            </w:r>
            <w:r w:rsidRPr="00224B18">
              <w:t>. 2011</w:t>
            </w:r>
            <w:r w:rsidRPr="00270EEC">
              <w:fldChar w:fldCharType="end"/>
            </w:r>
          </w:p>
        </w:tc>
      </w:tr>
      <w:tr w:rsidR="00195EAE" w:rsidRPr="00CA7899" w:rsidTr="00C55248">
        <w:trPr>
          <w:trHeight w:val="1520"/>
        </w:trPr>
        <w:tc>
          <w:tcPr>
            <w:tcW w:w="1003" w:type="dxa"/>
          </w:tcPr>
          <w:p w:rsidR="00195EAE" w:rsidRPr="00CA7899" w:rsidRDefault="00195EAE" w:rsidP="00C55248">
            <w:r w:rsidRPr="00CA7899">
              <w:t>9</w:t>
            </w:r>
          </w:p>
        </w:tc>
        <w:tc>
          <w:tcPr>
            <w:tcW w:w="2592" w:type="dxa"/>
          </w:tcPr>
          <w:p w:rsidR="00195EAE" w:rsidRPr="001B6980" w:rsidRDefault="00195EAE" w:rsidP="00C55248">
            <w:pPr>
              <w:rPr>
                <w:i/>
              </w:rPr>
            </w:pPr>
            <w:r w:rsidRPr="001B6980">
              <w:rPr>
                <w:i/>
                <w:shd w:val="clear" w:color="auto" w:fill="FFFFFF"/>
              </w:rPr>
              <w:t>MTNR1B, GCK, IRS1, PROX1, BCL11A, ZBED3, KLF14, TP53INP1, KCNQ1, CENTD2, HMGA2, ZFAND6, PRC1</w:t>
            </w:r>
          </w:p>
        </w:tc>
        <w:tc>
          <w:tcPr>
            <w:tcW w:w="1668" w:type="dxa"/>
          </w:tcPr>
          <w:p w:rsidR="00195EAE" w:rsidRPr="00CA7899" w:rsidRDefault="00195EAE" w:rsidP="00C55248">
            <w:r w:rsidRPr="00CA7899">
              <w:t xml:space="preserve">Japanese </w:t>
            </w:r>
          </w:p>
        </w:tc>
        <w:tc>
          <w:tcPr>
            <w:tcW w:w="1603" w:type="dxa"/>
          </w:tcPr>
          <w:p w:rsidR="00195EAE" w:rsidRPr="00CA7899" w:rsidRDefault="00195EAE" w:rsidP="00C55248">
            <w:r w:rsidRPr="00CA7899">
              <w:rPr>
                <w:shd w:val="clear" w:color="auto" w:fill="FFFFFF"/>
              </w:rPr>
              <w:t>2,839/2</w:t>
            </w:r>
            <w:r>
              <w:rPr>
                <w:shd w:val="clear" w:color="auto" w:fill="FFFFFF"/>
              </w:rPr>
              <w:t>,</w:t>
            </w:r>
            <w:r w:rsidRPr="00CA7899">
              <w:rPr>
                <w:shd w:val="clear" w:color="auto" w:fill="FFFFFF"/>
              </w:rPr>
              <w:t>125</w:t>
            </w:r>
          </w:p>
        </w:tc>
        <w:tc>
          <w:tcPr>
            <w:tcW w:w="1764" w:type="dxa"/>
          </w:tcPr>
          <w:p w:rsidR="00195EAE" w:rsidRPr="0066351A" w:rsidRDefault="00195EAE" w:rsidP="00C55248">
            <w:r w:rsidRPr="0066351A">
              <w:fldChar w:fldCharType="begin"/>
            </w:r>
            <w:r>
              <w:instrText xml:space="preserve"> ADDIN ZOTERO_ITEM CSL_CITATION {"citationID":"a4c7qibdlp","properties":{"formattedCitation":"(Ohshige et al. 2011)","plainCitation":"(Ohshige et al. 2011)","dontUpdate":true,"noteIndex":0},"citationItems":[{"id":331,"uris":["http://zotero.org/users/4264928/items/IBIGNIWB"],"uri":["http://zotero.org/users/4264928/items/IBIGNIWB"],"itemData":{"id":331,"type":"article-journal","title":"Association of New Loci Identified in European Genome-Wide Association Studies with Susceptibility to Type 2 Diabetes in the Japanese","container-title":"PLoS ONE","volume":"6","issue":"10","source":"PubMed Central","abstract":"Background\nSeveral novel susceptibility loci for type 2 diabetes have been identified through genome-wide association studies (GWAS) for type 2 diabetes or quantitative traits related to glucose metabolism in European populations. To investigate the association of the 13 new European GWAS-derived susceptibility loci with type 2 diabetes in the Japanese population, we conducted a replication study using 3 independent Japanese case-control studies.\n\nMethodology/Principal Findings\nWe examined the association of single nucleotide polymorphisms (SNPs) within 13 loci (MTNR1B, GCK, IRS1, PROX1, BCL11A, ZBED3, KLF14, TP53INP1, KCNQ1, CENTD2, HMGA2, ZFAND6 and PRC1) with type 2 diabetes using 4,964 participants (2,839 cases and 2,125 controls) from 3 independent Japanese samples. The association of each SNP with type 2 diabetes was analyzed by logistic regression analysis. Further, we performed combined meta-analyses for the 3 studies and previously performed Japanese GWAS data (4,470 cases vs. 3,071 controls). The meta-analysis revealed that rs2943641 in the IRS1 locus was significantly associated with type 2 diabetes, (P = 0.0034, OR = 1.15 95% confidence interval; 1.05–1.26) and 3 SNPs, rs10930963 in the MTNR1B locus, rs972283 in the KLF14 locus, and rs231362 in the KCNQ1 locus, had nominal association with type 2 diabetes in the present Japanese samples (P&lt;0.05).\n\nConclusions\nThese results indicate that IRS1 locus may be common locus for type 2 diabetes across different ethnicities.","URL":"https://www.ncbi.nlm.nih.gov/pmc/articles/PMC3202571/","DOI":"10.1371/journal.pone.0026911","ISSN":"1932-6203","note":"PMID: 22046406\nPMCID: PMC3202571","journalAbbreviation":"PLoS One","author":[{"family":"Ohshige","given":"Toshihiko"},{"family":"Iwata","given":"Minoru"},{"family":"Omori","given":"Shintaro"},{"family":"Tanaka","given":"Yasushi"},{"family":"Hirose","given":"Hiroshi"},{"family":"Kaku","given":"Kohei"},{"family":"Maegawa","given":"Hiroshi"},{"family":"Watada","given":"Hirotaka"},{"family":"Kashiwagi","given":"Atsunori"},{"family":"Kawamori","given":"Ryuzo"},{"family":"Tobe","given":"Kazuyuki"},{"family":"Kadowaki","given":"Takashi"},{"family":"Nakamura","given":"Yusuke"},{"family":"Maeda","given":"Shiro"}],"issued":{"date-parts":[["2011",10,26]]},"accessed":{"date-parts":[["2018",6,6]]}}}],"schema":"https://github.com/citation-style-language/schema/raw/master/csl-citation.json"} </w:instrText>
            </w:r>
            <w:r w:rsidRPr="0066351A">
              <w:fldChar w:fldCharType="separate"/>
            </w:r>
            <w:r w:rsidRPr="00224B18">
              <w:t xml:space="preserve">Ohshige </w:t>
            </w:r>
            <w:r w:rsidRPr="007704EF">
              <w:rPr>
                <w:i/>
              </w:rPr>
              <w:t>et al.</w:t>
            </w:r>
            <w:r w:rsidRPr="00224B18">
              <w:t xml:space="preserve"> 2011</w:t>
            </w:r>
            <w:r w:rsidRPr="0066351A">
              <w:fldChar w:fldCharType="end"/>
            </w:r>
          </w:p>
        </w:tc>
      </w:tr>
      <w:tr w:rsidR="00195EAE" w:rsidRPr="00CA7899" w:rsidTr="00C55248">
        <w:tc>
          <w:tcPr>
            <w:tcW w:w="1003" w:type="dxa"/>
          </w:tcPr>
          <w:p w:rsidR="00195EAE" w:rsidRPr="00CA7899" w:rsidRDefault="00195EAE" w:rsidP="00C55248">
            <w:r w:rsidRPr="00CA7899">
              <w:t>10</w:t>
            </w:r>
          </w:p>
        </w:tc>
        <w:tc>
          <w:tcPr>
            <w:tcW w:w="2592" w:type="dxa"/>
          </w:tcPr>
          <w:p w:rsidR="00195EAE" w:rsidRPr="001B6980" w:rsidRDefault="00195EAE" w:rsidP="00C55248">
            <w:pPr>
              <w:rPr>
                <w:i/>
              </w:rPr>
            </w:pPr>
            <w:r w:rsidRPr="001B6980">
              <w:rPr>
                <w:i/>
                <w:shd w:val="clear" w:color="auto" w:fill="FFFFFF"/>
              </w:rPr>
              <w:t>GRB14, ST6GAL1, VPS26A, HMG20A, AP3S2, HNF4A</w:t>
            </w:r>
          </w:p>
        </w:tc>
        <w:tc>
          <w:tcPr>
            <w:tcW w:w="1668" w:type="dxa"/>
          </w:tcPr>
          <w:p w:rsidR="00195EAE" w:rsidRPr="00CA7899" w:rsidRDefault="00195EAE" w:rsidP="00C55248">
            <w:r w:rsidRPr="00CA7899">
              <w:rPr>
                <w:shd w:val="clear" w:color="auto" w:fill="FFFFFF"/>
              </w:rPr>
              <w:t>South Asian</w:t>
            </w:r>
          </w:p>
        </w:tc>
        <w:tc>
          <w:tcPr>
            <w:tcW w:w="1603" w:type="dxa"/>
          </w:tcPr>
          <w:p w:rsidR="00195EAE" w:rsidRPr="00CA7899" w:rsidRDefault="00195EAE" w:rsidP="00C55248">
            <w:r>
              <w:t>5,561/14,458</w:t>
            </w:r>
          </w:p>
        </w:tc>
        <w:tc>
          <w:tcPr>
            <w:tcW w:w="1764" w:type="dxa"/>
          </w:tcPr>
          <w:p w:rsidR="00195EAE" w:rsidRPr="00533E1C" w:rsidRDefault="00195EAE" w:rsidP="00C55248">
            <w:r w:rsidRPr="00533E1C">
              <w:fldChar w:fldCharType="begin"/>
            </w:r>
            <w:r>
              <w:instrText xml:space="preserve"> ADDIN ZOTERO_ITEM CSL_CITATION {"citationID":"a2ehmh7g6fj","properties":{"formattedCitation":"(Kooner et al. 2011)","plainCitation":"(Kooner et al. 2011)","dontUpdate":true,"noteIndex":0},"citationItems":[{"id":334,"uris":["http://zotero.org/users/4264928/items/QAEQEMAQ"],"uri":["http://zotero.org/users/4264928/items/QAEQEMAQ"],"itemData":{"id":334,"type":"article-journal","title":"Genome-wide association study in people of South Asian ancestry identifies six novel susceptibility loci for type 2 diabetes","container-title":"Nature genetics","page":"984-989","volume":"43","issue":"10","source":"PubMed Central","abstract":"We carried out a genome wide association study of type-2 diabetes (T2D) amongst 20,119 people of South Asian ancestry (5,561 with T2D); we identified 20 independent SNPs associated with T2D at P&lt;10−4 for testing amongst a further 38,568 South Asians (13,170 with T2D). In combined analysis, common genetic variants at six novel loci (GRB14, ST6GAL1, VPS26A, HMG20A, AP3S2 and HNF4A) were associated with T2D (P=4.1×10−8 to P=1.9×10−11); SNPs at GRB14 were also associated with insulin sensitivity, and at ST6GAL1 and HNF4A with pancreatic beta-cell function respectively. Our findings provide additional insight into mechanisms underlying T2D, and demonstrate the potential for new discovery from genetic association studies in South Asians who have increased susceptibility to T2D.","DOI":"10.1038/ng.921","ISSN":"1061-4036","note":"PMID: 21874001\nPMCID: PMC3773920","journalAbbreviation":"Nat Genet","author":[{"family":"Kooner","given":"Jaspal S"},{"family":"Saleheen","given":"Danish"},{"family":"Sim","given":"Xueling"},{"family":"Sehmi","given":"Joban"},{"family":"Zhang","given":"Weihua"},{"family":"Frossard","given":"Philippe"},{"family":"Been","given":"Latonya F"},{"family":"Chia","given":"Kee-Seng"},{"family":"Dimas","given":"Antigone S"},{"family":"Hassanali","given":"Neelam"},{"family":"Jafar","given":"Tazeen"},{"family":"Jowett","given":"Jeremy BM"},{"family":"Li","given":"Xinzhing"},{"family":"Radha","given":"Venkatesan"},{"family":"Rees","given":"Simon D"},{"family":"Takeuchi","given":"Fumihiko"},{"family":"Young","given":"Robin"},{"family":"Aung","given":"Tin"},{"family":"Basit","given":"Abdul"},{"family":"Chidambaram","given":"Manickam"},{"family":"Das","given":"Debashish"},{"family":"Grunberg","given":"Elin"},{"family":"Hedman","given":"Åsa K"},{"family":"Hydrie","given":"Zafar I"},{"family":"Islam","given":"Muhammed"},{"family":"Khor","given":"Chiea-Chuen"},{"family":"Kowlessur","given":"Sudhir"},{"family":"Kristensen","given":"Malene M"},{"family":"Liju","given":"Samuel"},{"family":"Lim","given":"Wei-Yen"},{"family":"Matthews","given":"David R"},{"family":"Liu","given":"Jianjun"},{"family":"Morris","given":"Andrew P"},{"family":"Nica","given":"Alexandra C"},{"family":"Pinidiyapathirage","given":"Janani M"},{"family":"Prokopenko","given":"Inga"},{"family":"Rasheed","given":"Asif"},{"family":"Samuel","given":"Maria"},{"family":"Shah","given":"Nabi"},{"family":"Shera","given":"A Samad"},{"family":"Small","given":"Kerrin S"},{"family":"Suo","given":"Chen"},{"family":"Wickremasinghe","given":"Ananda R"},{"family":"Wong","given":"Tien Yin"},{"family":"Yang","given":"Mingyu"},{"family":"Zhang","given":"Fan"},{"family":"Abecasis","given":"Goncalo R"},{"family":"Barnett","given":"Anthony H"},{"family":"Caulfield","given":"Mark"},{"family":"Deloukas","given":"Panos"},{"family":"Frayling","given":"Tim"},{"family":"Froguel","given":"Philippe"},{"family":"Kato","given":"Norihiro"},{"family":"Katulanda","given":"Prasad"},{"family":"Kelly","given":"M Ann"},{"family":"Liang","given":"Junbin"},{"family":"Mohan","given":"Viswanathan"},{"family":"Sanghera","given":"Dharambir K"},{"family":"Scott","given":"James"},{"family":"Seielstad","given":"Mark"},{"family":"Zimmet","given":"Paul Z"},{"family":"Elliott","given":"Paul"},{"family":"Teo","given":"Yik Ying"},{"family":"McCarthy","given":"Mark I"},{"family":"Danesh","given":"John"},{"family":"Tai","given":"E Shyong"},{"family":"Chambers","given":"John C"}],"issued":{"date-parts":[["2011",8,28]]}}}],"schema":"https://github.com/citation-style-language/schema/raw/master/csl-citation.json"} </w:instrText>
            </w:r>
            <w:r w:rsidRPr="00533E1C">
              <w:fldChar w:fldCharType="separate"/>
            </w:r>
            <w:r w:rsidRPr="00224B18">
              <w:t xml:space="preserve">Kooner </w:t>
            </w:r>
            <w:r w:rsidRPr="007704EF">
              <w:rPr>
                <w:i/>
              </w:rPr>
              <w:t>et al.</w:t>
            </w:r>
            <w:r w:rsidRPr="00224B18">
              <w:t xml:space="preserve"> 2011</w:t>
            </w:r>
            <w:r w:rsidRPr="00533E1C">
              <w:fldChar w:fldCharType="end"/>
            </w:r>
          </w:p>
        </w:tc>
      </w:tr>
      <w:tr w:rsidR="00195EAE" w:rsidRPr="00CA7899" w:rsidTr="00C55248">
        <w:tc>
          <w:tcPr>
            <w:tcW w:w="1003" w:type="dxa"/>
          </w:tcPr>
          <w:p w:rsidR="00195EAE" w:rsidRPr="00CA7899" w:rsidRDefault="00195EAE" w:rsidP="00C55248">
            <w:r w:rsidRPr="00CA7899">
              <w:t>1</w:t>
            </w:r>
            <w:r>
              <w:t>1</w:t>
            </w:r>
          </w:p>
        </w:tc>
        <w:tc>
          <w:tcPr>
            <w:tcW w:w="2592" w:type="dxa"/>
          </w:tcPr>
          <w:p w:rsidR="00195EAE" w:rsidRPr="001B6980" w:rsidRDefault="00195EAE" w:rsidP="00C55248">
            <w:pPr>
              <w:rPr>
                <w:i/>
              </w:rPr>
            </w:pPr>
            <w:r w:rsidRPr="001B6980">
              <w:rPr>
                <w:i/>
                <w:shd w:val="clear" w:color="auto" w:fill="FFFFFF"/>
              </w:rPr>
              <w:t>CDKN2A/2B, HNF1A, KCNQ1, IGF2BPs</w:t>
            </w:r>
          </w:p>
        </w:tc>
        <w:tc>
          <w:tcPr>
            <w:tcW w:w="1668" w:type="dxa"/>
          </w:tcPr>
          <w:p w:rsidR="00195EAE" w:rsidRPr="00CA7899" w:rsidRDefault="00195EAE" w:rsidP="00C55248">
            <w:r w:rsidRPr="00CA7899">
              <w:rPr>
                <w:shd w:val="clear" w:color="auto" w:fill="FFFFFF"/>
              </w:rPr>
              <w:t>Mexico-American</w:t>
            </w:r>
          </w:p>
        </w:tc>
        <w:tc>
          <w:tcPr>
            <w:tcW w:w="1603" w:type="dxa"/>
          </w:tcPr>
          <w:p w:rsidR="00195EAE" w:rsidRPr="00CA7899" w:rsidRDefault="00195EAE" w:rsidP="00C55248">
            <w:r>
              <w:t>967/343</w:t>
            </w:r>
          </w:p>
        </w:tc>
        <w:tc>
          <w:tcPr>
            <w:tcW w:w="1764" w:type="dxa"/>
          </w:tcPr>
          <w:p w:rsidR="00195EAE" w:rsidRPr="00F03CAC" w:rsidRDefault="00195EAE" w:rsidP="00C55248">
            <w:r w:rsidRPr="00F03CAC">
              <w:fldChar w:fldCharType="begin"/>
            </w:r>
            <w:r>
              <w:instrText xml:space="preserve"> ADDIN ZOTERO_ITEM CSL_CITATION {"citationID":"a2e2j7u8lbm","properties":{"formattedCitation":"(Below et al. 2011)","plainCitation":"(Below et al. 2011)","dontUpdate":true,"noteIndex":0},"citationItems":[{"id":337,"uris":["http://zotero.org/users/4264928/items/TWE5AQ4K"],"uri":["http://zotero.org/users/4264928/items/TWE5AQ4K"],"itemData":{"id":337,"type":"article-journal","title":"Genome-wide association and meta-analysis in populations from Starr County, Texas, and Mexico City identify type 2 diabetes susceptibility loci and enrichment for expression quantitative trait loci in top signals","container-title":"Diabetologia","page":"2047-2055","volume":"54","issue":"8","source":"PubMed Central","abstract":"Aims/hypothesis\nWe conducted genome-wide association studies (GWASs) and expression quantitative trait loci (eQTL) analyses to identify and characterise risk loci for type 2 diabetes in Mexican-Americans from Starr County, TX, USA.\n\nMethod\nUsing 1.8 million directly interrogated and imputed genotypes in 837 unrelated type 2 diabetes cases and 436 normoglycaemic controls, we conducted Armitage trend tests. To improve power in this population with high disease rates, we also performed ordinal regression including an intermediate class with impaired fasting glucose and/or glucose tolerance. These analyses were followed by meta-analysis with a study of 967 type 2 diabetes cases and 343 normoglycaemic controls from Mexico City, Mexico.\n\nResult\nThe top signals (unadjusted p value &lt;1×10−5) included 49 single nucleotide polymorphisms (SNPs) in eight gene regions (PER3, PARD3B, EPHA4, TOMM7, PTPRD, HNT [also known as RREB1], LOC729993 and IL34) and six intergenic regions. Among these was a missense polymorphism (rs10462020; Gly639Val) in the clock gene PER3, a system recently implicated in diabetes. We also report a second signal (minimum p value 1.52× 10−6) within PTPRD, independent of the previously implicated SNP, in a population of Han Chinese. Top meta-analysis signals included known regions HNF1A and KCNQ1. Annotation of top association signals in both studies revealed a marked excess of trans-acting eQTL in both adipose and muscle tissues.\n\nConclusions/Interpretation\nIn the largest study of type 2 diabetes in Mexican populations to date, we identified modest associations of novel and previously reported SNPs. In addition, in our top signals we report significant excess of SNPs that predict transcript levels in muscle and adipose tissues.","DOI":"10.1007/s00125-011-2188-3","ISSN":"0012-186X","note":"PMID: 21647700\nPMCID: PMC3761075","journalAbbreviation":"Diabetologia","author":[{"family":"Below","given":"J. E."},{"family":"Gamazon","given":"E. R."},{"family":"Morrison","given":"J. V."},{"family":"Konkashbaev","given":"A."},{"family":"Pluzhnikov","given":"A."},{"family":"McKeigue","given":"P. M."},{"family":"Parra","given":"E. J."},{"family":"Elbein","given":"S. C."},{"family":"Hallman","given":"D. M."},{"family":"Nicolae","given":"D. L."},{"family":"Bell","given":"G. I."},{"family":"Cruz","given":"M."},{"family":"Cox","given":"N. J."},{"family":"Hanis","given":"C. L."}],"issued":{"date-parts":[["2011",8]]}}}],"schema":"https://github.com/citation-style-language/schema/raw/master/csl-citation.json"} </w:instrText>
            </w:r>
            <w:r w:rsidRPr="00F03CAC">
              <w:fldChar w:fldCharType="separate"/>
            </w:r>
            <w:r w:rsidRPr="00224B18">
              <w:t xml:space="preserve">Below </w:t>
            </w:r>
            <w:r w:rsidRPr="007704EF">
              <w:rPr>
                <w:i/>
              </w:rPr>
              <w:t>et al</w:t>
            </w:r>
            <w:r w:rsidRPr="00224B18">
              <w:t>. 2011</w:t>
            </w:r>
            <w:r w:rsidRPr="00F03CAC">
              <w:fldChar w:fldCharType="end"/>
            </w:r>
          </w:p>
        </w:tc>
      </w:tr>
      <w:tr w:rsidR="00195EAE" w:rsidRPr="00CA7899" w:rsidTr="00C55248">
        <w:tc>
          <w:tcPr>
            <w:tcW w:w="1003" w:type="dxa"/>
          </w:tcPr>
          <w:p w:rsidR="00195EAE" w:rsidRPr="00CA7899" w:rsidRDefault="00195EAE" w:rsidP="00C55248">
            <w:r w:rsidRPr="00CA7899">
              <w:t>1</w:t>
            </w:r>
            <w:r>
              <w:t>2</w:t>
            </w:r>
          </w:p>
        </w:tc>
        <w:tc>
          <w:tcPr>
            <w:tcW w:w="2592" w:type="dxa"/>
          </w:tcPr>
          <w:p w:rsidR="00195EAE" w:rsidRPr="001B6980" w:rsidRDefault="00195EAE" w:rsidP="00C55248">
            <w:pPr>
              <w:rPr>
                <w:i/>
              </w:rPr>
            </w:pPr>
            <w:r w:rsidRPr="001B6980">
              <w:rPr>
                <w:i/>
                <w:shd w:val="clear" w:color="auto" w:fill="FFFFFF"/>
              </w:rPr>
              <w:t>PPARG, TCF7Ls, FTO, CDKN2A/2B, KKEX/IDE, IGF2BP2, SLC30A8, KCNQ1, IRS1, KLDI4, CHCHD9, DUSPG</w:t>
            </w:r>
          </w:p>
        </w:tc>
        <w:tc>
          <w:tcPr>
            <w:tcW w:w="1668" w:type="dxa"/>
          </w:tcPr>
          <w:p w:rsidR="00195EAE" w:rsidRPr="00CA7899" w:rsidRDefault="00195EAE" w:rsidP="00C55248">
            <w:r w:rsidRPr="00CA7899">
              <w:rPr>
                <w:shd w:val="clear" w:color="auto" w:fill="FFFFFF"/>
              </w:rPr>
              <w:t>Pakistani Population</w:t>
            </w:r>
          </w:p>
        </w:tc>
        <w:tc>
          <w:tcPr>
            <w:tcW w:w="1603" w:type="dxa"/>
          </w:tcPr>
          <w:p w:rsidR="00195EAE" w:rsidRPr="00CA7899" w:rsidRDefault="00195EAE" w:rsidP="00C55248">
            <w:r>
              <w:t>1,678/1,584</w:t>
            </w:r>
          </w:p>
        </w:tc>
        <w:tc>
          <w:tcPr>
            <w:tcW w:w="1764" w:type="dxa"/>
          </w:tcPr>
          <w:p w:rsidR="00195EAE" w:rsidRPr="004529E1" w:rsidRDefault="00195EAE" w:rsidP="00C55248">
            <w:r w:rsidRPr="004529E1">
              <w:fldChar w:fldCharType="begin"/>
            </w:r>
            <w:r>
              <w:instrText xml:space="preserve"> ADDIN ZOTERO_ITEM CSL_CITATION {"citationID":"a1bve4a9c9a","properties":{"formattedCitation":"(Rees et al. 2011)","plainCitation":"(Rees et al. 2011)","dontUpdate":true,"noteIndex":0},"citationItems":[{"id":340,"uris":["http://zotero.org/users/4264928/items/T9XHKQEV"],"uri":["http://zotero.org/users/4264928/items/T9XHKQEV"],"itemData":{"id":340,"type":"article-journal","title":"Replication of 13 genome-wide association (GWA)-validated risk variants for type 2 diabetes in Pakistani populations","container-title":"Diabetologia","page":"1368-1374","volume":"54","issue":"6","source":"PubMed","abstract":"AIMS/HYPOTHESIS: Recent genome-wide association (GWA) studies and subsequent replication studies have greatly increased the number of validated type 2 diabetes susceptibility variants, but most of these have been conducted in European populations. Despite the high prevalence of the disease in South Asians, studies investigating GWA-validated type 2 diabetes risk variants in this ethnic group are limited. We investigated 30 single nucleotide polymorphisms (SNPs), predominantly derived from recent GWA studies, to determine if and to what extent these variants affect type 2 diabetes risk in two Punjabi populations, originating predominantly from the District of Mirpur, Pakistan.\nMETHODS: Thirty SNPs were genotyped in 1,678 participants with type 2 diabetes and 1,584 normoglycaemic control participants from two populations; one resident in the UK and one indigenous to the District of Mirpur.\nRESULTS: SNPs in or near PPARG, TCF7L2, FTO, CDKN2A/2B, HHEX/IDE, IGF2BP2, SLC30A8, KCNQ1, JAZF1, IRS1, KLF14, CHCHD9 and DUSP9 displayed significant (p &lt; 0.05) associations with type 2 diabetes, with similar effect sizes to those seen in European populations. A constructed genetic risk score was associated with type 2 diabetes (p = 5.46 × 10(-12)), BMI (p = 2.25 × 10(-4)) and age at onset of diabetes (p = 0.002).\nCONCLUSIONS/INTERPRETATION: We have demonstrated that 13 variants confer an increased risk of type 2 diabetes in our Pakistani populations; to our knowledge this is the first time that SNPs in or near KCNQ1, JAZF1, IRS1, KLF14, CHCHD9 and DUSP9 have been significantly associated with the disease in South Asians. Large-scale studies and meta-analyses of South Asian populations are needed to further confirm the effect of these variants in this ethnic group.","DOI":"10.1007/s00125-011-2063-2","ISSN":"1432-0428","note":"PMID: 21350842","journalAbbreviation":"Diabetologia","language":"eng","author":[{"family":"Rees","given":"S. D."},{"family":"Hydrie","given":"M. Z. I."},{"family":"Shera","given":"A. S."},{"family":"Kumar","given":"S."},{"family":"O'Hare","given":"J. P."},{"family":"Barnett","given":"A. H."},{"family":"Basit","given":"A."},{"family":"Kelly","given":"M. A."}],"issued":{"date-parts":[["2011",6]]}}}],"schema":"https://github.com/citation-style-language/schema/raw/master/csl-citation.json"} </w:instrText>
            </w:r>
            <w:r w:rsidRPr="004529E1">
              <w:fldChar w:fldCharType="separate"/>
            </w:r>
            <w:r w:rsidRPr="00224B18">
              <w:t xml:space="preserve">Rees </w:t>
            </w:r>
            <w:r w:rsidRPr="007704EF">
              <w:rPr>
                <w:i/>
              </w:rPr>
              <w:t>et al.</w:t>
            </w:r>
            <w:r w:rsidRPr="00224B18">
              <w:t xml:space="preserve"> 2011</w:t>
            </w:r>
            <w:r w:rsidRPr="004529E1">
              <w:fldChar w:fldCharType="end"/>
            </w:r>
          </w:p>
        </w:tc>
      </w:tr>
      <w:tr w:rsidR="00195EAE" w:rsidRPr="00CA7899" w:rsidTr="00C55248">
        <w:tc>
          <w:tcPr>
            <w:tcW w:w="1003" w:type="dxa"/>
          </w:tcPr>
          <w:p w:rsidR="00195EAE" w:rsidRPr="00CA7899" w:rsidRDefault="00195EAE" w:rsidP="00C55248">
            <w:r w:rsidRPr="00CA7899">
              <w:t>1</w:t>
            </w:r>
            <w:r>
              <w:t>3</w:t>
            </w:r>
          </w:p>
        </w:tc>
        <w:tc>
          <w:tcPr>
            <w:tcW w:w="2592" w:type="dxa"/>
          </w:tcPr>
          <w:p w:rsidR="00195EAE" w:rsidRPr="001B6980" w:rsidRDefault="00195EAE" w:rsidP="00C55248">
            <w:pPr>
              <w:rPr>
                <w:i/>
              </w:rPr>
            </w:pPr>
            <w:r w:rsidRPr="001B6980">
              <w:rPr>
                <w:i/>
                <w:shd w:val="clear" w:color="auto" w:fill="FFFFFF"/>
              </w:rPr>
              <w:t xml:space="preserve">GIPR, ADCY5, TCF7L2, VPS13C, </w:t>
            </w:r>
            <w:r w:rsidRPr="001B6980">
              <w:rPr>
                <w:i/>
                <w:shd w:val="clear" w:color="auto" w:fill="FFFFFF"/>
              </w:rPr>
              <w:lastRenderedPageBreak/>
              <w:t>DGKB, MADD, ADRA2A, SLC30A8, IGF1</w:t>
            </w:r>
          </w:p>
        </w:tc>
        <w:tc>
          <w:tcPr>
            <w:tcW w:w="1668" w:type="dxa"/>
          </w:tcPr>
          <w:p w:rsidR="00195EAE" w:rsidRPr="00CA7899" w:rsidRDefault="00195EAE" w:rsidP="00C55248">
            <w:r w:rsidRPr="00CA7899">
              <w:rPr>
                <w:shd w:val="clear" w:color="auto" w:fill="FFFFFF"/>
              </w:rPr>
              <w:lastRenderedPageBreak/>
              <w:t>Chinese</w:t>
            </w:r>
          </w:p>
        </w:tc>
        <w:tc>
          <w:tcPr>
            <w:tcW w:w="1603" w:type="dxa"/>
          </w:tcPr>
          <w:p w:rsidR="00195EAE" w:rsidRPr="00CA7899" w:rsidRDefault="00195EAE" w:rsidP="00C55248">
            <w:r>
              <w:t>3,410/3,412</w:t>
            </w:r>
          </w:p>
        </w:tc>
        <w:tc>
          <w:tcPr>
            <w:tcW w:w="1764" w:type="dxa"/>
          </w:tcPr>
          <w:p w:rsidR="00195EAE" w:rsidRPr="004529E1" w:rsidRDefault="00195EAE" w:rsidP="00C55248">
            <w:r w:rsidRPr="004529E1">
              <w:fldChar w:fldCharType="begin"/>
            </w:r>
            <w:r>
              <w:instrText xml:space="preserve"> ADDIN ZOTERO_ITEM CSL_CITATION {"citationID":"addfjebp3u","properties":{"formattedCitation":"(Hu et al. 2010)","plainCitation":"(Hu et al. 2010)","dontUpdate":true,"noteIndex":0},"citationItems":[{"id":342,"uris":["http://zotero.org/users/4264928/items/BA8SKRLE"],"uri":["http://zotero.org/users/4264928/items/BA8SKRLE"],"itemData":{"id":342,"type":"article-journal","title":"Variants from GIPR, TCF7L2, DGKB, MADD, CRY2, GLIS3, PROX1, SLC30A8 and IGF1 Are Associated with Glucose Metabolism in the Chinese","container-title":"PLoS ONE","volume":"5","issue":"11","source":"PubMed Central","abstract":"Background\nRecent meta-analysis of genome-wide association studies in European descent samples identified novel loci influencing glucose and insulin related traits. In the current study, we aimed to evaluate the association between these loci and traits related to glucose metabolism in the Chinese.\n\nMethods/Principal Findings\nWe genotyped seventeen single nucleotide polymorphisms (SNPs) from fifteen loci including GIPR, ADCY5, TCF7L2, VPS13C, DGKB, MADD, ADRA2A, FADS1, CRY2, SLC2A2, GLIS3, PROX1, C2CD4B, SLC30A8 and IGF1 in 6,822 Shanghai Chinese Hans comprising 3,410 type 2 diabetic patients and 3,412 normal glucose regulation subjects. MADD rs7944584 showed strong association to type 2 diabetes (p = 3.5×10−6, empirical p = 0.0002) which was not observed in the European descent populations. SNPs from GIPR, TCF7L2, CRY2, GLIS3 and SLC30A8 were also associated with type 2 diabetes (p = 0.0487</w:instrText>
            </w:r>
            <w:r>
              <w:rPr>
                <w:rFonts w:ascii="Cambria Math" w:hAnsi="Cambria Math" w:cs="Cambria Math"/>
              </w:rPr>
              <w:instrText>∼</w:instrText>
            </w:r>
            <w:r>
              <w:instrText>2.0×10−8). Further adjusting age, gender and BMI as confounders found PROX1 rs340874 was associated with type 2 diabetes (p = 0.0391). SNPs from DGKB, MADD and SLC30A8 were associated with fasting glucose while PROX1 rs340874 was significantly associated with OGTT 2-h glucose (p = 0.0392</w:instrText>
            </w:r>
            <w:r>
              <w:rPr>
                <w:rFonts w:ascii="Cambria Math" w:hAnsi="Cambria Math" w:cs="Cambria Math"/>
              </w:rPr>
              <w:instrText>∼</w:instrText>
            </w:r>
            <w:r>
              <w:instrText>0.0014, adjusted for age, gender and BMI), the glucose-raising allele also showed association to lower insulin secretion. IGF1 rs35767 showed significant association to both fasting and 2-h insulin levels as well as insulin secretion and sensitivity indices (p = 0.0160</w:instrText>
            </w:r>
            <w:r>
              <w:rPr>
                <w:rFonts w:ascii="Cambria Math" w:hAnsi="Cambria Math" w:cs="Cambria Math"/>
              </w:rPr>
              <w:instrText>∼</w:instrText>
            </w:r>
            <w:r>
              <w:instrText xml:space="preserve">0.0035, adjusted for age, gender and BMI).\n\nConclusions/Significance\nOur results indicated that SNPs from GIPR, TCF7L2, DGKB, MADD, CRY2, GLIS3, PROX1, SLC30A8 and IGF1 were associated with traits related to glucose metabolism in the Chinese population.","URL":"https://www.ncbi.nlm.nih.gov/pmc/articles/PMC2984505/","DOI":"10.1371/journal.pone.0015542","ISSN":"1932-6203","note":"PMID: 21103350\nPMCID: PMC2984505","journalAbbreviation":"PLoS One","author":[{"family":"Hu","given":"Cheng"},{"family":"Zhang","given":"Rong"},{"family":"Wang","given":"Congrong"},{"family":"Wang","given":"Jie"},{"family":"Ma","given":"Xiaojing"},{"family":"Hou","given":"Xuhong"},{"family":"Lu","given":"Jingyi"},{"family":"Yu","given":"Weihui"},{"family":"Jiang","given":"Feng"},{"family":"Bao","given":"Yuqian"},{"family":"Xiang","given":"Kunsan"},{"family":"Jia","given":"Weiping"}],"issued":{"date-parts":[["2010",11,17]]},"accessed":{"date-parts":[["2018",6,6]]}}}],"schema":"https://github.com/citation-style-language/schema/raw/master/csl-citation.json"} </w:instrText>
            </w:r>
            <w:r w:rsidRPr="004529E1">
              <w:fldChar w:fldCharType="separate"/>
            </w:r>
            <w:r w:rsidRPr="00224B18">
              <w:t xml:space="preserve">Hu </w:t>
            </w:r>
            <w:r w:rsidRPr="007704EF">
              <w:rPr>
                <w:i/>
              </w:rPr>
              <w:t>et al</w:t>
            </w:r>
            <w:r w:rsidRPr="00224B18">
              <w:t>. 2010</w:t>
            </w:r>
            <w:r w:rsidRPr="004529E1">
              <w:fldChar w:fldCharType="end"/>
            </w:r>
          </w:p>
        </w:tc>
      </w:tr>
      <w:tr w:rsidR="00195EAE" w:rsidRPr="00CA7899" w:rsidTr="00C55248">
        <w:tc>
          <w:tcPr>
            <w:tcW w:w="1003" w:type="dxa"/>
          </w:tcPr>
          <w:p w:rsidR="00195EAE" w:rsidRPr="00CA7899" w:rsidRDefault="00195EAE" w:rsidP="00C55248">
            <w:r w:rsidRPr="00CA7899">
              <w:t>1</w:t>
            </w:r>
            <w:r>
              <w:t>4</w:t>
            </w:r>
          </w:p>
        </w:tc>
        <w:tc>
          <w:tcPr>
            <w:tcW w:w="2592" w:type="dxa"/>
          </w:tcPr>
          <w:p w:rsidR="00195EAE" w:rsidRPr="001B6980" w:rsidRDefault="00195EAE" w:rsidP="00C55248">
            <w:pPr>
              <w:rPr>
                <w:i/>
                <w:shd w:val="clear" w:color="auto" w:fill="FFFFFF"/>
              </w:rPr>
            </w:pPr>
            <w:r w:rsidRPr="001B6980">
              <w:rPr>
                <w:i/>
                <w:shd w:val="clear" w:color="auto" w:fill="FFFFFF"/>
              </w:rPr>
              <w:t>UBE2E2, C2CD4A/4B</w:t>
            </w:r>
          </w:p>
          <w:p w:rsidR="00195EAE" w:rsidRPr="001B6980" w:rsidRDefault="00195EAE" w:rsidP="00C55248">
            <w:pPr>
              <w:rPr>
                <w:i/>
              </w:rPr>
            </w:pPr>
          </w:p>
        </w:tc>
        <w:tc>
          <w:tcPr>
            <w:tcW w:w="1668" w:type="dxa"/>
          </w:tcPr>
          <w:p w:rsidR="00195EAE" w:rsidRPr="00CA7899" w:rsidRDefault="00195EAE" w:rsidP="00C55248">
            <w:r w:rsidRPr="00CA7899">
              <w:rPr>
                <w:shd w:val="clear" w:color="auto" w:fill="FFFFFF"/>
              </w:rPr>
              <w:t>Japanese population</w:t>
            </w:r>
          </w:p>
        </w:tc>
        <w:tc>
          <w:tcPr>
            <w:tcW w:w="1603" w:type="dxa"/>
          </w:tcPr>
          <w:p w:rsidR="00195EAE" w:rsidRPr="00CA7899" w:rsidRDefault="00195EAE" w:rsidP="00C55248">
            <w:r>
              <w:t>4,470/3,071</w:t>
            </w:r>
          </w:p>
        </w:tc>
        <w:tc>
          <w:tcPr>
            <w:tcW w:w="1764" w:type="dxa"/>
          </w:tcPr>
          <w:p w:rsidR="00195EAE" w:rsidRPr="00944D23" w:rsidRDefault="00195EAE" w:rsidP="00C55248">
            <w:r w:rsidRPr="00944D23">
              <w:fldChar w:fldCharType="begin"/>
            </w:r>
            <w:r>
              <w:instrText xml:space="preserve"> ADDIN ZOTERO_ITEM CSL_CITATION {"citationID":"a2ga92jid8b","properties":{"formattedCitation":"(Yamauchi et al. 2010)","plainCitation":"(Yamauchi et al. 2010)","dontUpdate":true,"noteIndex":0},"citationItems":[{"id":345,"uris":["http://zotero.org/users/4264928/items/5KAVR4ZQ"],"uri":["http://zotero.org/users/4264928/items/5KAVR4ZQ"],"itemData":{"id":345,"type":"article-journal","title":"A genome-wide association study in the Japanese population identifies susceptibility loci for type 2 diabetes at UBE2E2 and C2CD4A-C2CD4B","container-title":"Nature Genetics","page":"864-868","volume":"42","issue":"10","source":"PubMed","abstract":"We conducted a genome-wide association study of type 2 diabetes (T2D) using 459,359 SNPs in a Japanese population with a three-stage study design (stage 1, 4,470 cases and 3,071 controls; stage 2, 2,886 cases and 3,087 controls; stage 3, 3,622 cases and 2,356 controls). We identified new associations in UBE2E2 on chromosome 3 and in C2CD4A-C2CD4B on chromosome 15 at genome-wide significant levels (rs7612463 in UBE2E2, combined P = 2.27 × 10⁻⁹; rs7172432 in C2CD4A-C2CD4B, combined P = 3.66 × 10⁻⁹). The association of these two loci with T2D was replicated in other east Asian populations. In the European populations, the C2CD4A-C2CD4B locus was significantly associated with T2D, and a combined analysis of all populations gave P = 8.78 × 10⁻¹⁴, whereas the UBE2E2 locus did not show association to T2D. In conclusion, we identified two new loci at UBE2E2 and C2CD4A-C2CD4B associated with susceptibility to T2D.","DOI":"10.1038/ng.660","ISSN":"1546-1718","note":"PMID: 20818381","journalAbbreviation":"Nat. Genet.","language":"eng","author":[{"family":"Yamauchi","given":"Toshimasa"},{"family":"Hara","given":"Kazuo"},{"family":"Maeda","given":"Shiro"},{"family":"Yasuda","given":"Kazuki"},{"family":"Takahashi","given":"Atsushi"},{"family":"Horikoshi","given":"Momoko"},{"family":"Nakamura","given":"Masahiro"},{"family":"Fujita","given":"Hayato"},{"family":"Grarup","given":"Niels"},{"family":"Cauchi","given":"Stephane"},{"family":"Ng","given":"Daniel P. K."},{"family":"Ma","given":"Ronald C. W."},{"family":"Tsunoda","given":"Tatsuhiko"},{"family":"Kubo","given":"Michiaki"},{"family":"Watada","given":"Hirotaka"},{"family":"Maegawa","given":"Hiroshi"},{"family":"Okada-Iwabu","given":"Miki"},{"family":"Iwabu","given":"Masato"},{"family":"Shojima","given":"Nobuhiro"},{"family":"Shin","given":"Hyoung Doo"},{"family":"Andersen","given":"Gitte"},{"family":"Witte","given":"Daniel R."},{"family":"Jørgensen","given":"Torben"},{"family":"Lauritzen","given":"Torsten"},{"family":"Sandbæk","given":"Annelli"},{"family":"Hansen","given":"Torben"},{"family":"Ohshige","given":"Toshihiko"},{"family":"Omori","given":"Shintaro"},{"family":"Saito","given":"Ikuo"},{"family":"Kaku","given":"Kohei"},{"family":"Hirose","given":"Hiroshi"},{"family":"So","given":"Wing-Yee"},{"family":"Beury","given":"Delphine"},{"family":"Chan","given":"Juliana C. N."},{"family":"Park","given":"Kyong Soo"},{"family":"Tai","given":"E. Shyong"},{"family":"Ito","given":"Chikako"},{"family":"Tanaka","given":"Yasushi"},{"family":"Kashiwagi","given":"Atsunori"},{"family":"Kawamori","given":"Ryuzo"},{"family":"Kasuga","given":"Masato"},{"family":"Froguel","given":"Philippe"},{"family":"Pedersen","given":"Oluf"},{"family":"Kamatani","given":"Naoyuki"},{"family":"Nakamura","given":"Yusuke"},{"family":"Kadowaki","given":"Takashi"}],"issued":{"date-parts":[["2010",10]]}}}],"schema":"https://github.com/citation-style-language/schema/raw/master/csl-citation.json"} </w:instrText>
            </w:r>
            <w:r w:rsidRPr="00944D23">
              <w:fldChar w:fldCharType="separate"/>
            </w:r>
            <w:r w:rsidRPr="00CA50AC">
              <w:t>Yamauchi</w:t>
            </w:r>
            <w:r w:rsidRPr="007704EF">
              <w:rPr>
                <w:i/>
              </w:rPr>
              <w:t xml:space="preserve"> et al</w:t>
            </w:r>
            <w:r w:rsidRPr="00224B18">
              <w:t>. 2010</w:t>
            </w:r>
            <w:r w:rsidRPr="00944D23">
              <w:fldChar w:fldCharType="end"/>
            </w:r>
          </w:p>
        </w:tc>
      </w:tr>
      <w:tr w:rsidR="00195EAE" w:rsidRPr="00CA7899" w:rsidTr="00C55248">
        <w:tc>
          <w:tcPr>
            <w:tcW w:w="1003" w:type="dxa"/>
          </w:tcPr>
          <w:p w:rsidR="00195EAE" w:rsidRPr="00CA7899" w:rsidRDefault="00195EAE" w:rsidP="00C55248">
            <w:r w:rsidRPr="00CA7899">
              <w:t>1</w:t>
            </w:r>
            <w:r>
              <w:t>5</w:t>
            </w:r>
          </w:p>
        </w:tc>
        <w:tc>
          <w:tcPr>
            <w:tcW w:w="2592" w:type="dxa"/>
          </w:tcPr>
          <w:p w:rsidR="00195EAE" w:rsidRPr="001B6980" w:rsidRDefault="00195EAE" w:rsidP="00C55248">
            <w:pPr>
              <w:rPr>
                <w:i/>
              </w:rPr>
            </w:pPr>
            <w:r w:rsidRPr="001B6980">
              <w:rPr>
                <w:i/>
                <w:shd w:val="clear" w:color="auto" w:fill="FFFFFF"/>
              </w:rPr>
              <w:t>KCNQ1</w:t>
            </w:r>
          </w:p>
        </w:tc>
        <w:tc>
          <w:tcPr>
            <w:tcW w:w="1668" w:type="dxa"/>
          </w:tcPr>
          <w:p w:rsidR="00195EAE" w:rsidRPr="00CA7899" w:rsidRDefault="00195EAE" w:rsidP="00C55248">
            <w:r w:rsidRPr="00CA7899">
              <w:rPr>
                <w:shd w:val="clear" w:color="auto" w:fill="FFFFFF"/>
              </w:rPr>
              <w:t>Han Chinese</w:t>
            </w:r>
          </w:p>
        </w:tc>
        <w:tc>
          <w:tcPr>
            <w:tcW w:w="1603" w:type="dxa"/>
          </w:tcPr>
          <w:p w:rsidR="00195EAE" w:rsidRPr="00B360B5" w:rsidRDefault="00195EAE" w:rsidP="00C55248">
            <w:r w:rsidRPr="00B360B5">
              <w:t>995/894</w:t>
            </w:r>
          </w:p>
        </w:tc>
        <w:tc>
          <w:tcPr>
            <w:tcW w:w="1764" w:type="dxa"/>
          </w:tcPr>
          <w:p w:rsidR="00195EAE" w:rsidRPr="00B360B5" w:rsidRDefault="00195EAE" w:rsidP="00C55248">
            <w:r w:rsidRPr="00B360B5">
              <w:fldChar w:fldCharType="begin"/>
            </w:r>
            <w:r>
              <w:instrText xml:space="preserve"> ADDIN ZOTERO_ITEM CSL_CITATION {"citationID":"a1jbto79fmi","properties":{"formattedCitation":"(Tsai et al. 2010)","plainCitation":"(Tsai et al. 2010)","dontUpdate":true,"noteIndex":0},"citationItems":[{"id":347,"uris":["http://zotero.org/users/4264928/items/HACHCQF2"],"uri":["http://zotero.org/users/4264928/items/HACHCQF2"],"itemData":{"id":347,"type":"article-journal","title":"A Genome-Wide Association Study Identifies Susceptibility Variants for Type 2 Diabetes in Han Chinese","container-title":"PLoS Genetics","volume":"6","issue":"2","source":"PubMed Central","abstract":"To investigate the underlying mechanisms of T2D pathogenesis, we looked for diabetes susceptibility genes that increase the risk of type 2 diabetes (T2D) in a Han Chinese population. A two-stage genome-wide association (GWA) study was conducted, in which 995 patients and 894 controls were genotyped using the Illumina HumanHap550-Duo BeadChip for the first genome scan stage. This was further replicated in 1,803 patients and 1,473 controls in stage 2. We found two loci not previously associated with diabetes susceptibility in and around the genes protein tyrosine phosphatase receptor type D (PTPRD) (P = 8.54×10−10; odds ratio [OR] = 1.57; 95% confidence interval [CI] = 1.36–1.82), and serine racemase (SRR) (P = 3.06×10−9; OR = 1.28; 95% CI = 1.18–1.39). We also confirmed that variants in KCNQ1 were associated with T2D risk, with the strongest signal at rs2237895 (P = 9.65×10−10; OR = 1.29, 95% CI = 1.19–1.40). By identifying two novel genetic susceptibility loci in a Han Chinese population and confirming the involvement of KCNQ1, which was previously reported to be associated with T2D in Japanese and European descent populations, our results may lead to a better understanding of differences in the molecular pathogenesis of T2D among various populations., Type 2 diabetes (T2D) is a complex disease that involves many genes and environmental factors. Genome-wide and candidate-gene association studies have thus far identified at least 19 regions containing genes that may confer a risk for T2D. However, most of these studies were conducted with patients of European descent. We studied Chinese patients with T2D and identified two genes, PTPRD and SRR, that were not previously known to be involved in diabetes and are involved in biological pathways different from those implicated in T2D by previous association reports. PTPRD is a protein tyrosine phosphatase and may affect insulin signaling on its target cells. SRR encodes a serine racemase that synthesizes D-serine from L-serine. Both D-serine (coagonist) and the neurotransmitter glutamate bind to NMDA receptors and trigger excitatory neurotransmission in the brain. Glutamate signaling also regulates insulin and glucagon secretion in pancreatic islets. Thus, SRR and D-serine, in addition to regulating insulin and glucagon secretion, may play a role in the etiology of T2D. Our study suggests that, in different patient populations, different genes may confer risks for diabetes. Our findings may lead to a better understanding of the molecular pathogenesis of T2D.","URL":"https://www.ncbi.nlm.nih.gov/pmc/articles/PMC2824763/","DOI":"10.1371/journal.pgen.1000847","ISSN":"1553-7390","note":"PMID: 20174558\nPMCID: PMC2824763","journalAbbreviation":"PLoS Genet","author":[{"family":"Tsai","given":"Fuu-Jen"},{"family":"Yang","given":"Chi-Fan"},{"family":"Chen","given":"Ching-Chu"},{"family":"Chuang","given":"Lee-Ming"},{"family":"Lu","given":"Chieh-Hsiang"},{"family":"Chang","given":"Chwen-Tzuei"},{"family":"Wang","given":"Tzu-Yuan"},{"family":"Chen","given":"Rong-Hsing"},{"family":"Shiu","given":"Chiung-Fang"},{"family":"Liu","given":"Yi-Min"},{"family":"Chang","given":"Chih-Chun"},{"family":"Chen","given":"Pei"},{"family":"Chen","given":"Chien-Hsiun"},{"family":"Fann","given":"Cathy S. J."},{"family":"Chen","given":"Yuan-Tsong"},{"family":"Wu","given":"Jer-Yuarn"}],"issued":{"date-parts":[["2010",2,19]]},"accessed":{"date-parts":[["2018",6,6]]}}}],"schema":"https://github.com/citation-style-language/schema/raw/master/csl-citation.json"} </w:instrText>
            </w:r>
            <w:r w:rsidRPr="00B360B5">
              <w:fldChar w:fldCharType="separate"/>
            </w:r>
            <w:r w:rsidRPr="00224B18">
              <w:t xml:space="preserve">Tsai </w:t>
            </w:r>
            <w:r w:rsidRPr="007704EF">
              <w:rPr>
                <w:i/>
              </w:rPr>
              <w:t>et al.</w:t>
            </w:r>
            <w:r w:rsidRPr="00224B18">
              <w:t xml:space="preserve"> 2010</w:t>
            </w:r>
            <w:r w:rsidRPr="00B360B5">
              <w:fldChar w:fldCharType="end"/>
            </w:r>
          </w:p>
        </w:tc>
      </w:tr>
      <w:tr w:rsidR="00195EAE" w:rsidRPr="00CA7899" w:rsidTr="00C55248">
        <w:trPr>
          <w:trHeight w:val="1385"/>
        </w:trPr>
        <w:tc>
          <w:tcPr>
            <w:tcW w:w="1003" w:type="dxa"/>
          </w:tcPr>
          <w:p w:rsidR="00195EAE" w:rsidRPr="00CA7899" w:rsidRDefault="00195EAE" w:rsidP="00C55248">
            <w:r w:rsidRPr="00CA7899">
              <w:t>1</w:t>
            </w:r>
            <w:r>
              <w:t>6</w:t>
            </w:r>
          </w:p>
        </w:tc>
        <w:tc>
          <w:tcPr>
            <w:tcW w:w="2592" w:type="dxa"/>
          </w:tcPr>
          <w:p w:rsidR="00195EAE" w:rsidRPr="001B6980" w:rsidRDefault="00195EAE" w:rsidP="00C55248">
            <w:pPr>
              <w:rPr>
                <w:i/>
                <w:shd w:val="clear" w:color="auto" w:fill="FFFFFF"/>
              </w:rPr>
            </w:pPr>
            <w:r w:rsidRPr="001B6980">
              <w:rPr>
                <w:i/>
                <w:shd w:val="clear" w:color="auto" w:fill="FFFFFF"/>
              </w:rPr>
              <w:t xml:space="preserve">CDKAL1, CDKN2A/2B, KCNQ1, TCF7L2, </w:t>
            </w:r>
          </w:p>
          <w:p w:rsidR="00195EAE" w:rsidRPr="001B6980" w:rsidRDefault="00195EAE" w:rsidP="00C55248">
            <w:pPr>
              <w:rPr>
                <w:i/>
                <w:shd w:val="clear" w:color="auto" w:fill="FFFFFF"/>
              </w:rPr>
            </w:pPr>
            <w:r w:rsidRPr="001B6980">
              <w:rPr>
                <w:i/>
                <w:shd w:val="clear" w:color="auto" w:fill="FFFFFF"/>
              </w:rPr>
              <w:t>IGF2BP2, SLC30AB, HHEX, KCNJ11</w:t>
            </w:r>
          </w:p>
          <w:p w:rsidR="00195EAE" w:rsidRPr="001B6980" w:rsidRDefault="00195EAE" w:rsidP="00C55248">
            <w:pPr>
              <w:rPr>
                <w:i/>
              </w:rPr>
            </w:pPr>
          </w:p>
        </w:tc>
        <w:tc>
          <w:tcPr>
            <w:tcW w:w="1668" w:type="dxa"/>
          </w:tcPr>
          <w:p w:rsidR="00195EAE" w:rsidRPr="00CA7899" w:rsidRDefault="00195EAE" w:rsidP="00C55248">
            <w:r w:rsidRPr="00CA7899">
              <w:rPr>
                <w:shd w:val="clear" w:color="auto" w:fill="FFFFFF"/>
              </w:rPr>
              <w:t>Japanese</w:t>
            </w:r>
          </w:p>
        </w:tc>
        <w:tc>
          <w:tcPr>
            <w:tcW w:w="1603" w:type="dxa"/>
          </w:tcPr>
          <w:p w:rsidR="00195EAE" w:rsidRPr="00CA7899" w:rsidRDefault="00195EAE" w:rsidP="00C55248">
            <w:r>
              <w:t>519/503</w:t>
            </w:r>
          </w:p>
        </w:tc>
        <w:tc>
          <w:tcPr>
            <w:tcW w:w="1764" w:type="dxa"/>
          </w:tcPr>
          <w:p w:rsidR="00195EAE" w:rsidRPr="00B360B5" w:rsidRDefault="00195EAE" w:rsidP="00C55248">
            <w:r w:rsidRPr="00B360B5">
              <w:fldChar w:fldCharType="begin"/>
            </w:r>
            <w:r>
              <w:instrText xml:space="preserve"> ADDIN ZOTERO_ITEM CSL_CITATION {"citationID":"ache0cck9n","properties":{"formattedCitation":"(Takeuchi et al. 2009)","plainCitation":"(Takeuchi et al. 2009)","dontUpdate":true,"noteIndex":0},"citationItems":[{"id":350,"uris":["http://zotero.org/users/4264928/items/G5YKT8WT"],"uri":["http://zotero.org/users/4264928/items/G5YKT8WT"],"itemData":{"id":350,"type":"article-journal","title":"Confirmation of Multiple Risk Loci and Genetic Impacts by a Genome-Wide Association Study of Type 2 Diabetes in the Japanese Population","container-title":"Diabetes","page":"1690-1699","volume":"58","issue":"7","source":"PubMed Central","abstract":"OBJECTIVE\nTo identify novel type 2 diabetes gene variants and confirm previously identified ones, a three-staged genome-wide association study was performed in the Japanese population.\n\nRESEARCH DESIGN AND METHODS\nIn the stage 1 scan, we genotyped 519 case and 503 control subjects with 482,625 single nucleotide polymorphism (SNP) markers; in the stage 2 panel comprising 1,110 case subjects and 1,014 control subjects, we assessed 1,456 SNPs (P &lt; 0.0025, stage 1); additionally to direct genotyping, 964 healthy control subjects formed the in silico control panel. Along with genome-wide exploration, we aimed to replicate the disease association of 17 SNPs from 16 candidate loci previously identified in Europeans. The associated and/or replicated loci (23 SNPs; P &lt; 7 × 10–5 for genome-wide exploration and P &lt; 0.05 for replication) were examined in the stage 3 panel comprising 4,000 case subjects and 12,569 population-based samples, from which 4,889 nondiabetic control subjects were preselected. The 12,569 subjects were used for overall risk assessment in the general population.\n\nRESULTS\nFour loci—1 novel with suggestive evidence (PEPD on 19q13, P = 1.4 × 10–5) and three previously reported—were identified; the association of CDKAL1, CDKN2A/CDKN2B, and KCNQ1 were confirmed (P &lt; 10–19). Moreover, significant associations were replicated in five other candidate loci: TCF7L2, IGF2BP2, SLC30A8, HHEX, and KCNJ11. There was substantial overlap of type 2 diabetes susceptibility genes between the two populations, whereas effect size and explained variance tended to be higher in the Japanese population.\n\nCONCLUSIONS\nThe strength of association was more prominent in the Japanese population than in Europeans for more than half of the confirmed type 2 diabetes loci.","DOI":"10.2337/db08-1494","ISSN":"0012-1797","note":"PMID: 19401414\nPMCID: PMC2699880","journalAbbreviation":"Diabetes","author":[{"family":"Takeuchi","given":"Fumihiko"},{"family":"Serizawa","given":"Masakuni"},{"family":"Yamamoto","given":"Ken"},{"family":"Fujisawa","given":"Tomomi"},{"family":"Nakashima","given":"Eitaro"},{"family":"Ohnaka","given":"Keizo"},{"family":"Ikegami","given":"Hiroshi"},{"family":"Sugiyama","given":"Takao"},{"family":"Katsuya","given":"Tomohiro"},{"family":"Miyagishi","given":"Makoto"},{"family":"Nakashima","given":"Naoki"},{"family":"Nawata","given":"Hajime"},{"family":"Nakamura","given":"Jiro"},{"family":"Kono","given":"Suminori"},{"family":"Takayanagi","given":"Ryoichi"},{"family":"Kato","given":"Norihiro"}],"issued":{"date-parts":[["2009",7]]}}}],"schema":"https://github.com/citation-style-language/schema/raw/master/csl-citation.json"} </w:instrText>
            </w:r>
            <w:r w:rsidRPr="00B360B5">
              <w:fldChar w:fldCharType="separate"/>
            </w:r>
            <w:r w:rsidRPr="00224B18">
              <w:t xml:space="preserve">Takeuchi </w:t>
            </w:r>
            <w:r w:rsidRPr="007704EF">
              <w:rPr>
                <w:i/>
              </w:rPr>
              <w:t>et al.</w:t>
            </w:r>
            <w:r w:rsidRPr="00224B18">
              <w:t xml:space="preserve"> 2009</w:t>
            </w:r>
            <w:r w:rsidRPr="00B360B5">
              <w:fldChar w:fldCharType="end"/>
            </w:r>
          </w:p>
        </w:tc>
      </w:tr>
    </w:tbl>
    <w:p w:rsidR="00195EAE" w:rsidRPr="00CA7899" w:rsidRDefault="00195EAE" w:rsidP="00195EAE"/>
    <w:p w:rsidR="003E3445" w:rsidRDefault="003E3445" w:rsidP="00195EAE">
      <w:pPr>
        <w:spacing w:line="480" w:lineRule="auto"/>
        <w:ind w:firstLine="720"/>
      </w:pPr>
    </w:p>
    <w:p w:rsidR="001915BE" w:rsidRDefault="001915BE" w:rsidP="00195EAE">
      <w:pPr>
        <w:spacing w:line="480" w:lineRule="auto"/>
        <w:ind w:firstLine="720"/>
      </w:pPr>
    </w:p>
    <w:p w:rsidR="00195EAE" w:rsidRDefault="00195EAE" w:rsidP="00195EAE">
      <w:pPr>
        <w:spacing w:line="480" w:lineRule="auto"/>
        <w:ind w:firstLine="720"/>
      </w:pPr>
      <w:r>
        <w:t xml:space="preserve">After reviewing all the sixteen articles, I chose six </w:t>
      </w:r>
      <w:r w:rsidRPr="00CA7899">
        <w:t xml:space="preserve">genes </w:t>
      </w:r>
      <w:r w:rsidR="00FF2EFE">
        <w:t xml:space="preserve">associated with T2D </w:t>
      </w:r>
      <w:r>
        <w:t xml:space="preserve">that showed up more frequently in the articles: </w:t>
      </w:r>
      <w:r w:rsidRPr="001B6980">
        <w:rPr>
          <w:i/>
        </w:rPr>
        <w:t>CDKAL1, CDKN2A/2B, KCNQ1, TCF7L2, IGF2BP2</w:t>
      </w:r>
      <w:r w:rsidRPr="00712592">
        <w:t xml:space="preserve">, and </w:t>
      </w:r>
      <w:r w:rsidRPr="001B6980">
        <w:rPr>
          <w:i/>
        </w:rPr>
        <w:t>SLC30A8</w:t>
      </w:r>
      <w:r w:rsidRPr="00712592">
        <w:t>.</w:t>
      </w:r>
      <w:r>
        <w:t xml:space="preserve">  All six genes were involved with regulation and secretion of insulin</w:t>
      </w:r>
      <w:r w:rsidR="00DE413D">
        <w:t xml:space="preserve"> or insulin sensitivity</w:t>
      </w:r>
      <w:r>
        <w:t xml:space="preserve">.  </w:t>
      </w:r>
      <w:r w:rsidRPr="00712592">
        <w:t>On the following table</w:t>
      </w:r>
      <w:r>
        <w:t>,</w:t>
      </w:r>
      <w:r w:rsidRPr="00712592">
        <w:t xml:space="preserve"> I have listed the roles of the</w:t>
      </w:r>
      <w:r>
        <w:t xml:space="preserve"> six</w:t>
      </w:r>
      <w:r w:rsidRPr="00712592">
        <w:t xml:space="preserve"> genes that I </w:t>
      </w:r>
      <w:r>
        <w:t>have selected.</w:t>
      </w:r>
      <w:r w:rsidRPr="00712592">
        <w:t xml:space="preserve"> </w:t>
      </w:r>
    </w:p>
    <w:p w:rsidR="003E3445" w:rsidRPr="00712592" w:rsidRDefault="003E3445" w:rsidP="00195EAE">
      <w:pPr>
        <w:spacing w:line="480" w:lineRule="auto"/>
        <w:ind w:firstLine="720"/>
      </w:pPr>
    </w:p>
    <w:p w:rsidR="00195EAE" w:rsidRPr="00712592" w:rsidRDefault="00195EAE" w:rsidP="00195EAE">
      <w:r w:rsidRPr="00712592">
        <w:t xml:space="preserve">Table </w:t>
      </w:r>
      <w:r>
        <w:t>3</w:t>
      </w:r>
      <w:r w:rsidRPr="00712592">
        <w:t>: Role of the genes that are associated with T2D worldwide</w:t>
      </w:r>
    </w:p>
    <w:p w:rsidR="00195EAE" w:rsidRPr="00712592" w:rsidRDefault="00195EAE" w:rsidP="00195EAE"/>
    <w:tbl>
      <w:tblPr>
        <w:tblStyle w:val="TableGrid"/>
        <w:tblW w:w="0" w:type="auto"/>
        <w:tblLook w:val="04A0" w:firstRow="1" w:lastRow="0" w:firstColumn="1" w:lastColumn="0" w:noHBand="0" w:noVBand="1"/>
      </w:tblPr>
      <w:tblGrid>
        <w:gridCol w:w="1885"/>
        <w:gridCol w:w="1710"/>
        <w:gridCol w:w="3240"/>
        <w:gridCol w:w="1795"/>
      </w:tblGrid>
      <w:tr w:rsidR="00195EAE" w:rsidRPr="00712592" w:rsidTr="00C55248">
        <w:tc>
          <w:tcPr>
            <w:tcW w:w="1885" w:type="dxa"/>
            <w:tcBorders>
              <w:right w:val="single" w:sz="4" w:space="0" w:color="auto"/>
            </w:tcBorders>
          </w:tcPr>
          <w:p w:rsidR="00195EAE" w:rsidRPr="00712592" w:rsidRDefault="00195EAE" w:rsidP="00C55248">
            <w:pPr>
              <w:rPr>
                <w:color w:val="000000" w:themeColor="text1"/>
              </w:rPr>
            </w:pPr>
            <w:r w:rsidRPr="00712592">
              <w:rPr>
                <w:color w:val="000000" w:themeColor="text1"/>
              </w:rPr>
              <w:t>Genes associated with T2D</w:t>
            </w:r>
          </w:p>
        </w:tc>
        <w:tc>
          <w:tcPr>
            <w:tcW w:w="1710" w:type="dxa"/>
            <w:tcBorders>
              <w:left w:val="single" w:sz="4" w:space="0" w:color="auto"/>
            </w:tcBorders>
          </w:tcPr>
          <w:p w:rsidR="00195EAE" w:rsidRPr="00712592" w:rsidRDefault="00195EAE" w:rsidP="00C55248">
            <w:pPr>
              <w:rPr>
                <w:color w:val="000000" w:themeColor="text1"/>
              </w:rPr>
            </w:pPr>
            <w:r>
              <w:rPr>
                <w:color w:val="000000" w:themeColor="text1"/>
              </w:rPr>
              <w:t xml:space="preserve">Chromosome location </w:t>
            </w:r>
          </w:p>
        </w:tc>
        <w:tc>
          <w:tcPr>
            <w:tcW w:w="3240" w:type="dxa"/>
          </w:tcPr>
          <w:p w:rsidR="00195EAE" w:rsidRPr="00712592" w:rsidRDefault="00195EAE" w:rsidP="00C55248">
            <w:pPr>
              <w:rPr>
                <w:color w:val="000000" w:themeColor="text1"/>
              </w:rPr>
            </w:pPr>
            <w:r w:rsidRPr="00712592">
              <w:rPr>
                <w:color w:val="000000" w:themeColor="text1"/>
              </w:rPr>
              <w:t xml:space="preserve">Role/mechanism </w:t>
            </w:r>
          </w:p>
        </w:tc>
        <w:tc>
          <w:tcPr>
            <w:tcW w:w="1795" w:type="dxa"/>
          </w:tcPr>
          <w:p w:rsidR="00195EAE" w:rsidRPr="00712592" w:rsidRDefault="00195EAE" w:rsidP="00C55248">
            <w:pPr>
              <w:rPr>
                <w:color w:val="000000" w:themeColor="text1"/>
              </w:rPr>
            </w:pPr>
            <w:r w:rsidRPr="00712592">
              <w:rPr>
                <w:color w:val="000000" w:themeColor="text1"/>
              </w:rPr>
              <w:t xml:space="preserve">References </w:t>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CDKAL1</w:t>
            </w:r>
          </w:p>
        </w:tc>
        <w:tc>
          <w:tcPr>
            <w:tcW w:w="1710" w:type="dxa"/>
            <w:tcBorders>
              <w:left w:val="single" w:sz="4" w:space="0" w:color="auto"/>
            </w:tcBorders>
          </w:tcPr>
          <w:p w:rsidR="00195EAE" w:rsidRPr="00712592" w:rsidRDefault="00195EAE" w:rsidP="00C55248">
            <w:r>
              <w:t>6p22.3</w:t>
            </w:r>
          </w:p>
        </w:tc>
        <w:tc>
          <w:tcPr>
            <w:tcW w:w="3240" w:type="dxa"/>
          </w:tcPr>
          <w:p w:rsidR="00195EAE" w:rsidRPr="00712592" w:rsidRDefault="00195EAE" w:rsidP="00C55248">
            <w:r w:rsidRPr="00712592">
              <w:rPr>
                <w:shd w:val="clear" w:color="auto" w:fill="FFFFFF"/>
              </w:rPr>
              <w:t>Associated with reduced β-cell function and insulin release</w:t>
            </w:r>
          </w:p>
        </w:tc>
        <w:tc>
          <w:tcPr>
            <w:tcW w:w="1795" w:type="dxa"/>
          </w:tcPr>
          <w:p w:rsidR="00195EAE" w:rsidRPr="00712592" w:rsidRDefault="00195EAE" w:rsidP="00C55248">
            <w:r w:rsidRPr="00712592">
              <w:fldChar w:fldCharType="begin"/>
            </w:r>
            <w:r>
              <w:instrText xml:space="preserve"> ADDIN ZOTERO_ITEM CSL_CITATION {"citationID":"a1shvpu93mt","properties":{"formattedCitation":"(Brambillasca et al. 2012)","plainCitation":"(Brambillasca et al. 2012)","dontUpdate":true,"noteIndex":0},"citationItems":[{"id":355,"uris":["http://zotero.org/users/4264928/items/24EKGE2I"],"uri":["http://zotero.org/users/4264928/items/24EKGE2I"],"itemData":{"id":355,"type":"article-journal","title":"CDK5 Regulatory Subunit-associated Protein 1-Like 1 (CDKAL1) Is a Tail-anchored Protein in the Endoplasmic Reticulum (ER) of Insulinoma Cells","container-title":"Journal of Biological Chemistry","page":"41808-41819","volume":"287","issue":"50","source":"Crossref","abstract":"Background: Cdkal1 is a type 2 diabetes (T2D) susceptibility gene responsible for tRNALys modification.\nResults: CDKAL1 is a tail-anchored protein inserted in the ER via the TRC40/Get3 pathway. Its down-regulation affects the expression of some insulin granule proteins and the ER stress marker CHOP10.\nConclusion: CDKAL1 participates in translation of insulin granule proteins and ER stress. Significance: Characterizing CDKAL1 contributes to T2D research.","DOI":"10.1074/jbc.M112.376558","ISSN":"0021-9258, 1083-351X","language":"en","author":[{"family":"Brambillasca","given":"Silvia"},{"family":"Altkrueger","given":"Anke"},{"family":"Colombo","given":"Sara Francesca"},{"family":"Friederich","given":"Anne"},{"family":"Eickelmann","given":"Peter"},{"family":"Mark","given":"Michael"},{"family":"Borgese","given":"Nica"},{"family":"Solimena","given":"Michele"}],"issued":{"date-parts":[["2012",12,7]]}}}],"schema":"https://github.com/citation-style-language/schema/raw/master/csl-citation.json"} </w:instrText>
            </w:r>
            <w:r w:rsidRPr="00712592">
              <w:fldChar w:fldCharType="separate"/>
            </w:r>
            <w:r w:rsidRPr="00224B18">
              <w:t xml:space="preserve">Brambillasca </w:t>
            </w:r>
            <w:r w:rsidRPr="007704EF">
              <w:rPr>
                <w:i/>
              </w:rPr>
              <w:t>et al.</w:t>
            </w:r>
            <w:r w:rsidRPr="00224B18">
              <w:t xml:space="preserve"> 2012</w:t>
            </w:r>
            <w:r w:rsidRPr="00712592">
              <w:fldChar w:fldCharType="end"/>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CDKN2A/2B</w:t>
            </w:r>
          </w:p>
        </w:tc>
        <w:tc>
          <w:tcPr>
            <w:tcW w:w="1710" w:type="dxa"/>
            <w:tcBorders>
              <w:left w:val="single" w:sz="4" w:space="0" w:color="auto"/>
            </w:tcBorders>
          </w:tcPr>
          <w:p w:rsidR="00195EAE" w:rsidRPr="00712592" w:rsidRDefault="00195EAE" w:rsidP="00C55248">
            <w:r>
              <w:t>9p21.3</w:t>
            </w:r>
          </w:p>
        </w:tc>
        <w:tc>
          <w:tcPr>
            <w:tcW w:w="3240" w:type="dxa"/>
          </w:tcPr>
          <w:p w:rsidR="00195EAE" w:rsidRPr="00712592" w:rsidRDefault="00195EAE" w:rsidP="00C55248">
            <w:r w:rsidRPr="00712592">
              <w:rPr>
                <w:shd w:val="clear" w:color="auto" w:fill="FFFFFF"/>
              </w:rPr>
              <w:t>Reduced insulin sensitivity</w:t>
            </w:r>
          </w:p>
        </w:tc>
        <w:tc>
          <w:tcPr>
            <w:tcW w:w="1795" w:type="dxa"/>
          </w:tcPr>
          <w:p w:rsidR="00195EAE" w:rsidRPr="00712592" w:rsidRDefault="00195EAE" w:rsidP="00C55248">
            <w:r w:rsidRPr="00712592">
              <w:fldChar w:fldCharType="begin"/>
            </w:r>
            <w:r>
              <w:instrText xml:space="preserve"> ADDIN ZOTERO_ITEM CSL_CITATION {"citationID":"a1nd33d32qu","properties":{"formattedCitation":"(Kong et al. 2016)","plainCitation":"(Kong et al. 2016)","dontUpdate":true,"noteIndex":0},"citationItems":[{"id":357,"uris":["http://zotero.org/users/4264928/items/IM29S4CF"],"uri":["http://zotero.org/users/4264928/items/IM29S4CF"],"itemData":{"id":357,"type":"article-journal","title":"Islet biology, the CDKN2A/B locus and type 2 diabetes risk","container-title":"Diabetologia","page":"1579-1593","volume":"59","issue":"8","source":"PubMed Central","abstract":"Type 2 diabetes, fuelled by the obesity epidemic, is an escalating worldwide cause of personal hardship and public cost. Diabetes incidence increases with age, and many studies link the classic senescence and ageing protein p16INK4A to diabetes pathophysiology via pancreatic islet biology. Genome-wide association studies (GWASs) have unequivocally linked the CDKN2A/B locus, which encodes p16 inhibitor of cyclin-dependent kinase (p16INK4A) and three other gene products, p14 alternate reading frame (p14ARF), p15INK4B and antisense non-coding RNA in the INK4 locus (ANRIL), with human diabetes risk. However, the mechanism by which the CDKN2A/B locus influences diabetes risk remains uncertain. Here, we weigh the evidence that CDKN2A/B polymorphisms impact metabolic health via islet biology vs effects in other tissues. Structured in a bedside-to-bench-to-bedside approach, we begin with a summary of the evidence that the CDKN2A/B locus impacts diabetes risk and a brief review of the basic biology of CDKN2A/B gene products. The main emphasis of this work is an in-depth look at the nuanced roles that CDKN2A/B gene products and related proteins play in the regulation of beta cell mass, proliferation and insulin secretory function, as well as roles in other metabolic tissues. We finish with a synthesis of basic biology and clinical observations, incorporating human physiology data. We conclude that it is likely that the CDKN2A/B locus influences diabetes risk through both islet and non-islet mechanisms.","DOI":"10.1007/s00125-016-3967-7","ISSN":"0012-186X","note":"PMID: 27155872\nPMCID: PMC4930689","journalAbbreviation":"Diabetologia","author":[{"family":"Kong","given":"Yahui"},{"family":"Sharma","given":"Rohit B."},{"family":"Nwosu","given":"Benjamin U."},{"family":"Alonso","given":"Laura C."}],"issued":{"date-parts":[["2016",8]]}}}],"schema":"https://github.com/citation-style-language/schema/raw/master/csl-citation.json"} </w:instrText>
            </w:r>
            <w:r w:rsidRPr="00712592">
              <w:fldChar w:fldCharType="separate"/>
            </w:r>
            <w:r w:rsidRPr="00224B18">
              <w:t xml:space="preserve">Kong </w:t>
            </w:r>
            <w:r w:rsidRPr="007704EF">
              <w:rPr>
                <w:i/>
              </w:rPr>
              <w:t>et al.</w:t>
            </w:r>
            <w:r w:rsidRPr="00224B18">
              <w:t xml:space="preserve"> 2016</w:t>
            </w:r>
            <w:r w:rsidRPr="00712592">
              <w:fldChar w:fldCharType="end"/>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KCNQ1</w:t>
            </w:r>
          </w:p>
        </w:tc>
        <w:tc>
          <w:tcPr>
            <w:tcW w:w="1710" w:type="dxa"/>
            <w:tcBorders>
              <w:left w:val="single" w:sz="4" w:space="0" w:color="auto"/>
            </w:tcBorders>
          </w:tcPr>
          <w:p w:rsidR="00195EAE" w:rsidRPr="00712592" w:rsidRDefault="00195EAE" w:rsidP="00C55248">
            <w:r>
              <w:t>11p15.5-15.4</w:t>
            </w:r>
          </w:p>
        </w:tc>
        <w:tc>
          <w:tcPr>
            <w:tcW w:w="3240" w:type="dxa"/>
          </w:tcPr>
          <w:p w:rsidR="00195EAE" w:rsidRPr="00712592" w:rsidRDefault="00195EAE" w:rsidP="00C55248">
            <w:r w:rsidRPr="00712592">
              <w:rPr>
                <w:shd w:val="clear" w:color="auto" w:fill="FFFFFF"/>
              </w:rPr>
              <w:t>Play a role in regulation of insulin secretion of pancreatic β-cells</w:t>
            </w:r>
          </w:p>
        </w:tc>
        <w:tc>
          <w:tcPr>
            <w:tcW w:w="1795" w:type="dxa"/>
          </w:tcPr>
          <w:p w:rsidR="00195EAE" w:rsidRPr="00712592" w:rsidRDefault="00195EAE" w:rsidP="00C55248">
            <w:r w:rsidRPr="00712592">
              <w:fldChar w:fldCharType="begin"/>
            </w:r>
            <w:r>
              <w:instrText xml:space="preserve"> ADDIN ZOTERO_ITEM CSL_CITATION {"citationID":"a1f1c1ktlcg","properties":{"formattedCitation":"(Sun et al. 2012)","plainCitation":"(Sun et al. 2012)","dontUpdate":true,"noteIndex":0},"citationItems":[{"id":360,"uris":["http://zotero.org/users/4264928/items/IJLLBT4T"],"uri":["http://zotero.org/users/4264928/items/IJLLBT4T"],"itemData":{"id":360,"type":"article-journal","title":"The Association between KCNQ1 Gene Polymorphism and Type 2 Diabetes Risk: A Meta-Analysis","container-title":"PLOS ONE","page":"e48578","volume":"7","issue":"11","source":"PLoS Journals","abstract":"Background KCNQ1 (potassium voltage-gated channel KQT-like sub-family, member 1) encodes a pore-forming subunit of a voltage-gated K+ channel (KvLQT1) that plays a key role for the repolarization of the cardiac action potential as well as water and salt transport in epithelial tissues. Recently, genome-wide association studies have identified KCNQ1 as a type 2 diabetes (T2D) susceptibility gene in populations of Asian descent. After that, a number of studies reported that the rs2237892 and rs2237895 polymorphism in KCNQ1 has been implicated in T2D risk. However, studies on the association between these polymorphism and T2D remain conflicting. To investigate this inconsistency, we performed this meta-analysis. Methods Databases including Pubmed, EMBASE, Web of Science and China National Knowledge Infrastructure (CNKI) were searched to find relevant studies. Odds ratios (ORs) with 95% confidence intervals (CIs) were used to assess the strength of association. Potential sources of heterogeneity were also assessed by subgroup analysis and meta-regression. Results A total of 25 articles involving 70,577 T2D cases and 99,068 controls were included. Overall, the summary odds ratio of C allele for T2D was 1.32 (95% CI 1.26–1.38; P&lt;10−5) and 1.24 (95% CI: 1.20–1.29; P&lt;10−5) for KCNQ1 rs2237892 and rs2237895 polymorphisms, respectively. Significant results were also observed using co-dominant, dominant and recessive genetic models. After stratifying by ethnicity, sample size, and diagnostic criteria, significant associations were also obtained. Conclusions This meta-analysis suggests that the rs2237892 and rs2237895 polymorphisms in KCNQ1 are associated with elevated type 2 diabetes susceptibility.","DOI":"10.1371/journal.pone.0048578","ISSN":"1932-6203","shortTitle":"The Association between KCNQ1 Gene Polymorphism and Type 2 Diabetes Risk","journalAbbreviation":"PLOS ONE","language":"en","author":[{"family":"Sun","given":"Qiman"},{"family":"Song","given":"Kang"},{"family":"Shen","given":"Xizhong"},{"family":"Cai","given":"Yu"}],"issued":{"date-parts":[["2012",11,2]]}}}],"schema":"https://github.com/citation-style-language/schema/raw/master/csl-citation.json"} </w:instrText>
            </w:r>
            <w:r w:rsidRPr="00712592">
              <w:fldChar w:fldCharType="separate"/>
            </w:r>
            <w:r w:rsidRPr="00224B18">
              <w:t xml:space="preserve">Sun </w:t>
            </w:r>
            <w:r w:rsidRPr="007704EF">
              <w:rPr>
                <w:i/>
              </w:rPr>
              <w:t>et al</w:t>
            </w:r>
            <w:r w:rsidRPr="00224B18">
              <w:t>. 2012</w:t>
            </w:r>
            <w:r w:rsidRPr="00712592">
              <w:fldChar w:fldCharType="end"/>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TCF7L2</w:t>
            </w:r>
          </w:p>
        </w:tc>
        <w:tc>
          <w:tcPr>
            <w:tcW w:w="1710" w:type="dxa"/>
            <w:tcBorders>
              <w:left w:val="single" w:sz="4" w:space="0" w:color="auto"/>
            </w:tcBorders>
          </w:tcPr>
          <w:p w:rsidR="00195EAE" w:rsidRPr="00712592" w:rsidRDefault="00195EAE" w:rsidP="00C55248">
            <w:r>
              <w:t>10q25-25.3</w:t>
            </w:r>
          </w:p>
        </w:tc>
        <w:tc>
          <w:tcPr>
            <w:tcW w:w="3240" w:type="dxa"/>
          </w:tcPr>
          <w:p w:rsidR="00195EAE" w:rsidRPr="00712592" w:rsidRDefault="00195EAE" w:rsidP="00C55248">
            <w:r w:rsidRPr="00712592">
              <w:rPr>
                <w:shd w:val="clear" w:color="auto" w:fill="FFFFFF"/>
              </w:rPr>
              <w:t>Affects insulin secretion</w:t>
            </w:r>
          </w:p>
        </w:tc>
        <w:tc>
          <w:tcPr>
            <w:tcW w:w="1795" w:type="dxa"/>
          </w:tcPr>
          <w:p w:rsidR="00195EAE" w:rsidRPr="00712592" w:rsidRDefault="00195EAE" w:rsidP="00C55248">
            <w:r w:rsidRPr="00712592">
              <w:fldChar w:fldCharType="begin"/>
            </w:r>
            <w:r>
              <w:instrText xml:space="preserve"> ADDIN ZOTERO_ITEM CSL_CITATION {"citationID":"a1fjhf3n9cu","properties":{"formattedCitation":"(Gloyn et al. 2009)","plainCitation":"(Gloyn et al. 2009)","dontUpdate":true,"noteIndex":0},"citationItems":[{"id":113,"uris":["http://zotero.org/users/4264928/items/ZC64DSBP"],"uri":["http://zotero.org/users/4264928/items/ZC64DSBP"],"itemData":{"id":113,"type":"article-journal","title":"Type 2 Diabetes Susceptibility Gene TCF7L2 and Its Role in β-Cell Function","container-title":"Diabetes","page":"800-802","volume":"58","issue":"4","source":"PubMed Central","DOI":"10.2337/db09-0099","ISSN":"0012-1797","note":"PMID: 19336690\nPMCID: PMC2661580","journalAbbreviation":"Diabetes","author":[{"family":"Gloyn","given":"Anna L."},{"family":"Braun","given":"Matthias"},{"family":"Rorsman","given":"Patrik"}],"issued":{"date-parts":[["2009",4]]}}}],"schema":"https://github.com/citation-style-language/schema/raw/master/csl-citation.json"} </w:instrText>
            </w:r>
            <w:r w:rsidRPr="00712592">
              <w:fldChar w:fldCharType="separate"/>
            </w:r>
            <w:r w:rsidRPr="00224B18">
              <w:t xml:space="preserve">Gloyn </w:t>
            </w:r>
            <w:r w:rsidRPr="007704EF">
              <w:rPr>
                <w:i/>
              </w:rPr>
              <w:t>et al</w:t>
            </w:r>
            <w:r w:rsidRPr="00224B18">
              <w:t>. 2009</w:t>
            </w:r>
            <w:r w:rsidRPr="00712592">
              <w:fldChar w:fldCharType="end"/>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IGF2BP2</w:t>
            </w:r>
          </w:p>
        </w:tc>
        <w:tc>
          <w:tcPr>
            <w:tcW w:w="1710" w:type="dxa"/>
            <w:tcBorders>
              <w:left w:val="single" w:sz="4" w:space="0" w:color="auto"/>
            </w:tcBorders>
          </w:tcPr>
          <w:p w:rsidR="00195EAE" w:rsidRPr="00712592" w:rsidRDefault="00195EAE" w:rsidP="00C55248">
            <w:r>
              <w:t>3q27.2</w:t>
            </w:r>
          </w:p>
        </w:tc>
        <w:tc>
          <w:tcPr>
            <w:tcW w:w="3240" w:type="dxa"/>
          </w:tcPr>
          <w:p w:rsidR="00195EAE" w:rsidRPr="00712592" w:rsidRDefault="00195EAE" w:rsidP="00C55248">
            <w:r w:rsidRPr="00712592">
              <w:rPr>
                <w:shd w:val="clear" w:color="auto" w:fill="FFFFFF"/>
              </w:rPr>
              <w:t>Stimulation of insulin action</w:t>
            </w:r>
          </w:p>
        </w:tc>
        <w:tc>
          <w:tcPr>
            <w:tcW w:w="1795" w:type="dxa"/>
          </w:tcPr>
          <w:p w:rsidR="00195EAE" w:rsidRPr="00712592" w:rsidRDefault="00195EAE" w:rsidP="00C55248">
            <w:r w:rsidRPr="00712592">
              <w:fldChar w:fldCharType="begin"/>
            </w:r>
            <w:r>
              <w:instrText xml:space="preserve"> ADDIN ZOTERO_ITEM CSL_CITATION {"citationID":"a19erhc7o3a","properties":{"formattedCitation":"(Zhao et al. 2011)","plainCitation":"(Zhao et al. 2011)","dontUpdate":true,"noteIndex":0},"citationItems":[{"id":369,"uris":["http://zotero.org/users/4264928/items/X6NEEPQ5"],"uri":["http://zotero.org/users/4264928/items/X6NEEPQ5"],"itemData":{"id":369,"type":"article-journal","title":"IGF2BP2 Genetic Variation and Type 2 Diabetes: A Global Meta-Analysis","container-title":"DNA and Cell Biology","page":"713-720","volume":"31","issue":"5","source":"liebertpub.com (Atypon)","abstract":"Insulin-like growth factor 2 mRNA-binding protein 2 (IGF2BP2) is involved in the stimulation of insulin action. Polymorphisms in the IGF2BP2 gene have been analyzed in numerous studies to assess the type 2 diabetes (T2D) risk attributed to these variants, but results are conflicting. To better understand the effect of rs4402960 polymorphism on T2D risk, we performed a comprehensive meta-analysis that included 35 published studies involving 70,261 cases and 100,567 controls. The relatively infrequent T variant was significantly associated with T2D with a per-allele odds ratio (OR) of 1.14 (95% confidence interval (CI): 1.12–1.16; p&lt;10−5). Significant results were also observed for heterozygous (OR=1.17, 95% CI: 1.14–1.20; p&lt;10−5) and homozygous (OR=1.23, 95% CI: 1.16–1.30; p&lt;10−5) compared with wild type. In the subgroup analysis by ethnicity, significantly increased risks were found in East Asian, Caucasian and Indian populations. However, no significant associations were detected among other ethnicities. In the stratified analysis according to sample size, diagnostic criterion, mean body mass index, and age of cases significantly increased risks for the polymorphism were found in all genetic models. In conclusion, this meta-analysis suggests that rs4402960 polymorphism in IGF2BP2 is associated with elevated T2D risk, but these associations vary in different ethnic populations.","DOI":"10.1089/dna.2011.1400","ISSN":"1044-5498","shortTitle":"IGF2BP2 Genetic Variation and Type 2 Diabetes","journalAbbreviation":"DNA and Cell Biology","author":[{"family":"Zhao","given":"Yuan"},{"family":"Ma","given":"Yu-Shui"},{"family":"Fang","given":"Ying"},{"family":"Liu","given":"Lili"},{"family":"Wu","given":"Sheng-Di"},{"family":"Fu","given":"Da"},{"family":"Wang","given":"Xiao-Feng"}],"issued":{"date-parts":[["2011",10,27]]}}}],"schema":"https://github.com/citation-style-language/schema/raw/master/csl-citation.json"} </w:instrText>
            </w:r>
            <w:r w:rsidRPr="00712592">
              <w:fldChar w:fldCharType="separate"/>
            </w:r>
            <w:r w:rsidRPr="00224B18">
              <w:t xml:space="preserve">Zhao </w:t>
            </w:r>
            <w:r w:rsidRPr="007704EF">
              <w:rPr>
                <w:i/>
              </w:rPr>
              <w:t>et al</w:t>
            </w:r>
            <w:r w:rsidRPr="00224B18">
              <w:t>. 2011</w:t>
            </w:r>
            <w:r w:rsidRPr="00712592">
              <w:fldChar w:fldCharType="end"/>
            </w:r>
          </w:p>
        </w:tc>
      </w:tr>
      <w:tr w:rsidR="00195EAE" w:rsidRPr="00712592" w:rsidTr="00C55248">
        <w:tc>
          <w:tcPr>
            <w:tcW w:w="1885" w:type="dxa"/>
            <w:tcBorders>
              <w:right w:val="single" w:sz="4" w:space="0" w:color="auto"/>
            </w:tcBorders>
          </w:tcPr>
          <w:p w:rsidR="00195EAE" w:rsidRPr="001B6980" w:rsidRDefault="00195EAE" w:rsidP="00C55248">
            <w:pPr>
              <w:rPr>
                <w:i/>
              </w:rPr>
            </w:pPr>
            <w:r w:rsidRPr="001B6980">
              <w:rPr>
                <w:i/>
              </w:rPr>
              <w:t>SLC30A8</w:t>
            </w:r>
          </w:p>
        </w:tc>
        <w:tc>
          <w:tcPr>
            <w:tcW w:w="1710" w:type="dxa"/>
            <w:tcBorders>
              <w:left w:val="single" w:sz="4" w:space="0" w:color="auto"/>
            </w:tcBorders>
          </w:tcPr>
          <w:p w:rsidR="00195EAE" w:rsidRPr="00712592" w:rsidRDefault="00195EAE" w:rsidP="00C55248">
            <w:r>
              <w:t>8q24.11</w:t>
            </w:r>
          </w:p>
        </w:tc>
        <w:tc>
          <w:tcPr>
            <w:tcW w:w="3240" w:type="dxa"/>
          </w:tcPr>
          <w:p w:rsidR="00195EAE" w:rsidRPr="00712592" w:rsidRDefault="00195EAE" w:rsidP="00C55248">
            <w:r w:rsidRPr="00712592">
              <w:rPr>
                <w:shd w:val="clear" w:color="auto" w:fill="FFFFFF"/>
              </w:rPr>
              <w:t>Insulin processing and secretion</w:t>
            </w:r>
          </w:p>
        </w:tc>
        <w:tc>
          <w:tcPr>
            <w:tcW w:w="1795" w:type="dxa"/>
          </w:tcPr>
          <w:p w:rsidR="00195EAE" w:rsidRPr="00712592" w:rsidRDefault="00195EAE" w:rsidP="00C55248">
            <w:r w:rsidRPr="00712592">
              <w:fldChar w:fldCharType="begin"/>
            </w:r>
            <w:r>
              <w:instrText xml:space="preserve"> ADDIN ZOTERO_ITEM CSL_CITATION {"citationID":"a26jrsgol3c","properties":{"formattedCitation":"(Salem et al. 2014)","plainCitation":"(Salem et al. 2014)","dontUpdate":true,"noteIndex":0},"citationItems":[{"id":366,"uris":["http://zotero.org/users/4264928/items/F8MTBUFF"],"uri":["http://zotero.org/users/4264928/items/F8MTBUFF"],"itemData":{"id":366,"type":"article-journal","title":"Contribution of SLC30A8 variants to the risk of type 2 diabetes in a multi-ethnic population: a case control study","container-title":"BMC Endocrine Disorders","page":"2","volume":"14","source":"PubMed Central","abstract":"Background\nSeveral studies have shown the association of solute carrier family 30 (zinc transporter) member 8 (SLC30A8) rs13266634 with type 2 diabetes (T2D). However, the association of alternative variants and haplotypes of SLC30A8 with T2D have not been studied in different populations. The aim of this study is to assess the association of the alternative SLC30A8 variants, rs7002176 and rs1995222 as well as the most common variant, rs13266634 and haplotypes with glutamic acid decarboxylase antibodies (GADA) negative diabetes in Malaysian subjects.\n\nMethods\nSingle nucleotide polymorphisms (SNPs) of SLC30A8; rs7002176, rs1995222 and rs13266634 were genotyped in 1140 T2D and 973 non-diabetic control subjects. Of these, 33 GADA positive diabetic subjects and 353 metabolic syndrome (MetS) subjects were excluded from subsequent analysis.\n\nResults\nThe recessive genetic model controlled for age, race, gender and BMI shows that the alternative SLC30A8 variant, rs1995222 is associated with GADA negative diabetes (OR = 1.29, P = 0.02) in Malaysian subjects. The most common variant, rs13266634 is also associated with GADA negative diabetes (OR = 1.45, P = 0.001). This association is more pronounced among Malaysian Indians (OR = 1.93, P = 0.001). Moreover, the CG haplotype and CG-CG diplotype have been equally associated with increased diabetic risk (OR = 1.67, P = 8.6 × 10-5).\n\nConclusions\nSLC30A8 SNPs and haplotypes are associated with GADA negative diabetes in Malaysian subjects, and this association is markedly higher among Malaysian Indian subjects.","DOI":"10.1186/1472-6823-14-2","ISSN":"1472-6823","note":"PMID: 24393180\nPMCID: PMC3893602","shortTitle":"Contribution of SLC30A8 variants to the risk of type 2 diabetes in a multi-ethnic population","journalAbbreviation":"BMC Endocr Disord","author":[{"family":"Salem","given":"Sameer D"},{"family":"Saif-Ali","given":"Riyadh"},{"family":"Ismail","given":"Ikram S"},{"family":"Al-Hamodi","given":"Zaid"},{"family":"Muniandy","given":"Sekaran"}],"issued":{"date-parts":[["2014",1,6]]}}}],"schema":"https://github.com/citation-style-language/schema/raw/master/csl-citation.json"} </w:instrText>
            </w:r>
            <w:r w:rsidRPr="00712592">
              <w:fldChar w:fldCharType="separate"/>
            </w:r>
            <w:r w:rsidRPr="00224B18">
              <w:t xml:space="preserve">Salem </w:t>
            </w:r>
            <w:r w:rsidRPr="007704EF">
              <w:rPr>
                <w:i/>
              </w:rPr>
              <w:t>et al</w:t>
            </w:r>
            <w:r w:rsidRPr="00224B18">
              <w:t>. 2014</w:t>
            </w:r>
            <w:r w:rsidRPr="00712592">
              <w:fldChar w:fldCharType="end"/>
            </w:r>
          </w:p>
        </w:tc>
      </w:tr>
    </w:tbl>
    <w:p w:rsidR="00C55248" w:rsidRDefault="00C55248" w:rsidP="00C55248">
      <w:pPr>
        <w:spacing w:line="480" w:lineRule="auto"/>
        <w:rPr>
          <w:b/>
          <w:bCs/>
          <w:color w:val="000000"/>
        </w:rPr>
      </w:pPr>
    </w:p>
    <w:p w:rsidR="00C55248" w:rsidRPr="00C55248" w:rsidRDefault="00C55248" w:rsidP="00C55248">
      <w:pPr>
        <w:spacing w:line="480" w:lineRule="auto"/>
        <w:rPr>
          <w:b/>
          <w:color w:val="000000"/>
        </w:rPr>
      </w:pPr>
      <w:r w:rsidRPr="00C55248">
        <w:rPr>
          <w:b/>
          <w:bCs/>
          <w:color w:val="000000"/>
        </w:rPr>
        <w:lastRenderedPageBreak/>
        <w:t xml:space="preserve">Aim 3: </w:t>
      </w:r>
      <w:r w:rsidRPr="00C55248">
        <w:rPr>
          <w:rFonts w:eastAsiaTheme="minorEastAsia"/>
          <w:b/>
          <w:color w:val="000000" w:themeColor="text1"/>
          <w:kern w:val="24"/>
        </w:rPr>
        <w:t>Compare the degree of epigenetic modifications possibly result in altered gene expressions of the identified genes</w:t>
      </w:r>
      <w:r w:rsidRPr="00C55248">
        <w:rPr>
          <w:b/>
          <w:color w:val="000000"/>
        </w:rPr>
        <w:t xml:space="preserve"> </w:t>
      </w:r>
    </w:p>
    <w:p w:rsidR="00C55248" w:rsidRPr="00C55248" w:rsidRDefault="004D52F7" w:rsidP="002A73C9">
      <w:pPr>
        <w:spacing w:line="480" w:lineRule="auto"/>
        <w:ind w:firstLine="720"/>
      </w:pPr>
      <w:bookmarkStart w:id="19" w:name="_Hlk515815606"/>
      <w:r>
        <w:t xml:space="preserve">Having identified </w:t>
      </w:r>
      <w:r w:rsidR="00C55248" w:rsidRPr="00C55248">
        <w:t>the most frequent genes that were associated with T2D</w:t>
      </w:r>
      <w:r w:rsidR="00C55248">
        <w:t xml:space="preserve"> from the systematic review</w:t>
      </w:r>
      <w:r w:rsidR="00C55248" w:rsidRPr="00C55248">
        <w:t xml:space="preserve">, </w:t>
      </w:r>
      <w:bookmarkEnd w:id="19"/>
      <w:r w:rsidR="00C55248" w:rsidRPr="00C55248">
        <w:t xml:space="preserve">I will sequence and compare the degree of epigenetic modifications and gene expression of the selected genes </w:t>
      </w:r>
      <w:r>
        <w:t>in</w:t>
      </w:r>
      <w:r w:rsidR="00C55248" w:rsidRPr="00C55248">
        <w:t xml:space="preserve"> both native Ethiopians and the Ethiopian immigrant population in the United States diagnosed with T2D</w:t>
      </w:r>
      <w:r>
        <w:t xml:space="preserve">, as well as, </w:t>
      </w:r>
      <w:r w:rsidR="00C55248" w:rsidRPr="00C55248">
        <w:t xml:space="preserve">control groups.  </w:t>
      </w:r>
      <w:r w:rsidR="002A73C9" w:rsidRPr="00C55248">
        <w:t xml:space="preserve">Thus, will find out if the identified genes </w:t>
      </w:r>
      <w:r>
        <w:t xml:space="preserve">are subjected to </w:t>
      </w:r>
      <w:r w:rsidR="002A73C9" w:rsidRPr="00C55248">
        <w:t>epigenetic modifications</w:t>
      </w:r>
      <w:r>
        <w:t>,</w:t>
      </w:r>
      <w:r w:rsidR="002A73C9" w:rsidRPr="00C55248">
        <w:t xml:space="preserve"> possibly result</w:t>
      </w:r>
      <w:r w:rsidR="002A73C9">
        <w:t>ing</w:t>
      </w:r>
      <w:r w:rsidR="002A73C9" w:rsidRPr="00C55248">
        <w:t xml:space="preserve"> in altered gene expression.</w:t>
      </w:r>
      <w:r w:rsidR="002A73C9">
        <w:t xml:space="preserve">  </w:t>
      </w:r>
      <w:r w:rsidR="00C55248" w:rsidRPr="00C55248">
        <w:t xml:space="preserve">Bisulfite assay will be used to identify and detect the regions of methylation at the CpG islands </w:t>
      </w:r>
      <w:r w:rsidR="00C55248" w:rsidRPr="00C55248">
        <w:fldChar w:fldCharType="begin"/>
      </w:r>
      <w:r w:rsidR="00C55248" w:rsidRPr="00C55248">
        <w:instrText xml:space="preserve"> ADDIN ZOTERO_ITEM CSL_CITATION {"citationID":"a22qep3lq56","properties":{"formattedCitation":"(Chung et al. 2010)","plainCitation":"(Chung et al. 2010)","noteIndex":0},"citationItems":[{"id":103,"uris":["http://zotero.org/users/4264928/items/8WEM6AAZ"],"uri":["http://zotero.org/users/4264928/items/8WEM6AAZ"],"itemData":{"id":103,"type":"article-journal","title":"Whole Methylome Analysis by Ultra-Deep Sequencing Using Two-Base Encoding","container-title":"PLOS ONE","page":"e9320","volume":"5","issue":"2","source":"PLoS Journals","abstract":"Methylation, the addition of methyl groups to cytosine (C), plays an important role in the regulation of gene expression in both normal and dysfunctional cells. During bisulfite conversion and subsequent PCR amplification, unmethylated Cs are converted into thymine (T), while methylated Cs will not be converted. Sequencing of this bisulfite-treated DNA permits the detection of methylation at specific sites. Through the introduction of next-generation sequencing technologies (NGS) simultaneous analysis of methylation motifs in multiple regions provides the opportunity for hypothesis-free study of the entire methylome. Here we present a whole methylome sequencing study that compares two different bisulfite conversion methods (in solution versus in gel), utilizing the high throughput of the SOLiD™ System. Advantages and disadvantages of the two different bisulfite conversion methods for constructing sequencing libraries are discussed. Furthermore, the application of the SOLiD™ bisulfite sequencing to larger and more complex genomes is shown with preliminary in silico created bisulfite converted reads.","DOI":"10.1371/journal.pone.0009320","ISSN":"1932-6203","journalAbbreviation":"PLOS ONE","author":[{"family":"Chung","given":"Christina A. Bormann"},{"family":"Boyd","given":"Victoria L."},{"family":"McKernan","given":"Kevin J."},{"family":"Fu","given":"Yutao"},{"family":"Monighetti","given":"Cinna"},{"family":"Peckham","given":"Heather E."},{"family":"Barker","given":"Melissa"}],"issued":{"date-parts":[["2010",2,22]]}}}],"schema":"https://github.com/citation-style-language/schema/raw/master/csl-citation.json"} </w:instrText>
      </w:r>
      <w:r w:rsidR="00C55248" w:rsidRPr="00C55248">
        <w:fldChar w:fldCharType="separate"/>
      </w:r>
      <w:r w:rsidR="00C55248" w:rsidRPr="00C55248">
        <w:t xml:space="preserve">(Chung </w:t>
      </w:r>
      <w:r w:rsidR="00C55248" w:rsidRPr="00C55248">
        <w:rPr>
          <w:i/>
        </w:rPr>
        <w:t>et al.</w:t>
      </w:r>
      <w:r w:rsidR="00C55248" w:rsidRPr="00C55248">
        <w:t xml:space="preserve"> 2010)</w:t>
      </w:r>
      <w:r w:rsidR="00C55248" w:rsidRPr="00C55248">
        <w:fldChar w:fldCharType="end"/>
      </w:r>
      <w:r w:rsidR="00C55248" w:rsidRPr="00C55248">
        <w:t xml:space="preserve">.  </w:t>
      </w:r>
    </w:p>
    <w:p w:rsidR="00C55248" w:rsidRPr="00C55248" w:rsidRDefault="002A73C9" w:rsidP="00C55248">
      <w:pPr>
        <w:spacing w:line="480" w:lineRule="auto"/>
        <w:ind w:firstLine="720"/>
        <w:rPr>
          <w:rFonts w:eastAsiaTheme="minorEastAsia"/>
          <w:color w:val="000000" w:themeColor="text1"/>
          <w:kern w:val="24"/>
        </w:rPr>
      </w:pPr>
      <w:bookmarkStart w:id="20" w:name="_Hlk520340735"/>
      <w:r>
        <w:rPr>
          <w:rFonts w:eastAsiaTheme="minorEastAsia"/>
          <w:color w:val="000000" w:themeColor="text1"/>
          <w:kern w:val="24"/>
        </w:rPr>
        <w:t xml:space="preserve">Samples </w:t>
      </w:r>
      <w:r w:rsidR="004D52F7">
        <w:rPr>
          <w:rFonts w:eastAsiaTheme="minorEastAsia"/>
          <w:color w:val="000000" w:themeColor="text1"/>
          <w:kern w:val="24"/>
        </w:rPr>
        <w:t xml:space="preserve">of </w:t>
      </w:r>
      <w:r>
        <w:rPr>
          <w:rFonts w:eastAsiaTheme="minorEastAsia"/>
          <w:color w:val="000000" w:themeColor="text1"/>
          <w:kern w:val="24"/>
        </w:rPr>
        <w:t>Ethiopian immigrants</w:t>
      </w:r>
      <w:r w:rsidR="004D52F7">
        <w:rPr>
          <w:rFonts w:eastAsiaTheme="minorEastAsia"/>
          <w:color w:val="000000" w:themeColor="text1"/>
          <w:kern w:val="24"/>
        </w:rPr>
        <w:t xml:space="preserve"> represent the whole immigrant population in the United States will be recruited using the OMHS records.  Furthermore, a sample of native Ethiopians will be collected in collaboration with Gonder University in Ethiopia.  </w:t>
      </w:r>
      <w:r>
        <w:rPr>
          <w:rFonts w:eastAsiaTheme="minorEastAsia"/>
          <w:color w:val="000000" w:themeColor="text1"/>
          <w:kern w:val="24"/>
        </w:rPr>
        <w:t xml:space="preserve">A brief questionnaire </w:t>
      </w:r>
      <w:r w:rsidR="00C55248" w:rsidRPr="00C55248">
        <w:rPr>
          <w:rFonts w:eastAsiaTheme="minorEastAsia"/>
          <w:color w:val="000000" w:themeColor="text1"/>
          <w:kern w:val="24"/>
        </w:rPr>
        <w:t>about medical histor</w:t>
      </w:r>
      <w:r w:rsidR="004D52F7">
        <w:rPr>
          <w:rFonts w:eastAsiaTheme="minorEastAsia"/>
          <w:color w:val="000000" w:themeColor="text1"/>
          <w:kern w:val="24"/>
        </w:rPr>
        <w:t xml:space="preserve">y </w:t>
      </w:r>
      <w:r w:rsidR="00C55248" w:rsidRPr="00C55248">
        <w:rPr>
          <w:rFonts w:eastAsiaTheme="minorEastAsia"/>
          <w:color w:val="000000" w:themeColor="text1"/>
          <w:kern w:val="24"/>
        </w:rPr>
        <w:t xml:space="preserve">will be </w:t>
      </w:r>
      <w:r w:rsidR="004D52F7">
        <w:rPr>
          <w:rFonts w:eastAsiaTheme="minorEastAsia"/>
          <w:color w:val="000000" w:themeColor="text1"/>
          <w:kern w:val="24"/>
        </w:rPr>
        <w:t xml:space="preserve">administrated </w:t>
      </w:r>
      <w:r w:rsidR="00C55248" w:rsidRPr="00C55248">
        <w:rPr>
          <w:rFonts w:eastAsiaTheme="minorEastAsia"/>
          <w:color w:val="000000" w:themeColor="text1"/>
          <w:kern w:val="24"/>
        </w:rPr>
        <w:t>including</w:t>
      </w:r>
      <w:r>
        <w:rPr>
          <w:rFonts w:eastAsiaTheme="minorEastAsia"/>
          <w:color w:val="000000" w:themeColor="text1"/>
          <w:kern w:val="24"/>
        </w:rPr>
        <w:t>:</w:t>
      </w:r>
      <w:r w:rsidR="00C55248" w:rsidRPr="00C55248">
        <w:rPr>
          <w:rFonts w:eastAsiaTheme="minorEastAsia"/>
          <w:color w:val="000000" w:themeColor="text1"/>
          <w:kern w:val="24"/>
        </w:rPr>
        <w:t xml:space="preserve"> sex, age (&gt; 18), age at T2D onset, </w:t>
      </w:r>
      <w:r w:rsidR="004D52F7">
        <w:rPr>
          <w:rFonts w:eastAsiaTheme="minorEastAsia"/>
          <w:color w:val="000000" w:themeColor="text1"/>
          <w:kern w:val="24"/>
        </w:rPr>
        <w:t xml:space="preserve">if any </w:t>
      </w:r>
      <w:r w:rsidR="00C55248" w:rsidRPr="00C55248">
        <w:rPr>
          <w:rFonts w:eastAsiaTheme="minorEastAsia"/>
          <w:color w:val="000000" w:themeColor="text1"/>
          <w:kern w:val="24"/>
        </w:rPr>
        <w:t>family history</w:t>
      </w:r>
      <w:r w:rsidR="00D65812">
        <w:rPr>
          <w:rFonts w:eastAsiaTheme="minorEastAsia"/>
          <w:color w:val="000000" w:themeColor="text1"/>
          <w:kern w:val="24"/>
        </w:rPr>
        <w:t xml:space="preserve"> of T2D</w:t>
      </w:r>
      <w:r w:rsidR="00C55248" w:rsidRPr="00C55248">
        <w:rPr>
          <w:rFonts w:eastAsiaTheme="minorEastAsia"/>
          <w:color w:val="000000" w:themeColor="text1"/>
          <w:kern w:val="24"/>
        </w:rPr>
        <w:t xml:space="preserve">, </w:t>
      </w:r>
      <w:r w:rsidR="00D65812">
        <w:rPr>
          <w:rFonts w:eastAsiaTheme="minorEastAsia"/>
          <w:color w:val="000000" w:themeColor="text1"/>
          <w:kern w:val="24"/>
        </w:rPr>
        <w:t xml:space="preserve">and </w:t>
      </w:r>
      <w:r w:rsidR="00C55248" w:rsidRPr="00C55248">
        <w:rPr>
          <w:rFonts w:eastAsiaTheme="minorEastAsia"/>
          <w:color w:val="000000" w:themeColor="text1"/>
          <w:kern w:val="24"/>
        </w:rPr>
        <w:t>where in Ethiopia are they from (rural/urban</w:t>
      </w:r>
      <w:r w:rsidR="00D65812">
        <w:rPr>
          <w:rFonts w:eastAsiaTheme="minorEastAsia"/>
          <w:color w:val="000000" w:themeColor="text1"/>
          <w:kern w:val="24"/>
        </w:rPr>
        <w:t>).</w:t>
      </w:r>
      <w:r w:rsidR="00C55248" w:rsidRPr="00C55248">
        <w:rPr>
          <w:rFonts w:eastAsiaTheme="minorEastAsia"/>
          <w:color w:val="000000" w:themeColor="text1"/>
          <w:kern w:val="24"/>
        </w:rPr>
        <w:t xml:space="preserve">  Ethiopian immigrants will also be asked for how long they have been living in the United States and will participate in the study if they said ≥ 5 years.  Biospecimen for</w:t>
      </w:r>
      <w:r w:rsidR="00D65812">
        <w:rPr>
          <w:rFonts w:eastAsiaTheme="minorEastAsia"/>
          <w:color w:val="000000" w:themeColor="text1"/>
          <w:kern w:val="24"/>
        </w:rPr>
        <w:t xml:space="preserve"> bisulfite assay</w:t>
      </w:r>
      <w:r w:rsidR="00C55248" w:rsidRPr="00C55248">
        <w:rPr>
          <w:rFonts w:eastAsiaTheme="minorEastAsia"/>
          <w:color w:val="000000" w:themeColor="text1"/>
          <w:kern w:val="24"/>
        </w:rPr>
        <w:t xml:space="preserve"> will be collected </w:t>
      </w:r>
      <w:r w:rsidR="00D65812">
        <w:rPr>
          <w:rFonts w:eastAsiaTheme="minorEastAsia"/>
          <w:color w:val="000000" w:themeColor="text1"/>
          <w:kern w:val="24"/>
        </w:rPr>
        <w:t>in</w:t>
      </w:r>
      <w:r w:rsidR="00C55248" w:rsidRPr="00C55248">
        <w:rPr>
          <w:rFonts w:eastAsiaTheme="minorEastAsia"/>
          <w:color w:val="000000" w:themeColor="text1"/>
          <w:kern w:val="24"/>
        </w:rPr>
        <w:t xml:space="preserve"> both groups.  This study is going to be done by collaborating with Gonder University in Ethiopia.  The school</w:t>
      </w:r>
      <w:r w:rsidR="00D65812">
        <w:rPr>
          <w:rFonts w:eastAsiaTheme="minorEastAsia"/>
          <w:color w:val="000000" w:themeColor="text1"/>
          <w:kern w:val="24"/>
        </w:rPr>
        <w:t xml:space="preserve"> has an ongoing cohort, so I can recruit a representative sample nested inside cohort</w:t>
      </w:r>
      <w:r w:rsidR="00C55248" w:rsidRPr="00C55248">
        <w:rPr>
          <w:rFonts w:eastAsiaTheme="minorEastAsia"/>
          <w:color w:val="000000" w:themeColor="text1"/>
          <w:kern w:val="24"/>
        </w:rPr>
        <w:t>.</w:t>
      </w:r>
      <w:r>
        <w:rPr>
          <w:rFonts w:eastAsiaTheme="minorEastAsia"/>
          <w:color w:val="000000" w:themeColor="text1"/>
          <w:kern w:val="24"/>
        </w:rPr>
        <w:t xml:space="preserve">  Also, the participants </w:t>
      </w:r>
      <w:r w:rsidR="00D65812">
        <w:rPr>
          <w:rFonts w:eastAsiaTheme="minorEastAsia"/>
          <w:color w:val="000000" w:themeColor="text1"/>
          <w:kern w:val="24"/>
        </w:rPr>
        <w:t>in</w:t>
      </w:r>
      <w:r>
        <w:rPr>
          <w:rFonts w:eastAsiaTheme="minorEastAsia"/>
          <w:color w:val="000000" w:themeColor="text1"/>
          <w:kern w:val="24"/>
        </w:rPr>
        <w:t xml:space="preserve"> both groups have to be comp</w:t>
      </w:r>
      <w:r w:rsidR="00D65812">
        <w:rPr>
          <w:rFonts w:eastAsiaTheme="minorEastAsia"/>
          <w:color w:val="000000" w:themeColor="text1"/>
          <w:kern w:val="24"/>
        </w:rPr>
        <w:t xml:space="preserve">arable.  In each group, a sample of T2D patients and a control sample will be recruited. Cases and controls will have to be exchangeable except for the diagnoses of T2D. </w:t>
      </w:r>
      <w:r>
        <w:rPr>
          <w:rFonts w:eastAsiaTheme="minorEastAsia"/>
          <w:color w:val="000000" w:themeColor="text1"/>
          <w:kern w:val="24"/>
        </w:rPr>
        <w:t xml:space="preserve"> </w:t>
      </w:r>
    </w:p>
    <w:bookmarkEnd w:id="20"/>
    <w:p w:rsidR="00C55248" w:rsidRPr="00C55248" w:rsidRDefault="00C55248" w:rsidP="005B4A70">
      <w:pPr>
        <w:spacing w:line="480" w:lineRule="auto"/>
        <w:ind w:firstLine="720"/>
        <w:rPr>
          <w:b/>
          <w:bCs/>
          <w:color w:val="000000"/>
        </w:rPr>
      </w:pPr>
      <w:r w:rsidRPr="00C55248">
        <w:rPr>
          <w:color w:val="000000"/>
        </w:rPr>
        <w:lastRenderedPageBreak/>
        <w:t>The reason why the genes will not be expressed would be because of hyper-methylation at CpG island sites causing the Ethiopian immigrant population to have a higher prevalence and more susceptibility to T2D compared to the native Ethiopian</w:t>
      </w:r>
      <w:r w:rsidR="00743B38">
        <w:rPr>
          <w:color w:val="000000"/>
        </w:rPr>
        <w:t>s.  Individual genes will be sequenced for both native Ethiopian and the Ethiopian immigrants diagnosed with T2D, and the expression and methylation frequency of those specific genes that are associated with T2D will be compared</w:t>
      </w:r>
      <w:r w:rsidRPr="00C55248">
        <w:rPr>
          <w:color w:val="000000"/>
        </w:rPr>
        <w:t>.</w:t>
      </w:r>
      <w:r w:rsidR="005B4A70">
        <w:rPr>
          <w:b/>
          <w:bCs/>
          <w:color w:val="000000"/>
        </w:rPr>
        <w:t xml:space="preserve">  </w:t>
      </w:r>
      <w:r w:rsidR="005B4A70" w:rsidRPr="00C55248">
        <w:rPr>
          <w:color w:val="000000"/>
        </w:rPr>
        <w:t>I am hypo</w:t>
      </w:r>
      <w:r w:rsidR="005B4A70">
        <w:rPr>
          <w:color w:val="000000"/>
        </w:rPr>
        <w:t>thesizing</w:t>
      </w:r>
      <w:r w:rsidR="005B4A70" w:rsidRPr="00C55248">
        <w:rPr>
          <w:color w:val="000000"/>
        </w:rPr>
        <w:t xml:space="preserve"> </w:t>
      </w:r>
      <w:r w:rsidR="005B4A70">
        <w:rPr>
          <w:color w:val="000000"/>
        </w:rPr>
        <w:t>that</w:t>
      </w:r>
      <w:r w:rsidR="005B4A70" w:rsidRPr="00C55248">
        <w:rPr>
          <w:color w:val="000000"/>
        </w:rPr>
        <w:t xml:space="preserve"> the genes associated with T2D </w:t>
      </w:r>
      <w:r w:rsidR="005B4A70">
        <w:rPr>
          <w:color w:val="000000"/>
        </w:rPr>
        <w:t xml:space="preserve">will </w:t>
      </w:r>
      <w:r w:rsidR="005B4A70" w:rsidRPr="00C55248">
        <w:rPr>
          <w:color w:val="000000"/>
        </w:rPr>
        <w:t>be more expressed (less methylat</w:t>
      </w:r>
      <w:r w:rsidR="005B4A70">
        <w:rPr>
          <w:color w:val="000000"/>
        </w:rPr>
        <w:t>ed</w:t>
      </w:r>
      <w:r w:rsidR="005B4A70" w:rsidRPr="00C55248">
        <w:rPr>
          <w:color w:val="000000"/>
        </w:rPr>
        <w:t xml:space="preserve">) </w:t>
      </w:r>
      <w:r w:rsidR="005B4A70">
        <w:rPr>
          <w:color w:val="000000"/>
        </w:rPr>
        <w:t>in</w:t>
      </w:r>
      <w:r w:rsidR="005B4A70" w:rsidRPr="00C55248">
        <w:rPr>
          <w:color w:val="000000"/>
        </w:rPr>
        <w:t xml:space="preserve"> native Ethiopians compared to the Ethiopian immigrant population in the United States diagnosed with T2D.</w:t>
      </w:r>
      <w:r w:rsidR="005B4A70">
        <w:rPr>
          <w:color w:val="000000"/>
        </w:rPr>
        <w:t xml:space="preserve">  I hypothesis t</w:t>
      </w:r>
      <w:r w:rsidR="005B4A70" w:rsidRPr="00C55248">
        <w:rPr>
          <w:color w:val="000000"/>
        </w:rPr>
        <w:t>hat</w:t>
      </w:r>
      <w:r w:rsidR="005B4A70">
        <w:rPr>
          <w:color w:val="000000"/>
        </w:rPr>
        <w:t xml:space="preserve"> this would be</w:t>
      </w:r>
      <w:r w:rsidR="005B4A70" w:rsidRPr="00C55248">
        <w:rPr>
          <w:color w:val="000000"/>
        </w:rPr>
        <w:t xml:space="preserve"> correlate</w:t>
      </w:r>
      <w:r w:rsidR="005B4A70">
        <w:rPr>
          <w:color w:val="000000"/>
        </w:rPr>
        <w:t>d</w:t>
      </w:r>
      <w:r w:rsidR="005B4A70" w:rsidRPr="00C55248">
        <w:rPr>
          <w:color w:val="000000"/>
        </w:rPr>
        <w:t xml:space="preserve"> with</w:t>
      </w:r>
      <w:r w:rsidR="005B4A70">
        <w:rPr>
          <w:color w:val="000000"/>
        </w:rPr>
        <w:t xml:space="preserve"> the</w:t>
      </w:r>
      <w:r w:rsidR="005B4A70" w:rsidRPr="00C55248">
        <w:rPr>
          <w:color w:val="000000"/>
        </w:rPr>
        <w:t xml:space="preserve"> lifestyle differences between the two groups.  </w:t>
      </w:r>
    </w:p>
    <w:p w:rsidR="00C55248" w:rsidRPr="00C55248" w:rsidRDefault="00C55248" w:rsidP="00C55248">
      <w:pPr>
        <w:spacing w:line="480" w:lineRule="auto"/>
        <w:ind w:firstLine="720"/>
        <w:rPr>
          <w:b/>
          <w:szCs w:val="20"/>
        </w:rPr>
      </w:pPr>
    </w:p>
    <w:p w:rsidR="00C55248" w:rsidRPr="00C55248" w:rsidRDefault="00C55248" w:rsidP="00C55248">
      <w:pPr>
        <w:spacing w:line="480" w:lineRule="auto"/>
        <w:ind w:firstLine="720"/>
        <w:rPr>
          <w:b/>
          <w:szCs w:val="20"/>
        </w:rPr>
      </w:pPr>
    </w:p>
    <w:p w:rsidR="00C55248" w:rsidRDefault="00C55248" w:rsidP="00C55248">
      <w:pPr>
        <w:spacing w:line="480" w:lineRule="auto"/>
        <w:ind w:firstLine="720"/>
        <w:rPr>
          <w:b/>
          <w:szCs w:val="20"/>
        </w:rPr>
      </w:pPr>
    </w:p>
    <w:p w:rsidR="00626627" w:rsidRDefault="00626627" w:rsidP="00C55248">
      <w:pPr>
        <w:spacing w:line="480" w:lineRule="auto"/>
        <w:ind w:firstLine="720"/>
        <w:rPr>
          <w:b/>
          <w:szCs w:val="20"/>
        </w:rPr>
      </w:pPr>
    </w:p>
    <w:p w:rsidR="00626627" w:rsidRDefault="00626627" w:rsidP="00C55248">
      <w:pPr>
        <w:spacing w:line="480" w:lineRule="auto"/>
        <w:ind w:firstLine="720"/>
        <w:rPr>
          <w:b/>
          <w:szCs w:val="20"/>
        </w:rPr>
      </w:pPr>
    </w:p>
    <w:p w:rsidR="00626627" w:rsidRPr="00C55248" w:rsidRDefault="00626627" w:rsidP="00C55248">
      <w:pPr>
        <w:spacing w:line="480" w:lineRule="auto"/>
        <w:ind w:firstLine="720"/>
        <w:rPr>
          <w:b/>
          <w:szCs w:val="20"/>
        </w:rPr>
      </w:pPr>
    </w:p>
    <w:p w:rsidR="00C55248" w:rsidRDefault="00C55248" w:rsidP="00C55248">
      <w:pPr>
        <w:spacing w:line="480" w:lineRule="auto"/>
        <w:rPr>
          <w:b/>
          <w:szCs w:val="20"/>
        </w:rPr>
      </w:pPr>
    </w:p>
    <w:p w:rsidR="00626627" w:rsidRDefault="00626627" w:rsidP="00C55248">
      <w:pPr>
        <w:spacing w:line="480" w:lineRule="auto"/>
        <w:rPr>
          <w:b/>
          <w:szCs w:val="20"/>
        </w:rPr>
      </w:pPr>
    </w:p>
    <w:p w:rsidR="00626627" w:rsidRDefault="00626627" w:rsidP="00C55248">
      <w:pPr>
        <w:spacing w:line="480" w:lineRule="auto"/>
        <w:rPr>
          <w:b/>
          <w:szCs w:val="20"/>
        </w:rPr>
      </w:pPr>
    </w:p>
    <w:p w:rsidR="00C55248" w:rsidRDefault="00C55248" w:rsidP="00C55248">
      <w:pPr>
        <w:spacing w:line="480" w:lineRule="auto"/>
        <w:rPr>
          <w:b/>
          <w:szCs w:val="20"/>
        </w:rPr>
      </w:pPr>
    </w:p>
    <w:p w:rsidR="005B4A70" w:rsidRDefault="005B4A70" w:rsidP="00C55248">
      <w:pPr>
        <w:spacing w:line="480" w:lineRule="auto"/>
        <w:rPr>
          <w:b/>
          <w:szCs w:val="20"/>
        </w:rPr>
      </w:pPr>
    </w:p>
    <w:p w:rsidR="005B4A70" w:rsidRPr="00C55248" w:rsidRDefault="005B4A70" w:rsidP="00C55248">
      <w:pPr>
        <w:spacing w:line="480" w:lineRule="auto"/>
        <w:rPr>
          <w:b/>
          <w:szCs w:val="20"/>
        </w:rPr>
      </w:pPr>
    </w:p>
    <w:p w:rsidR="00C55248" w:rsidRPr="00C55248" w:rsidRDefault="00C55248" w:rsidP="00C55248">
      <w:pPr>
        <w:spacing w:line="480" w:lineRule="auto"/>
        <w:ind w:firstLine="720"/>
        <w:rPr>
          <w:b/>
          <w:szCs w:val="20"/>
        </w:rPr>
      </w:pPr>
    </w:p>
    <w:p w:rsidR="00C55248" w:rsidRPr="00C55248" w:rsidRDefault="00C55248" w:rsidP="00C55248">
      <w:pPr>
        <w:jc w:val="center"/>
        <w:rPr>
          <w:b/>
          <w:szCs w:val="20"/>
        </w:rPr>
      </w:pPr>
      <w:r w:rsidRPr="00C55248">
        <w:rPr>
          <w:b/>
          <w:szCs w:val="20"/>
        </w:rPr>
        <w:lastRenderedPageBreak/>
        <w:t>SUMMARY</w:t>
      </w:r>
    </w:p>
    <w:p w:rsidR="00C55248" w:rsidRPr="00C55248" w:rsidRDefault="00C55248" w:rsidP="00C55248">
      <w:pPr>
        <w:rPr>
          <w:b/>
          <w:szCs w:val="20"/>
        </w:rPr>
      </w:pPr>
    </w:p>
    <w:p w:rsidR="00C55248" w:rsidRPr="00C55248" w:rsidRDefault="00C55248" w:rsidP="00C55248">
      <w:pPr>
        <w:rPr>
          <w:b/>
          <w:szCs w:val="20"/>
        </w:rPr>
      </w:pPr>
    </w:p>
    <w:p w:rsidR="00C55248" w:rsidRPr="00C55248" w:rsidRDefault="005B4A70" w:rsidP="00C55248">
      <w:pPr>
        <w:spacing w:line="480" w:lineRule="auto"/>
        <w:ind w:firstLine="720"/>
        <w:rPr>
          <w:color w:val="000000"/>
        </w:rPr>
      </w:pPr>
      <w:r>
        <w:rPr>
          <w:color w:val="000000"/>
        </w:rPr>
        <w:t>P</w:t>
      </w:r>
      <w:r w:rsidRPr="00C55248">
        <w:rPr>
          <w:color w:val="000000"/>
        </w:rPr>
        <w:t xml:space="preserve">revalence of T2D </w:t>
      </w:r>
      <w:r>
        <w:rPr>
          <w:color w:val="000000"/>
        </w:rPr>
        <w:t xml:space="preserve">likely </w:t>
      </w:r>
      <w:r w:rsidRPr="00C55248">
        <w:rPr>
          <w:color w:val="000000"/>
        </w:rPr>
        <w:t>is rising among the Ethiopian immigrant population in the Western countries compared to native Ethiopia</w:t>
      </w:r>
      <w:r>
        <w:rPr>
          <w:color w:val="000000"/>
        </w:rPr>
        <w:t xml:space="preserve">.  </w:t>
      </w:r>
      <w:r w:rsidRPr="00C55248">
        <w:rPr>
          <w:color w:val="000000"/>
          <w:shd w:val="clear" w:color="auto" w:fill="FFFFFF"/>
        </w:rPr>
        <w:t xml:space="preserve">Factors contributing to the </w:t>
      </w:r>
      <w:r>
        <w:rPr>
          <w:color w:val="000000"/>
          <w:shd w:val="clear" w:color="auto" w:fill="FFFFFF"/>
        </w:rPr>
        <w:t xml:space="preserve">hypothesize </w:t>
      </w:r>
      <w:r w:rsidRPr="00C55248">
        <w:rPr>
          <w:color w:val="000000"/>
          <w:shd w:val="clear" w:color="auto" w:fill="FFFFFF"/>
        </w:rPr>
        <w:t>increase of T2D prevalence among Ethiopian immigrants might include modifiable (diet, obesity, and sedentary lifestyle) and non-modifiable (aging and genetics).</w:t>
      </w:r>
      <w:r>
        <w:rPr>
          <w:color w:val="000000"/>
          <w:shd w:val="clear" w:color="auto" w:fill="FFFFFF"/>
        </w:rPr>
        <w:t xml:space="preserve">  </w:t>
      </w:r>
      <w:r w:rsidR="00C55248" w:rsidRPr="00C55248">
        <w:rPr>
          <w:color w:val="000000"/>
        </w:rPr>
        <w:t>Type 2 diabetes is associated with multiple genes, and data suggested that epigenetics may be involved.  Epigenetic modifications might be one of the factor contributing to</w:t>
      </w:r>
      <w:r>
        <w:rPr>
          <w:color w:val="000000"/>
        </w:rPr>
        <w:t xml:space="preserve"> a possible</w:t>
      </w:r>
      <w:r w:rsidR="00C55248" w:rsidRPr="00C55248">
        <w:rPr>
          <w:color w:val="000000"/>
        </w:rPr>
        <w:t xml:space="preserve"> increase of T2D prevalence among Ethiopian immigrants in the United States.</w:t>
      </w:r>
      <w:r>
        <w:rPr>
          <w:color w:val="000000"/>
        </w:rPr>
        <w:t xml:space="preserve">  Therefore, </w:t>
      </w:r>
      <w:r w:rsidR="00C55248" w:rsidRPr="00C55248">
        <w:rPr>
          <w:color w:val="000000"/>
        </w:rPr>
        <w:t xml:space="preserve">identifying and understanding the epigenetic changes specific to Ethiopian immigrant population diagnosed with T2D might help to develop better strategies to intervene and/or to prevent the onset of the disease.  </w:t>
      </w: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spacing w:line="480" w:lineRule="auto"/>
        <w:ind w:firstLine="720"/>
      </w:pPr>
    </w:p>
    <w:p w:rsidR="00C55248" w:rsidRPr="00C55248" w:rsidRDefault="00C55248" w:rsidP="00C55248">
      <w:pPr>
        <w:jc w:val="center"/>
        <w:rPr>
          <w:b/>
          <w:szCs w:val="20"/>
        </w:rPr>
      </w:pPr>
    </w:p>
    <w:p w:rsidR="00C55248" w:rsidRPr="00C55248" w:rsidRDefault="00C55248" w:rsidP="00C55248">
      <w:pPr>
        <w:tabs>
          <w:tab w:val="left" w:pos="2415"/>
        </w:tabs>
        <w:rPr>
          <w:b/>
          <w:szCs w:val="20"/>
        </w:rPr>
      </w:pPr>
    </w:p>
    <w:p w:rsidR="00C55248" w:rsidRPr="00C55248" w:rsidRDefault="00C55248" w:rsidP="00C55248">
      <w:pPr>
        <w:jc w:val="center"/>
        <w:rPr>
          <w:b/>
          <w:szCs w:val="20"/>
        </w:rPr>
      </w:pPr>
      <w:r w:rsidRPr="00C55248">
        <w:rPr>
          <w:b/>
          <w:szCs w:val="20"/>
        </w:rPr>
        <w:lastRenderedPageBreak/>
        <w:t>INFORMED CONSENT DOCUMENT</w:t>
      </w:r>
    </w:p>
    <w:p w:rsidR="00C55248" w:rsidRPr="00C55248" w:rsidRDefault="00C55248" w:rsidP="00C55248">
      <w:pPr>
        <w:jc w:val="center"/>
        <w:rPr>
          <w:b/>
          <w:szCs w:val="20"/>
        </w:rPr>
      </w:pPr>
    </w:p>
    <w:p w:rsidR="00C55248" w:rsidRPr="00C55248" w:rsidRDefault="00C55248" w:rsidP="00C55248">
      <w:pPr>
        <w:jc w:val="center"/>
        <w:rPr>
          <w:b/>
          <w:szCs w:val="20"/>
        </w:rPr>
      </w:pPr>
    </w:p>
    <w:p w:rsidR="00C55248" w:rsidRPr="00C55248" w:rsidRDefault="00C55248" w:rsidP="00C55248">
      <w:pPr>
        <w:spacing w:line="480" w:lineRule="auto"/>
        <w:ind w:firstLine="720"/>
      </w:pPr>
      <w:r w:rsidRPr="00C55248">
        <w:rPr>
          <w:color w:val="000000"/>
        </w:rPr>
        <w:t xml:space="preserve">Before collecting data, an informed consent will be obtained from the respondent </w:t>
      </w:r>
      <w:r w:rsidR="000D2C79">
        <w:rPr>
          <w:color w:val="000000"/>
        </w:rPr>
        <w:t>(</w:t>
      </w:r>
      <w:r w:rsidRPr="00C55248">
        <w:rPr>
          <w:color w:val="000000"/>
        </w:rPr>
        <w:t>both T2D patients and healthy individuals</w:t>
      </w:r>
      <w:r w:rsidR="000D2C79">
        <w:rPr>
          <w:color w:val="000000"/>
        </w:rPr>
        <w:t>) in</w:t>
      </w:r>
      <w:r w:rsidRPr="00C55248">
        <w:rPr>
          <w:color w:val="000000"/>
        </w:rPr>
        <w:t xml:space="preserve"> native Ethiopians and Ethiopian immigrants in the Washington DC metro area.  </w:t>
      </w:r>
      <w:r w:rsidRPr="00C55248">
        <w:rPr>
          <w:color w:val="000000"/>
          <w:shd w:val="clear" w:color="auto" w:fill="FFFFFF"/>
        </w:rPr>
        <w:t xml:space="preserve">The </w:t>
      </w:r>
      <w:r w:rsidRPr="00C55248">
        <w:rPr>
          <w:color w:val="000000"/>
        </w:rPr>
        <w:t>p</w:t>
      </w:r>
      <w:r w:rsidRPr="00C55248">
        <w:rPr>
          <w:color w:val="000000"/>
          <w:shd w:val="clear" w:color="auto" w:fill="FFFFFF"/>
        </w:rPr>
        <w:t xml:space="preserve">articipants will provide a written informed consent to be a part of the study.  According to the principle of autonomy, participants are free to decide independently not to participate in this study and also have the right to withdraw at any point during the research process </w:t>
      </w:r>
      <w:r w:rsidRPr="00C55248">
        <w:rPr>
          <w:color w:val="000000"/>
          <w:shd w:val="clear" w:color="auto" w:fill="FFFFFF"/>
        </w:rPr>
        <w:fldChar w:fldCharType="begin"/>
      </w:r>
      <w:r w:rsidRPr="00C55248">
        <w:rPr>
          <w:color w:val="000000"/>
          <w:shd w:val="clear" w:color="auto" w:fill="FFFFFF"/>
        </w:rPr>
        <w:instrText xml:space="preserve"> ADDIN ZOTERO_ITEM CSL_CITATION {"citationID":"al69sc64ri","properties":{"formattedCitation":"(Gupta 2013)","plainCitation":"(Gupta 2013)","noteIndex":0},"citationItems":[{"id":278,"uris":["http://zotero.org/users/4264928/items/NGHL5WN3"],"uri":["http://zotero.org/users/4264928/items/NGHL5WN3"],"itemData":{"id":278,"type":"article-journal","title":"Informed consent in clinical research: Revisiting few concepts and areas","container-title":"Perspectives in Clinical Research","page":"26-32","volume":"4","issue":"1","source":"PubMed Central","DOI":"10.4103/2229-3485.106373","ISSN":"2229-3485","note":"PMID: 23533976\nPMCID: PMC3601699","shortTitle":"Informed consent in clinical research","journalAbbreviation":"Perspect Clin Res","author":[{"family":"Gupta","given":"Umesh Chandra"}],"issued":{"date-parts":[["2013"]]}}}],"schema":"https://github.com/citation-style-language/schema/raw/master/csl-citation.json"} </w:instrText>
      </w:r>
      <w:r w:rsidRPr="00C55248">
        <w:rPr>
          <w:color w:val="000000"/>
          <w:shd w:val="clear" w:color="auto" w:fill="FFFFFF"/>
        </w:rPr>
        <w:fldChar w:fldCharType="separate"/>
      </w:r>
      <w:r w:rsidRPr="00C55248">
        <w:t>(Gupta 2013)</w:t>
      </w:r>
      <w:r w:rsidRPr="00C55248">
        <w:rPr>
          <w:color w:val="000000"/>
          <w:shd w:val="clear" w:color="auto" w:fill="FFFFFF"/>
        </w:rPr>
        <w:fldChar w:fldCharType="end"/>
      </w:r>
      <w:r w:rsidRPr="00C55248">
        <w:rPr>
          <w:color w:val="000000"/>
          <w:shd w:val="clear" w:color="auto" w:fill="FFFFFF"/>
        </w:rPr>
        <w:t xml:space="preserve">.  </w:t>
      </w:r>
      <w:r w:rsidR="000D2C79" w:rsidRPr="00C55248">
        <w:rPr>
          <w:color w:val="000000"/>
        </w:rPr>
        <w:t>The participants will be assured that any information they would disclose will not be made accessible to parties other than those involved in the study.</w:t>
      </w:r>
      <w:r w:rsidR="000D2C79">
        <w:rPr>
          <w:color w:val="000000"/>
        </w:rPr>
        <w:t xml:space="preserve">  </w:t>
      </w:r>
      <w:r w:rsidRPr="00C55248">
        <w:rPr>
          <w:color w:val="000000"/>
        </w:rPr>
        <w:t xml:space="preserve">The obligation of confidentiality will be maintained throughout the study, and a written research plan will also be provided to the participants.  Institutional review board (IRB) in the USA as well as in Ethiopia will be </w:t>
      </w:r>
      <w:r w:rsidR="000D2C79">
        <w:rPr>
          <w:color w:val="000000"/>
        </w:rPr>
        <w:t xml:space="preserve">monitoring </w:t>
      </w:r>
      <w:r w:rsidRPr="00C55248">
        <w:rPr>
          <w:color w:val="000000"/>
        </w:rPr>
        <w:t xml:space="preserve">this study.  The purpose of IRB is to facilitate human subjects research </w:t>
      </w:r>
      <w:r w:rsidR="000D2C79">
        <w:rPr>
          <w:color w:val="000000"/>
        </w:rPr>
        <w:t xml:space="preserve">by ensuring the </w:t>
      </w:r>
      <w:r w:rsidRPr="00C55248">
        <w:rPr>
          <w:color w:val="000000"/>
        </w:rPr>
        <w:t xml:space="preserve">rights and welfare of human subjects are protected during their participation (protecting human subjects in research).  </w:t>
      </w:r>
    </w:p>
    <w:p w:rsidR="00C55248" w:rsidRPr="00C55248" w:rsidRDefault="00C55248" w:rsidP="00C55248">
      <w:pPr>
        <w:spacing w:line="480" w:lineRule="auto"/>
      </w:pPr>
      <w:r w:rsidRPr="00C55248">
        <w:rPr>
          <w:b/>
          <w:bCs/>
          <w:color w:val="000000"/>
        </w:rPr>
        <w:t xml:space="preserve">Study location: </w:t>
      </w:r>
      <w:r w:rsidRPr="00C55248">
        <w:rPr>
          <w:color w:val="000000"/>
        </w:rPr>
        <w:t>Holy Cross Hospital, Silver Spring, MD</w:t>
      </w:r>
      <w:r w:rsidR="00626627">
        <w:rPr>
          <w:color w:val="000000"/>
        </w:rPr>
        <w:t xml:space="preserve">, </w:t>
      </w:r>
      <w:r w:rsidRPr="00C55248">
        <w:rPr>
          <w:color w:val="000000"/>
        </w:rPr>
        <w:t>collaborat</w:t>
      </w:r>
      <w:r w:rsidR="00626627">
        <w:rPr>
          <w:color w:val="000000"/>
        </w:rPr>
        <w:t>ing</w:t>
      </w:r>
      <w:r w:rsidRPr="00C55248">
        <w:rPr>
          <w:color w:val="000000"/>
        </w:rPr>
        <w:t xml:space="preserve"> with Gonder University, Ethiopia. </w:t>
      </w:r>
    </w:p>
    <w:p w:rsidR="00C55248" w:rsidRPr="00C55248" w:rsidRDefault="00C55248" w:rsidP="00C55248">
      <w:pPr>
        <w:spacing w:line="480" w:lineRule="auto"/>
      </w:pPr>
      <w:r w:rsidRPr="00C55248">
        <w:rPr>
          <w:b/>
          <w:bCs/>
          <w:color w:val="000000"/>
        </w:rPr>
        <w:t>Introduction</w:t>
      </w:r>
      <w:r w:rsidRPr="00C55248">
        <w:rPr>
          <w:color w:val="000000"/>
        </w:rPr>
        <w:t>: Participation in this study is completely voluntary and you may choose not to take part, or you may withdraw from the study at any time.</w:t>
      </w:r>
    </w:p>
    <w:p w:rsidR="00C55248" w:rsidRPr="00C55248" w:rsidRDefault="00C55248" w:rsidP="00C55248">
      <w:pPr>
        <w:spacing w:line="480" w:lineRule="auto"/>
        <w:rPr>
          <w:color w:val="000000"/>
        </w:rPr>
      </w:pPr>
      <w:r w:rsidRPr="00C55248">
        <w:rPr>
          <w:b/>
          <w:bCs/>
          <w:color w:val="000000"/>
        </w:rPr>
        <w:t>The purpose of this study</w:t>
      </w:r>
      <w:r w:rsidRPr="00C55248">
        <w:rPr>
          <w:color w:val="000000"/>
        </w:rPr>
        <w:t>: The purpose of this study is to understand/explore</w:t>
      </w:r>
      <w:r w:rsidR="000D2C79">
        <w:rPr>
          <w:color w:val="000000"/>
        </w:rPr>
        <w:t xml:space="preserve"> a possible</w:t>
      </w:r>
      <w:r w:rsidRPr="00C55248">
        <w:rPr>
          <w:color w:val="000000"/>
        </w:rPr>
        <w:t xml:space="preserve"> increased prevalence on T2D within Ethiopian immigrant population in Western countries (United States) compared to native Ethiopian populations, and to find the degree of methylation on genes that are associated with T2D.</w:t>
      </w:r>
    </w:p>
    <w:p w:rsidR="00466EB0" w:rsidRDefault="00C55248" w:rsidP="00C55248">
      <w:pPr>
        <w:spacing w:line="480" w:lineRule="auto"/>
        <w:rPr>
          <w:b/>
          <w:bCs/>
          <w:color w:val="000000"/>
        </w:rPr>
      </w:pPr>
      <w:r w:rsidRPr="00C55248">
        <w:rPr>
          <w:b/>
          <w:bCs/>
          <w:color w:val="000000"/>
        </w:rPr>
        <w:lastRenderedPageBreak/>
        <w:t xml:space="preserve">What will the study involve? </w:t>
      </w:r>
    </w:p>
    <w:p w:rsidR="00C55248" w:rsidRPr="00466EB0" w:rsidRDefault="00466EB0" w:rsidP="00C55248">
      <w:pPr>
        <w:spacing w:line="480" w:lineRule="auto"/>
        <w:rPr>
          <w:rFonts w:eastAsiaTheme="minorEastAsia"/>
          <w:color w:val="000000" w:themeColor="text1"/>
          <w:kern w:val="24"/>
        </w:rPr>
      </w:pPr>
      <w:r w:rsidRPr="00466EB0">
        <w:rPr>
          <w:bCs/>
          <w:color w:val="000000"/>
        </w:rPr>
        <w:t>I am going to collect s</w:t>
      </w:r>
      <w:r w:rsidRPr="00466EB0">
        <w:rPr>
          <w:color w:val="000000"/>
        </w:rPr>
        <w:t>ample</w:t>
      </w:r>
      <w:r>
        <w:rPr>
          <w:color w:val="000000"/>
        </w:rPr>
        <w:t>s</w:t>
      </w:r>
      <w:r w:rsidRPr="00466EB0">
        <w:rPr>
          <w:color w:val="000000"/>
        </w:rPr>
        <w:t xml:space="preserve"> for </w:t>
      </w:r>
      <w:r w:rsidR="00850B80" w:rsidRPr="00466EB0">
        <w:rPr>
          <w:color w:val="000000"/>
        </w:rPr>
        <w:t>each participant by swabbing buccal (cheek) cells</w:t>
      </w:r>
      <w:r w:rsidRPr="00466EB0">
        <w:rPr>
          <w:color w:val="000000"/>
        </w:rPr>
        <w:t>.</w:t>
      </w:r>
      <w:r>
        <w:rPr>
          <w:color w:val="000000"/>
        </w:rPr>
        <w:t xml:space="preserve">  </w:t>
      </w:r>
      <w:r w:rsidRPr="00B95607">
        <w:rPr>
          <w:rFonts w:eastAsiaTheme="minorEastAsia"/>
          <w:color w:val="000000" w:themeColor="text1"/>
          <w:kern w:val="24"/>
        </w:rPr>
        <w:t xml:space="preserve">A brief questionnaire about medical history will be administrated </w:t>
      </w:r>
      <w:r>
        <w:rPr>
          <w:rFonts w:eastAsiaTheme="minorEastAsia"/>
          <w:color w:val="000000" w:themeColor="text1"/>
          <w:kern w:val="24"/>
        </w:rPr>
        <w:t xml:space="preserve">to you </w:t>
      </w:r>
      <w:r w:rsidRPr="00B95607">
        <w:rPr>
          <w:rFonts w:eastAsiaTheme="minorEastAsia"/>
          <w:color w:val="000000" w:themeColor="text1"/>
          <w:kern w:val="24"/>
        </w:rPr>
        <w:t xml:space="preserve">including: </w:t>
      </w:r>
      <w:r>
        <w:rPr>
          <w:rFonts w:eastAsiaTheme="minorEastAsia"/>
          <w:color w:val="000000" w:themeColor="text1"/>
          <w:kern w:val="24"/>
        </w:rPr>
        <w:t xml:space="preserve">your </w:t>
      </w:r>
      <w:r w:rsidRPr="00B95607">
        <w:rPr>
          <w:rFonts w:eastAsiaTheme="minorEastAsia"/>
          <w:color w:val="000000" w:themeColor="text1"/>
          <w:kern w:val="24"/>
        </w:rPr>
        <w:t xml:space="preserve">sex, </w:t>
      </w:r>
      <w:r>
        <w:rPr>
          <w:rFonts w:eastAsiaTheme="minorEastAsia"/>
          <w:color w:val="000000" w:themeColor="text1"/>
          <w:kern w:val="24"/>
        </w:rPr>
        <w:t xml:space="preserve">your </w:t>
      </w:r>
      <w:r w:rsidRPr="00B95607">
        <w:rPr>
          <w:rFonts w:eastAsiaTheme="minorEastAsia"/>
          <w:color w:val="000000" w:themeColor="text1"/>
          <w:kern w:val="24"/>
        </w:rPr>
        <w:t xml:space="preserve">age (&gt; 18), </w:t>
      </w:r>
      <w:r>
        <w:rPr>
          <w:rFonts w:eastAsiaTheme="minorEastAsia"/>
          <w:color w:val="000000" w:themeColor="text1"/>
          <w:kern w:val="24"/>
        </w:rPr>
        <w:t xml:space="preserve">your </w:t>
      </w:r>
      <w:r w:rsidRPr="00B95607">
        <w:rPr>
          <w:rFonts w:eastAsiaTheme="minorEastAsia"/>
          <w:color w:val="000000" w:themeColor="text1"/>
          <w:kern w:val="24"/>
        </w:rPr>
        <w:t xml:space="preserve">age </w:t>
      </w:r>
      <w:r>
        <w:rPr>
          <w:rFonts w:eastAsiaTheme="minorEastAsia"/>
          <w:color w:val="000000" w:themeColor="text1"/>
          <w:kern w:val="24"/>
        </w:rPr>
        <w:t>at</w:t>
      </w:r>
      <w:r w:rsidRPr="00B95607">
        <w:rPr>
          <w:rFonts w:eastAsiaTheme="minorEastAsia"/>
          <w:color w:val="000000" w:themeColor="text1"/>
          <w:kern w:val="24"/>
        </w:rPr>
        <w:t xml:space="preserve"> T2D onset, </w:t>
      </w:r>
      <w:r>
        <w:rPr>
          <w:rFonts w:eastAsiaTheme="minorEastAsia"/>
          <w:color w:val="000000" w:themeColor="text1"/>
          <w:kern w:val="24"/>
        </w:rPr>
        <w:t xml:space="preserve">if you have any </w:t>
      </w:r>
      <w:r w:rsidRPr="00B95607">
        <w:rPr>
          <w:rFonts w:eastAsiaTheme="minorEastAsia"/>
          <w:color w:val="000000" w:themeColor="text1"/>
          <w:kern w:val="24"/>
        </w:rPr>
        <w:t xml:space="preserve">family history of T2D, and where in Ethiopia </w:t>
      </w:r>
      <w:r>
        <w:rPr>
          <w:rFonts w:eastAsiaTheme="minorEastAsia"/>
          <w:color w:val="000000" w:themeColor="text1"/>
          <w:kern w:val="24"/>
        </w:rPr>
        <w:t>you are</w:t>
      </w:r>
      <w:r w:rsidRPr="00B95607">
        <w:rPr>
          <w:rFonts w:eastAsiaTheme="minorEastAsia"/>
          <w:color w:val="000000" w:themeColor="text1"/>
          <w:kern w:val="24"/>
        </w:rPr>
        <w:t xml:space="preserve"> from (rural/urban)</w:t>
      </w:r>
      <w:r>
        <w:rPr>
          <w:rFonts w:eastAsiaTheme="minorEastAsia"/>
          <w:color w:val="000000" w:themeColor="text1"/>
          <w:kern w:val="24"/>
        </w:rPr>
        <w:t xml:space="preserve">, and if </w:t>
      </w:r>
      <w:r w:rsidRPr="00B95607">
        <w:rPr>
          <w:rFonts w:eastAsiaTheme="minorEastAsia"/>
          <w:color w:val="000000" w:themeColor="text1"/>
          <w:kern w:val="24"/>
        </w:rPr>
        <w:t>Ethiopian immigrants</w:t>
      </w:r>
      <w:r>
        <w:rPr>
          <w:rFonts w:eastAsiaTheme="minorEastAsia"/>
          <w:color w:val="000000" w:themeColor="text1"/>
          <w:kern w:val="24"/>
        </w:rPr>
        <w:t xml:space="preserve">: </w:t>
      </w:r>
      <w:r w:rsidRPr="00B95607">
        <w:rPr>
          <w:rFonts w:eastAsiaTheme="minorEastAsia"/>
          <w:color w:val="000000" w:themeColor="text1"/>
          <w:kern w:val="24"/>
        </w:rPr>
        <w:t xml:space="preserve">how long have </w:t>
      </w:r>
      <w:r>
        <w:rPr>
          <w:rFonts w:eastAsiaTheme="minorEastAsia"/>
          <w:color w:val="000000" w:themeColor="text1"/>
          <w:kern w:val="24"/>
        </w:rPr>
        <w:t xml:space="preserve">you </w:t>
      </w:r>
      <w:r w:rsidRPr="00B95607">
        <w:rPr>
          <w:rFonts w:eastAsiaTheme="minorEastAsia"/>
          <w:color w:val="000000" w:themeColor="text1"/>
          <w:kern w:val="24"/>
        </w:rPr>
        <w:t>been living in the United States</w:t>
      </w:r>
      <w:r>
        <w:rPr>
          <w:rFonts w:eastAsiaTheme="minorEastAsia"/>
          <w:color w:val="000000" w:themeColor="text1"/>
          <w:kern w:val="24"/>
        </w:rPr>
        <w:t xml:space="preserve">? </w:t>
      </w:r>
      <w:r w:rsidRPr="00B95607">
        <w:rPr>
          <w:rFonts w:eastAsiaTheme="minorEastAsia"/>
          <w:color w:val="000000" w:themeColor="text1"/>
          <w:kern w:val="24"/>
        </w:rPr>
        <w:t xml:space="preserve">    </w:t>
      </w:r>
    </w:p>
    <w:p w:rsidR="00C55248" w:rsidRPr="00C55248" w:rsidRDefault="00C55248" w:rsidP="00C55248">
      <w:pPr>
        <w:spacing w:line="480" w:lineRule="auto"/>
      </w:pPr>
      <w:r w:rsidRPr="00C55248">
        <w:rPr>
          <w:b/>
          <w:bCs/>
          <w:color w:val="000000"/>
        </w:rPr>
        <w:t>Inclusion criteria</w:t>
      </w:r>
      <w:r w:rsidRPr="00C55248">
        <w:rPr>
          <w:color w:val="000000"/>
        </w:rPr>
        <w:t>:</w:t>
      </w:r>
    </w:p>
    <w:p w:rsidR="00C55248" w:rsidRPr="00C55248" w:rsidRDefault="00C55248" w:rsidP="00C55248">
      <w:pPr>
        <w:spacing w:line="480" w:lineRule="auto"/>
      </w:pPr>
      <w:r w:rsidRPr="00C55248">
        <w:rPr>
          <w:color w:val="000000"/>
          <w:shd w:val="clear" w:color="auto" w:fill="FFFFFF"/>
        </w:rPr>
        <w:t>Eligibility criteria for the study included being an Ethiopian immigrant, permanently and legally resident for more than 5 years in the Washington DC metro area region aged 18 and above</w:t>
      </w:r>
      <w:r w:rsidR="00850B80">
        <w:rPr>
          <w:color w:val="000000"/>
          <w:shd w:val="clear" w:color="auto" w:fill="FFFFFF"/>
        </w:rPr>
        <w:t>, or</w:t>
      </w:r>
      <w:r w:rsidRPr="00C55248">
        <w:rPr>
          <w:color w:val="000000"/>
          <w:shd w:val="clear" w:color="auto" w:fill="FFFFFF"/>
        </w:rPr>
        <w:t xml:space="preserve"> native Ethiopian, and </w:t>
      </w:r>
      <w:r w:rsidR="00850B80">
        <w:rPr>
          <w:color w:val="000000"/>
          <w:shd w:val="clear" w:color="auto" w:fill="FFFFFF"/>
        </w:rPr>
        <w:t>being able t</w:t>
      </w:r>
      <w:r w:rsidRPr="00C55248">
        <w:rPr>
          <w:color w:val="000000"/>
          <w:shd w:val="clear" w:color="auto" w:fill="FFFFFF"/>
        </w:rPr>
        <w:t>o provide informed consent.</w:t>
      </w:r>
    </w:p>
    <w:p w:rsidR="00C55248" w:rsidRDefault="00C55248" w:rsidP="00C55248">
      <w:pPr>
        <w:spacing w:line="480" w:lineRule="auto"/>
        <w:rPr>
          <w:b/>
          <w:bCs/>
          <w:color w:val="000000"/>
        </w:rPr>
      </w:pPr>
      <w:r w:rsidRPr="00C55248">
        <w:rPr>
          <w:b/>
          <w:bCs/>
          <w:color w:val="000000"/>
        </w:rPr>
        <w:t>What tests will be performed on your samples?</w:t>
      </w:r>
    </w:p>
    <w:p w:rsidR="00850B80" w:rsidRPr="00C55248" w:rsidRDefault="00850B80" w:rsidP="00C55248">
      <w:pPr>
        <w:spacing w:line="480" w:lineRule="auto"/>
      </w:pPr>
      <w:r w:rsidRPr="006E29D0">
        <w:t xml:space="preserve">We will examine six genes to determine if there functioning is different in Ethiopian immigrant and native Ethiopian in such way that it may increase the risk of T2D in immigrant Ethiopian. </w:t>
      </w:r>
    </w:p>
    <w:p w:rsidR="00C55248" w:rsidRPr="00C55248" w:rsidRDefault="00C55248" w:rsidP="00C55248">
      <w:pPr>
        <w:spacing w:line="480" w:lineRule="auto"/>
      </w:pPr>
      <w:r w:rsidRPr="00C55248">
        <w:rPr>
          <w:b/>
          <w:bCs/>
          <w:color w:val="000000"/>
        </w:rPr>
        <w:t>How long will this study last?</w:t>
      </w:r>
      <w:r w:rsidRPr="00C55248">
        <w:rPr>
          <w:color w:val="000000"/>
        </w:rPr>
        <w:t xml:space="preserve"> This study is expected to last 24 months.</w:t>
      </w:r>
    </w:p>
    <w:p w:rsidR="00C55248" w:rsidRPr="00C55248" w:rsidRDefault="00C55248" w:rsidP="00C55248">
      <w:pPr>
        <w:spacing w:line="480" w:lineRule="auto"/>
      </w:pPr>
      <w:r w:rsidRPr="00C55248">
        <w:rPr>
          <w:b/>
          <w:bCs/>
          <w:color w:val="000000"/>
        </w:rPr>
        <w:t>Risks associated with this study?</w:t>
      </w:r>
      <w:r w:rsidRPr="00C55248">
        <w:rPr>
          <w:color w:val="000000"/>
        </w:rPr>
        <w:t xml:space="preserve"> Some of the risks that are associated with this study are inconvenience, discomfort</w:t>
      </w:r>
      <w:r w:rsidR="00850B80">
        <w:rPr>
          <w:color w:val="000000"/>
        </w:rPr>
        <w:t xml:space="preserve"> at sample collection, and possible loss of </w:t>
      </w:r>
      <w:r w:rsidRPr="00C55248">
        <w:rPr>
          <w:color w:val="000000"/>
        </w:rPr>
        <w:t>privacy.</w:t>
      </w:r>
    </w:p>
    <w:p w:rsidR="00C55248" w:rsidRPr="00C55248" w:rsidRDefault="00C55248" w:rsidP="00C55248">
      <w:pPr>
        <w:spacing w:line="480" w:lineRule="auto"/>
      </w:pPr>
    </w:p>
    <w:p w:rsidR="00C55248" w:rsidRPr="00C55248" w:rsidRDefault="00C55248" w:rsidP="00C55248">
      <w:pPr>
        <w:spacing w:line="480" w:lineRule="auto"/>
      </w:pPr>
    </w:p>
    <w:p w:rsidR="00C55248" w:rsidRPr="00C55248" w:rsidRDefault="00C55248" w:rsidP="00C55248">
      <w:pPr>
        <w:jc w:val="center"/>
        <w:rPr>
          <w:b/>
          <w:szCs w:val="20"/>
        </w:rPr>
      </w:pPr>
      <w:r w:rsidRPr="00C55248">
        <w:rPr>
          <w:b/>
          <w:szCs w:val="20"/>
        </w:rPr>
        <w:br w:type="page"/>
      </w:r>
    </w:p>
    <w:p w:rsidR="00C55248" w:rsidRPr="00C55248" w:rsidRDefault="00C55248" w:rsidP="00C55248">
      <w:pPr>
        <w:jc w:val="center"/>
        <w:rPr>
          <w:b/>
        </w:rPr>
      </w:pPr>
      <w:r w:rsidRPr="00C55248">
        <w:rPr>
          <w:b/>
        </w:rPr>
        <w:lastRenderedPageBreak/>
        <w:t>REFERENCES</w:t>
      </w:r>
    </w:p>
    <w:p w:rsidR="00C55248" w:rsidRPr="00C55248" w:rsidRDefault="00C55248" w:rsidP="00C55248"/>
    <w:p w:rsidR="00C55248" w:rsidRPr="00C55248" w:rsidRDefault="00C55248" w:rsidP="00C55248">
      <w:pPr>
        <w:spacing w:after="240"/>
      </w:pPr>
      <w:r w:rsidRPr="00C55248">
        <w:fldChar w:fldCharType="begin"/>
      </w:r>
      <w:r w:rsidRPr="00C55248">
        <w:instrText xml:space="preserve"> ADDIN ZOTERO_BIBL {"uncited":[],"omitted":[],"custom":[]} CSL_BIBLIOGRAPHY </w:instrText>
      </w:r>
      <w:r w:rsidRPr="00C55248">
        <w:fldChar w:fldCharType="separate"/>
      </w:r>
      <w:r w:rsidRPr="00C55248">
        <w:t>Alemu F. 2015. Prevalence of Diabetes Mellitus Disease and its Association with Level of Education Among Adult Patients Attending at Dilla Referral Hospital, Ethiopia. J Diabetes Metab. 6. doi:10.4172/2155-6156.1000521. https://www.omicsonline.org/open-access/prevalence-of-diabetes-mellitus-disease-and-its-association-with-levelof-education-among-adult-patients-attending-at-dilla-referral-hospitalethiopia-2155-6156-1000521.php?aid=50808.</w:t>
      </w:r>
    </w:p>
    <w:p w:rsidR="00C55248" w:rsidRPr="00C55248" w:rsidRDefault="00C55248" w:rsidP="00C55248">
      <w:pPr>
        <w:spacing w:after="240"/>
      </w:pPr>
      <w:bookmarkStart w:id="21" w:name="_Hlk516157901"/>
      <w:r w:rsidRPr="00C55248">
        <w:t>Almawi WY, Nemr R, Keleshian SH, Echtay A, Saldanha FL, AlDoseri FA, Racoubian E. 2013. A Replication Study of 19 GWAS-Validated Type 2 Diabetes at-Risk Variants in the Lebanese Population. Diabetes Res Clin Pract. 102:117–122. doi:10.1016/j.diabres.2013.09.001.</w:t>
      </w:r>
    </w:p>
    <w:bookmarkEnd w:id="21"/>
    <w:p w:rsidR="00C55248" w:rsidRPr="00C55248" w:rsidRDefault="00C55248" w:rsidP="00C55248">
      <w:pPr>
        <w:spacing w:after="240"/>
      </w:pPr>
      <w:r w:rsidRPr="00C55248">
        <w:t>American Diabetes Association. 2013. Economic Costs of Diabetes in the U.S. in 2012. Diabetes Care. 36:1033–1046. doi:10.2337/dc12-2625.</w:t>
      </w:r>
    </w:p>
    <w:p w:rsidR="00C55248" w:rsidRPr="00C55248" w:rsidRDefault="00C55248" w:rsidP="00C55248">
      <w:r w:rsidRPr="00C55248">
        <w:t>Andersen G, Jørgensen M, Søberg S. 2015. Ethnicity, Migration and T2DM (revision number 16). In: Diapedia. Diapedia.org. http://www.diapedia.org/3104465162/rev/16.</w:t>
      </w:r>
    </w:p>
    <w:p w:rsidR="00C55248" w:rsidRPr="00C55248" w:rsidRDefault="00C55248" w:rsidP="00C55248"/>
    <w:p w:rsidR="00C55248" w:rsidRPr="00C55248" w:rsidRDefault="00C55248" w:rsidP="00C55248">
      <w:pPr>
        <w:spacing w:after="240"/>
      </w:pPr>
      <w:r w:rsidRPr="00C55248">
        <w:t>Below JE, Gamazon ER, Morrison JV, Konkashbaev A, Pluzhnikov A, McKeigue PM, Parra EJ, Elbein SC, Hallman DM, Nicolae DL, Bell GI, Cruz M, Cox NJ. 2011. Genome-Wide Association and Meta-Analysis in Populations from Starr County, Texas, and Mexico City Identify Type 2 Diabetes Susceptibility Loci and Enrichment for Expression Quantitative Trait Loci in Top Signals. Diabetologia. 54:2047–2055. doi:10.1007/s00125-011-2188-3.</w:t>
      </w:r>
    </w:p>
    <w:p w:rsidR="00C55248" w:rsidRPr="00C55248" w:rsidRDefault="00C55248" w:rsidP="00C55248">
      <w:pPr>
        <w:spacing w:after="240"/>
      </w:pPr>
      <w:r w:rsidRPr="00C55248">
        <w:t>Black SA. 2002. Diabetes, Diversity, and Disparity: What Do We Do With the Evidence? Am J Public Health. 92:543–548.</w:t>
      </w:r>
    </w:p>
    <w:p w:rsidR="00C55248" w:rsidRPr="00C55248" w:rsidRDefault="00C55248" w:rsidP="00C55248">
      <w:pPr>
        <w:spacing w:after="240"/>
      </w:pPr>
      <w:r w:rsidRPr="00C55248">
        <w:t>Brambillasca S, Altkrueger A, Colombo SF, Friederich A, Eickelmann P, Mark M, Borgese N, Solimena M. 2012. CDK5 Regulatory Subunit-associated Protein 1-Like 1 (CDKAL1) Is a Tail-anchored Protein in the Endoplasmic Reticulum (ER) of Insulinoma Cells. J Biol Chem. 287:41808–41819. doi:10.1074/jbc.M112.376558.</w:t>
      </w:r>
    </w:p>
    <w:p w:rsidR="00C55248" w:rsidRPr="00C55248" w:rsidRDefault="00C55248" w:rsidP="00C55248">
      <w:pPr>
        <w:spacing w:after="240"/>
      </w:pPr>
      <w:r w:rsidRPr="00C55248">
        <w:t>Bush WS, Moore JH. 2012. Chapter 11: Genome-Wide Association Studies. PLoS Comput Biol. 8. doi:10.1371/journal.pcbi.1002822. https://www.ncbi.nlm.nih.gov/pmc/articles/PMC3531285/.</w:t>
      </w:r>
    </w:p>
    <w:p w:rsidR="00C55248" w:rsidRPr="00C55248" w:rsidRDefault="00C55248" w:rsidP="00C55248">
      <w:pPr>
        <w:spacing w:after="240"/>
      </w:pPr>
      <w:r w:rsidRPr="00C55248">
        <w:t>CDC. 2017 Aug 8. Diabetes Statistic Report. Cent Dis Control Prev. https://www.cdc.gov/features/diabetes-statistic-report/index.html.</w:t>
      </w:r>
    </w:p>
    <w:p w:rsidR="00C55248" w:rsidRPr="00C55248" w:rsidRDefault="00C55248" w:rsidP="00C55248">
      <w:pPr>
        <w:spacing w:after="240"/>
      </w:pPr>
      <w:r w:rsidRPr="00C55248">
        <w:t>Chawla A, Chawla R, Jaggi S. 2016. Microvasular and Macrovascular Complications in Diabetes Mellitus: Distinct or Continuum? Indian J Endocrinol Metab. 20:546–551. doi:10.4103/2230-8210.183480.</w:t>
      </w:r>
    </w:p>
    <w:p w:rsidR="00C55248" w:rsidRPr="00C55248" w:rsidRDefault="00C55248" w:rsidP="00C55248">
      <w:r w:rsidRPr="00C55248">
        <w:lastRenderedPageBreak/>
        <w:t>Cho YS, Chen C-H, Hu C, Long J, Ong RTH, Sim X, Takeuchi F, Wu Y, Go MJ, Yamauchi T,</w:t>
      </w:r>
      <w:r w:rsidRPr="00C55248">
        <w:rPr>
          <w:shd w:val="clear" w:color="auto" w:fill="FFFFFF"/>
        </w:rPr>
        <w:t xml:space="preserve">  </w:t>
      </w:r>
      <w:hyperlink r:id="rId29" w:history="1">
        <w:r w:rsidRPr="00C55248">
          <w:rPr>
            <w:shd w:val="clear" w:color="auto" w:fill="FFFFFF"/>
          </w:rPr>
          <w:t>Chang YC</w:t>
        </w:r>
      </w:hyperlink>
      <w:r w:rsidRPr="00C55248">
        <w:rPr>
          <w:shd w:val="clear" w:color="auto" w:fill="FFFFFF"/>
        </w:rPr>
        <w:t>, </w:t>
      </w:r>
      <w:hyperlink r:id="rId30" w:history="1">
        <w:r w:rsidRPr="00C55248">
          <w:rPr>
            <w:shd w:val="clear" w:color="auto" w:fill="FFFFFF"/>
          </w:rPr>
          <w:t>Kwak SH</w:t>
        </w:r>
      </w:hyperlink>
      <w:r w:rsidRPr="00C55248">
        <w:rPr>
          <w:shd w:val="clear" w:color="auto" w:fill="FFFFFF"/>
        </w:rPr>
        <w:t>, </w:t>
      </w:r>
      <w:hyperlink r:id="rId31" w:history="1">
        <w:r w:rsidRPr="00C55248">
          <w:rPr>
            <w:shd w:val="clear" w:color="auto" w:fill="FFFFFF"/>
          </w:rPr>
          <w:t>Ma RC</w:t>
        </w:r>
      </w:hyperlink>
      <w:r w:rsidRPr="00C55248">
        <w:rPr>
          <w:shd w:val="clear" w:color="auto" w:fill="FFFFFF"/>
        </w:rPr>
        <w:t>, </w:t>
      </w:r>
      <w:hyperlink r:id="rId32" w:history="1">
        <w:r w:rsidRPr="00C55248">
          <w:rPr>
            <w:shd w:val="clear" w:color="auto" w:fill="FFFFFF"/>
          </w:rPr>
          <w:t>Yamamoto K</w:t>
        </w:r>
      </w:hyperlink>
      <w:r w:rsidRPr="00C55248">
        <w:rPr>
          <w:shd w:val="clear" w:color="auto" w:fill="FFFFFF"/>
        </w:rPr>
        <w:t>, </w:t>
      </w:r>
      <w:hyperlink r:id="rId33" w:history="1">
        <w:r w:rsidRPr="00C55248">
          <w:rPr>
            <w:shd w:val="clear" w:color="auto" w:fill="FFFFFF"/>
          </w:rPr>
          <w:t>Adair LS</w:t>
        </w:r>
      </w:hyperlink>
      <w:r w:rsidRPr="00C55248">
        <w:rPr>
          <w:shd w:val="clear" w:color="auto" w:fill="FFFFFF"/>
        </w:rPr>
        <w:t>, </w:t>
      </w:r>
      <w:hyperlink r:id="rId34" w:history="1">
        <w:r w:rsidRPr="00C55248">
          <w:rPr>
            <w:shd w:val="clear" w:color="auto" w:fill="FFFFFF"/>
          </w:rPr>
          <w:t>Aung T</w:t>
        </w:r>
      </w:hyperlink>
      <w:r w:rsidRPr="00C55248">
        <w:rPr>
          <w:shd w:val="clear" w:color="auto" w:fill="FFFFFF"/>
        </w:rPr>
        <w:t>, </w:t>
      </w:r>
      <w:hyperlink r:id="rId35" w:history="1">
        <w:r w:rsidRPr="00C55248">
          <w:rPr>
            <w:shd w:val="clear" w:color="auto" w:fill="FFFFFF"/>
          </w:rPr>
          <w:t>Cai Q</w:t>
        </w:r>
      </w:hyperlink>
      <w:r w:rsidRPr="00C55248">
        <w:rPr>
          <w:shd w:val="clear" w:color="auto" w:fill="FFFFFF"/>
        </w:rPr>
        <w:t>, </w:t>
      </w:r>
      <w:hyperlink r:id="rId36" w:history="1">
        <w:r w:rsidRPr="00C55248">
          <w:rPr>
            <w:shd w:val="clear" w:color="auto" w:fill="FFFFFF"/>
          </w:rPr>
          <w:t>Chang LC</w:t>
        </w:r>
      </w:hyperlink>
      <w:r w:rsidRPr="00C55248">
        <w:rPr>
          <w:shd w:val="clear" w:color="auto" w:fill="FFFFFF"/>
        </w:rPr>
        <w:t>, </w:t>
      </w:r>
      <w:hyperlink r:id="rId37" w:history="1">
        <w:r w:rsidRPr="00C55248">
          <w:rPr>
            <w:shd w:val="clear" w:color="auto" w:fill="FFFFFF"/>
          </w:rPr>
          <w:t>Chen YT</w:t>
        </w:r>
      </w:hyperlink>
      <w:r w:rsidRPr="00C55248">
        <w:rPr>
          <w:shd w:val="clear" w:color="auto" w:fill="FFFFFF"/>
        </w:rPr>
        <w:t>, </w:t>
      </w:r>
      <w:hyperlink r:id="rId38" w:history="1">
        <w:r w:rsidRPr="00C55248">
          <w:rPr>
            <w:shd w:val="clear" w:color="auto" w:fill="FFFFFF"/>
          </w:rPr>
          <w:t>Gao Y</w:t>
        </w:r>
      </w:hyperlink>
      <w:r w:rsidRPr="00C55248">
        <w:rPr>
          <w:shd w:val="clear" w:color="auto" w:fill="FFFFFF"/>
        </w:rPr>
        <w:t>, </w:t>
      </w:r>
      <w:hyperlink r:id="rId39" w:history="1">
        <w:r w:rsidRPr="00C55248">
          <w:rPr>
            <w:shd w:val="clear" w:color="auto" w:fill="FFFFFF"/>
          </w:rPr>
          <w:t>Hu FB</w:t>
        </w:r>
      </w:hyperlink>
      <w:r w:rsidRPr="00C55248">
        <w:rPr>
          <w:shd w:val="clear" w:color="auto" w:fill="FFFFFF"/>
        </w:rPr>
        <w:t>, </w:t>
      </w:r>
      <w:hyperlink r:id="rId40" w:history="1">
        <w:r w:rsidRPr="00C55248">
          <w:rPr>
            <w:shd w:val="clear" w:color="auto" w:fill="FFFFFF"/>
          </w:rPr>
          <w:t>Kim HL</w:t>
        </w:r>
      </w:hyperlink>
      <w:r w:rsidRPr="00C55248">
        <w:rPr>
          <w:shd w:val="clear" w:color="auto" w:fill="FFFFFF"/>
        </w:rPr>
        <w:t>, </w:t>
      </w:r>
      <w:hyperlink r:id="rId41" w:history="1">
        <w:r w:rsidRPr="00C55248">
          <w:rPr>
            <w:shd w:val="clear" w:color="auto" w:fill="FFFFFF"/>
          </w:rPr>
          <w:t>Kim S</w:t>
        </w:r>
      </w:hyperlink>
      <w:r w:rsidRPr="00C55248">
        <w:rPr>
          <w:shd w:val="clear" w:color="auto" w:fill="FFFFFF"/>
        </w:rPr>
        <w:t>, </w:t>
      </w:r>
      <w:hyperlink r:id="rId42" w:history="1">
        <w:r w:rsidRPr="00C55248">
          <w:rPr>
            <w:shd w:val="clear" w:color="auto" w:fill="FFFFFF"/>
          </w:rPr>
          <w:t>Kim YJ</w:t>
        </w:r>
      </w:hyperlink>
      <w:r w:rsidRPr="00C55248">
        <w:rPr>
          <w:shd w:val="clear" w:color="auto" w:fill="FFFFFF"/>
        </w:rPr>
        <w:t>, </w:t>
      </w:r>
      <w:hyperlink r:id="rId43" w:history="1">
        <w:r w:rsidRPr="00C55248">
          <w:rPr>
            <w:shd w:val="clear" w:color="auto" w:fill="FFFFFF"/>
          </w:rPr>
          <w:t>Lee JJ</w:t>
        </w:r>
      </w:hyperlink>
      <w:r w:rsidRPr="00C55248">
        <w:rPr>
          <w:shd w:val="clear" w:color="auto" w:fill="FFFFFF"/>
        </w:rPr>
        <w:t>, </w:t>
      </w:r>
      <w:hyperlink r:id="rId44" w:history="1">
        <w:r w:rsidRPr="00C55248">
          <w:rPr>
            <w:shd w:val="clear" w:color="auto" w:fill="FFFFFF"/>
          </w:rPr>
          <w:t>Lee NR</w:t>
        </w:r>
      </w:hyperlink>
      <w:r w:rsidRPr="00C55248">
        <w:rPr>
          <w:shd w:val="clear" w:color="auto" w:fill="FFFFFF"/>
        </w:rPr>
        <w:t>, </w:t>
      </w:r>
      <w:hyperlink r:id="rId45" w:history="1">
        <w:r w:rsidRPr="00C55248">
          <w:rPr>
            <w:shd w:val="clear" w:color="auto" w:fill="FFFFFF"/>
          </w:rPr>
          <w:t>Li Y</w:t>
        </w:r>
      </w:hyperlink>
      <w:r w:rsidRPr="00C55248">
        <w:rPr>
          <w:shd w:val="clear" w:color="auto" w:fill="FFFFFF"/>
        </w:rPr>
        <w:t>, </w:t>
      </w:r>
      <w:hyperlink r:id="rId46" w:history="1">
        <w:r w:rsidRPr="00C55248">
          <w:rPr>
            <w:shd w:val="clear" w:color="auto" w:fill="FFFFFF"/>
          </w:rPr>
          <w:t>Liu JJ</w:t>
        </w:r>
      </w:hyperlink>
      <w:r w:rsidRPr="00C55248">
        <w:rPr>
          <w:shd w:val="clear" w:color="auto" w:fill="FFFFFF"/>
        </w:rPr>
        <w:t>, </w:t>
      </w:r>
      <w:hyperlink r:id="rId47" w:history="1">
        <w:r w:rsidRPr="00C55248">
          <w:rPr>
            <w:shd w:val="clear" w:color="auto" w:fill="FFFFFF"/>
          </w:rPr>
          <w:t>Lu W</w:t>
        </w:r>
      </w:hyperlink>
      <w:r w:rsidRPr="00C55248">
        <w:rPr>
          <w:shd w:val="clear" w:color="auto" w:fill="FFFFFF"/>
        </w:rPr>
        <w:t>, </w:t>
      </w:r>
      <w:hyperlink r:id="rId48" w:history="1">
        <w:r w:rsidRPr="00C55248">
          <w:rPr>
            <w:shd w:val="clear" w:color="auto" w:fill="FFFFFF"/>
          </w:rPr>
          <w:t>Nakamura J</w:t>
        </w:r>
      </w:hyperlink>
      <w:r w:rsidRPr="00C55248">
        <w:rPr>
          <w:shd w:val="clear" w:color="auto" w:fill="FFFFFF"/>
        </w:rPr>
        <w:t>, </w:t>
      </w:r>
      <w:hyperlink r:id="rId49" w:history="1">
        <w:r w:rsidRPr="00C55248">
          <w:rPr>
            <w:shd w:val="clear" w:color="auto" w:fill="FFFFFF"/>
          </w:rPr>
          <w:t>Nakashima E</w:t>
        </w:r>
      </w:hyperlink>
      <w:r w:rsidRPr="00C55248">
        <w:rPr>
          <w:shd w:val="clear" w:color="auto" w:fill="FFFFFF"/>
        </w:rPr>
        <w:t>, </w:t>
      </w:r>
      <w:hyperlink r:id="rId50" w:history="1">
        <w:r w:rsidRPr="00C55248">
          <w:rPr>
            <w:shd w:val="clear" w:color="auto" w:fill="FFFFFF"/>
          </w:rPr>
          <w:t>Ng DP</w:t>
        </w:r>
      </w:hyperlink>
      <w:r w:rsidRPr="00C55248">
        <w:rPr>
          <w:shd w:val="clear" w:color="auto" w:fill="FFFFFF"/>
        </w:rPr>
        <w:t>, </w:t>
      </w:r>
      <w:hyperlink r:id="rId51" w:history="1">
        <w:r w:rsidRPr="00C55248">
          <w:rPr>
            <w:shd w:val="clear" w:color="auto" w:fill="FFFFFF"/>
          </w:rPr>
          <w:t>Tay WT</w:t>
        </w:r>
      </w:hyperlink>
      <w:r w:rsidRPr="00C55248">
        <w:rPr>
          <w:shd w:val="clear" w:color="auto" w:fill="FFFFFF"/>
        </w:rPr>
        <w:t>, </w:t>
      </w:r>
      <w:hyperlink r:id="rId52" w:history="1">
        <w:r w:rsidRPr="00C55248">
          <w:rPr>
            <w:shd w:val="clear" w:color="auto" w:fill="FFFFFF"/>
          </w:rPr>
          <w:t>Tsai FJ</w:t>
        </w:r>
      </w:hyperlink>
      <w:r w:rsidRPr="00C55248">
        <w:rPr>
          <w:shd w:val="clear" w:color="auto" w:fill="FFFFFF"/>
        </w:rPr>
        <w:t>, </w:t>
      </w:r>
      <w:hyperlink r:id="rId53" w:history="1">
        <w:r w:rsidRPr="00C55248">
          <w:rPr>
            <w:shd w:val="clear" w:color="auto" w:fill="FFFFFF"/>
          </w:rPr>
          <w:t>Wong TY</w:t>
        </w:r>
      </w:hyperlink>
      <w:r w:rsidRPr="00C55248">
        <w:rPr>
          <w:shd w:val="clear" w:color="auto" w:fill="FFFFFF"/>
        </w:rPr>
        <w:t>, </w:t>
      </w:r>
      <w:hyperlink r:id="rId54" w:history="1">
        <w:r w:rsidRPr="00C55248">
          <w:rPr>
            <w:shd w:val="clear" w:color="auto" w:fill="FFFFFF"/>
          </w:rPr>
          <w:t>Yokota M</w:t>
        </w:r>
      </w:hyperlink>
      <w:r w:rsidRPr="00C55248">
        <w:rPr>
          <w:shd w:val="clear" w:color="auto" w:fill="FFFFFF"/>
        </w:rPr>
        <w:t>, </w:t>
      </w:r>
      <w:hyperlink r:id="rId55" w:history="1">
        <w:r w:rsidRPr="00C55248">
          <w:rPr>
            <w:shd w:val="clear" w:color="auto" w:fill="FFFFFF"/>
          </w:rPr>
          <w:t>Zheng W</w:t>
        </w:r>
      </w:hyperlink>
      <w:r w:rsidRPr="00C55248">
        <w:rPr>
          <w:shd w:val="clear" w:color="auto" w:fill="FFFFFF"/>
        </w:rPr>
        <w:t>, </w:t>
      </w:r>
      <w:hyperlink r:id="rId56" w:history="1">
        <w:r w:rsidRPr="00C55248">
          <w:rPr>
            <w:shd w:val="clear" w:color="auto" w:fill="FFFFFF"/>
          </w:rPr>
          <w:t>Zhang R</w:t>
        </w:r>
      </w:hyperlink>
      <w:r w:rsidRPr="00C55248">
        <w:rPr>
          <w:shd w:val="clear" w:color="auto" w:fill="FFFFFF"/>
        </w:rPr>
        <w:t>, </w:t>
      </w:r>
      <w:hyperlink r:id="rId57" w:history="1">
        <w:r w:rsidRPr="00C55248">
          <w:rPr>
            <w:shd w:val="clear" w:color="auto" w:fill="FFFFFF"/>
          </w:rPr>
          <w:t>Wang C</w:t>
        </w:r>
      </w:hyperlink>
      <w:r w:rsidRPr="00C55248">
        <w:rPr>
          <w:shd w:val="clear" w:color="auto" w:fill="FFFFFF"/>
        </w:rPr>
        <w:t>, </w:t>
      </w:r>
      <w:hyperlink r:id="rId58" w:history="1">
        <w:r w:rsidRPr="00C55248">
          <w:rPr>
            <w:shd w:val="clear" w:color="auto" w:fill="FFFFFF"/>
          </w:rPr>
          <w:t>So WY</w:t>
        </w:r>
      </w:hyperlink>
      <w:r w:rsidRPr="00C55248">
        <w:rPr>
          <w:shd w:val="clear" w:color="auto" w:fill="FFFFFF"/>
        </w:rPr>
        <w:t>, </w:t>
      </w:r>
      <w:hyperlink r:id="rId59" w:history="1">
        <w:r w:rsidRPr="00C55248">
          <w:rPr>
            <w:shd w:val="clear" w:color="auto" w:fill="FFFFFF"/>
          </w:rPr>
          <w:t>Ohnaka K</w:t>
        </w:r>
      </w:hyperlink>
      <w:r w:rsidRPr="00C55248">
        <w:rPr>
          <w:shd w:val="clear" w:color="auto" w:fill="FFFFFF"/>
        </w:rPr>
        <w:t>, </w:t>
      </w:r>
      <w:hyperlink r:id="rId60" w:history="1">
        <w:r w:rsidRPr="00C55248">
          <w:rPr>
            <w:shd w:val="clear" w:color="auto" w:fill="FFFFFF"/>
          </w:rPr>
          <w:t>Ikegami H</w:t>
        </w:r>
      </w:hyperlink>
      <w:r w:rsidRPr="00C55248">
        <w:rPr>
          <w:shd w:val="clear" w:color="auto" w:fill="FFFFFF"/>
        </w:rPr>
        <w:t>, </w:t>
      </w:r>
      <w:hyperlink r:id="rId61" w:history="1">
        <w:r w:rsidRPr="00C55248">
          <w:rPr>
            <w:shd w:val="clear" w:color="auto" w:fill="FFFFFF"/>
          </w:rPr>
          <w:t>Hara K</w:t>
        </w:r>
      </w:hyperlink>
      <w:r w:rsidRPr="00C55248">
        <w:rPr>
          <w:shd w:val="clear" w:color="auto" w:fill="FFFFFF"/>
        </w:rPr>
        <w:t>, </w:t>
      </w:r>
      <w:hyperlink r:id="rId62" w:history="1">
        <w:r w:rsidRPr="00C55248">
          <w:rPr>
            <w:shd w:val="clear" w:color="auto" w:fill="FFFFFF"/>
          </w:rPr>
          <w:t>Cho YM</w:t>
        </w:r>
      </w:hyperlink>
      <w:r w:rsidRPr="00C55248">
        <w:rPr>
          <w:shd w:val="clear" w:color="auto" w:fill="FFFFFF"/>
        </w:rPr>
        <w:t>, </w:t>
      </w:r>
      <w:hyperlink r:id="rId63" w:history="1">
        <w:r w:rsidRPr="00C55248">
          <w:rPr>
            <w:shd w:val="clear" w:color="auto" w:fill="FFFFFF"/>
          </w:rPr>
          <w:t>Cho NH</w:t>
        </w:r>
      </w:hyperlink>
      <w:r w:rsidRPr="00C55248">
        <w:rPr>
          <w:shd w:val="clear" w:color="auto" w:fill="FFFFFF"/>
        </w:rPr>
        <w:t>, </w:t>
      </w:r>
      <w:hyperlink r:id="rId64" w:history="1">
        <w:r w:rsidRPr="00C55248">
          <w:rPr>
            <w:shd w:val="clear" w:color="auto" w:fill="FFFFFF"/>
          </w:rPr>
          <w:t>Chang TJ</w:t>
        </w:r>
      </w:hyperlink>
      <w:r w:rsidRPr="00C55248">
        <w:rPr>
          <w:shd w:val="clear" w:color="auto" w:fill="FFFFFF"/>
        </w:rPr>
        <w:t>, </w:t>
      </w:r>
      <w:hyperlink r:id="rId65" w:history="1">
        <w:r w:rsidRPr="00C55248">
          <w:rPr>
            <w:shd w:val="clear" w:color="auto" w:fill="FFFFFF"/>
          </w:rPr>
          <w:t>Bao Y</w:t>
        </w:r>
      </w:hyperlink>
      <w:r w:rsidRPr="00C55248">
        <w:rPr>
          <w:shd w:val="clear" w:color="auto" w:fill="FFFFFF"/>
        </w:rPr>
        <w:t>, </w:t>
      </w:r>
      <w:hyperlink r:id="rId66" w:history="1">
        <w:r w:rsidRPr="00C55248">
          <w:rPr>
            <w:shd w:val="clear" w:color="auto" w:fill="FFFFFF"/>
          </w:rPr>
          <w:t>Hedman ÅK</w:t>
        </w:r>
      </w:hyperlink>
      <w:r w:rsidRPr="00C55248">
        <w:rPr>
          <w:shd w:val="clear" w:color="auto" w:fill="FFFFFF"/>
        </w:rPr>
        <w:t>, </w:t>
      </w:r>
      <w:hyperlink r:id="rId67" w:history="1">
        <w:r w:rsidRPr="00C55248">
          <w:rPr>
            <w:shd w:val="clear" w:color="auto" w:fill="FFFFFF"/>
          </w:rPr>
          <w:t>Morris AP</w:t>
        </w:r>
      </w:hyperlink>
      <w:r w:rsidRPr="00C55248">
        <w:rPr>
          <w:shd w:val="clear" w:color="auto" w:fill="FFFFFF"/>
        </w:rPr>
        <w:t>, </w:t>
      </w:r>
      <w:hyperlink r:id="rId68" w:history="1">
        <w:r w:rsidRPr="00C55248">
          <w:rPr>
            <w:shd w:val="clear" w:color="auto" w:fill="FFFFFF"/>
          </w:rPr>
          <w:t>McCarthy MI</w:t>
        </w:r>
      </w:hyperlink>
      <w:r w:rsidRPr="00C55248">
        <w:rPr>
          <w:shd w:val="clear" w:color="auto" w:fill="FFFFFF"/>
        </w:rPr>
        <w:t>; </w:t>
      </w:r>
      <w:hyperlink r:id="rId69" w:history="1">
        <w:r w:rsidRPr="00C55248">
          <w:rPr>
            <w:shd w:val="clear" w:color="auto" w:fill="FFFFFF"/>
          </w:rPr>
          <w:t>DIAGRAM Consortium</w:t>
        </w:r>
      </w:hyperlink>
      <w:r w:rsidRPr="00C55248">
        <w:rPr>
          <w:shd w:val="clear" w:color="auto" w:fill="FFFFFF"/>
        </w:rPr>
        <w:t>; </w:t>
      </w:r>
      <w:hyperlink r:id="rId70" w:history="1">
        <w:r w:rsidRPr="00C55248">
          <w:rPr>
            <w:shd w:val="clear" w:color="auto" w:fill="FFFFFF"/>
          </w:rPr>
          <w:t>MuTHER Consortium</w:t>
        </w:r>
      </w:hyperlink>
      <w:r w:rsidRPr="00C55248">
        <w:rPr>
          <w:shd w:val="clear" w:color="auto" w:fill="FFFFFF"/>
        </w:rPr>
        <w:t>, </w:t>
      </w:r>
      <w:hyperlink r:id="rId71" w:history="1">
        <w:r w:rsidRPr="00C55248">
          <w:rPr>
            <w:shd w:val="clear" w:color="auto" w:fill="FFFFFF"/>
          </w:rPr>
          <w:t>Takayanagi R</w:t>
        </w:r>
      </w:hyperlink>
      <w:r w:rsidRPr="00C55248">
        <w:rPr>
          <w:shd w:val="clear" w:color="auto" w:fill="FFFFFF"/>
        </w:rPr>
        <w:t>, </w:t>
      </w:r>
      <w:hyperlink r:id="rId72" w:history="1">
        <w:r w:rsidRPr="00C55248">
          <w:rPr>
            <w:shd w:val="clear" w:color="auto" w:fill="FFFFFF"/>
          </w:rPr>
          <w:t>Park KS</w:t>
        </w:r>
      </w:hyperlink>
      <w:r w:rsidRPr="00C55248">
        <w:rPr>
          <w:shd w:val="clear" w:color="auto" w:fill="FFFFFF"/>
        </w:rPr>
        <w:t>, </w:t>
      </w:r>
      <w:hyperlink r:id="rId73" w:history="1">
        <w:r w:rsidRPr="00C55248">
          <w:rPr>
            <w:shd w:val="clear" w:color="auto" w:fill="FFFFFF"/>
          </w:rPr>
          <w:t>Jia W</w:t>
        </w:r>
      </w:hyperlink>
      <w:r w:rsidRPr="00C55248">
        <w:rPr>
          <w:shd w:val="clear" w:color="auto" w:fill="FFFFFF"/>
        </w:rPr>
        <w:t>, </w:t>
      </w:r>
      <w:hyperlink r:id="rId74" w:history="1">
        <w:r w:rsidRPr="00C55248">
          <w:rPr>
            <w:shd w:val="clear" w:color="auto" w:fill="FFFFFF"/>
          </w:rPr>
          <w:t>Chuang LM</w:t>
        </w:r>
      </w:hyperlink>
      <w:r w:rsidRPr="00C55248">
        <w:rPr>
          <w:shd w:val="clear" w:color="auto" w:fill="FFFFFF"/>
        </w:rPr>
        <w:t>, </w:t>
      </w:r>
      <w:hyperlink r:id="rId75" w:history="1">
        <w:r w:rsidRPr="00C55248">
          <w:rPr>
            <w:shd w:val="clear" w:color="auto" w:fill="FFFFFF"/>
          </w:rPr>
          <w:t>Chan JC</w:t>
        </w:r>
      </w:hyperlink>
      <w:r w:rsidRPr="00C55248">
        <w:rPr>
          <w:shd w:val="clear" w:color="auto" w:fill="FFFFFF"/>
        </w:rPr>
        <w:t>, </w:t>
      </w:r>
      <w:hyperlink r:id="rId76" w:history="1">
        <w:r w:rsidRPr="00C55248">
          <w:rPr>
            <w:shd w:val="clear" w:color="auto" w:fill="FFFFFF"/>
          </w:rPr>
          <w:t>Maeda S</w:t>
        </w:r>
      </w:hyperlink>
      <w:r w:rsidRPr="00C55248">
        <w:rPr>
          <w:shd w:val="clear" w:color="auto" w:fill="FFFFFF"/>
        </w:rPr>
        <w:t>, </w:t>
      </w:r>
      <w:hyperlink r:id="rId77" w:history="1">
        <w:r w:rsidRPr="00C55248">
          <w:rPr>
            <w:shd w:val="clear" w:color="auto" w:fill="FFFFFF"/>
          </w:rPr>
          <w:t>Kadowaki T</w:t>
        </w:r>
      </w:hyperlink>
      <w:r w:rsidRPr="00C55248">
        <w:rPr>
          <w:shd w:val="clear" w:color="auto" w:fill="FFFFFF"/>
        </w:rPr>
        <w:t>, </w:t>
      </w:r>
      <w:hyperlink r:id="rId78" w:history="1">
        <w:r w:rsidRPr="00C55248">
          <w:rPr>
            <w:shd w:val="clear" w:color="auto" w:fill="FFFFFF"/>
          </w:rPr>
          <w:t>Lee JY</w:t>
        </w:r>
      </w:hyperlink>
      <w:r w:rsidRPr="00C55248">
        <w:rPr>
          <w:shd w:val="clear" w:color="auto" w:fill="FFFFFF"/>
        </w:rPr>
        <w:t>, </w:t>
      </w:r>
      <w:hyperlink r:id="rId79" w:history="1">
        <w:r w:rsidRPr="00C55248">
          <w:rPr>
            <w:shd w:val="clear" w:color="auto" w:fill="FFFFFF"/>
          </w:rPr>
          <w:t>Wu JY</w:t>
        </w:r>
      </w:hyperlink>
      <w:r w:rsidRPr="00C55248">
        <w:rPr>
          <w:shd w:val="clear" w:color="auto" w:fill="FFFFFF"/>
        </w:rPr>
        <w:t>, </w:t>
      </w:r>
      <w:hyperlink r:id="rId80" w:history="1">
        <w:r w:rsidRPr="00C55248">
          <w:rPr>
            <w:shd w:val="clear" w:color="auto" w:fill="FFFFFF"/>
          </w:rPr>
          <w:t>Teo YY</w:t>
        </w:r>
      </w:hyperlink>
      <w:r w:rsidRPr="00C55248">
        <w:rPr>
          <w:shd w:val="clear" w:color="auto" w:fill="FFFFFF"/>
        </w:rPr>
        <w:t>, </w:t>
      </w:r>
      <w:hyperlink r:id="rId81" w:history="1">
        <w:r w:rsidRPr="00C55248">
          <w:rPr>
            <w:shd w:val="clear" w:color="auto" w:fill="FFFFFF"/>
          </w:rPr>
          <w:t>Tai ES</w:t>
        </w:r>
      </w:hyperlink>
      <w:r w:rsidRPr="00C55248">
        <w:rPr>
          <w:shd w:val="clear" w:color="auto" w:fill="FFFFFF"/>
        </w:rPr>
        <w:t>, </w:t>
      </w:r>
      <w:hyperlink r:id="rId82" w:history="1">
        <w:r w:rsidRPr="00C55248">
          <w:rPr>
            <w:shd w:val="clear" w:color="auto" w:fill="FFFFFF"/>
          </w:rPr>
          <w:t>Shu XO</w:t>
        </w:r>
      </w:hyperlink>
      <w:r w:rsidRPr="00C55248">
        <w:rPr>
          <w:shd w:val="clear" w:color="auto" w:fill="FFFFFF"/>
        </w:rPr>
        <w:t>, </w:t>
      </w:r>
      <w:hyperlink r:id="rId83" w:history="1">
        <w:r w:rsidRPr="00C55248">
          <w:rPr>
            <w:shd w:val="clear" w:color="auto" w:fill="FFFFFF"/>
          </w:rPr>
          <w:t>Mohlke KL</w:t>
        </w:r>
      </w:hyperlink>
      <w:r w:rsidRPr="00C55248">
        <w:rPr>
          <w:shd w:val="clear" w:color="auto" w:fill="FFFFFF"/>
        </w:rPr>
        <w:t>, </w:t>
      </w:r>
      <w:hyperlink r:id="rId84" w:history="1">
        <w:r w:rsidRPr="00C55248">
          <w:rPr>
            <w:shd w:val="clear" w:color="auto" w:fill="FFFFFF"/>
          </w:rPr>
          <w:t>Kato N</w:t>
        </w:r>
      </w:hyperlink>
      <w:r w:rsidRPr="00C55248">
        <w:rPr>
          <w:shd w:val="clear" w:color="auto" w:fill="FFFFFF"/>
        </w:rPr>
        <w:t>, </w:t>
      </w:r>
      <w:hyperlink r:id="rId85" w:history="1">
        <w:r w:rsidRPr="00C55248">
          <w:rPr>
            <w:shd w:val="clear" w:color="auto" w:fill="FFFFFF"/>
          </w:rPr>
          <w:t>Han BG</w:t>
        </w:r>
      </w:hyperlink>
      <w:r w:rsidRPr="00C55248">
        <w:rPr>
          <w:shd w:val="clear" w:color="auto" w:fill="FFFFFF"/>
        </w:rPr>
        <w:t>, </w:t>
      </w:r>
      <w:hyperlink r:id="rId86" w:history="1">
        <w:r w:rsidRPr="00C55248">
          <w:rPr>
            <w:shd w:val="clear" w:color="auto" w:fill="FFFFFF"/>
          </w:rPr>
          <w:t>Seielstad M</w:t>
        </w:r>
      </w:hyperlink>
      <w:r w:rsidRPr="00C55248">
        <w:t>. 2011. Meta-Analysis of Genome-Wide Association Studies Identifies 8 new Loci for Type 2 Diabetes in East Asians. Nat Genet. 44:67–72. doi:10.1038/ng.1019.</w:t>
      </w:r>
    </w:p>
    <w:p w:rsidR="00C55248" w:rsidRPr="00C55248" w:rsidRDefault="00C55248" w:rsidP="00C55248"/>
    <w:p w:rsidR="00C55248" w:rsidRPr="00C55248" w:rsidRDefault="00C55248" w:rsidP="00C55248">
      <w:pPr>
        <w:spacing w:after="240"/>
      </w:pPr>
      <w:r w:rsidRPr="00C55248">
        <w:t>Choukem SP, Fabreguettes C, Akwo E, Porcher R, Nguewa JL, Bouche C, Kaze FF, Kengne AP, Vexiau P, Mbanya JC, Sobngwi E, Gautier JF. 2014. Influence of Migration on Characteristics of Type 2 Diabetes in Sub-Saharan Africans. Diabetes Metab. 40:56–60. doi:10.1016/j.diabet.2013.07.004.</w:t>
      </w:r>
    </w:p>
    <w:p w:rsidR="00C55248" w:rsidRPr="00C55248" w:rsidRDefault="00C55248" w:rsidP="00C55248">
      <w:pPr>
        <w:spacing w:after="240"/>
      </w:pPr>
      <w:r w:rsidRPr="00C55248">
        <w:t>Chung CAB, Boyd VL, McKernan KJ, Fu Y, Monighetti C, Peckham HE, Barker M. 2010. Whole Methylome Analysis by Ultra-Deep Sequencing Using Two-Base Encoding. PLOS ONE. 5:e9320. doi:10.1371/journal.pone.0009320.</w:t>
      </w:r>
    </w:p>
    <w:p w:rsidR="00C55248" w:rsidRPr="00C55248" w:rsidRDefault="00C55248" w:rsidP="00C55248">
      <w:pPr>
        <w:spacing w:after="240"/>
      </w:pPr>
      <w:r w:rsidRPr="00C55248">
        <w:t>Commodore‐ Mensah Y, Ukonu N, Obisesan O, Aboagye JK, Agyemang C, Reilly CM, Dunbar SB, Okosun IS. 2016. Length of Residence in the United States is Associated With a Higher Prevalence of Cardiometabolic Risk Factors in Immigrants: A Contemporary Analysis of the National Health Interview Survey. J Am Heart Assoc. 5:e004059. doi:10.1161/JAHA.116.004059.</w:t>
      </w:r>
    </w:p>
    <w:p w:rsidR="00C55248" w:rsidRPr="00C55248" w:rsidRDefault="00C55248" w:rsidP="00C55248">
      <w:pPr>
        <w:spacing w:after="240"/>
      </w:pPr>
      <w:r w:rsidRPr="00C55248">
        <w:t>Cui M, Wu X, Mao J, Wang X, Nie M. 2016. T2DM Self-Management via Smartphone Applications: A Systematic Review and Meta-Analysis. PLoS ONE. 11. doi:10.1371/journal.pone.0166718. https://www.ncbi.nlm.nih.gov/pmc/articles/PMC5115794/.</w:t>
      </w:r>
    </w:p>
    <w:p w:rsidR="00C55248" w:rsidRPr="00C55248" w:rsidRDefault="00C55248" w:rsidP="00C55248">
      <w:pPr>
        <w:spacing w:after="240"/>
      </w:pPr>
      <w:r w:rsidRPr="00C55248">
        <w:t>Das SK, Elbein SC. 2006. The Genetic Basis of Type 2 Diabetes. Cellscience. 2:100–131. doi:10.1901/jaba.2006.2-100.</w:t>
      </w:r>
    </w:p>
    <w:p w:rsidR="00C55248" w:rsidRPr="00C55248" w:rsidRDefault="00C55248" w:rsidP="00C55248">
      <w:pPr>
        <w:spacing w:after="240"/>
      </w:pPr>
      <w:r w:rsidRPr="00C55248">
        <w:t>Deshpande AD, Harris-Hayes M, Schootman M. 2008. Epidemiology of Diabetes and Diabetes-Related Complications. Phys Ther. 88:1254–1264. doi:10.2522/ptj.20080020.</w:t>
      </w:r>
    </w:p>
    <w:p w:rsidR="00C55248" w:rsidRPr="00C55248" w:rsidRDefault="00C55248" w:rsidP="00C55248">
      <w:pPr>
        <w:spacing w:after="240"/>
      </w:pPr>
      <w:r w:rsidRPr="00C55248">
        <w:t>Ghassibe-Sabbagh M, Haber M, Salloum AK, Al-Sarraj Y, Akle Y, Hirbli K, Romanos J, Mouzaya F, Gauguier D, Platt DE, El-Shanti H, Zalloua PA. 2014. T2DM GWAS in the Lebanese Population Confirms the Role of TCF7L2 and CDKAL1 in Disease Susceptibility. Sci Rep. 4. doi:10.1038/srep07351. https://www.ncbi.nlm.nih.gov/pmc/articles/PMC5376673/.</w:t>
      </w:r>
    </w:p>
    <w:p w:rsidR="00C55248" w:rsidRPr="00C55248" w:rsidRDefault="00C55248" w:rsidP="00C55248">
      <w:pPr>
        <w:spacing w:after="240"/>
      </w:pPr>
      <w:r w:rsidRPr="00C55248">
        <w:t>Gibney ER, Nolan CM. 2010. Epigenetics and Gene Expression. Heredity. 105:4–13. doi:10.1038/hdy.2010.54.</w:t>
      </w:r>
    </w:p>
    <w:p w:rsidR="00C55248" w:rsidRPr="00C55248" w:rsidRDefault="00C55248" w:rsidP="00C55248">
      <w:pPr>
        <w:spacing w:after="240"/>
      </w:pPr>
      <w:r w:rsidRPr="00C55248">
        <w:lastRenderedPageBreak/>
        <w:t>Gloyn AL, Braun M, Rorsman P. 2009. Type 2 Diabetes Susceptibility Gene TCF7L2 and Its Role in β-Cell Function. Diabetes. 58:800–802. doi:10.2337/db09-0099.</w:t>
      </w:r>
    </w:p>
    <w:p w:rsidR="00C55248" w:rsidRPr="00C55248" w:rsidRDefault="00C55248" w:rsidP="00C55248">
      <w:pPr>
        <w:spacing w:after="240"/>
      </w:pPr>
      <w:r w:rsidRPr="00C55248">
        <w:t>Gupta UC. 2013. Informed Consent in Clinical Research: Revisiting Few Concepts and Areas. Perspect Clin Res. 4:26–32. doi:10.4103/2229-3485.106373.</w:t>
      </w:r>
    </w:p>
    <w:p w:rsidR="00C55248" w:rsidRPr="00C55248" w:rsidRDefault="00C55248" w:rsidP="00C55248">
      <w:pPr>
        <w:spacing w:after="240"/>
      </w:pPr>
      <w:r w:rsidRPr="00C55248">
        <w:t>Hara K, Fujita H, Johnson TA, Yamauchi T, Yasuda K, Horikoshi M, Peng C, Hu C, Ma RCW, Imamura M, Iwata M, Tsunoda T, Morizono T, Shojima N, So W, Leung T, Kwan P, Zhang R, Wang J, Yu W. 2014. Genome-Wide Association Study Identifies Three Novel Loci for Type 2 Diabetes. Hum Mol Genet. 23:239–246. doi:10.1093/hmg/ddt399.</w:t>
      </w:r>
    </w:p>
    <w:p w:rsidR="00C55248" w:rsidRPr="00C55248" w:rsidRDefault="00C55248" w:rsidP="00C55248">
      <w:pPr>
        <w:spacing w:after="240"/>
      </w:pPr>
      <w:r w:rsidRPr="00C55248">
        <w:t>Hopkins R, Shaver K, Weinstock RS. 2016. Management of Adults With Diabetes and Cognitive Problems. Diabetes Spectr. 29:224–237. doi:10.2337/ds16-0035.</w:t>
      </w:r>
    </w:p>
    <w:p w:rsidR="00C55248" w:rsidRPr="00C55248" w:rsidRDefault="00C55248" w:rsidP="00C55248">
      <w:pPr>
        <w:spacing w:after="240"/>
      </w:pPr>
      <w:r w:rsidRPr="00C55248">
        <w:t>Hu C, Zhang R, Wang C, Wang J, Ma X, Hou X, Lu J, Yu W, Jiang F, Bao Y, Xiang K, Jia W. 2010. Variants from GIPR, TCF7L2, DGKB, MADD, CRY2, GLIS3, PROX1, SLC30A8 and IGF1 Are Associated with Glucose Metabolism in the Chinese. PLoS ONE. 5. doi: 10.1371/journal.pone. 0015542. https://www.ncbi.nlm.nih.gov/pmc/articles/PMC2984505/.</w:t>
      </w:r>
    </w:p>
    <w:p w:rsidR="00C55248" w:rsidRPr="00C55248" w:rsidRDefault="00C55248" w:rsidP="00C55248">
      <w:pPr>
        <w:spacing w:after="240"/>
      </w:pPr>
      <w:r w:rsidRPr="00C55248">
        <w:t>Hurt RT, Kulisek C, Buchanan LA, McClave SA. 2010. The Obesity Epidemic: Challenges, Health Initiatives, and Implications for Gastroenterologists. Gastroenterol Hepatol. 6:780–792.</w:t>
      </w:r>
    </w:p>
    <w:p w:rsidR="00C55248" w:rsidRPr="00C55248" w:rsidRDefault="00C55248" w:rsidP="00C55248">
      <w:pPr>
        <w:spacing w:after="240"/>
      </w:pPr>
      <w:r w:rsidRPr="00C55248">
        <w:t>Jaffe A, Giveon S, Wulffhart L, Oberman B, Freedman L, Ziv A, Kalter-Leibovici O. 2016. Diabetes among Ethiopian Immigrants to Israel: Exploring the Effects of Migration and Ethnicity on Diabetes Risk. Tordjman KM, editor. PLOS ONE. 11:e0157354. doi:10.1371/journal.pone.0157354.</w:t>
      </w:r>
    </w:p>
    <w:p w:rsidR="00C55248" w:rsidRPr="00C55248" w:rsidRDefault="00C55248" w:rsidP="00C55248">
      <w:pPr>
        <w:spacing w:after="240"/>
      </w:pPr>
      <w:r w:rsidRPr="00C55248">
        <w:t>Karachanak-Yankova S, Dimova R, Nikolova D, Nesheva D, Koprinarova M, Maslyankov S, Tafradjiska R, Gateva P, Velizarova M, Hammoudeh Z, Stoynev N, Toncheva D, Tankova T, Dimova I. 2016. Epigenetic Alterations in Patients with Type 2 Diabetes Mellitus. Balk J Med Genet BJMG. 18:15–24. doi:10.1515/bjmg-2015-0081.</w:t>
      </w:r>
    </w:p>
    <w:p w:rsidR="00C55248" w:rsidRPr="00C55248" w:rsidRDefault="00C55248" w:rsidP="00C55248">
      <w:pPr>
        <w:spacing w:after="240"/>
      </w:pPr>
      <w:r w:rsidRPr="00C55248">
        <w:t>Kingsmore SF, Lindquist IE, Mudge J, Gessler DD, Beavis WD. 2008. Genome-Wide Association Studies: Progress and Potential for Drug Discovery and Development. Nat Rev Drug Discov. 7:221–230. doi:10.1038/nrd2519.</w:t>
      </w:r>
    </w:p>
    <w:p w:rsidR="00C55248" w:rsidRPr="00C55248" w:rsidRDefault="00C55248" w:rsidP="00C55248">
      <w:pPr>
        <w:spacing w:after="240"/>
      </w:pPr>
      <w:r w:rsidRPr="00C55248">
        <w:t>Kong Y, Sharma RB, Nwosu BU, Alonso LC. 2016. Islet Biology, the CDKN2A/B Locus and Type 2 Diabetes Risk. Diabetologia. 59:1579–1593. doi:10.1007/s00125-016-3967-7.</w:t>
      </w:r>
    </w:p>
    <w:p w:rsidR="00C55248" w:rsidRPr="00C55248" w:rsidRDefault="00C55248" w:rsidP="00C55248">
      <w:r w:rsidRPr="00C55248">
        <w:t xml:space="preserve">Kooner JS, Saleheen D, Sim X, Sehmi J, Zhang W, Frossard P, Been LF, Chia K-S, Dimas AS, Hassanali N, </w:t>
      </w:r>
      <w:hyperlink r:id="rId87" w:history="1">
        <w:r w:rsidRPr="00C55248">
          <w:rPr>
            <w:shd w:val="clear" w:color="auto" w:fill="FFFFFF"/>
          </w:rPr>
          <w:t>Jafar T</w:t>
        </w:r>
      </w:hyperlink>
      <w:r w:rsidRPr="00C55248">
        <w:rPr>
          <w:shd w:val="clear" w:color="auto" w:fill="FFFFFF"/>
        </w:rPr>
        <w:t>, </w:t>
      </w:r>
      <w:hyperlink r:id="rId88" w:history="1">
        <w:r w:rsidRPr="00C55248">
          <w:rPr>
            <w:shd w:val="clear" w:color="auto" w:fill="FFFFFF"/>
          </w:rPr>
          <w:t>Jowett JB</w:t>
        </w:r>
      </w:hyperlink>
      <w:r w:rsidRPr="00C55248">
        <w:rPr>
          <w:shd w:val="clear" w:color="auto" w:fill="FFFFFF"/>
        </w:rPr>
        <w:t>, </w:t>
      </w:r>
      <w:hyperlink r:id="rId89" w:history="1">
        <w:r w:rsidRPr="00C55248">
          <w:rPr>
            <w:shd w:val="clear" w:color="auto" w:fill="FFFFFF"/>
          </w:rPr>
          <w:t>Li X</w:t>
        </w:r>
      </w:hyperlink>
      <w:r w:rsidRPr="00C55248">
        <w:rPr>
          <w:shd w:val="clear" w:color="auto" w:fill="FFFFFF"/>
        </w:rPr>
        <w:t>, </w:t>
      </w:r>
      <w:hyperlink r:id="rId90" w:history="1">
        <w:r w:rsidRPr="00C55248">
          <w:rPr>
            <w:shd w:val="clear" w:color="auto" w:fill="FFFFFF"/>
          </w:rPr>
          <w:t>Radha V</w:t>
        </w:r>
      </w:hyperlink>
      <w:r w:rsidRPr="00C55248">
        <w:rPr>
          <w:shd w:val="clear" w:color="auto" w:fill="FFFFFF"/>
        </w:rPr>
        <w:t>, </w:t>
      </w:r>
      <w:hyperlink r:id="rId91" w:history="1">
        <w:r w:rsidRPr="00C55248">
          <w:rPr>
            <w:shd w:val="clear" w:color="auto" w:fill="FFFFFF"/>
          </w:rPr>
          <w:t>Rees SD</w:t>
        </w:r>
      </w:hyperlink>
      <w:r w:rsidRPr="00C55248">
        <w:rPr>
          <w:shd w:val="clear" w:color="auto" w:fill="FFFFFF"/>
        </w:rPr>
        <w:t>, </w:t>
      </w:r>
      <w:hyperlink r:id="rId92" w:history="1">
        <w:r w:rsidRPr="00C55248">
          <w:rPr>
            <w:shd w:val="clear" w:color="auto" w:fill="FFFFFF"/>
          </w:rPr>
          <w:t>Takeuchi F</w:t>
        </w:r>
      </w:hyperlink>
      <w:r w:rsidRPr="00C55248">
        <w:rPr>
          <w:shd w:val="clear" w:color="auto" w:fill="FFFFFF"/>
        </w:rPr>
        <w:t>, </w:t>
      </w:r>
      <w:hyperlink r:id="rId93" w:history="1">
        <w:r w:rsidRPr="00C55248">
          <w:rPr>
            <w:shd w:val="clear" w:color="auto" w:fill="FFFFFF"/>
          </w:rPr>
          <w:t>Young R</w:t>
        </w:r>
      </w:hyperlink>
      <w:r w:rsidRPr="00C55248">
        <w:rPr>
          <w:shd w:val="clear" w:color="auto" w:fill="FFFFFF"/>
        </w:rPr>
        <w:t>, </w:t>
      </w:r>
      <w:hyperlink r:id="rId94" w:history="1">
        <w:r w:rsidRPr="00C55248">
          <w:rPr>
            <w:shd w:val="clear" w:color="auto" w:fill="FFFFFF"/>
          </w:rPr>
          <w:t>Aung T</w:t>
        </w:r>
      </w:hyperlink>
      <w:r w:rsidRPr="00C55248">
        <w:rPr>
          <w:shd w:val="clear" w:color="auto" w:fill="FFFFFF"/>
        </w:rPr>
        <w:t>, </w:t>
      </w:r>
      <w:hyperlink r:id="rId95" w:history="1">
        <w:r w:rsidRPr="00C55248">
          <w:rPr>
            <w:shd w:val="clear" w:color="auto" w:fill="FFFFFF"/>
          </w:rPr>
          <w:t>Basit A</w:t>
        </w:r>
      </w:hyperlink>
      <w:r w:rsidRPr="00C55248">
        <w:rPr>
          <w:shd w:val="clear" w:color="auto" w:fill="FFFFFF"/>
        </w:rPr>
        <w:t>, </w:t>
      </w:r>
      <w:hyperlink r:id="rId96" w:history="1">
        <w:r w:rsidRPr="00C55248">
          <w:rPr>
            <w:shd w:val="clear" w:color="auto" w:fill="FFFFFF"/>
          </w:rPr>
          <w:t>Chidambaram M</w:t>
        </w:r>
      </w:hyperlink>
      <w:r w:rsidRPr="00C55248">
        <w:rPr>
          <w:shd w:val="clear" w:color="auto" w:fill="FFFFFF"/>
        </w:rPr>
        <w:t>, </w:t>
      </w:r>
      <w:hyperlink r:id="rId97" w:history="1">
        <w:r w:rsidRPr="00C55248">
          <w:rPr>
            <w:shd w:val="clear" w:color="auto" w:fill="FFFFFF"/>
          </w:rPr>
          <w:t>Das D</w:t>
        </w:r>
      </w:hyperlink>
      <w:r w:rsidRPr="00C55248">
        <w:rPr>
          <w:shd w:val="clear" w:color="auto" w:fill="FFFFFF"/>
        </w:rPr>
        <w:t>, </w:t>
      </w:r>
      <w:hyperlink r:id="rId98" w:history="1">
        <w:r w:rsidRPr="00C55248">
          <w:rPr>
            <w:shd w:val="clear" w:color="auto" w:fill="FFFFFF"/>
          </w:rPr>
          <w:t>Grundberg E</w:t>
        </w:r>
      </w:hyperlink>
      <w:r w:rsidRPr="00C55248">
        <w:rPr>
          <w:shd w:val="clear" w:color="auto" w:fill="FFFFFF"/>
        </w:rPr>
        <w:t>, </w:t>
      </w:r>
      <w:hyperlink r:id="rId99" w:history="1">
        <w:r w:rsidRPr="00C55248">
          <w:rPr>
            <w:shd w:val="clear" w:color="auto" w:fill="FFFFFF"/>
          </w:rPr>
          <w:t>Hedman AK</w:t>
        </w:r>
      </w:hyperlink>
      <w:r w:rsidRPr="00C55248">
        <w:rPr>
          <w:shd w:val="clear" w:color="auto" w:fill="FFFFFF"/>
        </w:rPr>
        <w:t>, </w:t>
      </w:r>
      <w:hyperlink r:id="rId100" w:history="1">
        <w:r w:rsidRPr="00C55248">
          <w:rPr>
            <w:shd w:val="clear" w:color="auto" w:fill="FFFFFF"/>
          </w:rPr>
          <w:t>Hydrie ZI</w:t>
        </w:r>
      </w:hyperlink>
      <w:r w:rsidRPr="00C55248">
        <w:rPr>
          <w:shd w:val="clear" w:color="auto" w:fill="FFFFFF"/>
        </w:rPr>
        <w:t>, </w:t>
      </w:r>
      <w:hyperlink r:id="rId101" w:history="1">
        <w:r w:rsidRPr="00C55248">
          <w:rPr>
            <w:shd w:val="clear" w:color="auto" w:fill="FFFFFF"/>
          </w:rPr>
          <w:t>Islam M</w:t>
        </w:r>
      </w:hyperlink>
      <w:r w:rsidRPr="00C55248">
        <w:rPr>
          <w:shd w:val="clear" w:color="auto" w:fill="FFFFFF"/>
        </w:rPr>
        <w:t>, </w:t>
      </w:r>
      <w:hyperlink r:id="rId102" w:history="1">
        <w:r w:rsidRPr="00C55248">
          <w:rPr>
            <w:shd w:val="clear" w:color="auto" w:fill="FFFFFF"/>
          </w:rPr>
          <w:t>Khor CC</w:t>
        </w:r>
      </w:hyperlink>
      <w:r w:rsidRPr="00C55248">
        <w:rPr>
          <w:shd w:val="clear" w:color="auto" w:fill="FFFFFF"/>
        </w:rPr>
        <w:t>, </w:t>
      </w:r>
      <w:hyperlink r:id="rId103" w:history="1">
        <w:r w:rsidRPr="00C55248">
          <w:rPr>
            <w:shd w:val="clear" w:color="auto" w:fill="FFFFFF"/>
          </w:rPr>
          <w:t>Kowlessur S</w:t>
        </w:r>
      </w:hyperlink>
      <w:r w:rsidRPr="00C55248">
        <w:rPr>
          <w:shd w:val="clear" w:color="auto" w:fill="FFFFFF"/>
        </w:rPr>
        <w:t>, </w:t>
      </w:r>
      <w:hyperlink r:id="rId104" w:history="1">
        <w:r w:rsidRPr="00C55248">
          <w:rPr>
            <w:shd w:val="clear" w:color="auto" w:fill="FFFFFF"/>
          </w:rPr>
          <w:t>Kristensen MM</w:t>
        </w:r>
      </w:hyperlink>
      <w:r w:rsidRPr="00C55248">
        <w:rPr>
          <w:shd w:val="clear" w:color="auto" w:fill="FFFFFF"/>
        </w:rPr>
        <w:t>, </w:t>
      </w:r>
      <w:hyperlink r:id="rId105" w:history="1">
        <w:r w:rsidRPr="00C55248">
          <w:rPr>
            <w:shd w:val="clear" w:color="auto" w:fill="FFFFFF"/>
          </w:rPr>
          <w:t>Liju S</w:t>
        </w:r>
      </w:hyperlink>
      <w:r w:rsidRPr="00C55248">
        <w:rPr>
          <w:shd w:val="clear" w:color="auto" w:fill="FFFFFF"/>
        </w:rPr>
        <w:t>, </w:t>
      </w:r>
      <w:hyperlink r:id="rId106" w:history="1">
        <w:r w:rsidRPr="00C55248">
          <w:rPr>
            <w:shd w:val="clear" w:color="auto" w:fill="FFFFFF"/>
          </w:rPr>
          <w:t>Lim WY</w:t>
        </w:r>
      </w:hyperlink>
      <w:r w:rsidRPr="00C55248">
        <w:rPr>
          <w:shd w:val="clear" w:color="auto" w:fill="FFFFFF"/>
        </w:rPr>
        <w:t>, </w:t>
      </w:r>
      <w:hyperlink r:id="rId107" w:history="1">
        <w:r w:rsidRPr="00C55248">
          <w:rPr>
            <w:shd w:val="clear" w:color="auto" w:fill="FFFFFF"/>
          </w:rPr>
          <w:t>Matthews DR</w:t>
        </w:r>
      </w:hyperlink>
      <w:r w:rsidRPr="00C55248">
        <w:rPr>
          <w:shd w:val="clear" w:color="auto" w:fill="FFFFFF"/>
        </w:rPr>
        <w:t>, </w:t>
      </w:r>
      <w:hyperlink r:id="rId108" w:history="1">
        <w:r w:rsidRPr="00C55248">
          <w:rPr>
            <w:shd w:val="clear" w:color="auto" w:fill="FFFFFF"/>
          </w:rPr>
          <w:t>Liu J</w:t>
        </w:r>
      </w:hyperlink>
      <w:r w:rsidRPr="00C55248">
        <w:rPr>
          <w:shd w:val="clear" w:color="auto" w:fill="FFFFFF"/>
        </w:rPr>
        <w:t>, </w:t>
      </w:r>
      <w:hyperlink r:id="rId109" w:history="1">
        <w:r w:rsidRPr="00C55248">
          <w:rPr>
            <w:shd w:val="clear" w:color="auto" w:fill="FFFFFF"/>
          </w:rPr>
          <w:t>Morris AP</w:t>
        </w:r>
      </w:hyperlink>
      <w:r w:rsidRPr="00C55248">
        <w:rPr>
          <w:shd w:val="clear" w:color="auto" w:fill="FFFFFF"/>
        </w:rPr>
        <w:t>, </w:t>
      </w:r>
      <w:hyperlink r:id="rId110" w:history="1">
        <w:r w:rsidRPr="00C55248">
          <w:rPr>
            <w:shd w:val="clear" w:color="auto" w:fill="FFFFFF"/>
          </w:rPr>
          <w:t>Nica AC</w:t>
        </w:r>
      </w:hyperlink>
      <w:r w:rsidRPr="00C55248">
        <w:rPr>
          <w:shd w:val="clear" w:color="auto" w:fill="FFFFFF"/>
        </w:rPr>
        <w:t>, </w:t>
      </w:r>
      <w:hyperlink r:id="rId111" w:history="1">
        <w:r w:rsidRPr="00C55248">
          <w:rPr>
            <w:shd w:val="clear" w:color="auto" w:fill="FFFFFF"/>
          </w:rPr>
          <w:t>Pinidiyapathirage JM</w:t>
        </w:r>
      </w:hyperlink>
      <w:r w:rsidRPr="00C55248">
        <w:rPr>
          <w:shd w:val="clear" w:color="auto" w:fill="FFFFFF"/>
        </w:rPr>
        <w:t>, </w:t>
      </w:r>
      <w:hyperlink r:id="rId112" w:history="1">
        <w:r w:rsidRPr="00C55248">
          <w:rPr>
            <w:shd w:val="clear" w:color="auto" w:fill="FFFFFF"/>
          </w:rPr>
          <w:t>Prokopenko I</w:t>
        </w:r>
      </w:hyperlink>
      <w:r w:rsidRPr="00C55248">
        <w:rPr>
          <w:shd w:val="clear" w:color="auto" w:fill="FFFFFF"/>
        </w:rPr>
        <w:t>, </w:t>
      </w:r>
      <w:hyperlink r:id="rId113" w:history="1">
        <w:r w:rsidRPr="00C55248">
          <w:rPr>
            <w:shd w:val="clear" w:color="auto" w:fill="FFFFFF"/>
          </w:rPr>
          <w:t xml:space="preserve">Rasheed </w:t>
        </w:r>
        <w:r w:rsidRPr="00C55248">
          <w:rPr>
            <w:shd w:val="clear" w:color="auto" w:fill="FFFFFF"/>
          </w:rPr>
          <w:lastRenderedPageBreak/>
          <w:t>A</w:t>
        </w:r>
      </w:hyperlink>
      <w:r w:rsidRPr="00C55248">
        <w:rPr>
          <w:shd w:val="clear" w:color="auto" w:fill="FFFFFF"/>
        </w:rPr>
        <w:t>, </w:t>
      </w:r>
      <w:hyperlink r:id="rId114" w:history="1">
        <w:r w:rsidRPr="00C55248">
          <w:rPr>
            <w:shd w:val="clear" w:color="auto" w:fill="FFFFFF"/>
          </w:rPr>
          <w:t>Samuel M</w:t>
        </w:r>
      </w:hyperlink>
      <w:r w:rsidRPr="00C55248">
        <w:rPr>
          <w:shd w:val="clear" w:color="auto" w:fill="FFFFFF"/>
        </w:rPr>
        <w:t>, </w:t>
      </w:r>
      <w:hyperlink r:id="rId115" w:history="1">
        <w:r w:rsidRPr="00C55248">
          <w:rPr>
            <w:shd w:val="clear" w:color="auto" w:fill="FFFFFF"/>
          </w:rPr>
          <w:t>Shah N</w:t>
        </w:r>
      </w:hyperlink>
      <w:r w:rsidRPr="00C55248">
        <w:rPr>
          <w:shd w:val="clear" w:color="auto" w:fill="FFFFFF"/>
        </w:rPr>
        <w:t>, </w:t>
      </w:r>
      <w:hyperlink r:id="rId116" w:history="1">
        <w:r w:rsidRPr="00C55248">
          <w:rPr>
            <w:shd w:val="clear" w:color="auto" w:fill="FFFFFF"/>
          </w:rPr>
          <w:t>Shera AS</w:t>
        </w:r>
      </w:hyperlink>
      <w:r w:rsidRPr="00C55248">
        <w:rPr>
          <w:shd w:val="clear" w:color="auto" w:fill="FFFFFF"/>
        </w:rPr>
        <w:t>, </w:t>
      </w:r>
      <w:hyperlink r:id="rId117" w:history="1">
        <w:r w:rsidRPr="00C55248">
          <w:rPr>
            <w:shd w:val="clear" w:color="auto" w:fill="FFFFFF"/>
          </w:rPr>
          <w:t>Small KS</w:t>
        </w:r>
      </w:hyperlink>
      <w:r w:rsidRPr="00C55248">
        <w:rPr>
          <w:shd w:val="clear" w:color="auto" w:fill="FFFFFF"/>
        </w:rPr>
        <w:t>, </w:t>
      </w:r>
      <w:hyperlink r:id="rId118" w:history="1">
        <w:r w:rsidRPr="00C55248">
          <w:rPr>
            <w:shd w:val="clear" w:color="auto" w:fill="FFFFFF"/>
          </w:rPr>
          <w:t>Suo C</w:t>
        </w:r>
      </w:hyperlink>
      <w:r w:rsidRPr="00C55248">
        <w:rPr>
          <w:shd w:val="clear" w:color="auto" w:fill="FFFFFF"/>
        </w:rPr>
        <w:t>, </w:t>
      </w:r>
      <w:hyperlink r:id="rId119" w:history="1">
        <w:r w:rsidRPr="00C55248">
          <w:rPr>
            <w:shd w:val="clear" w:color="auto" w:fill="FFFFFF"/>
          </w:rPr>
          <w:t>Wickremasinghe AR</w:t>
        </w:r>
      </w:hyperlink>
      <w:r w:rsidRPr="00C55248">
        <w:rPr>
          <w:shd w:val="clear" w:color="auto" w:fill="FFFFFF"/>
        </w:rPr>
        <w:t>, </w:t>
      </w:r>
      <w:hyperlink r:id="rId120" w:history="1">
        <w:r w:rsidRPr="00C55248">
          <w:rPr>
            <w:shd w:val="clear" w:color="auto" w:fill="FFFFFF"/>
          </w:rPr>
          <w:t>Wong TY</w:t>
        </w:r>
      </w:hyperlink>
      <w:r w:rsidRPr="00C55248">
        <w:rPr>
          <w:shd w:val="clear" w:color="auto" w:fill="FFFFFF"/>
        </w:rPr>
        <w:t>, </w:t>
      </w:r>
      <w:hyperlink r:id="rId121" w:history="1">
        <w:r w:rsidRPr="00C55248">
          <w:rPr>
            <w:shd w:val="clear" w:color="auto" w:fill="FFFFFF"/>
          </w:rPr>
          <w:t>Yang M</w:t>
        </w:r>
      </w:hyperlink>
      <w:r w:rsidRPr="00C55248">
        <w:rPr>
          <w:shd w:val="clear" w:color="auto" w:fill="FFFFFF"/>
        </w:rPr>
        <w:t>, </w:t>
      </w:r>
      <w:hyperlink r:id="rId122" w:history="1">
        <w:r w:rsidRPr="00C55248">
          <w:rPr>
            <w:shd w:val="clear" w:color="auto" w:fill="FFFFFF"/>
          </w:rPr>
          <w:t>Zhang F</w:t>
        </w:r>
      </w:hyperlink>
      <w:r w:rsidRPr="00C55248">
        <w:rPr>
          <w:shd w:val="clear" w:color="auto" w:fill="FFFFFF"/>
        </w:rPr>
        <w:t>; </w:t>
      </w:r>
      <w:hyperlink r:id="rId123" w:history="1">
        <w:r w:rsidRPr="00C55248">
          <w:rPr>
            <w:shd w:val="clear" w:color="auto" w:fill="FFFFFF"/>
          </w:rPr>
          <w:t>DIAGRAM</w:t>
        </w:r>
      </w:hyperlink>
      <w:r w:rsidRPr="00C55248">
        <w:rPr>
          <w:shd w:val="clear" w:color="auto" w:fill="FFFFFF"/>
        </w:rPr>
        <w:t>; </w:t>
      </w:r>
      <w:hyperlink r:id="rId124" w:history="1">
        <w:r w:rsidRPr="00C55248">
          <w:rPr>
            <w:shd w:val="clear" w:color="auto" w:fill="FFFFFF"/>
          </w:rPr>
          <w:t>MuTHER</w:t>
        </w:r>
      </w:hyperlink>
      <w:r w:rsidRPr="00C55248">
        <w:rPr>
          <w:shd w:val="clear" w:color="auto" w:fill="FFFFFF"/>
        </w:rPr>
        <w:t>, </w:t>
      </w:r>
      <w:hyperlink r:id="rId125" w:history="1">
        <w:r w:rsidRPr="00C55248">
          <w:rPr>
            <w:shd w:val="clear" w:color="auto" w:fill="FFFFFF"/>
          </w:rPr>
          <w:t>Abecasis GR</w:t>
        </w:r>
      </w:hyperlink>
      <w:r w:rsidRPr="00C55248">
        <w:rPr>
          <w:shd w:val="clear" w:color="auto" w:fill="FFFFFF"/>
        </w:rPr>
        <w:t>, </w:t>
      </w:r>
      <w:hyperlink r:id="rId126" w:history="1">
        <w:r w:rsidRPr="00C55248">
          <w:rPr>
            <w:shd w:val="clear" w:color="auto" w:fill="FFFFFF"/>
          </w:rPr>
          <w:t>Barnett AH</w:t>
        </w:r>
      </w:hyperlink>
      <w:r w:rsidRPr="00C55248">
        <w:rPr>
          <w:shd w:val="clear" w:color="auto" w:fill="FFFFFF"/>
        </w:rPr>
        <w:t>, </w:t>
      </w:r>
      <w:hyperlink r:id="rId127" w:history="1">
        <w:r w:rsidRPr="00C55248">
          <w:rPr>
            <w:shd w:val="clear" w:color="auto" w:fill="FFFFFF"/>
          </w:rPr>
          <w:t>Caulfield M</w:t>
        </w:r>
      </w:hyperlink>
      <w:r w:rsidRPr="00C55248">
        <w:rPr>
          <w:shd w:val="clear" w:color="auto" w:fill="FFFFFF"/>
        </w:rPr>
        <w:t>, </w:t>
      </w:r>
      <w:hyperlink r:id="rId128" w:history="1">
        <w:r w:rsidRPr="00C55248">
          <w:rPr>
            <w:shd w:val="clear" w:color="auto" w:fill="FFFFFF"/>
          </w:rPr>
          <w:t>Deloukas P</w:t>
        </w:r>
      </w:hyperlink>
      <w:r w:rsidRPr="00C55248">
        <w:rPr>
          <w:shd w:val="clear" w:color="auto" w:fill="FFFFFF"/>
        </w:rPr>
        <w:t>, </w:t>
      </w:r>
      <w:hyperlink r:id="rId129" w:history="1">
        <w:r w:rsidRPr="00C55248">
          <w:rPr>
            <w:shd w:val="clear" w:color="auto" w:fill="FFFFFF"/>
          </w:rPr>
          <w:t>Frayling TM</w:t>
        </w:r>
      </w:hyperlink>
      <w:r w:rsidRPr="00C55248">
        <w:rPr>
          <w:shd w:val="clear" w:color="auto" w:fill="FFFFFF"/>
        </w:rPr>
        <w:t>, </w:t>
      </w:r>
      <w:hyperlink r:id="rId130" w:history="1">
        <w:r w:rsidRPr="00C55248">
          <w:rPr>
            <w:shd w:val="clear" w:color="auto" w:fill="FFFFFF"/>
          </w:rPr>
          <w:t>Froguel P</w:t>
        </w:r>
      </w:hyperlink>
      <w:r w:rsidRPr="00C55248">
        <w:rPr>
          <w:shd w:val="clear" w:color="auto" w:fill="FFFFFF"/>
        </w:rPr>
        <w:t>, </w:t>
      </w:r>
      <w:hyperlink r:id="rId131" w:history="1">
        <w:r w:rsidRPr="00C55248">
          <w:rPr>
            <w:shd w:val="clear" w:color="auto" w:fill="FFFFFF"/>
          </w:rPr>
          <w:t>Kato N</w:t>
        </w:r>
      </w:hyperlink>
      <w:r w:rsidRPr="00C55248">
        <w:rPr>
          <w:shd w:val="clear" w:color="auto" w:fill="FFFFFF"/>
        </w:rPr>
        <w:t>, </w:t>
      </w:r>
      <w:hyperlink r:id="rId132" w:history="1">
        <w:r w:rsidRPr="00C55248">
          <w:rPr>
            <w:shd w:val="clear" w:color="auto" w:fill="FFFFFF"/>
          </w:rPr>
          <w:t>Katulanda P</w:t>
        </w:r>
      </w:hyperlink>
      <w:r w:rsidRPr="00C55248">
        <w:rPr>
          <w:shd w:val="clear" w:color="auto" w:fill="FFFFFF"/>
        </w:rPr>
        <w:t>, </w:t>
      </w:r>
      <w:hyperlink r:id="rId133" w:history="1">
        <w:r w:rsidRPr="00C55248">
          <w:rPr>
            <w:shd w:val="clear" w:color="auto" w:fill="FFFFFF"/>
          </w:rPr>
          <w:t>Kelly MA</w:t>
        </w:r>
      </w:hyperlink>
      <w:r w:rsidRPr="00C55248">
        <w:rPr>
          <w:shd w:val="clear" w:color="auto" w:fill="FFFFFF"/>
        </w:rPr>
        <w:t>, </w:t>
      </w:r>
      <w:hyperlink r:id="rId134" w:history="1">
        <w:r w:rsidRPr="00C55248">
          <w:rPr>
            <w:shd w:val="clear" w:color="auto" w:fill="FFFFFF"/>
          </w:rPr>
          <w:t>Liang J</w:t>
        </w:r>
      </w:hyperlink>
      <w:r w:rsidRPr="00C55248">
        <w:rPr>
          <w:shd w:val="clear" w:color="auto" w:fill="FFFFFF"/>
        </w:rPr>
        <w:t>, </w:t>
      </w:r>
      <w:hyperlink r:id="rId135" w:history="1">
        <w:r w:rsidRPr="00C55248">
          <w:rPr>
            <w:shd w:val="clear" w:color="auto" w:fill="FFFFFF"/>
          </w:rPr>
          <w:t>Mohan V</w:t>
        </w:r>
      </w:hyperlink>
      <w:r w:rsidRPr="00C55248">
        <w:rPr>
          <w:shd w:val="clear" w:color="auto" w:fill="FFFFFF"/>
        </w:rPr>
        <w:t>, </w:t>
      </w:r>
      <w:hyperlink r:id="rId136" w:history="1">
        <w:r w:rsidRPr="00C55248">
          <w:rPr>
            <w:shd w:val="clear" w:color="auto" w:fill="FFFFFF"/>
          </w:rPr>
          <w:t>Sanghera DK</w:t>
        </w:r>
      </w:hyperlink>
      <w:r w:rsidRPr="00C55248">
        <w:rPr>
          <w:shd w:val="clear" w:color="auto" w:fill="FFFFFF"/>
        </w:rPr>
        <w:t>, </w:t>
      </w:r>
      <w:hyperlink r:id="rId137" w:history="1">
        <w:r w:rsidRPr="00C55248">
          <w:rPr>
            <w:shd w:val="clear" w:color="auto" w:fill="FFFFFF"/>
          </w:rPr>
          <w:t>Scott J</w:t>
        </w:r>
      </w:hyperlink>
      <w:r w:rsidRPr="00C55248">
        <w:rPr>
          <w:shd w:val="clear" w:color="auto" w:fill="FFFFFF"/>
        </w:rPr>
        <w:t>, </w:t>
      </w:r>
      <w:hyperlink r:id="rId138" w:history="1">
        <w:r w:rsidRPr="00C55248">
          <w:rPr>
            <w:shd w:val="clear" w:color="auto" w:fill="FFFFFF"/>
          </w:rPr>
          <w:t>Seielstad M</w:t>
        </w:r>
      </w:hyperlink>
      <w:r w:rsidRPr="00C55248">
        <w:rPr>
          <w:shd w:val="clear" w:color="auto" w:fill="FFFFFF"/>
        </w:rPr>
        <w:t>, </w:t>
      </w:r>
      <w:hyperlink r:id="rId139" w:history="1">
        <w:r w:rsidRPr="00C55248">
          <w:rPr>
            <w:shd w:val="clear" w:color="auto" w:fill="FFFFFF"/>
          </w:rPr>
          <w:t>Zimmet PZ</w:t>
        </w:r>
      </w:hyperlink>
      <w:r w:rsidRPr="00C55248">
        <w:rPr>
          <w:shd w:val="clear" w:color="auto" w:fill="FFFFFF"/>
        </w:rPr>
        <w:t>, </w:t>
      </w:r>
      <w:hyperlink r:id="rId140" w:history="1">
        <w:r w:rsidRPr="00C55248">
          <w:rPr>
            <w:shd w:val="clear" w:color="auto" w:fill="FFFFFF"/>
          </w:rPr>
          <w:t>Elliott P</w:t>
        </w:r>
      </w:hyperlink>
      <w:r w:rsidRPr="00C55248">
        <w:rPr>
          <w:shd w:val="clear" w:color="auto" w:fill="FFFFFF"/>
        </w:rPr>
        <w:t>, </w:t>
      </w:r>
      <w:hyperlink r:id="rId141" w:history="1">
        <w:r w:rsidRPr="00C55248">
          <w:rPr>
            <w:shd w:val="clear" w:color="auto" w:fill="FFFFFF"/>
          </w:rPr>
          <w:t>Teo YY</w:t>
        </w:r>
      </w:hyperlink>
      <w:r w:rsidRPr="00C55248">
        <w:rPr>
          <w:shd w:val="clear" w:color="auto" w:fill="FFFFFF"/>
        </w:rPr>
        <w:t>, </w:t>
      </w:r>
      <w:hyperlink r:id="rId142" w:history="1">
        <w:r w:rsidRPr="00C55248">
          <w:rPr>
            <w:shd w:val="clear" w:color="auto" w:fill="FFFFFF"/>
          </w:rPr>
          <w:t>McCarthy MI</w:t>
        </w:r>
      </w:hyperlink>
      <w:r w:rsidRPr="00C55248">
        <w:rPr>
          <w:shd w:val="clear" w:color="auto" w:fill="FFFFFF"/>
        </w:rPr>
        <w:t>, </w:t>
      </w:r>
      <w:hyperlink r:id="rId143" w:history="1">
        <w:r w:rsidRPr="00C55248">
          <w:rPr>
            <w:shd w:val="clear" w:color="auto" w:fill="FFFFFF"/>
          </w:rPr>
          <w:t>Danesh J</w:t>
        </w:r>
      </w:hyperlink>
      <w:r w:rsidRPr="00C55248">
        <w:rPr>
          <w:shd w:val="clear" w:color="auto" w:fill="FFFFFF"/>
        </w:rPr>
        <w:t>, </w:t>
      </w:r>
      <w:hyperlink r:id="rId144" w:history="1">
        <w:r w:rsidRPr="00C55248">
          <w:rPr>
            <w:shd w:val="clear" w:color="auto" w:fill="FFFFFF"/>
          </w:rPr>
          <w:t>Tai ES</w:t>
        </w:r>
      </w:hyperlink>
      <w:r w:rsidRPr="00C55248">
        <w:rPr>
          <w:shd w:val="clear" w:color="auto" w:fill="FFFFFF"/>
        </w:rPr>
        <w:t>, </w:t>
      </w:r>
      <w:hyperlink r:id="rId145" w:history="1">
        <w:r w:rsidRPr="00C55248">
          <w:rPr>
            <w:shd w:val="clear" w:color="auto" w:fill="FFFFFF"/>
          </w:rPr>
          <w:t>Chambers JC</w:t>
        </w:r>
      </w:hyperlink>
      <w:r w:rsidRPr="00C55248">
        <w:t>. 2011. Genome-Wide Association Study in People of South Asian Ancestry Identifies Six Novel Susceptibility Loci for Type 2 Diabetes. Nat Genet. 43:984–989. doi:10.1038/ng.921.</w:t>
      </w:r>
    </w:p>
    <w:p w:rsidR="00C55248" w:rsidRPr="00C55248" w:rsidRDefault="00C55248" w:rsidP="00C55248"/>
    <w:p w:rsidR="00C55248" w:rsidRPr="00C55248" w:rsidRDefault="00C55248" w:rsidP="00C55248">
      <w:pPr>
        <w:spacing w:after="240"/>
      </w:pPr>
      <w:r w:rsidRPr="00C55248">
        <w:t>Kwak SH, Park KS. 2016. Recent Progress in Genetic and Epigenetic Research on Type 2 Diabetes. Exp Mol Med. 48:e220. doi:10.1038/emm.2016.7.</w:t>
      </w:r>
    </w:p>
    <w:p w:rsidR="007C619F" w:rsidRDefault="00C55248" w:rsidP="00C55248">
      <w:pPr>
        <w:spacing w:after="240"/>
      </w:pPr>
      <w:r w:rsidRPr="00C55248">
        <w:t>Li Y, Tollefsbol TO. 2011. DNA Methylation Detection: Bisulfite Genomic Sequencing Analysis. Methods Mol Biol Clifton NJ. 791:11–21. doi:10.1007/978-1-61779-316-5_2.</w:t>
      </w:r>
    </w:p>
    <w:p w:rsidR="00C55248" w:rsidRPr="00C55248" w:rsidRDefault="00C55248" w:rsidP="00C55248">
      <w:pPr>
        <w:spacing w:after="240"/>
      </w:pPr>
      <w:r w:rsidRPr="00C55248">
        <w:t>Ling C, Groop L. 2009. Epigenetics: A Molecular Link Between Environmental Factors and Type 2 Diabetes. Diabetes. 58:2718–2725. doi:10.2337/db09-1003.</w:t>
      </w:r>
    </w:p>
    <w:p w:rsidR="00C55248" w:rsidRPr="00C55248" w:rsidRDefault="00C55248" w:rsidP="00C55248">
      <w:pPr>
        <w:spacing w:after="240"/>
      </w:pPr>
      <w:r w:rsidRPr="00C55248">
        <w:t>Liu L, Chen L, Li Z, Li L, Wang M, Qu J, Xue J. 2015. [Association of Genetic Variants in TOMM7 Gene and Gene Environment Interaction with Type 2 Diabetes in Chinese Dong Population]. Zhong Nan Da Xue Xue Bao Yi Xue Ban. 40:31–38. doi:10.11817/j.issn.1672-7347.2015.01.006.</w:t>
      </w:r>
    </w:p>
    <w:p w:rsidR="00C55248" w:rsidRPr="00C55248" w:rsidRDefault="00C55248" w:rsidP="00C55248">
      <w:pPr>
        <w:spacing w:after="240"/>
      </w:pPr>
      <w:r w:rsidRPr="00C55248">
        <w:t>Long J, Edwards T, Signorello LB, Cai Q, Zheng W, Shu X-O, Blot WJ. 2012. Evaluation of Genome-wide Association Study-identified Type 2 Diabetes Loci in African Americans. Am J Epidemiol. 176:995–1001. doi:10.1093/aje/kws176.</w:t>
      </w:r>
    </w:p>
    <w:p w:rsidR="00C55248" w:rsidRPr="00C55248" w:rsidRDefault="00C55248" w:rsidP="00C55248">
      <w:pPr>
        <w:spacing w:after="240"/>
      </w:pPr>
      <w:r w:rsidRPr="00C55248">
        <w:t>Lu S, Xie Y, Lin K, Li S, Zhou Y, Ma P, Lv Z, Zhou X. 2012. Genome-Wide Association Studies-Derived Susceptibility Loci in Type 2 Ciabetes: Confirmation in a Chinese Population. Clin Investig Med Med Clin Exp. 35:E327.</w:t>
      </w:r>
    </w:p>
    <w:p w:rsidR="00C55248" w:rsidRPr="00C55248" w:rsidRDefault="00C55248" w:rsidP="00C55248">
      <w:pPr>
        <w:spacing w:after="240"/>
      </w:pPr>
      <w:r w:rsidRPr="00C55248">
        <w:t>McDonald JT, Kennedy S. 2004. Insights into the “healthy immigrant effect”: Health Status and Health Service Use of Immigrants to Canada. Soc Sci Med 1982. 59:1613–1627. doi:10.1016/j.socscimed.2004.02.004.</w:t>
      </w:r>
    </w:p>
    <w:p w:rsidR="00C55248" w:rsidRPr="00C55248" w:rsidRDefault="00C55248" w:rsidP="00C55248">
      <w:r w:rsidRPr="00C55248">
        <w:t>Ogunwole, Stella U., Karen R. Battle, and Darryl T. Cohen, “Characteristics of Selected SubSaharan African and Caribbean Ancestry Groups in the United States: 2008–2012,” American Community Survey Reports, ACS-34, U.S. Census Bureau, Washington, DC, 2017.</w:t>
      </w:r>
    </w:p>
    <w:p w:rsidR="00C55248" w:rsidRPr="00C55248" w:rsidRDefault="00C55248" w:rsidP="00C55248"/>
    <w:p w:rsidR="00C55248" w:rsidRPr="00C55248" w:rsidRDefault="00C55248" w:rsidP="00C55248">
      <w:pPr>
        <w:spacing w:after="240"/>
      </w:pPr>
      <w:r w:rsidRPr="00C55248">
        <w:t xml:space="preserve">Ohshige T, Iwata M, Omori S, Tanaka Y, Hirose H, Kaku K, Maegawa H, Watada H, Kashiwagi A, Kawamori R, </w:t>
      </w:r>
      <w:hyperlink r:id="rId146" w:history="1">
        <w:r w:rsidRPr="00C55248">
          <w:rPr>
            <w:shd w:val="clear" w:color="auto" w:fill="FFFFFF"/>
          </w:rPr>
          <w:t>Ryuzo Kawamori</w:t>
        </w:r>
      </w:hyperlink>
      <w:r w:rsidRPr="00C55248">
        <w:rPr>
          <w:shd w:val="clear" w:color="auto" w:fill="FFFFFF"/>
        </w:rPr>
        <w:t>,</w:t>
      </w:r>
      <w:r w:rsidRPr="00C55248">
        <w:rPr>
          <w:shd w:val="clear" w:color="auto" w:fill="FFFFFF"/>
          <w:vertAlign w:val="superscript"/>
        </w:rPr>
        <w:t xml:space="preserve"> </w:t>
      </w:r>
      <w:hyperlink r:id="rId147" w:history="1">
        <w:r w:rsidRPr="00C55248">
          <w:rPr>
            <w:shd w:val="clear" w:color="auto" w:fill="FFFFFF"/>
          </w:rPr>
          <w:t>Kazuyuki Tobe</w:t>
        </w:r>
      </w:hyperlink>
      <w:r w:rsidRPr="00C55248">
        <w:rPr>
          <w:shd w:val="clear" w:color="auto" w:fill="FFFFFF"/>
        </w:rPr>
        <w:t>,</w:t>
      </w:r>
      <w:r w:rsidRPr="00C55248">
        <w:rPr>
          <w:shd w:val="clear" w:color="auto" w:fill="FFFFFF"/>
          <w:vertAlign w:val="superscript"/>
        </w:rPr>
        <w:t xml:space="preserve"> </w:t>
      </w:r>
      <w:hyperlink r:id="rId148" w:history="1">
        <w:r w:rsidRPr="00C55248">
          <w:rPr>
            <w:shd w:val="clear" w:color="auto" w:fill="FFFFFF"/>
          </w:rPr>
          <w:t>Takashi Kadowaki</w:t>
        </w:r>
      </w:hyperlink>
      <w:r w:rsidRPr="00C55248">
        <w:rPr>
          <w:shd w:val="clear" w:color="auto" w:fill="FFFFFF"/>
        </w:rPr>
        <w:t>,</w:t>
      </w:r>
      <w:r w:rsidRPr="00C55248">
        <w:rPr>
          <w:shd w:val="clear" w:color="auto" w:fill="FFFFFF"/>
          <w:vertAlign w:val="superscript"/>
        </w:rPr>
        <w:t xml:space="preserve">  </w:t>
      </w:r>
      <w:hyperlink r:id="rId149" w:history="1">
        <w:r w:rsidRPr="00C55248">
          <w:rPr>
            <w:shd w:val="clear" w:color="auto" w:fill="FFFFFF"/>
          </w:rPr>
          <w:t>Yusuke Nakamura</w:t>
        </w:r>
      </w:hyperlink>
      <w:r w:rsidRPr="00C55248">
        <w:rPr>
          <w:shd w:val="clear" w:color="auto" w:fill="FFFFFF"/>
        </w:rPr>
        <w:t>,</w:t>
      </w:r>
      <w:r w:rsidRPr="00C55248">
        <w:rPr>
          <w:shd w:val="clear" w:color="auto" w:fill="FFFFFF"/>
          <w:vertAlign w:val="superscript"/>
        </w:rPr>
        <w:t xml:space="preserve"> </w:t>
      </w:r>
      <w:hyperlink r:id="rId150" w:history="1">
        <w:r w:rsidRPr="00C55248">
          <w:rPr>
            <w:shd w:val="clear" w:color="auto" w:fill="FFFFFF"/>
          </w:rPr>
          <w:t>Shiro Maeda</w:t>
        </w:r>
      </w:hyperlink>
      <w:r w:rsidRPr="00C55248">
        <w:t>. 2011. Association of New Loci Identified in European Genome-Wide Association Studies with Susceptibility to Type 2 Diabetes in the Japanese. PLoS ONE. 6. doi:10.1371/journal.pone.0026911. https://www.ncbi.nlm.nih.gov/pmc/articles/PMC3202571/.</w:t>
      </w:r>
    </w:p>
    <w:p w:rsidR="00C55248" w:rsidRPr="00C55248" w:rsidRDefault="00C55248" w:rsidP="00C55248">
      <w:pPr>
        <w:spacing w:after="240"/>
      </w:pPr>
      <w:r w:rsidRPr="00C55248">
        <w:lastRenderedPageBreak/>
        <w:t>Peek ME, Cargill A, Huang ES. 2007. Diabetes Health Disparities. Med Care Res Rev MCRR. 64:101S-156S. doi:10.1177/1077558707305409.</w:t>
      </w:r>
    </w:p>
    <w:p w:rsidR="00C55248" w:rsidRPr="00C55248" w:rsidRDefault="00C55248" w:rsidP="00C55248">
      <w:pPr>
        <w:spacing w:after="240"/>
      </w:pPr>
      <w:r w:rsidRPr="00C55248">
        <w:t>Prasad RB, Groop L. 2015. Genetics of Type 2 Diabetes—Pitfalls and Possibilities. Genes. 6:87–123. doi:10.3390/genes6010087.</w:t>
      </w:r>
    </w:p>
    <w:p w:rsidR="00C55248" w:rsidRPr="00C55248" w:rsidRDefault="00C55248" w:rsidP="00C55248">
      <w:r w:rsidRPr="00C55248">
        <w:t xml:space="preserve">Rao P, Zhou Y, Ge S-Q, Wang A-X, Yu X-W, Alzain MA, Veronica AK, Qiu J, Song M-S, Zhang J, </w:t>
      </w:r>
      <w:hyperlink r:id="rId151" w:history="1">
        <w:r w:rsidRPr="00C55248">
          <w:rPr>
            <w:shd w:val="clear" w:color="auto" w:fill="FFFFFF"/>
          </w:rPr>
          <w:t>Andrea Katherine Veronica</w:t>
        </w:r>
      </w:hyperlink>
      <w:r w:rsidRPr="00C55248">
        <w:rPr>
          <w:shd w:val="clear" w:color="auto" w:fill="FFFFFF"/>
        </w:rPr>
        <w:t>,</w:t>
      </w:r>
      <w:r w:rsidRPr="00C55248">
        <w:rPr>
          <w:shd w:val="clear" w:color="auto" w:fill="FFFFFF"/>
          <w:vertAlign w:val="superscript"/>
        </w:rPr>
        <w:t xml:space="preserve"> </w:t>
      </w:r>
      <w:hyperlink r:id="rId152" w:history="1">
        <w:r w:rsidRPr="00C55248">
          <w:rPr>
            <w:shd w:val="clear" w:color="auto" w:fill="FFFFFF"/>
          </w:rPr>
          <w:t>Jing Qiu</w:t>
        </w:r>
      </w:hyperlink>
      <w:r w:rsidRPr="00C55248">
        <w:rPr>
          <w:shd w:val="clear" w:color="auto" w:fill="FFFFFF"/>
        </w:rPr>
        <w:t>,</w:t>
      </w:r>
      <w:r w:rsidRPr="00C55248">
        <w:rPr>
          <w:shd w:val="clear" w:color="auto" w:fill="FFFFFF"/>
          <w:vertAlign w:val="superscript"/>
        </w:rPr>
        <w:t xml:space="preserve"> </w:t>
      </w:r>
      <w:hyperlink r:id="rId153" w:history="1">
        <w:r w:rsidRPr="00C55248">
          <w:rPr>
            <w:shd w:val="clear" w:color="auto" w:fill="FFFFFF"/>
          </w:rPr>
          <w:t>Man-Shu Song</w:t>
        </w:r>
      </w:hyperlink>
      <w:r w:rsidRPr="00C55248">
        <w:rPr>
          <w:shd w:val="clear" w:color="auto" w:fill="FFFFFF"/>
        </w:rPr>
        <w:t>, </w:t>
      </w:r>
      <w:hyperlink r:id="rId154" w:history="1">
        <w:r w:rsidRPr="00C55248">
          <w:rPr>
            <w:shd w:val="clear" w:color="auto" w:fill="FFFFFF"/>
          </w:rPr>
          <w:t>Jie Zhang</w:t>
        </w:r>
      </w:hyperlink>
      <w:r w:rsidRPr="00C55248">
        <w:rPr>
          <w:shd w:val="clear" w:color="auto" w:fill="FFFFFF"/>
        </w:rPr>
        <w:t>,  </w:t>
      </w:r>
      <w:hyperlink r:id="rId155" w:history="1">
        <w:r w:rsidRPr="00C55248">
          <w:rPr>
            <w:shd w:val="clear" w:color="auto" w:fill="FFFFFF"/>
          </w:rPr>
          <w:t>Hao Wang</w:t>
        </w:r>
      </w:hyperlink>
      <w:r w:rsidRPr="00C55248">
        <w:rPr>
          <w:shd w:val="clear" w:color="auto" w:fill="FFFFFF"/>
        </w:rPr>
        <w:t>,</w:t>
      </w:r>
      <w:r w:rsidRPr="00C55248">
        <w:rPr>
          <w:shd w:val="clear" w:color="auto" w:fill="FFFFFF"/>
          <w:vertAlign w:val="superscript"/>
        </w:rPr>
        <w:t xml:space="preserve"> </w:t>
      </w:r>
      <w:hyperlink r:id="rId156" w:history="1">
        <w:r w:rsidRPr="00C55248">
          <w:rPr>
            <w:shd w:val="clear" w:color="auto" w:fill="FFFFFF"/>
          </w:rPr>
          <w:t>Hong-Hong Fang</w:t>
        </w:r>
      </w:hyperlink>
      <w:r w:rsidRPr="00C55248">
        <w:rPr>
          <w:shd w:val="clear" w:color="auto" w:fill="FFFFFF"/>
        </w:rPr>
        <w:t>,</w:t>
      </w:r>
      <w:r w:rsidRPr="00C55248">
        <w:rPr>
          <w:shd w:val="clear" w:color="auto" w:fill="FFFFFF"/>
          <w:vertAlign w:val="superscript"/>
        </w:rPr>
        <w:t xml:space="preserve"> </w:t>
      </w:r>
      <w:hyperlink r:id="rId157" w:history="1">
        <w:r w:rsidRPr="00C55248">
          <w:rPr>
            <w:shd w:val="clear" w:color="auto" w:fill="FFFFFF"/>
          </w:rPr>
          <w:t>Qing Gao</w:t>
        </w:r>
      </w:hyperlink>
      <w:r w:rsidRPr="00C55248">
        <w:rPr>
          <w:shd w:val="clear" w:color="auto" w:fill="FFFFFF"/>
        </w:rPr>
        <w:t xml:space="preserve">, </w:t>
      </w:r>
      <w:hyperlink r:id="rId158" w:history="1">
        <w:r w:rsidRPr="00C55248">
          <w:rPr>
            <w:shd w:val="clear" w:color="auto" w:fill="FFFFFF"/>
          </w:rPr>
          <w:t>You-Xin Wang</w:t>
        </w:r>
      </w:hyperlink>
      <w:r w:rsidRPr="00C55248">
        <w:rPr>
          <w:shd w:val="clear" w:color="auto" w:fill="FFFFFF"/>
        </w:rPr>
        <w:t>, </w:t>
      </w:r>
      <w:hyperlink r:id="rId159" w:history="1">
        <w:r w:rsidRPr="00C55248">
          <w:rPr>
            <w:shd w:val="clear" w:color="auto" w:fill="FFFFFF"/>
          </w:rPr>
          <w:t>Wei Wang</w:t>
        </w:r>
      </w:hyperlink>
      <w:r w:rsidRPr="00C55248">
        <w:t>. 2016. Validation of Type 2 Diabetes Risk Variants Identified by Genome-Wide Association Studies in Northern Han Chinese. Int J Environ Res Public Health. 13. doi:10.3390/ijerph13090863. https://www.ncbi.nlm.nih.gov/pmc/articles/PMC5036696/.</w:t>
      </w:r>
    </w:p>
    <w:p w:rsidR="00C55248" w:rsidRPr="00C55248" w:rsidRDefault="00C55248" w:rsidP="00C55248"/>
    <w:p w:rsidR="00C55248" w:rsidRPr="00C55248" w:rsidRDefault="00C55248" w:rsidP="00C55248">
      <w:pPr>
        <w:spacing w:after="240"/>
      </w:pPr>
      <w:r w:rsidRPr="00C55248">
        <w:t>Rees SD, Hydrie MZI, Shera AS, Kumar S, O’Hare JP, Barnett AH, Basit A, Kelly MA. 2011. Replication of 13 Genome-Aide association (GWA)-Validated Risk Variants for Type 2 Diabetes in Pakistani Populations. Diabetologia. 54:1368–1374. doi:10.1007/s00125-011-2063-2.</w:t>
      </w:r>
    </w:p>
    <w:p w:rsidR="00C55248" w:rsidRPr="00C55248" w:rsidRDefault="00C55248" w:rsidP="00C55248">
      <w:pPr>
        <w:spacing w:after="240"/>
      </w:pPr>
      <w:r w:rsidRPr="00C55248">
        <w:t>Salem SD, Saif-Ali R, Ismail IS, Al-Hamodi Z, Muniandy S. 2014. Contribution of SLC30A8 Variants to the Risk of Type 2 Diabetes in a Multi-Ethnic Population: A Case Control Study. BMC Endocr Disord. 14:2. doi:10.1186/1472-6823-14-2.</w:t>
      </w:r>
    </w:p>
    <w:p w:rsidR="00C55248" w:rsidRPr="00C55248" w:rsidRDefault="00C55248" w:rsidP="00C55248">
      <w:pPr>
        <w:spacing w:after="240"/>
      </w:pPr>
      <w:r w:rsidRPr="00C55248">
        <w:t>Sears B, Perry M. 2015. The Role of Fatty Acids in Insulin Resistance. Lipids Health Dis. 14. doi:10.1186/s12944-015-0123-1. https://www.ncbi.nlm.nih.gov/pmc/articles/PMC4587882/.</w:t>
      </w:r>
    </w:p>
    <w:p w:rsidR="00C55248" w:rsidRPr="00C55248" w:rsidRDefault="00C55248" w:rsidP="00C55248">
      <w:pPr>
        <w:spacing w:after="240"/>
      </w:pPr>
      <w:r w:rsidRPr="00C55248">
        <w:t>Shipp MP-L, Francis SA, Fluegge KR, Asfaw SA. 2014. Perceived Health Issues: A Perspective from East-African Immigrants. Health Cult Soc. 6:13–32. doi:10.5195/hcs.2014.113.</w:t>
      </w:r>
    </w:p>
    <w:p w:rsidR="00C55248" w:rsidRPr="00C55248" w:rsidRDefault="00C55248" w:rsidP="00C55248">
      <w:pPr>
        <w:spacing w:after="240"/>
      </w:pPr>
      <w:r w:rsidRPr="00C55248">
        <w:t>Sobngwi E, Mauvais-Jarvis F, Vexiau P, Mbanya JC, Gautier JF. 2001. Diabetes in Africans. Part 1: Epidemiology and Clinical Specificities. Diabetes Metab. 27:628–634.</w:t>
      </w:r>
    </w:p>
    <w:p w:rsidR="00C55248" w:rsidRPr="00C55248" w:rsidRDefault="00C55248" w:rsidP="00C55248">
      <w:pPr>
        <w:spacing w:after="240"/>
      </w:pPr>
      <w:r w:rsidRPr="00C55248">
        <w:t>Stokes A, Preston SH. 2017. Deaths Attributable to Diabetes in the United States: Comparison of Data Sources and Estimation Approaches. PLOS ONE. 12:e0170219. doi:10.1371/journal.pone.0170219.</w:t>
      </w:r>
    </w:p>
    <w:p w:rsidR="00C55248" w:rsidRPr="00C55248" w:rsidRDefault="00C55248" w:rsidP="00C55248">
      <w:pPr>
        <w:spacing w:after="240"/>
      </w:pPr>
      <w:r w:rsidRPr="00C55248">
        <w:t>Sun Q, Song K, Shen X, Cai Y. 2012. The Association between KCNQ1 Gene Polymorphism and Type 2 Diabetes Risk: A Meta-Analysis. PLOS ONE. 7:e48578. doi:10.1371/journal.pone.0048578.</w:t>
      </w:r>
    </w:p>
    <w:p w:rsidR="00C55248" w:rsidRPr="00C55248" w:rsidRDefault="00C55248" w:rsidP="00C55248">
      <w:r w:rsidRPr="00C55248">
        <w:t>Takeuchi F, Serizawa M, Yamamoto K, Fujisawa T, Nakashima E, Ohnaka K, Ikegami H, Sugiyama T, Katsuya T, Miyagishi M,</w:t>
      </w:r>
      <w:r w:rsidRPr="00C55248">
        <w:rPr>
          <w:shd w:val="clear" w:color="auto" w:fill="FFFFFF"/>
        </w:rPr>
        <w:t xml:space="preserve"> </w:t>
      </w:r>
      <w:hyperlink r:id="rId160" w:history="1">
        <w:r w:rsidRPr="00C55248">
          <w:rPr>
            <w:shd w:val="clear" w:color="auto" w:fill="FFFFFF"/>
          </w:rPr>
          <w:t>Nakashima N</w:t>
        </w:r>
      </w:hyperlink>
      <w:r w:rsidRPr="00C55248">
        <w:rPr>
          <w:shd w:val="clear" w:color="auto" w:fill="FFFFFF"/>
        </w:rPr>
        <w:t>, </w:t>
      </w:r>
      <w:hyperlink r:id="rId161" w:history="1">
        <w:r w:rsidRPr="00C55248">
          <w:rPr>
            <w:shd w:val="clear" w:color="auto" w:fill="FFFFFF"/>
          </w:rPr>
          <w:t>Nawata H</w:t>
        </w:r>
      </w:hyperlink>
      <w:r w:rsidRPr="00C55248">
        <w:rPr>
          <w:shd w:val="clear" w:color="auto" w:fill="FFFFFF"/>
        </w:rPr>
        <w:t>, </w:t>
      </w:r>
      <w:hyperlink r:id="rId162" w:history="1">
        <w:r w:rsidRPr="00C55248">
          <w:rPr>
            <w:shd w:val="clear" w:color="auto" w:fill="FFFFFF"/>
          </w:rPr>
          <w:t>Nakamura J</w:t>
        </w:r>
      </w:hyperlink>
      <w:r w:rsidRPr="00C55248">
        <w:rPr>
          <w:shd w:val="clear" w:color="auto" w:fill="FFFFFF"/>
        </w:rPr>
        <w:t>, </w:t>
      </w:r>
      <w:hyperlink r:id="rId163" w:history="1">
        <w:r w:rsidRPr="00C55248">
          <w:rPr>
            <w:shd w:val="clear" w:color="auto" w:fill="FFFFFF"/>
          </w:rPr>
          <w:t>Kono S</w:t>
        </w:r>
      </w:hyperlink>
      <w:r w:rsidRPr="00C55248">
        <w:rPr>
          <w:shd w:val="clear" w:color="auto" w:fill="FFFFFF"/>
        </w:rPr>
        <w:t>, </w:t>
      </w:r>
      <w:hyperlink r:id="rId164" w:history="1">
        <w:r w:rsidRPr="00C55248">
          <w:rPr>
            <w:shd w:val="clear" w:color="auto" w:fill="FFFFFF"/>
          </w:rPr>
          <w:t>Takayanagi R</w:t>
        </w:r>
      </w:hyperlink>
      <w:r w:rsidRPr="00C55248">
        <w:rPr>
          <w:shd w:val="clear" w:color="auto" w:fill="FFFFFF"/>
        </w:rPr>
        <w:t>, </w:t>
      </w:r>
      <w:hyperlink r:id="rId165" w:history="1">
        <w:r w:rsidRPr="00C55248">
          <w:rPr>
            <w:shd w:val="clear" w:color="auto" w:fill="FFFFFF"/>
          </w:rPr>
          <w:t>Kato N</w:t>
        </w:r>
      </w:hyperlink>
      <w:r w:rsidRPr="00C55248">
        <w:t>. 2009. Confirmation of Multiple Risk Loci and Genetic Impacts by a Genome-Wide Association Study of Type 2 Diabetes in the Japanese Population. Diabetes. 58:1690–1699. doi:10.2337/db08-1494.</w:t>
      </w:r>
    </w:p>
    <w:p w:rsidR="00C55248" w:rsidRPr="00C55248" w:rsidRDefault="00C55248" w:rsidP="00C55248"/>
    <w:p w:rsidR="00C55248" w:rsidRPr="00C55248" w:rsidRDefault="00C55248" w:rsidP="00C55248">
      <w:pPr>
        <w:spacing w:after="240"/>
      </w:pPr>
      <w:r w:rsidRPr="00C55248">
        <w:t>Tareen N, Zadshir A, Martins D, Pan D, Nicholas S, Norris K. 2005. Chronic Kidney Disease in African American and Mexican American Populations. Kidney Int. 68:S137–S140. doi:10.1111/j.1523-1755.2005.09723.x.</w:t>
      </w:r>
    </w:p>
    <w:p w:rsidR="00C55248" w:rsidRPr="00C55248" w:rsidRDefault="00C55248" w:rsidP="00C55248">
      <w:pPr>
        <w:spacing w:after="240"/>
      </w:pPr>
      <w:r w:rsidRPr="00C55248">
        <w:t>Tsai F-J, Yang C-F, Chen C-C, Chuang L-M, Lu C-H, Chang C-T, Wang T-Y, Chen R-H, Shiu C-F, Liu Y-M, Chang CC, Chen P, Chen CH, Fann CS, Chen YT, Wu JY. 2010. A Genome-Wide Association Study Identifies Susceptibility Variants for Type 2 Diabetes in Han Chinese. PLoS Genet. 6. doi:10.1371/journal.pgen.1000847. https://www.ncbi.nlm.nih.gov/pmc/articles/PMC2824763/.</w:t>
      </w:r>
    </w:p>
    <w:p w:rsidR="00C55248" w:rsidRPr="00C55248" w:rsidRDefault="00C55248" w:rsidP="00C55248">
      <w:pPr>
        <w:spacing w:after="240"/>
      </w:pPr>
      <w:r w:rsidRPr="00C55248">
        <w:t>Tucker KL, Buranapin S. 2001. Nutrition and Aging in Developing Countries. J Nutr. 131:2417S–23S.</w:t>
      </w:r>
    </w:p>
    <w:p w:rsidR="00C55248" w:rsidRPr="00C55248" w:rsidRDefault="00C55248" w:rsidP="00C55248">
      <w:pPr>
        <w:spacing w:after="240"/>
      </w:pPr>
      <w:r w:rsidRPr="00C55248">
        <w:t>Uman LS. 2011. Systematic Reviews and Meta-Analyses. J Can Acad Child Adolesc Psychiatry. 20:57–59.</w:t>
      </w:r>
    </w:p>
    <w:p w:rsidR="00C55248" w:rsidRPr="00C55248" w:rsidRDefault="00C55248" w:rsidP="00C55248">
      <w:pPr>
        <w:spacing w:after="240"/>
      </w:pPr>
      <w:r w:rsidRPr="00C55248">
        <w:t>Walaszczyk E, Luijten M, Spijkerman AMW, Bonder MJ, Lutgers HL, Snieder H, Wolffenbuttel BHR, van Vliet-Ostaptchouk JV. 2018. DNA Methylation Markers Associated with Type 2 Diabetes, Fasting Glucose and HbA1c Levels: A Systematic Review and Replication in a Case-Control sample of the Lifelines Study. Diabetologia. 61:354–368. doi:10.1007/s00125-017-4497-7.</w:t>
      </w:r>
    </w:p>
    <w:p w:rsidR="00C55248" w:rsidRPr="00C55248" w:rsidRDefault="00C55248" w:rsidP="00C55248">
      <w:pPr>
        <w:spacing w:after="240"/>
      </w:pPr>
      <w:r w:rsidRPr="00C55248">
        <w:t>Witte JS. 2010. Genome-Wide Association Studies and Beyond. Annu Rev Public Health. 31:9–20. doi:10.1146/annurev.publhealth.012809.103723.</w:t>
      </w:r>
    </w:p>
    <w:p w:rsidR="00C55248" w:rsidRPr="00C55248" w:rsidRDefault="00C55248" w:rsidP="00C55248">
      <w:pPr>
        <w:jc w:val="both"/>
      </w:pPr>
      <w:r w:rsidRPr="00C55248">
        <w:t xml:space="preserve">Yamauchi T, Hara K, Maeda S, Yasuda K, Takahashi A, Horikoshi M, Nakamura M, Fujita H, Grarup N, Cauchi S, </w:t>
      </w:r>
      <w:hyperlink r:id="rId166" w:history="1">
        <w:r w:rsidRPr="00C55248">
          <w:rPr>
            <w:shd w:val="clear" w:color="auto" w:fill="FFFFFF"/>
          </w:rPr>
          <w:t>Ng DP</w:t>
        </w:r>
      </w:hyperlink>
      <w:r w:rsidRPr="00C55248">
        <w:rPr>
          <w:shd w:val="clear" w:color="auto" w:fill="FFFFFF"/>
        </w:rPr>
        <w:t>, </w:t>
      </w:r>
      <w:hyperlink r:id="rId167" w:history="1">
        <w:r w:rsidRPr="00C55248">
          <w:rPr>
            <w:shd w:val="clear" w:color="auto" w:fill="FFFFFF"/>
          </w:rPr>
          <w:t>Ma RC</w:t>
        </w:r>
      </w:hyperlink>
      <w:r w:rsidRPr="00C55248">
        <w:rPr>
          <w:shd w:val="clear" w:color="auto" w:fill="FFFFFF"/>
        </w:rPr>
        <w:t>, </w:t>
      </w:r>
      <w:hyperlink r:id="rId168" w:history="1">
        <w:r w:rsidRPr="00C55248">
          <w:rPr>
            <w:shd w:val="clear" w:color="auto" w:fill="FFFFFF"/>
          </w:rPr>
          <w:t>Tsunoda T</w:t>
        </w:r>
      </w:hyperlink>
      <w:r w:rsidRPr="00C55248">
        <w:rPr>
          <w:shd w:val="clear" w:color="auto" w:fill="FFFFFF"/>
        </w:rPr>
        <w:t>, </w:t>
      </w:r>
      <w:hyperlink r:id="rId169" w:history="1">
        <w:r w:rsidRPr="00C55248">
          <w:rPr>
            <w:shd w:val="clear" w:color="auto" w:fill="FFFFFF"/>
          </w:rPr>
          <w:t>Kubo M</w:t>
        </w:r>
      </w:hyperlink>
      <w:r w:rsidRPr="00C55248">
        <w:rPr>
          <w:shd w:val="clear" w:color="auto" w:fill="FFFFFF"/>
        </w:rPr>
        <w:t>, </w:t>
      </w:r>
      <w:hyperlink r:id="rId170" w:history="1">
        <w:r w:rsidRPr="00C55248">
          <w:rPr>
            <w:shd w:val="clear" w:color="auto" w:fill="FFFFFF"/>
          </w:rPr>
          <w:t>Watada H</w:t>
        </w:r>
      </w:hyperlink>
      <w:r w:rsidRPr="00C55248">
        <w:rPr>
          <w:shd w:val="clear" w:color="auto" w:fill="FFFFFF"/>
        </w:rPr>
        <w:t>, </w:t>
      </w:r>
      <w:hyperlink r:id="rId171" w:history="1">
        <w:r w:rsidRPr="00C55248">
          <w:rPr>
            <w:shd w:val="clear" w:color="auto" w:fill="FFFFFF"/>
          </w:rPr>
          <w:t>Maegawa H</w:t>
        </w:r>
      </w:hyperlink>
      <w:r w:rsidRPr="00C55248">
        <w:rPr>
          <w:shd w:val="clear" w:color="auto" w:fill="FFFFFF"/>
        </w:rPr>
        <w:t>, </w:t>
      </w:r>
      <w:hyperlink r:id="rId172" w:history="1">
        <w:r w:rsidRPr="00C55248">
          <w:rPr>
            <w:shd w:val="clear" w:color="auto" w:fill="FFFFFF"/>
          </w:rPr>
          <w:t>Okada-Iwabu M</w:t>
        </w:r>
      </w:hyperlink>
      <w:r w:rsidRPr="00C55248">
        <w:rPr>
          <w:shd w:val="clear" w:color="auto" w:fill="FFFFFF"/>
        </w:rPr>
        <w:t>, </w:t>
      </w:r>
      <w:hyperlink r:id="rId173" w:history="1">
        <w:r w:rsidRPr="00C55248">
          <w:rPr>
            <w:shd w:val="clear" w:color="auto" w:fill="FFFFFF"/>
          </w:rPr>
          <w:t>Iwabu M</w:t>
        </w:r>
      </w:hyperlink>
      <w:r w:rsidRPr="00C55248">
        <w:rPr>
          <w:shd w:val="clear" w:color="auto" w:fill="FFFFFF"/>
        </w:rPr>
        <w:t>, </w:t>
      </w:r>
      <w:hyperlink r:id="rId174" w:history="1">
        <w:r w:rsidRPr="00C55248">
          <w:rPr>
            <w:shd w:val="clear" w:color="auto" w:fill="FFFFFF"/>
          </w:rPr>
          <w:t>Shojima N</w:t>
        </w:r>
      </w:hyperlink>
      <w:r w:rsidRPr="00C55248">
        <w:rPr>
          <w:shd w:val="clear" w:color="auto" w:fill="FFFFFF"/>
        </w:rPr>
        <w:t>, </w:t>
      </w:r>
      <w:hyperlink r:id="rId175" w:history="1">
        <w:r w:rsidRPr="00C55248">
          <w:rPr>
            <w:shd w:val="clear" w:color="auto" w:fill="FFFFFF"/>
          </w:rPr>
          <w:t>Shin HD</w:t>
        </w:r>
      </w:hyperlink>
      <w:r w:rsidRPr="00C55248">
        <w:rPr>
          <w:shd w:val="clear" w:color="auto" w:fill="FFFFFF"/>
        </w:rPr>
        <w:t>, </w:t>
      </w:r>
      <w:hyperlink r:id="rId176" w:history="1">
        <w:r w:rsidRPr="00C55248">
          <w:rPr>
            <w:shd w:val="clear" w:color="auto" w:fill="FFFFFF"/>
          </w:rPr>
          <w:t>Andersen G</w:t>
        </w:r>
      </w:hyperlink>
      <w:r w:rsidRPr="00C55248">
        <w:rPr>
          <w:shd w:val="clear" w:color="auto" w:fill="FFFFFF"/>
        </w:rPr>
        <w:t>, </w:t>
      </w:r>
      <w:hyperlink r:id="rId177" w:history="1">
        <w:r w:rsidRPr="00C55248">
          <w:rPr>
            <w:shd w:val="clear" w:color="auto" w:fill="FFFFFF"/>
          </w:rPr>
          <w:t>Witte DR</w:t>
        </w:r>
      </w:hyperlink>
      <w:r w:rsidRPr="00C55248">
        <w:rPr>
          <w:shd w:val="clear" w:color="auto" w:fill="FFFFFF"/>
        </w:rPr>
        <w:t>, </w:t>
      </w:r>
      <w:hyperlink r:id="rId178" w:history="1">
        <w:r w:rsidRPr="00C55248">
          <w:rPr>
            <w:shd w:val="clear" w:color="auto" w:fill="FFFFFF"/>
          </w:rPr>
          <w:t>Jørgensen T</w:t>
        </w:r>
      </w:hyperlink>
      <w:r w:rsidRPr="00C55248">
        <w:rPr>
          <w:shd w:val="clear" w:color="auto" w:fill="FFFFFF"/>
        </w:rPr>
        <w:t>, </w:t>
      </w:r>
      <w:hyperlink r:id="rId179" w:history="1">
        <w:r w:rsidRPr="00C55248">
          <w:rPr>
            <w:shd w:val="clear" w:color="auto" w:fill="FFFFFF"/>
          </w:rPr>
          <w:t>Lauritzen T</w:t>
        </w:r>
      </w:hyperlink>
      <w:r w:rsidRPr="00C55248">
        <w:rPr>
          <w:shd w:val="clear" w:color="auto" w:fill="FFFFFF"/>
        </w:rPr>
        <w:t>, </w:t>
      </w:r>
      <w:hyperlink r:id="rId180" w:history="1">
        <w:r w:rsidRPr="00C55248">
          <w:rPr>
            <w:shd w:val="clear" w:color="auto" w:fill="FFFFFF"/>
          </w:rPr>
          <w:t>Sandbæk A</w:t>
        </w:r>
      </w:hyperlink>
      <w:r w:rsidRPr="00C55248">
        <w:rPr>
          <w:shd w:val="clear" w:color="auto" w:fill="FFFFFF"/>
        </w:rPr>
        <w:t>, </w:t>
      </w:r>
      <w:hyperlink r:id="rId181" w:history="1">
        <w:r w:rsidRPr="00C55248">
          <w:rPr>
            <w:shd w:val="clear" w:color="auto" w:fill="FFFFFF"/>
          </w:rPr>
          <w:t>Hansen T</w:t>
        </w:r>
      </w:hyperlink>
      <w:r w:rsidRPr="00C55248">
        <w:rPr>
          <w:shd w:val="clear" w:color="auto" w:fill="FFFFFF"/>
        </w:rPr>
        <w:t>, </w:t>
      </w:r>
      <w:hyperlink r:id="rId182" w:history="1">
        <w:r w:rsidRPr="00C55248">
          <w:rPr>
            <w:shd w:val="clear" w:color="auto" w:fill="FFFFFF"/>
          </w:rPr>
          <w:t>Ohshige T</w:t>
        </w:r>
      </w:hyperlink>
      <w:r w:rsidRPr="00C55248">
        <w:rPr>
          <w:shd w:val="clear" w:color="auto" w:fill="FFFFFF"/>
        </w:rPr>
        <w:t>, </w:t>
      </w:r>
      <w:hyperlink r:id="rId183" w:history="1">
        <w:r w:rsidRPr="00C55248">
          <w:rPr>
            <w:shd w:val="clear" w:color="auto" w:fill="FFFFFF"/>
          </w:rPr>
          <w:t>Omori S</w:t>
        </w:r>
      </w:hyperlink>
      <w:r w:rsidRPr="00C55248">
        <w:rPr>
          <w:shd w:val="clear" w:color="auto" w:fill="FFFFFF"/>
        </w:rPr>
        <w:t>, </w:t>
      </w:r>
      <w:hyperlink r:id="rId184" w:history="1">
        <w:r w:rsidRPr="00C55248">
          <w:rPr>
            <w:shd w:val="clear" w:color="auto" w:fill="FFFFFF"/>
          </w:rPr>
          <w:t>Saito I</w:t>
        </w:r>
      </w:hyperlink>
      <w:r w:rsidRPr="00C55248">
        <w:rPr>
          <w:shd w:val="clear" w:color="auto" w:fill="FFFFFF"/>
        </w:rPr>
        <w:t>, </w:t>
      </w:r>
      <w:hyperlink r:id="rId185" w:history="1">
        <w:r w:rsidRPr="00C55248">
          <w:rPr>
            <w:shd w:val="clear" w:color="auto" w:fill="FFFFFF"/>
          </w:rPr>
          <w:t>Kaku K</w:t>
        </w:r>
      </w:hyperlink>
      <w:r w:rsidRPr="00C55248">
        <w:rPr>
          <w:shd w:val="clear" w:color="auto" w:fill="FFFFFF"/>
        </w:rPr>
        <w:t>, </w:t>
      </w:r>
      <w:hyperlink r:id="rId186" w:history="1">
        <w:r w:rsidRPr="00C55248">
          <w:rPr>
            <w:shd w:val="clear" w:color="auto" w:fill="FFFFFF"/>
          </w:rPr>
          <w:t>Hirose H</w:t>
        </w:r>
      </w:hyperlink>
      <w:r w:rsidRPr="00C55248">
        <w:rPr>
          <w:shd w:val="clear" w:color="auto" w:fill="FFFFFF"/>
        </w:rPr>
        <w:t>, </w:t>
      </w:r>
      <w:hyperlink r:id="rId187" w:history="1">
        <w:r w:rsidRPr="00C55248">
          <w:rPr>
            <w:shd w:val="clear" w:color="auto" w:fill="FFFFFF"/>
          </w:rPr>
          <w:t>So WY</w:t>
        </w:r>
      </w:hyperlink>
      <w:r w:rsidRPr="00C55248">
        <w:rPr>
          <w:shd w:val="clear" w:color="auto" w:fill="FFFFFF"/>
        </w:rPr>
        <w:t>, </w:t>
      </w:r>
      <w:hyperlink r:id="rId188" w:history="1">
        <w:r w:rsidRPr="00C55248">
          <w:rPr>
            <w:shd w:val="clear" w:color="auto" w:fill="FFFFFF"/>
          </w:rPr>
          <w:t>Beury D</w:t>
        </w:r>
      </w:hyperlink>
      <w:r w:rsidRPr="00C55248">
        <w:rPr>
          <w:shd w:val="clear" w:color="auto" w:fill="FFFFFF"/>
        </w:rPr>
        <w:t>, </w:t>
      </w:r>
      <w:hyperlink r:id="rId189" w:history="1">
        <w:r w:rsidRPr="00C55248">
          <w:rPr>
            <w:shd w:val="clear" w:color="auto" w:fill="FFFFFF"/>
          </w:rPr>
          <w:t>Chan JC</w:t>
        </w:r>
      </w:hyperlink>
      <w:r w:rsidRPr="00C55248">
        <w:rPr>
          <w:shd w:val="clear" w:color="auto" w:fill="FFFFFF"/>
        </w:rPr>
        <w:t>, </w:t>
      </w:r>
      <w:hyperlink r:id="rId190" w:history="1">
        <w:r w:rsidRPr="00C55248">
          <w:rPr>
            <w:shd w:val="clear" w:color="auto" w:fill="FFFFFF"/>
          </w:rPr>
          <w:t>Park KS</w:t>
        </w:r>
      </w:hyperlink>
      <w:r w:rsidRPr="00C55248">
        <w:rPr>
          <w:shd w:val="clear" w:color="auto" w:fill="FFFFFF"/>
        </w:rPr>
        <w:t>, </w:t>
      </w:r>
      <w:hyperlink r:id="rId191" w:history="1">
        <w:r w:rsidRPr="00C55248">
          <w:rPr>
            <w:shd w:val="clear" w:color="auto" w:fill="FFFFFF"/>
          </w:rPr>
          <w:t>Tai ES</w:t>
        </w:r>
      </w:hyperlink>
      <w:r w:rsidRPr="00C55248">
        <w:rPr>
          <w:shd w:val="clear" w:color="auto" w:fill="FFFFFF"/>
        </w:rPr>
        <w:t>, </w:t>
      </w:r>
      <w:hyperlink r:id="rId192" w:history="1">
        <w:r w:rsidRPr="00C55248">
          <w:rPr>
            <w:shd w:val="clear" w:color="auto" w:fill="FFFFFF"/>
          </w:rPr>
          <w:t>Ito C</w:t>
        </w:r>
      </w:hyperlink>
      <w:r w:rsidRPr="00C55248">
        <w:rPr>
          <w:shd w:val="clear" w:color="auto" w:fill="FFFFFF"/>
        </w:rPr>
        <w:t>, </w:t>
      </w:r>
      <w:hyperlink r:id="rId193" w:history="1">
        <w:r w:rsidRPr="00C55248">
          <w:rPr>
            <w:shd w:val="clear" w:color="auto" w:fill="FFFFFF"/>
          </w:rPr>
          <w:t>Tanaka Y</w:t>
        </w:r>
      </w:hyperlink>
      <w:r w:rsidRPr="00C55248">
        <w:rPr>
          <w:shd w:val="clear" w:color="auto" w:fill="FFFFFF"/>
        </w:rPr>
        <w:t>, </w:t>
      </w:r>
      <w:hyperlink r:id="rId194" w:history="1">
        <w:r w:rsidRPr="00C55248">
          <w:rPr>
            <w:shd w:val="clear" w:color="auto" w:fill="FFFFFF"/>
          </w:rPr>
          <w:t>Kashiwagi A</w:t>
        </w:r>
      </w:hyperlink>
      <w:r w:rsidRPr="00C55248">
        <w:rPr>
          <w:shd w:val="clear" w:color="auto" w:fill="FFFFFF"/>
        </w:rPr>
        <w:t>, </w:t>
      </w:r>
      <w:hyperlink r:id="rId195" w:history="1">
        <w:r w:rsidRPr="00C55248">
          <w:rPr>
            <w:shd w:val="clear" w:color="auto" w:fill="FFFFFF"/>
          </w:rPr>
          <w:t>Kawamori R</w:t>
        </w:r>
      </w:hyperlink>
      <w:r w:rsidRPr="00C55248">
        <w:rPr>
          <w:shd w:val="clear" w:color="auto" w:fill="FFFFFF"/>
        </w:rPr>
        <w:t>, </w:t>
      </w:r>
      <w:hyperlink r:id="rId196" w:history="1">
        <w:r w:rsidRPr="00C55248">
          <w:rPr>
            <w:shd w:val="clear" w:color="auto" w:fill="FFFFFF"/>
          </w:rPr>
          <w:t>Kasuga M</w:t>
        </w:r>
      </w:hyperlink>
      <w:r w:rsidRPr="00C55248">
        <w:rPr>
          <w:shd w:val="clear" w:color="auto" w:fill="FFFFFF"/>
        </w:rPr>
        <w:t>, </w:t>
      </w:r>
      <w:hyperlink r:id="rId197" w:history="1">
        <w:r w:rsidRPr="00C55248">
          <w:rPr>
            <w:shd w:val="clear" w:color="auto" w:fill="FFFFFF"/>
          </w:rPr>
          <w:t>Froguel P</w:t>
        </w:r>
      </w:hyperlink>
      <w:r w:rsidRPr="00C55248">
        <w:rPr>
          <w:shd w:val="clear" w:color="auto" w:fill="FFFFFF"/>
        </w:rPr>
        <w:t>, </w:t>
      </w:r>
      <w:hyperlink r:id="rId198" w:history="1">
        <w:r w:rsidRPr="00C55248">
          <w:rPr>
            <w:shd w:val="clear" w:color="auto" w:fill="FFFFFF"/>
          </w:rPr>
          <w:t>Pedersen O</w:t>
        </w:r>
      </w:hyperlink>
      <w:r w:rsidRPr="00C55248">
        <w:rPr>
          <w:shd w:val="clear" w:color="auto" w:fill="FFFFFF"/>
        </w:rPr>
        <w:t>, </w:t>
      </w:r>
      <w:hyperlink r:id="rId199" w:history="1">
        <w:r w:rsidRPr="00C55248">
          <w:rPr>
            <w:shd w:val="clear" w:color="auto" w:fill="FFFFFF"/>
          </w:rPr>
          <w:t>Kamatani N</w:t>
        </w:r>
      </w:hyperlink>
      <w:r w:rsidRPr="00C55248">
        <w:rPr>
          <w:shd w:val="clear" w:color="auto" w:fill="FFFFFF"/>
        </w:rPr>
        <w:t>, </w:t>
      </w:r>
      <w:hyperlink r:id="rId200" w:history="1">
        <w:r w:rsidRPr="00C55248">
          <w:rPr>
            <w:shd w:val="clear" w:color="auto" w:fill="FFFFFF"/>
          </w:rPr>
          <w:t>Nakamura Y</w:t>
        </w:r>
      </w:hyperlink>
      <w:r w:rsidRPr="00C55248">
        <w:rPr>
          <w:shd w:val="clear" w:color="auto" w:fill="FFFFFF"/>
        </w:rPr>
        <w:t>, </w:t>
      </w:r>
      <w:hyperlink r:id="rId201" w:history="1">
        <w:r w:rsidRPr="00C55248">
          <w:rPr>
            <w:shd w:val="clear" w:color="auto" w:fill="FFFFFF"/>
          </w:rPr>
          <w:t>Kadowaki T</w:t>
        </w:r>
      </w:hyperlink>
      <w:r w:rsidRPr="00C55248">
        <w:rPr>
          <w:shd w:val="clear" w:color="auto" w:fill="FFFFFF"/>
        </w:rPr>
        <w:t xml:space="preserve">. </w:t>
      </w:r>
      <w:r w:rsidRPr="00C55248">
        <w:t>2010. A Genome-Wide Association Study in the Japanese Population Identifies Susceptibility Loci for Type 2 Diabetes at UBE2E2 and C2CD4A-C2CD4B. Nat Genet. 42:864–868. doi:10.1038/ng.660.</w:t>
      </w:r>
    </w:p>
    <w:p w:rsidR="00C55248" w:rsidRPr="00C55248" w:rsidRDefault="00C55248" w:rsidP="00C55248"/>
    <w:p w:rsidR="00C55248" w:rsidRPr="00C55248" w:rsidRDefault="00C55248" w:rsidP="00C55248">
      <w:pPr>
        <w:spacing w:after="240"/>
      </w:pPr>
      <w:r w:rsidRPr="00C55248">
        <w:t>Zhao Y, Ma Y-S, Fang Y, Liu L, Wu S-D, Fu D, Wang X-F. 2011. IGF2BP2 Genetic Variation and Type 2 Diabetes: A Global Meta-Analysis. DNA Cell Biol. 31:713–720. doi:10.1089/dna.2011.1400.</w:t>
      </w:r>
    </w:p>
    <w:p w:rsidR="00C55248" w:rsidRPr="00C55248" w:rsidRDefault="00C55248" w:rsidP="00C55248">
      <w:pPr>
        <w:spacing w:after="240"/>
      </w:pPr>
      <w:r w:rsidRPr="00C55248">
        <w:t>Zilberman D, Henikoff S. 2007. Genome-Wide Analysis of DNA Methylation Patterns. Development. 134:3959–3965. doi:10.1242/dev.001131.</w:t>
      </w:r>
    </w:p>
    <w:p w:rsidR="00C55248" w:rsidRPr="00C55248" w:rsidRDefault="00C55248" w:rsidP="00C55248">
      <w:r w:rsidRPr="00C55248">
        <w:fldChar w:fldCharType="end"/>
      </w:r>
    </w:p>
    <w:p w:rsidR="00C55248" w:rsidRPr="00C55248" w:rsidRDefault="00C55248" w:rsidP="00C55248"/>
    <w:p w:rsidR="005C18A2" w:rsidRPr="005F678A" w:rsidRDefault="005C18A2" w:rsidP="00267722"/>
    <w:sectPr w:rsidR="005C18A2" w:rsidRPr="005F678A" w:rsidSect="00C447B5">
      <w:headerReference w:type="default" r:id="rId202"/>
      <w:footerReference w:type="default" r:id="rId203"/>
      <w:pgSz w:w="12240" w:h="15840"/>
      <w:pgMar w:top="1440" w:right="1440" w:bottom="1440" w:left="216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FF0" w:rsidRDefault="005B7FF0" w:rsidP="00E84BA0">
      <w:r>
        <w:separator/>
      </w:r>
    </w:p>
  </w:endnote>
  <w:endnote w:type="continuationSeparator" w:id="0">
    <w:p w:rsidR="005B7FF0" w:rsidRDefault="005B7FF0" w:rsidP="00E8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79733"/>
      <w:docPartObj>
        <w:docPartGallery w:val="Page Numbers (Bottom of Page)"/>
        <w:docPartUnique/>
      </w:docPartObj>
    </w:sdtPr>
    <w:sdtEndPr/>
    <w:sdtContent>
      <w:p w:rsidR="005B7FF0" w:rsidRDefault="005B7FF0" w:rsidP="00A71CC2">
        <w:pPr>
          <w:pStyle w:val="Footer"/>
          <w:ind w:left="720"/>
          <w:jc w:val="center"/>
        </w:pPr>
        <w:r w:rsidRPr="00A71CC2">
          <w:rPr>
            <w:sz w:val="22"/>
            <w:szCs w:val="22"/>
          </w:rPr>
          <w:fldChar w:fldCharType="begin"/>
        </w:r>
        <w:r w:rsidRPr="00A71CC2">
          <w:rPr>
            <w:sz w:val="22"/>
            <w:szCs w:val="22"/>
          </w:rPr>
          <w:instrText xml:space="preserve"> PAGE   \* MERGEFORMAT </w:instrText>
        </w:r>
        <w:r w:rsidRPr="00A71CC2">
          <w:rPr>
            <w:sz w:val="22"/>
            <w:szCs w:val="22"/>
          </w:rPr>
          <w:fldChar w:fldCharType="separate"/>
        </w:r>
        <w:r>
          <w:rPr>
            <w:noProof/>
            <w:sz w:val="22"/>
            <w:szCs w:val="22"/>
          </w:rPr>
          <w:t>iv</w:t>
        </w:r>
        <w:r w:rsidRPr="00A71CC2">
          <w:rPr>
            <w:sz w:val="22"/>
            <w:szCs w:val="22"/>
          </w:rPr>
          <w:fldChar w:fldCharType="end"/>
        </w:r>
      </w:p>
    </w:sdtContent>
  </w:sdt>
  <w:p w:rsidR="005B7FF0" w:rsidRDefault="005B7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rsidP="00E84BA0">
    <w:pPr>
      <w:pStyle w:val="Footer"/>
      <w:tabs>
        <w:tab w:val="clear" w:pos="9360"/>
        <w:tab w:val="right" w:pos="7470"/>
      </w:tabs>
      <w:ind w:left="-15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E14C15" w:rsidRDefault="005B7FF0" w:rsidP="001E18B4">
    <w:pPr>
      <w:pStyle w:val="FormFooterBorder"/>
      <w:pBdr>
        <w:top w:val="single" w:sz="6" w:space="7" w:color="auto"/>
      </w:pBdr>
      <w:tabs>
        <w:tab w:val="clear" w:pos="5400"/>
        <w:tab w:val="clear" w:pos="10800"/>
        <w:tab w:val="center" w:pos="5130"/>
        <w:tab w:val="right" w:pos="10440"/>
      </w:tabs>
      <w:rPr>
        <w:lang w:val="fr-FR"/>
      </w:rPr>
    </w:pPr>
    <w:r>
      <w:rPr>
        <w:lang w:val="fr-FR"/>
      </w:rPr>
      <w:tab/>
    </w:r>
    <w:r w:rsidRPr="00F333FF">
      <w:rPr>
        <w:b/>
        <w:lang w:val="fr-FR"/>
      </w:rPr>
      <w:t>Page</w:t>
    </w:r>
    <w:r>
      <w:rPr>
        <w:rStyle w:val="PageNumber"/>
        <w:rFonts w:cs="Arial"/>
        <w:u w:val="none"/>
        <w:lang w:val="fr-FR"/>
      </w:rPr>
      <w:t xml:space="preserve"> </w:t>
    </w:r>
    <w:r w:rsidRPr="00BA798A">
      <w:rPr>
        <w:rStyle w:val="PageNumber"/>
        <w:rFonts w:cs="Arial"/>
        <w:sz w:val="18"/>
        <w:szCs w:val="18"/>
        <w:lang w:val="fr-FR"/>
      </w:rPr>
      <w:t>3</w:t>
    </w:r>
    <w:r w:rsidRPr="00E14C15">
      <w:rPr>
        <w:lang w:val="fr-FR"/>
      </w:rPr>
      <w:tab/>
    </w:r>
    <w:r>
      <w:rPr>
        <w:b/>
        <w:bCs/>
      </w:rPr>
      <w:t>Biographical Sketch Format Page</w:t>
    </w:r>
  </w:p>
  <w:p w:rsidR="005B7FF0" w:rsidRDefault="005B7FF0" w:rsidP="00E84BA0">
    <w:pPr>
      <w:pStyle w:val="Footer"/>
      <w:tabs>
        <w:tab w:val="clear" w:pos="9360"/>
        <w:tab w:val="right" w:pos="7470"/>
      </w:tabs>
      <w:ind w:left="-153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E14C15" w:rsidRDefault="005B7FF0" w:rsidP="001E18B4">
    <w:pPr>
      <w:pStyle w:val="FormFooterBorder"/>
      <w:pBdr>
        <w:top w:val="single" w:sz="6" w:space="7" w:color="auto"/>
      </w:pBdr>
      <w:tabs>
        <w:tab w:val="clear" w:pos="5400"/>
        <w:tab w:val="clear" w:pos="10800"/>
        <w:tab w:val="center" w:pos="5130"/>
        <w:tab w:val="right" w:pos="10440"/>
      </w:tabs>
      <w:rPr>
        <w:lang w:val="fr-FR"/>
      </w:rPr>
    </w:pPr>
    <w:r w:rsidRPr="00E14C15">
      <w:rPr>
        <w:lang w:val="fr-FR"/>
      </w:rPr>
      <w:tab/>
    </w:r>
    <w:r w:rsidRPr="00F333FF">
      <w:rPr>
        <w:b/>
        <w:lang w:val="fr-FR"/>
      </w:rPr>
      <w:t>Page</w:t>
    </w:r>
    <w:r w:rsidRPr="0089491D">
      <w:rPr>
        <w:lang w:val="fr-FR"/>
      </w:rPr>
      <w:t xml:space="preserve"> </w:t>
    </w:r>
    <w:r w:rsidRPr="00BA798A">
      <w:rPr>
        <w:rStyle w:val="PageNumber"/>
        <w:rFonts w:cs="Arial"/>
        <w:sz w:val="18"/>
        <w:szCs w:val="18"/>
        <w:lang w:val="fr-FR"/>
      </w:rPr>
      <w:t>4</w:t>
    </w:r>
    <w:r w:rsidRPr="00E14C15">
      <w:rPr>
        <w:lang w:val="fr-FR"/>
      </w:rPr>
      <w:tab/>
    </w:r>
    <w:r>
      <w:rPr>
        <w:b/>
        <w:bCs/>
      </w:rPr>
      <w:t>Resources Format Page</w:t>
    </w:r>
  </w:p>
  <w:p w:rsidR="005B7FF0" w:rsidRDefault="005B7FF0" w:rsidP="00E84BA0">
    <w:pPr>
      <w:pStyle w:val="Footer"/>
      <w:tabs>
        <w:tab w:val="clear" w:pos="9360"/>
        <w:tab w:val="right" w:pos="7470"/>
      </w:tabs>
      <w:ind w:left="-15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rsidP="00D70834">
    <w:pPr>
      <w:pStyle w:val="Footer"/>
      <w:rPr>
        <w:rFonts w:ascii="Arial" w:hAnsi="Arial" w:cs="Arial"/>
        <w:sz w:val="16"/>
        <w:szCs w:val="16"/>
      </w:rPr>
    </w:pPr>
  </w:p>
  <w:p w:rsidR="005B7FF0" w:rsidRDefault="005B7FF0" w:rsidP="00D70834">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rsidR="005B7FF0" w:rsidRDefault="005B7FF0" w:rsidP="00D70834">
    <w:pPr>
      <w:pStyle w:val="Footer"/>
      <w:rPr>
        <w:rFonts w:ascii="Arial" w:hAnsi="Arial" w:cs="Arial"/>
        <w:sz w:val="16"/>
        <w:szCs w:val="16"/>
      </w:rPr>
    </w:pPr>
  </w:p>
  <w:p w:rsidR="005B7FF0" w:rsidRPr="003D2C0A" w:rsidRDefault="000D3DF5" w:rsidP="00CD7F01">
    <w:pPr>
      <w:pStyle w:val="Footer"/>
      <w:tabs>
        <w:tab w:val="clear" w:pos="4680"/>
        <w:tab w:val="left" w:pos="3780"/>
        <w:tab w:val="left" w:pos="6390"/>
      </w:tabs>
      <w:rPr>
        <w:rFonts w:ascii="Arial" w:hAnsi="Arial" w:cs="Arial"/>
        <w:sz w:val="16"/>
        <w:szCs w:val="16"/>
      </w:rPr>
    </w:pPr>
    <w:sdt>
      <w:sdtPr>
        <w:rPr>
          <w:rFonts w:ascii="Arial" w:hAnsi="Arial" w:cs="Arial"/>
          <w:sz w:val="16"/>
          <w:szCs w:val="16"/>
        </w:rPr>
        <w:id w:val="209541140"/>
        <w:docPartObj>
          <w:docPartGallery w:val="Page Numbers (Bottom of Page)"/>
          <w:docPartUnique/>
        </w:docPartObj>
      </w:sdtPr>
      <w:sdtEndPr>
        <w:rPr>
          <w:u w:val="single"/>
        </w:rPr>
      </w:sdtEndPr>
      <w:sdtContent>
        <w:r w:rsidR="005B7FF0">
          <w:rPr>
            <w:rFonts w:ascii="Arial" w:hAnsi="Arial" w:cs="Arial"/>
            <w:sz w:val="16"/>
            <w:szCs w:val="16"/>
          </w:rPr>
          <w:tab/>
        </w:r>
        <w:r w:rsidR="005B7FF0" w:rsidRPr="00F333FF">
          <w:rPr>
            <w:rFonts w:ascii="Arial" w:hAnsi="Arial" w:cs="Arial"/>
            <w:b/>
            <w:sz w:val="16"/>
            <w:szCs w:val="16"/>
          </w:rPr>
          <w:t>Page</w:t>
        </w:r>
        <w:r w:rsidR="005B7FF0">
          <w:rPr>
            <w:rFonts w:ascii="Arial" w:hAnsi="Arial" w:cs="Arial"/>
            <w:sz w:val="16"/>
            <w:szCs w:val="16"/>
          </w:rPr>
          <w:t xml:space="preserve"> </w:t>
        </w:r>
        <w:r w:rsidR="005B7FF0" w:rsidRPr="00BE4013">
          <w:rPr>
            <w:rFonts w:ascii="Arial" w:hAnsi="Arial" w:cs="Arial"/>
            <w:sz w:val="16"/>
            <w:szCs w:val="16"/>
          </w:rPr>
          <w:t xml:space="preserve"> </w:t>
        </w:r>
        <w:r w:rsidR="005B7FF0" w:rsidRPr="00BA798A">
          <w:rPr>
            <w:rFonts w:ascii="Arial" w:hAnsi="Arial" w:cs="Arial"/>
            <w:sz w:val="18"/>
            <w:szCs w:val="18"/>
            <w:u w:val="single"/>
          </w:rPr>
          <w:fldChar w:fldCharType="begin"/>
        </w:r>
        <w:r w:rsidR="005B7FF0" w:rsidRPr="00BA798A">
          <w:rPr>
            <w:rFonts w:ascii="Arial" w:hAnsi="Arial" w:cs="Arial"/>
            <w:sz w:val="18"/>
            <w:szCs w:val="18"/>
            <w:u w:val="single"/>
          </w:rPr>
          <w:instrText xml:space="preserve"> PAGE   \* MERGEFORMAT </w:instrText>
        </w:r>
        <w:r w:rsidR="005B7FF0" w:rsidRPr="00BA798A">
          <w:rPr>
            <w:rFonts w:ascii="Arial" w:hAnsi="Arial" w:cs="Arial"/>
            <w:sz w:val="18"/>
            <w:szCs w:val="18"/>
            <w:u w:val="single"/>
          </w:rPr>
          <w:fldChar w:fldCharType="separate"/>
        </w:r>
        <w:r w:rsidR="005B7FF0">
          <w:rPr>
            <w:rFonts w:ascii="Arial" w:hAnsi="Arial" w:cs="Arial"/>
            <w:noProof/>
            <w:sz w:val="18"/>
            <w:szCs w:val="18"/>
            <w:u w:val="single"/>
          </w:rPr>
          <w:t>29</w:t>
        </w:r>
        <w:r w:rsidR="005B7FF0" w:rsidRPr="00BA798A">
          <w:rPr>
            <w:rFonts w:ascii="Arial" w:hAnsi="Arial" w:cs="Arial"/>
            <w:sz w:val="18"/>
            <w:szCs w:val="18"/>
            <w:u w:val="single"/>
          </w:rPr>
          <w:fldChar w:fldCharType="end"/>
        </w:r>
        <w:r w:rsidR="005B7FF0">
          <w:rPr>
            <w:rFonts w:ascii="Arial" w:hAnsi="Arial" w:cs="Arial"/>
            <w:sz w:val="16"/>
            <w:szCs w:val="16"/>
          </w:rPr>
          <w:tab/>
        </w:r>
        <w:r w:rsidR="005B7FF0">
          <w:rPr>
            <w:rFonts w:ascii="Arial" w:hAnsi="Arial" w:cs="Arial"/>
            <w:b/>
            <w:sz w:val="16"/>
            <w:szCs w:val="16"/>
          </w:rPr>
          <w:t xml:space="preserve">Continuation Format </w:t>
        </w:r>
        <w:r w:rsidR="005B7FF0" w:rsidRPr="00BE4013">
          <w:rPr>
            <w:rFonts w:ascii="Arial" w:hAnsi="Arial" w:cs="Arial"/>
            <w:b/>
            <w:sz w:val="16"/>
            <w:szCs w:val="16"/>
          </w:rPr>
          <w:t>Page</w:t>
        </w:r>
      </w:sdtContent>
    </w:sdt>
  </w:p>
  <w:p w:rsidR="005B7FF0" w:rsidRPr="003A1CE6" w:rsidRDefault="005B7FF0" w:rsidP="00116696">
    <w:pPr>
      <w:pStyle w:val="Footer"/>
      <w:tabs>
        <w:tab w:val="left" w:pos="864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FF0" w:rsidRDefault="005B7FF0" w:rsidP="00E84BA0">
      <w:r>
        <w:separator/>
      </w:r>
    </w:p>
  </w:footnote>
  <w:footnote w:type="continuationSeparator" w:id="0">
    <w:p w:rsidR="005B7FF0" w:rsidRDefault="005B7FF0" w:rsidP="00E8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rsidP="000B769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Default="005B7FF0" w:rsidP="000B76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9D2DC7" w:rsidRDefault="005B7FF0" w:rsidP="009D2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2C2C65" w:rsidRDefault="005B7FF0" w:rsidP="00354313">
    <w:pPr>
      <w:pStyle w:val="PIHeader"/>
      <w:tabs>
        <w:tab w:val="left" w:pos="7694"/>
      </w:tabs>
      <w:ind w:left="-900"/>
      <w:rPr>
        <w:sz w:val="18"/>
        <w:szCs w:val="18"/>
      </w:rPr>
    </w:pPr>
    <w:r w:rsidRPr="002C2C65">
      <w:rPr>
        <w:sz w:val="18"/>
        <w:szCs w:val="18"/>
      </w:rPr>
      <w:t>Program Director/Princi</w:t>
    </w:r>
    <w:r>
      <w:rPr>
        <w:sz w:val="18"/>
        <w:szCs w:val="18"/>
      </w:rPr>
      <w:t>pal Investigator (Last, First):  Mengistu, Sewnet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2C2C65" w:rsidRDefault="005B7FF0" w:rsidP="00376EDE">
    <w:pPr>
      <w:pStyle w:val="PIHeader"/>
      <w:tabs>
        <w:tab w:val="left" w:pos="7694"/>
      </w:tabs>
      <w:ind w:left="0"/>
      <w:rPr>
        <w:sz w:val="18"/>
        <w:szCs w:val="18"/>
      </w:rPr>
    </w:pPr>
    <w:r>
      <w:t xml:space="preserve">        </w:t>
    </w:r>
    <w:r w:rsidRPr="002C2C65">
      <w:rPr>
        <w:sz w:val="18"/>
        <w:szCs w:val="18"/>
      </w:rPr>
      <w:t>Program Director/Principal Investigator (Last, First):</w:t>
    </w:r>
    <w:r>
      <w:rPr>
        <w:sz w:val="18"/>
        <w:szCs w:val="18"/>
      </w:rPr>
      <w:t xml:space="preserve">  Mengistu, Sewnet</w:t>
    </w:r>
    <w:r w:rsidRPr="002C2C65">
      <w:rPr>
        <w:sz w:val="18"/>
        <w:szCs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10456C" w:rsidRDefault="005B7FF0" w:rsidP="0010456C">
    <w:pPr>
      <w:pStyle w:val="PIHeader"/>
      <w:tabs>
        <w:tab w:val="left" w:pos="7694"/>
      </w:tabs>
      <w:ind w:left="0"/>
      <w:rPr>
        <w:sz w:val="18"/>
        <w:szCs w:val="18"/>
      </w:rPr>
    </w:pPr>
    <w:r w:rsidRPr="00A74F93">
      <w:rPr>
        <w:rFonts w:ascii="Times New Roman" w:hAnsi="Times New Roman" w:cs="Times New Roman"/>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FF0" w:rsidRPr="002C2C65" w:rsidRDefault="005B7FF0" w:rsidP="00376EDE">
    <w:pPr>
      <w:pStyle w:val="PIHeader"/>
      <w:tabs>
        <w:tab w:val="left" w:pos="7694"/>
      </w:tabs>
      <w:ind w:left="0"/>
      <w:rPr>
        <w:sz w:val="18"/>
        <w:szCs w:val="18"/>
      </w:rPr>
    </w:pPr>
    <w:r w:rsidRPr="002C2C65">
      <w:rPr>
        <w:sz w:val="18"/>
        <w:szCs w:val="18"/>
      </w:rPr>
      <w:t>Program Director/Principal Investigator (Last, First):</w:t>
    </w:r>
    <w:r>
      <w:rPr>
        <w:sz w:val="18"/>
        <w:szCs w:val="18"/>
      </w:rPr>
      <w:t xml:space="preserve"> </w:t>
    </w:r>
    <w:r w:rsidRPr="002C2C65">
      <w:rPr>
        <w:sz w:val="18"/>
        <w:szCs w:val="18"/>
      </w:rPr>
      <w:t xml:space="preserve"> </w:t>
    </w:r>
    <w:r>
      <w:rPr>
        <w:sz w:val="18"/>
        <w:szCs w:val="18"/>
      </w:rPr>
      <w:t xml:space="preserve">Mengistu, Sewnet </w:t>
    </w:r>
  </w:p>
  <w:p w:rsidR="005B7FF0" w:rsidRDefault="005B7FF0" w:rsidP="00CD7F01">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rsidR="005B7FF0" w:rsidRDefault="005B7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40F74"/>
    <w:multiLevelType w:val="hybridMultilevel"/>
    <w:tmpl w:val="EC78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926A2"/>
    <w:multiLevelType w:val="hybridMultilevel"/>
    <w:tmpl w:val="BCB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579FB"/>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409379C"/>
    <w:multiLevelType w:val="hybridMultilevel"/>
    <w:tmpl w:val="3C1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341EE"/>
    <w:multiLevelType w:val="hybridMultilevel"/>
    <w:tmpl w:val="7152D0CC"/>
    <w:lvl w:ilvl="0" w:tplc="B8BA2FE2">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DE31DFC"/>
    <w:multiLevelType w:val="multilevel"/>
    <w:tmpl w:val="6144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A1E4A"/>
    <w:multiLevelType w:val="hybridMultilevel"/>
    <w:tmpl w:val="8264C448"/>
    <w:lvl w:ilvl="0" w:tplc="795AF37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34525E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95A7A86"/>
    <w:multiLevelType w:val="hybridMultilevel"/>
    <w:tmpl w:val="9CAE42A8"/>
    <w:lvl w:ilvl="0" w:tplc="AB0A4FB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2075029"/>
    <w:multiLevelType w:val="multilevel"/>
    <w:tmpl w:val="397CB78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42EF0480"/>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48E3A39"/>
    <w:multiLevelType w:val="hybridMultilevel"/>
    <w:tmpl w:val="ECF6583C"/>
    <w:lvl w:ilvl="0" w:tplc="A3F8C986">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94773A0"/>
    <w:multiLevelType w:val="hybridMultilevel"/>
    <w:tmpl w:val="005074A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B6D5680"/>
    <w:multiLevelType w:val="hybridMultilevel"/>
    <w:tmpl w:val="78062060"/>
    <w:lvl w:ilvl="0" w:tplc="2C8E8C2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C7A2B25"/>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EA31B8C"/>
    <w:multiLevelType w:val="multilevel"/>
    <w:tmpl w:val="82346C3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563E48BA"/>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D1407F0"/>
    <w:multiLevelType w:val="hybridMultilevel"/>
    <w:tmpl w:val="67583C4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611F2D4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52516BD"/>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B21DA6"/>
    <w:multiLevelType w:val="multilevel"/>
    <w:tmpl w:val="557E4AAC"/>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786870CA"/>
    <w:multiLevelType w:val="hybridMultilevel"/>
    <w:tmpl w:val="2084CD6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20"/>
  </w:num>
  <w:num w:numId="3">
    <w:abstractNumId w:val="9"/>
  </w:num>
  <w:num w:numId="4">
    <w:abstractNumId w:val="13"/>
  </w:num>
  <w:num w:numId="5">
    <w:abstractNumId w:val="18"/>
  </w:num>
  <w:num w:numId="6">
    <w:abstractNumId w:val="11"/>
  </w:num>
  <w:num w:numId="7">
    <w:abstractNumId w:val="15"/>
  </w:num>
  <w:num w:numId="8">
    <w:abstractNumId w:val="4"/>
  </w:num>
  <w:num w:numId="9">
    <w:abstractNumId w:val="8"/>
  </w:num>
  <w:num w:numId="10">
    <w:abstractNumId w:val="17"/>
  </w:num>
  <w:num w:numId="11">
    <w:abstractNumId w:val="21"/>
  </w:num>
  <w:num w:numId="12">
    <w:abstractNumId w:val="14"/>
  </w:num>
  <w:num w:numId="13">
    <w:abstractNumId w:val="16"/>
  </w:num>
  <w:num w:numId="14">
    <w:abstractNumId w:val="19"/>
  </w:num>
  <w:num w:numId="15">
    <w:abstractNumId w:val="2"/>
  </w:num>
  <w:num w:numId="16">
    <w:abstractNumId w:val="10"/>
  </w:num>
  <w:num w:numId="17">
    <w:abstractNumId w:val="7"/>
  </w:num>
  <w:num w:numId="18">
    <w:abstractNumId w:val="6"/>
  </w:num>
  <w:num w:numId="19">
    <w:abstractNumId w:val="1"/>
  </w:num>
  <w:num w:numId="20">
    <w:abstractNumId w:val="3"/>
  </w:num>
  <w:num w:numId="21">
    <w:abstractNumId w:val="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style="mso-position-horizontal-relative:margin;mso-position-vertical-relative:margin" fill="f" fillcolor="white" stroke="f">
      <v:fill color="white" on="f"/>
      <v:stroke on="f"/>
      <v:shadow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C5"/>
    <w:rsid w:val="0000004A"/>
    <w:rsid w:val="000014D4"/>
    <w:rsid w:val="00004088"/>
    <w:rsid w:val="00004124"/>
    <w:rsid w:val="0000527B"/>
    <w:rsid w:val="00007DA9"/>
    <w:rsid w:val="00010017"/>
    <w:rsid w:val="000101EA"/>
    <w:rsid w:val="00010A25"/>
    <w:rsid w:val="00010FC6"/>
    <w:rsid w:val="00011399"/>
    <w:rsid w:val="00011E22"/>
    <w:rsid w:val="00011E42"/>
    <w:rsid w:val="000133A5"/>
    <w:rsid w:val="000146A0"/>
    <w:rsid w:val="00014F23"/>
    <w:rsid w:val="000153E2"/>
    <w:rsid w:val="00015678"/>
    <w:rsid w:val="00015AAA"/>
    <w:rsid w:val="00016BDD"/>
    <w:rsid w:val="00017110"/>
    <w:rsid w:val="00020836"/>
    <w:rsid w:val="00021857"/>
    <w:rsid w:val="00022610"/>
    <w:rsid w:val="00022E45"/>
    <w:rsid w:val="00023029"/>
    <w:rsid w:val="00024278"/>
    <w:rsid w:val="00024EA6"/>
    <w:rsid w:val="0002590B"/>
    <w:rsid w:val="00026838"/>
    <w:rsid w:val="00027F56"/>
    <w:rsid w:val="0003069A"/>
    <w:rsid w:val="0003190E"/>
    <w:rsid w:val="00031ECF"/>
    <w:rsid w:val="00032CF2"/>
    <w:rsid w:val="000336EB"/>
    <w:rsid w:val="00035866"/>
    <w:rsid w:val="00035887"/>
    <w:rsid w:val="00036110"/>
    <w:rsid w:val="000364F1"/>
    <w:rsid w:val="00036529"/>
    <w:rsid w:val="00036810"/>
    <w:rsid w:val="000377F1"/>
    <w:rsid w:val="0004068A"/>
    <w:rsid w:val="000411A3"/>
    <w:rsid w:val="00045B90"/>
    <w:rsid w:val="00046B1F"/>
    <w:rsid w:val="00046D04"/>
    <w:rsid w:val="00046F87"/>
    <w:rsid w:val="00047D2F"/>
    <w:rsid w:val="000518A7"/>
    <w:rsid w:val="00053168"/>
    <w:rsid w:val="00053C20"/>
    <w:rsid w:val="000542EB"/>
    <w:rsid w:val="00056038"/>
    <w:rsid w:val="0005629E"/>
    <w:rsid w:val="00057202"/>
    <w:rsid w:val="0006018C"/>
    <w:rsid w:val="000603DF"/>
    <w:rsid w:val="00061F84"/>
    <w:rsid w:val="0006200D"/>
    <w:rsid w:val="00063562"/>
    <w:rsid w:val="000637B5"/>
    <w:rsid w:val="00064EE5"/>
    <w:rsid w:val="00065376"/>
    <w:rsid w:val="00065394"/>
    <w:rsid w:val="000659C5"/>
    <w:rsid w:val="000670D3"/>
    <w:rsid w:val="000679E5"/>
    <w:rsid w:val="00070280"/>
    <w:rsid w:val="000721D5"/>
    <w:rsid w:val="0007543C"/>
    <w:rsid w:val="00077285"/>
    <w:rsid w:val="00077427"/>
    <w:rsid w:val="00077579"/>
    <w:rsid w:val="000776D4"/>
    <w:rsid w:val="00077E40"/>
    <w:rsid w:val="00080907"/>
    <w:rsid w:val="00080AEE"/>
    <w:rsid w:val="00080F46"/>
    <w:rsid w:val="0008224E"/>
    <w:rsid w:val="00082EA7"/>
    <w:rsid w:val="00084401"/>
    <w:rsid w:val="00084A4D"/>
    <w:rsid w:val="0009166D"/>
    <w:rsid w:val="00092949"/>
    <w:rsid w:val="00093D8B"/>
    <w:rsid w:val="00093E13"/>
    <w:rsid w:val="000947BF"/>
    <w:rsid w:val="00094D18"/>
    <w:rsid w:val="000953CD"/>
    <w:rsid w:val="000966D8"/>
    <w:rsid w:val="00096E74"/>
    <w:rsid w:val="00097FA5"/>
    <w:rsid w:val="000A0C5D"/>
    <w:rsid w:val="000A11B1"/>
    <w:rsid w:val="000A1B30"/>
    <w:rsid w:val="000A2C1D"/>
    <w:rsid w:val="000A41B5"/>
    <w:rsid w:val="000A7214"/>
    <w:rsid w:val="000B01D1"/>
    <w:rsid w:val="000B07BE"/>
    <w:rsid w:val="000B1E03"/>
    <w:rsid w:val="000B59D9"/>
    <w:rsid w:val="000B645C"/>
    <w:rsid w:val="000B71FF"/>
    <w:rsid w:val="000B769C"/>
    <w:rsid w:val="000C0432"/>
    <w:rsid w:val="000C1074"/>
    <w:rsid w:val="000C3355"/>
    <w:rsid w:val="000C338C"/>
    <w:rsid w:val="000C3D79"/>
    <w:rsid w:val="000C56D1"/>
    <w:rsid w:val="000C5CD2"/>
    <w:rsid w:val="000C68DC"/>
    <w:rsid w:val="000C7131"/>
    <w:rsid w:val="000C7685"/>
    <w:rsid w:val="000C7BA2"/>
    <w:rsid w:val="000D0EC7"/>
    <w:rsid w:val="000D10C7"/>
    <w:rsid w:val="000D28AA"/>
    <w:rsid w:val="000D28F0"/>
    <w:rsid w:val="000D2C79"/>
    <w:rsid w:val="000D3DF5"/>
    <w:rsid w:val="000D40AB"/>
    <w:rsid w:val="000D4871"/>
    <w:rsid w:val="000D7BAA"/>
    <w:rsid w:val="000D7E11"/>
    <w:rsid w:val="000D7FAA"/>
    <w:rsid w:val="000E0353"/>
    <w:rsid w:val="000E05BA"/>
    <w:rsid w:val="000E1DC3"/>
    <w:rsid w:val="000E25FC"/>
    <w:rsid w:val="000E3559"/>
    <w:rsid w:val="000E433E"/>
    <w:rsid w:val="000E5B77"/>
    <w:rsid w:val="000E5D91"/>
    <w:rsid w:val="000E6124"/>
    <w:rsid w:val="000E6A0A"/>
    <w:rsid w:val="000F0618"/>
    <w:rsid w:val="000F0937"/>
    <w:rsid w:val="000F1982"/>
    <w:rsid w:val="000F1A27"/>
    <w:rsid w:val="000F41C7"/>
    <w:rsid w:val="000F42F3"/>
    <w:rsid w:val="000F4363"/>
    <w:rsid w:val="000F4F0E"/>
    <w:rsid w:val="000F5D9D"/>
    <w:rsid w:val="000F6B43"/>
    <w:rsid w:val="000F6DAB"/>
    <w:rsid w:val="000F737D"/>
    <w:rsid w:val="00101013"/>
    <w:rsid w:val="00101604"/>
    <w:rsid w:val="001037A9"/>
    <w:rsid w:val="00104461"/>
    <w:rsid w:val="0010456C"/>
    <w:rsid w:val="001054D6"/>
    <w:rsid w:val="00105CAE"/>
    <w:rsid w:val="00106E50"/>
    <w:rsid w:val="00111655"/>
    <w:rsid w:val="00113287"/>
    <w:rsid w:val="00113E93"/>
    <w:rsid w:val="0011447A"/>
    <w:rsid w:val="00115F35"/>
    <w:rsid w:val="00116696"/>
    <w:rsid w:val="00116A9D"/>
    <w:rsid w:val="00120B48"/>
    <w:rsid w:val="001216ED"/>
    <w:rsid w:val="00121EEC"/>
    <w:rsid w:val="001227E8"/>
    <w:rsid w:val="001228C7"/>
    <w:rsid w:val="00123336"/>
    <w:rsid w:val="00124279"/>
    <w:rsid w:val="00124555"/>
    <w:rsid w:val="0012493D"/>
    <w:rsid w:val="00125214"/>
    <w:rsid w:val="00125E56"/>
    <w:rsid w:val="00125ECB"/>
    <w:rsid w:val="00126950"/>
    <w:rsid w:val="00127E1A"/>
    <w:rsid w:val="00130785"/>
    <w:rsid w:val="0013169F"/>
    <w:rsid w:val="00131C03"/>
    <w:rsid w:val="00132B05"/>
    <w:rsid w:val="00133A11"/>
    <w:rsid w:val="00134E6E"/>
    <w:rsid w:val="0013553E"/>
    <w:rsid w:val="00135CDC"/>
    <w:rsid w:val="00136394"/>
    <w:rsid w:val="00136BEF"/>
    <w:rsid w:val="00140458"/>
    <w:rsid w:val="00140C4B"/>
    <w:rsid w:val="0014195C"/>
    <w:rsid w:val="00144D57"/>
    <w:rsid w:val="00145A7D"/>
    <w:rsid w:val="00146415"/>
    <w:rsid w:val="00147F95"/>
    <w:rsid w:val="001518D7"/>
    <w:rsid w:val="00152BB8"/>
    <w:rsid w:val="0015322C"/>
    <w:rsid w:val="00154277"/>
    <w:rsid w:val="00154D5A"/>
    <w:rsid w:val="0015522E"/>
    <w:rsid w:val="00157297"/>
    <w:rsid w:val="00161334"/>
    <w:rsid w:val="0016244B"/>
    <w:rsid w:val="0016246E"/>
    <w:rsid w:val="00163401"/>
    <w:rsid w:val="001635D6"/>
    <w:rsid w:val="00164472"/>
    <w:rsid w:val="001650C4"/>
    <w:rsid w:val="00165407"/>
    <w:rsid w:val="0017164E"/>
    <w:rsid w:val="001726A3"/>
    <w:rsid w:val="001731A6"/>
    <w:rsid w:val="00173799"/>
    <w:rsid w:val="001741C1"/>
    <w:rsid w:val="00175ED8"/>
    <w:rsid w:val="00175FE4"/>
    <w:rsid w:val="001768DD"/>
    <w:rsid w:val="00176FDE"/>
    <w:rsid w:val="001774A2"/>
    <w:rsid w:val="001806D5"/>
    <w:rsid w:val="001808A7"/>
    <w:rsid w:val="00181A57"/>
    <w:rsid w:val="0018235D"/>
    <w:rsid w:val="00182DCB"/>
    <w:rsid w:val="0018454E"/>
    <w:rsid w:val="001851C4"/>
    <w:rsid w:val="0018585C"/>
    <w:rsid w:val="00185992"/>
    <w:rsid w:val="00186084"/>
    <w:rsid w:val="00186CD6"/>
    <w:rsid w:val="00190AC9"/>
    <w:rsid w:val="00190CAC"/>
    <w:rsid w:val="00191232"/>
    <w:rsid w:val="001915BE"/>
    <w:rsid w:val="0019178C"/>
    <w:rsid w:val="00192DE4"/>
    <w:rsid w:val="00194923"/>
    <w:rsid w:val="00194F73"/>
    <w:rsid w:val="001951D5"/>
    <w:rsid w:val="00195656"/>
    <w:rsid w:val="00195C21"/>
    <w:rsid w:val="00195EAE"/>
    <w:rsid w:val="00197018"/>
    <w:rsid w:val="001972C5"/>
    <w:rsid w:val="001A0221"/>
    <w:rsid w:val="001A0350"/>
    <w:rsid w:val="001A05CF"/>
    <w:rsid w:val="001A07B0"/>
    <w:rsid w:val="001A113F"/>
    <w:rsid w:val="001A1710"/>
    <w:rsid w:val="001A3A72"/>
    <w:rsid w:val="001A3F49"/>
    <w:rsid w:val="001A48EF"/>
    <w:rsid w:val="001A4BFB"/>
    <w:rsid w:val="001A6031"/>
    <w:rsid w:val="001A6E7C"/>
    <w:rsid w:val="001B1D9C"/>
    <w:rsid w:val="001B370C"/>
    <w:rsid w:val="001B38B7"/>
    <w:rsid w:val="001B5AF6"/>
    <w:rsid w:val="001B610D"/>
    <w:rsid w:val="001B738E"/>
    <w:rsid w:val="001C0033"/>
    <w:rsid w:val="001C0097"/>
    <w:rsid w:val="001C0112"/>
    <w:rsid w:val="001C1DF2"/>
    <w:rsid w:val="001C1F13"/>
    <w:rsid w:val="001C2BF3"/>
    <w:rsid w:val="001C2F6E"/>
    <w:rsid w:val="001C3664"/>
    <w:rsid w:val="001C3FC3"/>
    <w:rsid w:val="001C4930"/>
    <w:rsid w:val="001C5A62"/>
    <w:rsid w:val="001C5F96"/>
    <w:rsid w:val="001C66BE"/>
    <w:rsid w:val="001D23FA"/>
    <w:rsid w:val="001D2B1D"/>
    <w:rsid w:val="001D3406"/>
    <w:rsid w:val="001D3C1A"/>
    <w:rsid w:val="001D55AC"/>
    <w:rsid w:val="001D5B4B"/>
    <w:rsid w:val="001D61E2"/>
    <w:rsid w:val="001D6228"/>
    <w:rsid w:val="001D6BE2"/>
    <w:rsid w:val="001D792B"/>
    <w:rsid w:val="001E004B"/>
    <w:rsid w:val="001E18B4"/>
    <w:rsid w:val="001E1CE2"/>
    <w:rsid w:val="001E1CE6"/>
    <w:rsid w:val="001E1E9C"/>
    <w:rsid w:val="001E272A"/>
    <w:rsid w:val="001E28D5"/>
    <w:rsid w:val="001E29AB"/>
    <w:rsid w:val="001E2EDF"/>
    <w:rsid w:val="001E3DD5"/>
    <w:rsid w:val="001E54E6"/>
    <w:rsid w:val="001E59A7"/>
    <w:rsid w:val="001E5B9E"/>
    <w:rsid w:val="001E69A5"/>
    <w:rsid w:val="001E71E8"/>
    <w:rsid w:val="001E7618"/>
    <w:rsid w:val="001E7782"/>
    <w:rsid w:val="001F06F3"/>
    <w:rsid w:val="001F08B4"/>
    <w:rsid w:val="001F49FC"/>
    <w:rsid w:val="001F50F7"/>
    <w:rsid w:val="001F5138"/>
    <w:rsid w:val="001F5DEB"/>
    <w:rsid w:val="001F73DD"/>
    <w:rsid w:val="00200023"/>
    <w:rsid w:val="002007CD"/>
    <w:rsid w:val="0020134D"/>
    <w:rsid w:val="00203854"/>
    <w:rsid w:val="002039BB"/>
    <w:rsid w:val="00204D15"/>
    <w:rsid w:val="00206760"/>
    <w:rsid w:val="0020679A"/>
    <w:rsid w:val="00206998"/>
    <w:rsid w:val="00206C5E"/>
    <w:rsid w:val="00207794"/>
    <w:rsid w:val="00210809"/>
    <w:rsid w:val="0021122E"/>
    <w:rsid w:val="002116C8"/>
    <w:rsid w:val="00211C5C"/>
    <w:rsid w:val="002129D6"/>
    <w:rsid w:val="00214A42"/>
    <w:rsid w:val="002162B1"/>
    <w:rsid w:val="0021653D"/>
    <w:rsid w:val="00217208"/>
    <w:rsid w:val="0021761D"/>
    <w:rsid w:val="00217FE6"/>
    <w:rsid w:val="00221159"/>
    <w:rsid w:val="0022118D"/>
    <w:rsid w:val="002211AB"/>
    <w:rsid w:val="00222C2B"/>
    <w:rsid w:val="00223F19"/>
    <w:rsid w:val="0022473E"/>
    <w:rsid w:val="00224DEB"/>
    <w:rsid w:val="00225178"/>
    <w:rsid w:val="00226A52"/>
    <w:rsid w:val="00231231"/>
    <w:rsid w:val="0023142C"/>
    <w:rsid w:val="00231D08"/>
    <w:rsid w:val="002321CF"/>
    <w:rsid w:val="00232439"/>
    <w:rsid w:val="002340FA"/>
    <w:rsid w:val="00234469"/>
    <w:rsid w:val="00234771"/>
    <w:rsid w:val="00234D6D"/>
    <w:rsid w:val="002355CA"/>
    <w:rsid w:val="00235C92"/>
    <w:rsid w:val="00237EAA"/>
    <w:rsid w:val="00237F3F"/>
    <w:rsid w:val="0024036E"/>
    <w:rsid w:val="0024195C"/>
    <w:rsid w:val="00242619"/>
    <w:rsid w:val="00242BD5"/>
    <w:rsid w:val="002430A2"/>
    <w:rsid w:val="002433D6"/>
    <w:rsid w:val="00243507"/>
    <w:rsid w:val="002446D5"/>
    <w:rsid w:val="00244F0F"/>
    <w:rsid w:val="00245C09"/>
    <w:rsid w:val="00250CA6"/>
    <w:rsid w:val="00251DF6"/>
    <w:rsid w:val="00252F13"/>
    <w:rsid w:val="00253C92"/>
    <w:rsid w:val="0025534D"/>
    <w:rsid w:val="00255D81"/>
    <w:rsid w:val="002561FE"/>
    <w:rsid w:val="00256560"/>
    <w:rsid w:val="00257CD7"/>
    <w:rsid w:val="002603FF"/>
    <w:rsid w:val="00260421"/>
    <w:rsid w:val="00260C1A"/>
    <w:rsid w:val="002622DA"/>
    <w:rsid w:val="0026314A"/>
    <w:rsid w:val="00264848"/>
    <w:rsid w:val="00264C9F"/>
    <w:rsid w:val="00265C20"/>
    <w:rsid w:val="00265E98"/>
    <w:rsid w:val="002664CF"/>
    <w:rsid w:val="002668D8"/>
    <w:rsid w:val="00266E1F"/>
    <w:rsid w:val="00267722"/>
    <w:rsid w:val="002703EE"/>
    <w:rsid w:val="002704AF"/>
    <w:rsid w:val="002704DE"/>
    <w:rsid w:val="0027073A"/>
    <w:rsid w:val="00272045"/>
    <w:rsid w:val="002721E1"/>
    <w:rsid w:val="00272AA7"/>
    <w:rsid w:val="00272E99"/>
    <w:rsid w:val="00273A11"/>
    <w:rsid w:val="0027427F"/>
    <w:rsid w:val="002754E1"/>
    <w:rsid w:val="00275BAE"/>
    <w:rsid w:val="00275D88"/>
    <w:rsid w:val="00280143"/>
    <w:rsid w:val="00280CDF"/>
    <w:rsid w:val="00284D2E"/>
    <w:rsid w:val="0028615E"/>
    <w:rsid w:val="00286984"/>
    <w:rsid w:val="0029001E"/>
    <w:rsid w:val="00291C60"/>
    <w:rsid w:val="002920C2"/>
    <w:rsid w:val="00293041"/>
    <w:rsid w:val="0029379F"/>
    <w:rsid w:val="00294C54"/>
    <w:rsid w:val="002954FA"/>
    <w:rsid w:val="00296DC6"/>
    <w:rsid w:val="002A2D96"/>
    <w:rsid w:val="002A4360"/>
    <w:rsid w:val="002A4972"/>
    <w:rsid w:val="002A6F9F"/>
    <w:rsid w:val="002A73C9"/>
    <w:rsid w:val="002A7610"/>
    <w:rsid w:val="002A7675"/>
    <w:rsid w:val="002A7A70"/>
    <w:rsid w:val="002A7EDE"/>
    <w:rsid w:val="002B012D"/>
    <w:rsid w:val="002B25C4"/>
    <w:rsid w:val="002B26BB"/>
    <w:rsid w:val="002B2C11"/>
    <w:rsid w:val="002B2D63"/>
    <w:rsid w:val="002B4E1F"/>
    <w:rsid w:val="002B62D4"/>
    <w:rsid w:val="002C00A6"/>
    <w:rsid w:val="002C06A3"/>
    <w:rsid w:val="002C0849"/>
    <w:rsid w:val="002C1292"/>
    <w:rsid w:val="002C1EDA"/>
    <w:rsid w:val="002C21FC"/>
    <w:rsid w:val="002C2C65"/>
    <w:rsid w:val="002C2DA6"/>
    <w:rsid w:val="002C31E9"/>
    <w:rsid w:val="002C3352"/>
    <w:rsid w:val="002C4219"/>
    <w:rsid w:val="002C4451"/>
    <w:rsid w:val="002C4DEF"/>
    <w:rsid w:val="002C5BE4"/>
    <w:rsid w:val="002C6E25"/>
    <w:rsid w:val="002C6FC7"/>
    <w:rsid w:val="002C7381"/>
    <w:rsid w:val="002C7E83"/>
    <w:rsid w:val="002D02D1"/>
    <w:rsid w:val="002D17D7"/>
    <w:rsid w:val="002D2652"/>
    <w:rsid w:val="002D33A6"/>
    <w:rsid w:val="002D3EEC"/>
    <w:rsid w:val="002D4528"/>
    <w:rsid w:val="002D48C9"/>
    <w:rsid w:val="002D49AE"/>
    <w:rsid w:val="002D5764"/>
    <w:rsid w:val="002D5DED"/>
    <w:rsid w:val="002D642F"/>
    <w:rsid w:val="002E0E92"/>
    <w:rsid w:val="002E13E3"/>
    <w:rsid w:val="002E1B15"/>
    <w:rsid w:val="002E1B84"/>
    <w:rsid w:val="002E1D6A"/>
    <w:rsid w:val="002E2DA8"/>
    <w:rsid w:val="002E315B"/>
    <w:rsid w:val="002E3C03"/>
    <w:rsid w:val="002E4513"/>
    <w:rsid w:val="002E46F0"/>
    <w:rsid w:val="002E4EA5"/>
    <w:rsid w:val="002E5652"/>
    <w:rsid w:val="002E60A2"/>
    <w:rsid w:val="002E662E"/>
    <w:rsid w:val="002F0057"/>
    <w:rsid w:val="002F02A9"/>
    <w:rsid w:val="002F0AAC"/>
    <w:rsid w:val="002F0BBC"/>
    <w:rsid w:val="002F1000"/>
    <w:rsid w:val="002F18F4"/>
    <w:rsid w:val="002F1BB0"/>
    <w:rsid w:val="002F3197"/>
    <w:rsid w:val="002F3378"/>
    <w:rsid w:val="002F366E"/>
    <w:rsid w:val="002F4087"/>
    <w:rsid w:val="002F4C24"/>
    <w:rsid w:val="002F4C5B"/>
    <w:rsid w:val="002F4F78"/>
    <w:rsid w:val="002F7A5D"/>
    <w:rsid w:val="003005D5"/>
    <w:rsid w:val="00300AB6"/>
    <w:rsid w:val="0030212C"/>
    <w:rsid w:val="0030284E"/>
    <w:rsid w:val="003031FF"/>
    <w:rsid w:val="0030320D"/>
    <w:rsid w:val="00303857"/>
    <w:rsid w:val="0030522C"/>
    <w:rsid w:val="003054C9"/>
    <w:rsid w:val="003058E5"/>
    <w:rsid w:val="00307CB0"/>
    <w:rsid w:val="0031024F"/>
    <w:rsid w:val="0031029B"/>
    <w:rsid w:val="00311F5D"/>
    <w:rsid w:val="00312828"/>
    <w:rsid w:val="00313AF2"/>
    <w:rsid w:val="00315771"/>
    <w:rsid w:val="0031601C"/>
    <w:rsid w:val="003175CF"/>
    <w:rsid w:val="00317926"/>
    <w:rsid w:val="00317D70"/>
    <w:rsid w:val="00317F24"/>
    <w:rsid w:val="00320819"/>
    <w:rsid w:val="00321C16"/>
    <w:rsid w:val="00323019"/>
    <w:rsid w:val="00324E67"/>
    <w:rsid w:val="0032556D"/>
    <w:rsid w:val="00333216"/>
    <w:rsid w:val="00333FEE"/>
    <w:rsid w:val="003340A0"/>
    <w:rsid w:val="0033412A"/>
    <w:rsid w:val="00335129"/>
    <w:rsid w:val="00340842"/>
    <w:rsid w:val="00340C48"/>
    <w:rsid w:val="00341A62"/>
    <w:rsid w:val="00341BD4"/>
    <w:rsid w:val="003421C7"/>
    <w:rsid w:val="003434F8"/>
    <w:rsid w:val="003447D9"/>
    <w:rsid w:val="00345455"/>
    <w:rsid w:val="00345BAE"/>
    <w:rsid w:val="00345EBF"/>
    <w:rsid w:val="003462AA"/>
    <w:rsid w:val="0034672B"/>
    <w:rsid w:val="00350312"/>
    <w:rsid w:val="0035110A"/>
    <w:rsid w:val="003533F2"/>
    <w:rsid w:val="00354313"/>
    <w:rsid w:val="00355853"/>
    <w:rsid w:val="00355C6E"/>
    <w:rsid w:val="003569D6"/>
    <w:rsid w:val="00360385"/>
    <w:rsid w:val="003615F2"/>
    <w:rsid w:val="003619DA"/>
    <w:rsid w:val="00361AC4"/>
    <w:rsid w:val="00361F0B"/>
    <w:rsid w:val="00362588"/>
    <w:rsid w:val="00362CAB"/>
    <w:rsid w:val="003631A8"/>
    <w:rsid w:val="0036399B"/>
    <w:rsid w:val="00364B42"/>
    <w:rsid w:val="00365924"/>
    <w:rsid w:val="00365EE0"/>
    <w:rsid w:val="0036742B"/>
    <w:rsid w:val="00367625"/>
    <w:rsid w:val="00367A70"/>
    <w:rsid w:val="003706C7"/>
    <w:rsid w:val="003718DA"/>
    <w:rsid w:val="0037392B"/>
    <w:rsid w:val="00374193"/>
    <w:rsid w:val="00374B35"/>
    <w:rsid w:val="003755C4"/>
    <w:rsid w:val="00376026"/>
    <w:rsid w:val="003767D4"/>
    <w:rsid w:val="00376EDE"/>
    <w:rsid w:val="00377F73"/>
    <w:rsid w:val="00381696"/>
    <w:rsid w:val="0038439B"/>
    <w:rsid w:val="00384EF1"/>
    <w:rsid w:val="0038635F"/>
    <w:rsid w:val="003864D9"/>
    <w:rsid w:val="0038686F"/>
    <w:rsid w:val="003869C5"/>
    <w:rsid w:val="003932ED"/>
    <w:rsid w:val="00393CC4"/>
    <w:rsid w:val="00393EC9"/>
    <w:rsid w:val="00394DC0"/>
    <w:rsid w:val="00395552"/>
    <w:rsid w:val="0039703D"/>
    <w:rsid w:val="0039744B"/>
    <w:rsid w:val="00397ACD"/>
    <w:rsid w:val="003A0586"/>
    <w:rsid w:val="003A0A38"/>
    <w:rsid w:val="003A1997"/>
    <w:rsid w:val="003A1A6D"/>
    <w:rsid w:val="003A1CE6"/>
    <w:rsid w:val="003A4782"/>
    <w:rsid w:val="003A4922"/>
    <w:rsid w:val="003A558E"/>
    <w:rsid w:val="003A6626"/>
    <w:rsid w:val="003A6A0D"/>
    <w:rsid w:val="003B0554"/>
    <w:rsid w:val="003B2713"/>
    <w:rsid w:val="003B2A6B"/>
    <w:rsid w:val="003B347D"/>
    <w:rsid w:val="003B3BC2"/>
    <w:rsid w:val="003B4A21"/>
    <w:rsid w:val="003B4CC3"/>
    <w:rsid w:val="003C024A"/>
    <w:rsid w:val="003C13AF"/>
    <w:rsid w:val="003C37DE"/>
    <w:rsid w:val="003C3DF1"/>
    <w:rsid w:val="003C60E7"/>
    <w:rsid w:val="003C7F39"/>
    <w:rsid w:val="003D048D"/>
    <w:rsid w:val="003D0A30"/>
    <w:rsid w:val="003D0F51"/>
    <w:rsid w:val="003D259D"/>
    <w:rsid w:val="003D374A"/>
    <w:rsid w:val="003D60EC"/>
    <w:rsid w:val="003D7E5B"/>
    <w:rsid w:val="003E2241"/>
    <w:rsid w:val="003E3445"/>
    <w:rsid w:val="003E5F76"/>
    <w:rsid w:val="003E7F6A"/>
    <w:rsid w:val="003F035F"/>
    <w:rsid w:val="003F1E0F"/>
    <w:rsid w:val="003F1F70"/>
    <w:rsid w:val="003F20DF"/>
    <w:rsid w:val="003F29AB"/>
    <w:rsid w:val="003F41EE"/>
    <w:rsid w:val="003F6D77"/>
    <w:rsid w:val="004000DF"/>
    <w:rsid w:val="00404F76"/>
    <w:rsid w:val="00410AB5"/>
    <w:rsid w:val="004111D3"/>
    <w:rsid w:val="00411F20"/>
    <w:rsid w:val="00413318"/>
    <w:rsid w:val="00414B4D"/>
    <w:rsid w:val="004155B9"/>
    <w:rsid w:val="00415DA6"/>
    <w:rsid w:val="004169CB"/>
    <w:rsid w:val="0041724B"/>
    <w:rsid w:val="00420A81"/>
    <w:rsid w:val="00421236"/>
    <w:rsid w:val="00421A50"/>
    <w:rsid w:val="004234F3"/>
    <w:rsid w:val="00424177"/>
    <w:rsid w:val="00424517"/>
    <w:rsid w:val="00425D9F"/>
    <w:rsid w:val="00426282"/>
    <w:rsid w:val="00426353"/>
    <w:rsid w:val="0042671A"/>
    <w:rsid w:val="00426CCA"/>
    <w:rsid w:val="00431F0D"/>
    <w:rsid w:val="0043299B"/>
    <w:rsid w:val="00433B31"/>
    <w:rsid w:val="004348AB"/>
    <w:rsid w:val="00434B78"/>
    <w:rsid w:val="00435CCE"/>
    <w:rsid w:val="00442FD6"/>
    <w:rsid w:val="004433EC"/>
    <w:rsid w:val="004436C5"/>
    <w:rsid w:val="00445F86"/>
    <w:rsid w:val="0044614E"/>
    <w:rsid w:val="00447443"/>
    <w:rsid w:val="00447B61"/>
    <w:rsid w:val="00447E4B"/>
    <w:rsid w:val="00447FC2"/>
    <w:rsid w:val="00450562"/>
    <w:rsid w:val="004514F9"/>
    <w:rsid w:val="00451CC4"/>
    <w:rsid w:val="00451E70"/>
    <w:rsid w:val="00453178"/>
    <w:rsid w:val="0045323E"/>
    <w:rsid w:val="004533CB"/>
    <w:rsid w:val="00453A0C"/>
    <w:rsid w:val="0045441C"/>
    <w:rsid w:val="00457A1B"/>
    <w:rsid w:val="00461DC6"/>
    <w:rsid w:val="0046426C"/>
    <w:rsid w:val="0046569B"/>
    <w:rsid w:val="00466067"/>
    <w:rsid w:val="0046645B"/>
    <w:rsid w:val="00466EB0"/>
    <w:rsid w:val="0047075A"/>
    <w:rsid w:val="004708FA"/>
    <w:rsid w:val="00471621"/>
    <w:rsid w:val="004720C8"/>
    <w:rsid w:val="00472C43"/>
    <w:rsid w:val="00473395"/>
    <w:rsid w:val="00473857"/>
    <w:rsid w:val="00473FF7"/>
    <w:rsid w:val="0047498B"/>
    <w:rsid w:val="00474B0B"/>
    <w:rsid w:val="00474C8D"/>
    <w:rsid w:val="00475724"/>
    <w:rsid w:val="00475BED"/>
    <w:rsid w:val="00476107"/>
    <w:rsid w:val="00476322"/>
    <w:rsid w:val="00477D99"/>
    <w:rsid w:val="004840CB"/>
    <w:rsid w:val="004845EE"/>
    <w:rsid w:val="00486366"/>
    <w:rsid w:val="00486459"/>
    <w:rsid w:val="00486DF5"/>
    <w:rsid w:val="00487305"/>
    <w:rsid w:val="00491511"/>
    <w:rsid w:val="00493746"/>
    <w:rsid w:val="004945CB"/>
    <w:rsid w:val="00495BD3"/>
    <w:rsid w:val="00496BA8"/>
    <w:rsid w:val="00496D64"/>
    <w:rsid w:val="00496F63"/>
    <w:rsid w:val="004A008B"/>
    <w:rsid w:val="004A1B5C"/>
    <w:rsid w:val="004A2138"/>
    <w:rsid w:val="004A23E0"/>
    <w:rsid w:val="004A296C"/>
    <w:rsid w:val="004A2E73"/>
    <w:rsid w:val="004A334B"/>
    <w:rsid w:val="004A3C2B"/>
    <w:rsid w:val="004A3E85"/>
    <w:rsid w:val="004A46C0"/>
    <w:rsid w:val="004A49E7"/>
    <w:rsid w:val="004A4E5A"/>
    <w:rsid w:val="004A5230"/>
    <w:rsid w:val="004A6319"/>
    <w:rsid w:val="004A6A68"/>
    <w:rsid w:val="004B12D0"/>
    <w:rsid w:val="004B227F"/>
    <w:rsid w:val="004B25A1"/>
    <w:rsid w:val="004B2CD6"/>
    <w:rsid w:val="004B2FCF"/>
    <w:rsid w:val="004B34C8"/>
    <w:rsid w:val="004B3984"/>
    <w:rsid w:val="004B39D2"/>
    <w:rsid w:val="004B45DD"/>
    <w:rsid w:val="004B545D"/>
    <w:rsid w:val="004B5EAF"/>
    <w:rsid w:val="004B698A"/>
    <w:rsid w:val="004B7424"/>
    <w:rsid w:val="004B7780"/>
    <w:rsid w:val="004C309E"/>
    <w:rsid w:val="004C5650"/>
    <w:rsid w:val="004C5A28"/>
    <w:rsid w:val="004C5D86"/>
    <w:rsid w:val="004C6E10"/>
    <w:rsid w:val="004D0902"/>
    <w:rsid w:val="004D14CD"/>
    <w:rsid w:val="004D1587"/>
    <w:rsid w:val="004D1862"/>
    <w:rsid w:val="004D1D18"/>
    <w:rsid w:val="004D2691"/>
    <w:rsid w:val="004D27C1"/>
    <w:rsid w:val="004D2A96"/>
    <w:rsid w:val="004D33D6"/>
    <w:rsid w:val="004D37A9"/>
    <w:rsid w:val="004D41AF"/>
    <w:rsid w:val="004D44D0"/>
    <w:rsid w:val="004D4EB7"/>
    <w:rsid w:val="004D52F7"/>
    <w:rsid w:val="004D56D2"/>
    <w:rsid w:val="004D5CB4"/>
    <w:rsid w:val="004D5E99"/>
    <w:rsid w:val="004D6078"/>
    <w:rsid w:val="004D67E8"/>
    <w:rsid w:val="004D6BD7"/>
    <w:rsid w:val="004D6E85"/>
    <w:rsid w:val="004D7297"/>
    <w:rsid w:val="004D7B71"/>
    <w:rsid w:val="004E0802"/>
    <w:rsid w:val="004E08B6"/>
    <w:rsid w:val="004E329B"/>
    <w:rsid w:val="004E3B2D"/>
    <w:rsid w:val="004E5939"/>
    <w:rsid w:val="004E6085"/>
    <w:rsid w:val="004E6BCB"/>
    <w:rsid w:val="004E6F6A"/>
    <w:rsid w:val="004E716E"/>
    <w:rsid w:val="004E7BF2"/>
    <w:rsid w:val="004F163D"/>
    <w:rsid w:val="004F2D49"/>
    <w:rsid w:val="004F344A"/>
    <w:rsid w:val="004F721D"/>
    <w:rsid w:val="004F7317"/>
    <w:rsid w:val="00500050"/>
    <w:rsid w:val="00500520"/>
    <w:rsid w:val="005008CD"/>
    <w:rsid w:val="00501162"/>
    <w:rsid w:val="00501CD7"/>
    <w:rsid w:val="00502AC2"/>
    <w:rsid w:val="00502BB5"/>
    <w:rsid w:val="00503081"/>
    <w:rsid w:val="00503898"/>
    <w:rsid w:val="00503E29"/>
    <w:rsid w:val="00504A65"/>
    <w:rsid w:val="005052DF"/>
    <w:rsid w:val="00505AA9"/>
    <w:rsid w:val="00505D75"/>
    <w:rsid w:val="00506404"/>
    <w:rsid w:val="00506934"/>
    <w:rsid w:val="0050740B"/>
    <w:rsid w:val="0050789A"/>
    <w:rsid w:val="00507BD6"/>
    <w:rsid w:val="005108C8"/>
    <w:rsid w:val="005118B2"/>
    <w:rsid w:val="00511DF4"/>
    <w:rsid w:val="00512D09"/>
    <w:rsid w:val="005132BC"/>
    <w:rsid w:val="005133DC"/>
    <w:rsid w:val="00513507"/>
    <w:rsid w:val="00513F1D"/>
    <w:rsid w:val="0051421B"/>
    <w:rsid w:val="00516A88"/>
    <w:rsid w:val="00516ADF"/>
    <w:rsid w:val="00517459"/>
    <w:rsid w:val="00517F53"/>
    <w:rsid w:val="005217DB"/>
    <w:rsid w:val="00521C3C"/>
    <w:rsid w:val="00522BA1"/>
    <w:rsid w:val="00522E7F"/>
    <w:rsid w:val="00523B4D"/>
    <w:rsid w:val="00524C0A"/>
    <w:rsid w:val="00526E6B"/>
    <w:rsid w:val="00526F8C"/>
    <w:rsid w:val="0052711A"/>
    <w:rsid w:val="005273DB"/>
    <w:rsid w:val="005278F8"/>
    <w:rsid w:val="00527B39"/>
    <w:rsid w:val="00532160"/>
    <w:rsid w:val="00532DA4"/>
    <w:rsid w:val="005345C2"/>
    <w:rsid w:val="005349DA"/>
    <w:rsid w:val="0053500E"/>
    <w:rsid w:val="0053537F"/>
    <w:rsid w:val="005359E4"/>
    <w:rsid w:val="005359EB"/>
    <w:rsid w:val="00536E2E"/>
    <w:rsid w:val="00536FF4"/>
    <w:rsid w:val="00540E15"/>
    <w:rsid w:val="00540E98"/>
    <w:rsid w:val="00542D59"/>
    <w:rsid w:val="0054433D"/>
    <w:rsid w:val="00544944"/>
    <w:rsid w:val="0054568A"/>
    <w:rsid w:val="005475BB"/>
    <w:rsid w:val="005479A6"/>
    <w:rsid w:val="00547FE5"/>
    <w:rsid w:val="00551288"/>
    <w:rsid w:val="0055196B"/>
    <w:rsid w:val="0055278C"/>
    <w:rsid w:val="005528BF"/>
    <w:rsid w:val="0055300D"/>
    <w:rsid w:val="005535E6"/>
    <w:rsid w:val="00553E4C"/>
    <w:rsid w:val="0055410F"/>
    <w:rsid w:val="00554760"/>
    <w:rsid w:val="00554B6C"/>
    <w:rsid w:val="0055508B"/>
    <w:rsid w:val="005551AF"/>
    <w:rsid w:val="00555A8D"/>
    <w:rsid w:val="0055644B"/>
    <w:rsid w:val="00557241"/>
    <w:rsid w:val="00557578"/>
    <w:rsid w:val="005578ED"/>
    <w:rsid w:val="00557C25"/>
    <w:rsid w:val="005607E6"/>
    <w:rsid w:val="00564349"/>
    <w:rsid w:val="00564492"/>
    <w:rsid w:val="005648EE"/>
    <w:rsid w:val="00565AAF"/>
    <w:rsid w:val="00565B80"/>
    <w:rsid w:val="00565FD9"/>
    <w:rsid w:val="0056654C"/>
    <w:rsid w:val="00567A10"/>
    <w:rsid w:val="005737FD"/>
    <w:rsid w:val="005741EB"/>
    <w:rsid w:val="005744B8"/>
    <w:rsid w:val="00574660"/>
    <w:rsid w:val="005770AE"/>
    <w:rsid w:val="00580C0A"/>
    <w:rsid w:val="00581FC5"/>
    <w:rsid w:val="00583AAE"/>
    <w:rsid w:val="00583C78"/>
    <w:rsid w:val="00584601"/>
    <w:rsid w:val="00584E18"/>
    <w:rsid w:val="00585564"/>
    <w:rsid w:val="00587D44"/>
    <w:rsid w:val="00587FB2"/>
    <w:rsid w:val="00590B8C"/>
    <w:rsid w:val="00591233"/>
    <w:rsid w:val="00591B8D"/>
    <w:rsid w:val="00591CCE"/>
    <w:rsid w:val="00591CEC"/>
    <w:rsid w:val="00591FC8"/>
    <w:rsid w:val="005921EE"/>
    <w:rsid w:val="00592341"/>
    <w:rsid w:val="0059302D"/>
    <w:rsid w:val="00596E6C"/>
    <w:rsid w:val="0059758D"/>
    <w:rsid w:val="005976D3"/>
    <w:rsid w:val="005A0E77"/>
    <w:rsid w:val="005A28E4"/>
    <w:rsid w:val="005A2A47"/>
    <w:rsid w:val="005A343B"/>
    <w:rsid w:val="005A3929"/>
    <w:rsid w:val="005A43A0"/>
    <w:rsid w:val="005A4833"/>
    <w:rsid w:val="005A65E6"/>
    <w:rsid w:val="005A6A60"/>
    <w:rsid w:val="005A6C96"/>
    <w:rsid w:val="005B0068"/>
    <w:rsid w:val="005B06C4"/>
    <w:rsid w:val="005B08EE"/>
    <w:rsid w:val="005B0FDA"/>
    <w:rsid w:val="005B11F8"/>
    <w:rsid w:val="005B1B72"/>
    <w:rsid w:val="005B21F3"/>
    <w:rsid w:val="005B26FE"/>
    <w:rsid w:val="005B38B4"/>
    <w:rsid w:val="005B4A2D"/>
    <w:rsid w:val="005B4A70"/>
    <w:rsid w:val="005B4BB3"/>
    <w:rsid w:val="005B5D86"/>
    <w:rsid w:val="005B5DFE"/>
    <w:rsid w:val="005B7FF0"/>
    <w:rsid w:val="005C041B"/>
    <w:rsid w:val="005C18A2"/>
    <w:rsid w:val="005C31C3"/>
    <w:rsid w:val="005C416A"/>
    <w:rsid w:val="005C5CAD"/>
    <w:rsid w:val="005C5FAB"/>
    <w:rsid w:val="005C760A"/>
    <w:rsid w:val="005D061B"/>
    <w:rsid w:val="005D1728"/>
    <w:rsid w:val="005D1997"/>
    <w:rsid w:val="005D2F6A"/>
    <w:rsid w:val="005D4E2E"/>
    <w:rsid w:val="005D538F"/>
    <w:rsid w:val="005D6F15"/>
    <w:rsid w:val="005D7765"/>
    <w:rsid w:val="005E04C8"/>
    <w:rsid w:val="005E05E7"/>
    <w:rsid w:val="005E1D46"/>
    <w:rsid w:val="005E2CE5"/>
    <w:rsid w:val="005E39D8"/>
    <w:rsid w:val="005E3C6F"/>
    <w:rsid w:val="005E4B4C"/>
    <w:rsid w:val="005E56A5"/>
    <w:rsid w:val="005E68D6"/>
    <w:rsid w:val="005E6B5E"/>
    <w:rsid w:val="005E741A"/>
    <w:rsid w:val="005E791E"/>
    <w:rsid w:val="005F04A3"/>
    <w:rsid w:val="005F0851"/>
    <w:rsid w:val="005F199D"/>
    <w:rsid w:val="005F46A7"/>
    <w:rsid w:val="005F4FE9"/>
    <w:rsid w:val="005F53E2"/>
    <w:rsid w:val="005F678A"/>
    <w:rsid w:val="005F6A88"/>
    <w:rsid w:val="005F6B8B"/>
    <w:rsid w:val="006001FA"/>
    <w:rsid w:val="006035B7"/>
    <w:rsid w:val="00603C64"/>
    <w:rsid w:val="00603D84"/>
    <w:rsid w:val="00603D91"/>
    <w:rsid w:val="00604DCD"/>
    <w:rsid w:val="0060511A"/>
    <w:rsid w:val="00605E10"/>
    <w:rsid w:val="00606649"/>
    <w:rsid w:val="006117B9"/>
    <w:rsid w:val="00612B7E"/>
    <w:rsid w:val="00613DCC"/>
    <w:rsid w:val="00613E62"/>
    <w:rsid w:val="006141E8"/>
    <w:rsid w:val="006149A0"/>
    <w:rsid w:val="00615F4E"/>
    <w:rsid w:val="006169A3"/>
    <w:rsid w:val="00617865"/>
    <w:rsid w:val="00620BA1"/>
    <w:rsid w:val="006212AC"/>
    <w:rsid w:val="00621361"/>
    <w:rsid w:val="00621749"/>
    <w:rsid w:val="00622AD6"/>
    <w:rsid w:val="006239C4"/>
    <w:rsid w:val="00623D93"/>
    <w:rsid w:val="00624203"/>
    <w:rsid w:val="00624396"/>
    <w:rsid w:val="006244B8"/>
    <w:rsid w:val="0062650A"/>
    <w:rsid w:val="00626627"/>
    <w:rsid w:val="00630677"/>
    <w:rsid w:val="006314B7"/>
    <w:rsid w:val="0063282F"/>
    <w:rsid w:val="00632BD0"/>
    <w:rsid w:val="00633C69"/>
    <w:rsid w:val="00634366"/>
    <w:rsid w:val="00635943"/>
    <w:rsid w:val="006374F0"/>
    <w:rsid w:val="00640CBD"/>
    <w:rsid w:val="006417F9"/>
    <w:rsid w:val="00641A22"/>
    <w:rsid w:val="00641B67"/>
    <w:rsid w:val="00647B2F"/>
    <w:rsid w:val="00650154"/>
    <w:rsid w:val="00651BDF"/>
    <w:rsid w:val="00652B34"/>
    <w:rsid w:val="0065345B"/>
    <w:rsid w:val="006535D3"/>
    <w:rsid w:val="00653772"/>
    <w:rsid w:val="00653E02"/>
    <w:rsid w:val="00653E26"/>
    <w:rsid w:val="0065537A"/>
    <w:rsid w:val="00655893"/>
    <w:rsid w:val="00655BC3"/>
    <w:rsid w:val="006567B9"/>
    <w:rsid w:val="006578C4"/>
    <w:rsid w:val="00657B70"/>
    <w:rsid w:val="00657F55"/>
    <w:rsid w:val="00660628"/>
    <w:rsid w:val="00661A3C"/>
    <w:rsid w:val="00661E1F"/>
    <w:rsid w:val="00662C4F"/>
    <w:rsid w:val="00665955"/>
    <w:rsid w:val="00667148"/>
    <w:rsid w:val="006671B8"/>
    <w:rsid w:val="00667A20"/>
    <w:rsid w:val="00671A5B"/>
    <w:rsid w:val="00672476"/>
    <w:rsid w:val="00674A06"/>
    <w:rsid w:val="00674CF5"/>
    <w:rsid w:val="00675553"/>
    <w:rsid w:val="006758F0"/>
    <w:rsid w:val="00675F48"/>
    <w:rsid w:val="006771D3"/>
    <w:rsid w:val="00680B52"/>
    <w:rsid w:val="00681C9D"/>
    <w:rsid w:val="00682C4A"/>
    <w:rsid w:val="00682E05"/>
    <w:rsid w:val="00682F2E"/>
    <w:rsid w:val="006836A7"/>
    <w:rsid w:val="00683E4D"/>
    <w:rsid w:val="00683F8D"/>
    <w:rsid w:val="006845DD"/>
    <w:rsid w:val="0068575E"/>
    <w:rsid w:val="00685F1C"/>
    <w:rsid w:val="006860AA"/>
    <w:rsid w:val="0069111B"/>
    <w:rsid w:val="006915B6"/>
    <w:rsid w:val="00691665"/>
    <w:rsid w:val="006916A5"/>
    <w:rsid w:val="00691CF3"/>
    <w:rsid w:val="006920A4"/>
    <w:rsid w:val="00694453"/>
    <w:rsid w:val="006951EA"/>
    <w:rsid w:val="0069534C"/>
    <w:rsid w:val="00695F62"/>
    <w:rsid w:val="00695FED"/>
    <w:rsid w:val="006976DF"/>
    <w:rsid w:val="006A077F"/>
    <w:rsid w:val="006A0C66"/>
    <w:rsid w:val="006A378B"/>
    <w:rsid w:val="006A3E05"/>
    <w:rsid w:val="006A3E37"/>
    <w:rsid w:val="006A4896"/>
    <w:rsid w:val="006A533F"/>
    <w:rsid w:val="006A6015"/>
    <w:rsid w:val="006B03D9"/>
    <w:rsid w:val="006B12DD"/>
    <w:rsid w:val="006B24D4"/>
    <w:rsid w:val="006B30B2"/>
    <w:rsid w:val="006B3FD7"/>
    <w:rsid w:val="006B5884"/>
    <w:rsid w:val="006B6640"/>
    <w:rsid w:val="006B6719"/>
    <w:rsid w:val="006B75D6"/>
    <w:rsid w:val="006C03ED"/>
    <w:rsid w:val="006C083D"/>
    <w:rsid w:val="006C11AF"/>
    <w:rsid w:val="006C1A66"/>
    <w:rsid w:val="006C2B39"/>
    <w:rsid w:val="006C2DFF"/>
    <w:rsid w:val="006C2F90"/>
    <w:rsid w:val="006C4987"/>
    <w:rsid w:val="006C49E4"/>
    <w:rsid w:val="006C4D3C"/>
    <w:rsid w:val="006C685E"/>
    <w:rsid w:val="006C6C37"/>
    <w:rsid w:val="006C704F"/>
    <w:rsid w:val="006D038B"/>
    <w:rsid w:val="006D07DF"/>
    <w:rsid w:val="006D0A44"/>
    <w:rsid w:val="006D13B8"/>
    <w:rsid w:val="006D180C"/>
    <w:rsid w:val="006D190E"/>
    <w:rsid w:val="006D2BCB"/>
    <w:rsid w:val="006D2DF4"/>
    <w:rsid w:val="006D2EE6"/>
    <w:rsid w:val="006D4061"/>
    <w:rsid w:val="006D45FB"/>
    <w:rsid w:val="006D4CDB"/>
    <w:rsid w:val="006D5CD1"/>
    <w:rsid w:val="006E0C4A"/>
    <w:rsid w:val="006E18C1"/>
    <w:rsid w:val="006E1A1F"/>
    <w:rsid w:val="006E1C90"/>
    <w:rsid w:val="006E2248"/>
    <w:rsid w:val="006E3F01"/>
    <w:rsid w:val="006E46A2"/>
    <w:rsid w:val="006E60BD"/>
    <w:rsid w:val="006E70E0"/>
    <w:rsid w:val="006F0469"/>
    <w:rsid w:val="006F0CF5"/>
    <w:rsid w:val="006F13B9"/>
    <w:rsid w:val="006F1E83"/>
    <w:rsid w:val="006F1FD8"/>
    <w:rsid w:val="006F2D4E"/>
    <w:rsid w:val="006F2D6D"/>
    <w:rsid w:val="006F3991"/>
    <w:rsid w:val="006F3A54"/>
    <w:rsid w:val="006F553C"/>
    <w:rsid w:val="006F5CE6"/>
    <w:rsid w:val="006F7E83"/>
    <w:rsid w:val="0070022C"/>
    <w:rsid w:val="007005DB"/>
    <w:rsid w:val="0070324D"/>
    <w:rsid w:val="00703EC9"/>
    <w:rsid w:val="007044A5"/>
    <w:rsid w:val="00704810"/>
    <w:rsid w:val="007069FD"/>
    <w:rsid w:val="00706B3F"/>
    <w:rsid w:val="0070757E"/>
    <w:rsid w:val="00710297"/>
    <w:rsid w:val="007104C2"/>
    <w:rsid w:val="0071088A"/>
    <w:rsid w:val="00711D6D"/>
    <w:rsid w:val="00711FD9"/>
    <w:rsid w:val="00713FB6"/>
    <w:rsid w:val="00715794"/>
    <w:rsid w:val="007158F8"/>
    <w:rsid w:val="007161A1"/>
    <w:rsid w:val="0071635D"/>
    <w:rsid w:val="00716830"/>
    <w:rsid w:val="00716FE6"/>
    <w:rsid w:val="0071720A"/>
    <w:rsid w:val="00717DCD"/>
    <w:rsid w:val="00720027"/>
    <w:rsid w:val="007202E3"/>
    <w:rsid w:val="00720C86"/>
    <w:rsid w:val="00722252"/>
    <w:rsid w:val="007236B2"/>
    <w:rsid w:val="007259B7"/>
    <w:rsid w:val="00725FFF"/>
    <w:rsid w:val="007274A4"/>
    <w:rsid w:val="007276F0"/>
    <w:rsid w:val="00727769"/>
    <w:rsid w:val="0072788F"/>
    <w:rsid w:val="00727E3C"/>
    <w:rsid w:val="00730844"/>
    <w:rsid w:val="00731475"/>
    <w:rsid w:val="00733EEF"/>
    <w:rsid w:val="00734123"/>
    <w:rsid w:val="00735038"/>
    <w:rsid w:val="007351F5"/>
    <w:rsid w:val="007354C0"/>
    <w:rsid w:val="007354E2"/>
    <w:rsid w:val="00735722"/>
    <w:rsid w:val="0073712B"/>
    <w:rsid w:val="00737C33"/>
    <w:rsid w:val="00740D2A"/>
    <w:rsid w:val="00741B40"/>
    <w:rsid w:val="00742B18"/>
    <w:rsid w:val="007433DB"/>
    <w:rsid w:val="00743B38"/>
    <w:rsid w:val="00743B6B"/>
    <w:rsid w:val="00743CE5"/>
    <w:rsid w:val="00744330"/>
    <w:rsid w:val="00744F1D"/>
    <w:rsid w:val="00744F6D"/>
    <w:rsid w:val="00746A5D"/>
    <w:rsid w:val="0075052D"/>
    <w:rsid w:val="0075054D"/>
    <w:rsid w:val="007507FE"/>
    <w:rsid w:val="00750CD2"/>
    <w:rsid w:val="00751221"/>
    <w:rsid w:val="00751262"/>
    <w:rsid w:val="0075152D"/>
    <w:rsid w:val="007517F2"/>
    <w:rsid w:val="0075297F"/>
    <w:rsid w:val="00754B8D"/>
    <w:rsid w:val="00754ED6"/>
    <w:rsid w:val="00755EC4"/>
    <w:rsid w:val="007563D4"/>
    <w:rsid w:val="007567E0"/>
    <w:rsid w:val="007575F5"/>
    <w:rsid w:val="00762689"/>
    <w:rsid w:val="00762DE7"/>
    <w:rsid w:val="00762F99"/>
    <w:rsid w:val="007634A0"/>
    <w:rsid w:val="007649E7"/>
    <w:rsid w:val="00764BA2"/>
    <w:rsid w:val="00764FCA"/>
    <w:rsid w:val="007711C0"/>
    <w:rsid w:val="00771B71"/>
    <w:rsid w:val="00771FB2"/>
    <w:rsid w:val="0077225D"/>
    <w:rsid w:val="00772575"/>
    <w:rsid w:val="0077261E"/>
    <w:rsid w:val="00772D2E"/>
    <w:rsid w:val="00772DB9"/>
    <w:rsid w:val="00772FE5"/>
    <w:rsid w:val="00773A94"/>
    <w:rsid w:val="00774A61"/>
    <w:rsid w:val="0077645F"/>
    <w:rsid w:val="007809BC"/>
    <w:rsid w:val="00781352"/>
    <w:rsid w:val="00781681"/>
    <w:rsid w:val="007822CC"/>
    <w:rsid w:val="00783C3B"/>
    <w:rsid w:val="007863D7"/>
    <w:rsid w:val="007874FD"/>
    <w:rsid w:val="00787848"/>
    <w:rsid w:val="00790953"/>
    <w:rsid w:val="0079096E"/>
    <w:rsid w:val="0079159E"/>
    <w:rsid w:val="00791949"/>
    <w:rsid w:val="0079227D"/>
    <w:rsid w:val="00792EA1"/>
    <w:rsid w:val="00795394"/>
    <w:rsid w:val="0079591E"/>
    <w:rsid w:val="00797078"/>
    <w:rsid w:val="00797AC3"/>
    <w:rsid w:val="00797B6A"/>
    <w:rsid w:val="007A04EF"/>
    <w:rsid w:val="007A0F10"/>
    <w:rsid w:val="007A1E55"/>
    <w:rsid w:val="007A2201"/>
    <w:rsid w:val="007A286F"/>
    <w:rsid w:val="007A328D"/>
    <w:rsid w:val="007A330E"/>
    <w:rsid w:val="007A390D"/>
    <w:rsid w:val="007A570F"/>
    <w:rsid w:val="007A637D"/>
    <w:rsid w:val="007A6828"/>
    <w:rsid w:val="007A74C3"/>
    <w:rsid w:val="007A7BC6"/>
    <w:rsid w:val="007A7EBE"/>
    <w:rsid w:val="007B13DD"/>
    <w:rsid w:val="007B161F"/>
    <w:rsid w:val="007B351A"/>
    <w:rsid w:val="007B4C6A"/>
    <w:rsid w:val="007B57A2"/>
    <w:rsid w:val="007B73CC"/>
    <w:rsid w:val="007B7CC8"/>
    <w:rsid w:val="007C10D1"/>
    <w:rsid w:val="007C2107"/>
    <w:rsid w:val="007C24D8"/>
    <w:rsid w:val="007C35D6"/>
    <w:rsid w:val="007C42E9"/>
    <w:rsid w:val="007C44EA"/>
    <w:rsid w:val="007C4B49"/>
    <w:rsid w:val="007C55CC"/>
    <w:rsid w:val="007C57FB"/>
    <w:rsid w:val="007C619F"/>
    <w:rsid w:val="007C72CE"/>
    <w:rsid w:val="007C7850"/>
    <w:rsid w:val="007D04B2"/>
    <w:rsid w:val="007D0A9C"/>
    <w:rsid w:val="007D1C12"/>
    <w:rsid w:val="007D4686"/>
    <w:rsid w:val="007D5677"/>
    <w:rsid w:val="007D5A08"/>
    <w:rsid w:val="007D6D12"/>
    <w:rsid w:val="007D6FC8"/>
    <w:rsid w:val="007E1364"/>
    <w:rsid w:val="007E66AE"/>
    <w:rsid w:val="007F0AA4"/>
    <w:rsid w:val="007F0C7D"/>
    <w:rsid w:val="007F14B4"/>
    <w:rsid w:val="007F155D"/>
    <w:rsid w:val="007F1946"/>
    <w:rsid w:val="007F198B"/>
    <w:rsid w:val="007F1B60"/>
    <w:rsid w:val="007F1D47"/>
    <w:rsid w:val="007F2692"/>
    <w:rsid w:val="007F33FD"/>
    <w:rsid w:val="007F4308"/>
    <w:rsid w:val="007F4C70"/>
    <w:rsid w:val="007F7017"/>
    <w:rsid w:val="00803F35"/>
    <w:rsid w:val="0080443B"/>
    <w:rsid w:val="00805818"/>
    <w:rsid w:val="0081022B"/>
    <w:rsid w:val="008103C2"/>
    <w:rsid w:val="00810F8D"/>
    <w:rsid w:val="008118EE"/>
    <w:rsid w:val="00811AA4"/>
    <w:rsid w:val="00811C96"/>
    <w:rsid w:val="0081290D"/>
    <w:rsid w:val="0081303F"/>
    <w:rsid w:val="00813402"/>
    <w:rsid w:val="00813E57"/>
    <w:rsid w:val="0081414D"/>
    <w:rsid w:val="008141B6"/>
    <w:rsid w:val="00815322"/>
    <w:rsid w:val="008153B8"/>
    <w:rsid w:val="008156F3"/>
    <w:rsid w:val="00815FCE"/>
    <w:rsid w:val="008161B2"/>
    <w:rsid w:val="008176A3"/>
    <w:rsid w:val="008205AD"/>
    <w:rsid w:val="00820E40"/>
    <w:rsid w:val="00822195"/>
    <w:rsid w:val="008227F5"/>
    <w:rsid w:val="00822D99"/>
    <w:rsid w:val="008242F7"/>
    <w:rsid w:val="008248FF"/>
    <w:rsid w:val="008265FB"/>
    <w:rsid w:val="008266F1"/>
    <w:rsid w:val="00827156"/>
    <w:rsid w:val="00830FB0"/>
    <w:rsid w:val="00831015"/>
    <w:rsid w:val="00832284"/>
    <w:rsid w:val="00832FA1"/>
    <w:rsid w:val="00833E98"/>
    <w:rsid w:val="008367DD"/>
    <w:rsid w:val="00837027"/>
    <w:rsid w:val="008400F0"/>
    <w:rsid w:val="00840A9B"/>
    <w:rsid w:val="00840F94"/>
    <w:rsid w:val="008412A1"/>
    <w:rsid w:val="008412D3"/>
    <w:rsid w:val="0084217A"/>
    <w:rsid w:val="008424B1"/>
    <w:rsid w:val="0084301D"/>
    <w:rsid w:val="00843CA9"/>
    <w:rsid w:val="008443BB"/>
    <w:rsid w:val="008474DD"/>
    <w:rsid w:val="00847C5F"/>
    <w:rsid w:val="00847FA8"/>
    <w:rsid w:val="00850709"/>
    <w:rsid w:val="0085099F"/>
    <w:rsid w:val="00850B80"/>
    <w:rsid w:val="008511C8"/>
    <w:rsid w:val="008519CB"/>
    <w:rsid w:val="00852C1E"/>
    <w:rsid w:val="00852F7B"/>
    <w:rsid w:val="008538E2"/>
    <w:rsid w:val="00853A72"/>
    <w:rsid w:val="00854A76"/>
    <w:rsid w:val="00854CCE"/>
    <w:rsid w:val="00856044"/>
    <w:rsid w:val="00856D4C"/>
    <w:rsid w:val="00856D78"/>
    <w:rsid w:val="0085759A"/>
    <w:rsid w:val="00860AD8"/>
    <w:rsid w:val="00861336"/>
    <w:rsid w:val="008619CF"/>
    <w:rsid w:val="00861D3E"/>
    <w:rsid w:val="00862BC4"/>
    <w:rsid w:val="00863E61"/>
    <w:rsid w:val="00865000"/>
    <w:rsid w:val="0086599F"/>
    <w:rsid w:val="00866C6C"/>
    <w:rsid w:val="008679E0"/>
    <w:rsid w:val="00870679"/>
    <w:rsid w:val="00870F98"/>
    <w:rsid w:val="00873D67"/>
    <w:rsid w:val="008740FA"/>
    <w:rsid w:val="0087691B"/>
    <w:rsid w:val="00877176"/>
    <w:rsid w:val="00882FEB"/>
    <w:rsid w:val="0088363B"/>
    <w:rsid w:val="00884B58"/>
    <w:rsid w:val="00885FDC"/>
    <w:rsid w:val="00886E0B"/>
    <w:rsid w:val="00887C86"/>
    <w:rsid w:val="008906A6"/>
    <w:rsid w:val="008914DF"/>
    <w:rsid w:val="00891E9C"/>
    <w:rsid w:val="008920BB"/>
    <w:rsid w:val="00892347"/>
    <w:rsid w:val="00892494"/>
    <w:rsid w:val="00893BBF"/>
    <w:rsid w:val="008943A6"/>
    <w:rsid w:val="0089484C"/>
    <w:rsid w:val="0089491D"/>
    <w:rsid w:val="008955CF"/>
    <w:rsid w:val="008955E9"/>
    <w:rsid w:val="00895C33"/>
    <w:rsid w:val="008965B3"/>
    <w:rsid w:val="00897F3C"/>
    <w:rsid w:val="008A1147"/>
    <w:rsid w:val="008A1770"/>
    <w:rsid w:val="008A1F8A"/>
    <w:rsid w:val="008A21C5"/>
    <w:rsid w:val="008A255C"/>
    <w:rsid w:val="008A2D9A"/>
    <w:rsid w:val="008A4139"/>
    <w:rsid w:val="008A4814"/>
    <w:rsid w:val="008A5B83"/>
    <w:rsid w:val="008A6138"/>
    <w:rsid w:val="008A75EC"/>
    <w:rsid w:val="008B02E3"/>
    <w:rsid w:val="008B186B"/>
    <w:rsid w:val="008B46C9"/>
    <w:rsid w:val="008B5EF6"/>
    <w:rsid w:val="008B766A"/>
    <w:rsid w:val="008C163F"/>
    <w:rsid w:val="008C215E"/>
    <w:rsid w:val="008C2FA7"/>
    <w:rsid w:val="008C301A"/>
    <w:rsid w:val="008C547D"/>
    <w:rsid w:val="008C5AEF"/>
    <w:rsid w:val="008C5E9B"/>
    <w:rsid w:val="008C6FBE"/>
    <w:rsid w:val="008D262F"/>
    <w:rsid w:val="008D358F"/>
    <w:rsid w:val="008D3C99"/>
    <w:rsid w:val="008D4A13"/>
    <w:rsid w:val="008D592D"/>
    <w:rsid w:val="008D7AA9"/>
    <w:rsid w:val="008D7EE4"/>
    <w:rsid w:val="008E0110"/>
    <w:rsid w:val="008E0303"/>
    <w:rsid w:val="008E081D"/>
    <w:rsid w:val="008E0F64"/>
    <w:rsid w:val="008E1BFA"/>
    <w:rsid w:val="008E2991"/>
    <w:rsid w:val="008E3D03"/>
    <w:rsid w:val="008E6153"/>
    <w:rsid w:val="008E63A8"/>
    <w:rsid w:val="008E6CAD"/>
    <w:rsid w:val="008E74F0"/>
    <w:rsid w:val="008F024E"/>
    <w:rsid w:val="008F163C"/>
    <w:rsid w:val="008F1692"/>
    <w:rsid w:val="008F1CF5"/>
    <w:rsid w:val="008F231F"/>
    <w:rsid w:val="008F2EB6"/>
    <w:rsid w:val="008F67DC"/>
    <w:rsid w:val="008F691D"/>
    <w:rsid w:val="008F6966"/>
    <w:rsid w:val="008F7183"/>
    <w:rsid w:val="008F7645"/>
    <w:rsid w:val="00900D09"/>
    <w:rsid w:val="0090160E"/>
    <w:rsid w:val="0090193B"/>
    <w:rsid w:val="00901A1C"/>
    <w:rsid w:val="00903108"/>
    <w:rsid w:val="00903AFC"/>
    <w:rsid w:val="00903E09"/>
    <w:rsid w:val="0090460A"/>
    <w:rsid w:val="00904E1A"/>
    <w:rsid w:val="00905503"/>
    <w:rsid w:val="00906039"/>
    <w:rsid w:val="009106B7"/>
    <w:rsid w:val="00910D1F"/>
    <w:rsid w:val="00911136"/>
    <w:rsid w:val="009112C1"/>
    <w:rsid w:val="00911BE0"/>
    <w:rsid w:val="00912012"/>
    <w:rsid w:val="00912F5E"/>
    <w:rsid w:val="0091300B"/>
    <w:rsid w:val="009132D6"/>
    <w:rsid w:val="00913791"/>
    <w:rsid w:val="00914BC3"/>
    <w:rsid w:val="009151CE"/>
    <w:rsid w:val="009210AB"/>
    <w:rsid w:val="00922FF0"/>
    <w:rsid w:val="0092318D"/>
    <w:rsid w:val="009233C4"/>
    <w:rsid w:val="009243D2"/>
    <w:rsid w:val="00924CE2"/>
    <w:rsid w:val="00924E79"/>
    <w:rsid w:val="00924F01"/>
    <w:rsid w:val="00925597"/>
    <w:rsid w:val="009260D2"/>
    <w:rsid w:val="0092687D"/>
    <w:rsid w:val="00930343"/>
    <w:rsid w:val="00930763"/>
    <w:rsid w:val="0093296B"/>
    <w:rsid w:val="00932BA6"/>
    <w:rsid w:val="00933988"/>
    <w:rsid w:val="00934D6A"/>
    <w:rsid w:val="00936D5C"/>
    <w:rsid w:val="009404D9"/>
    <w:rsid w:val="0094086B"/>
    <w:rsid w:val="00940EFB"/>
    <w:rsid w:val="00941B74"/>
    <w:rsid w:val="00942A69"/>
    <w:rsid w:val="0094319B"/>
    <w:rsid w:val="00943C6A"/>
    <w:rsid w:val="00943E03"/>
    <w:rsid w:val="00943E9F"/>
    <w:rsid w:val="00944775"/>
    <w:rsid w:val="00944A14"/>
    <w:rsid w:val="009456D3"/>
    <w:rsid w:val="00946BCC"/>
    <w:rsid w:val="00950251"/>
    <w:rsid w:val="009503FA"/>
    <w:rsid w:val="00950F4F"/>
    <w:rsid w:val="00950F96"/>
    <w:rsid w:val="009514F2"/>
    <w:rsid w:val="0095231F"/>
    <w:rsid w:val="0095452E"/>
    <w:rsid w:val="0095530E"/>
    <w:rsid w:val="00955D0B"/>
    <w:rsid w:val="009562AA"/>
    <w:rsid w:val="00956AF9"/>
    <w:rsid w:val="00957E61"/>
    <w:rsid w:val="0096014C"/>
    <w:rsid w:val="009604B8"/>
    <w:rsid w:val="00960577"/>
    <w:rsid w:val="009605E7"/>
    <w:rsid w:val="00960887"/>
    <w:rsid w:val="00963357"/>
    <w:rsid w:val="00964B98"/>
    <w:rsid w:val="00965B74"/>
    <w:rsid w:val="00966552"/>
    <w:rsid w:val="00966D63"/>
    <w:rsid w:val="00967882"/>
    <w:rsid w:val="009706F6"/>
    <w:rsid w:val="00970C13"/>
    <w:rsid w:val="00971481"/>
    <w:rsid w:val="009717E6"/>
    <w:rsid w:val="009717EB"/>
    <w:rsid w:val="00971E82"/>
    <w:rsid w:val="0097285C"/>
    <w:rsid w:val="00972DFC"/>
    <w:rsid w:val="00973074"/>
    <w:rsid w:val="00976E36"/>
    <w:rsid w:val="00977BF4"/>
    <w:rsid w:val="0098014D"/>
    <w:rsid w:val="0098093A"/>
    <w:rsid w:val="0098170A"/>
    <w:rsid w:val="00981A93"/>
    <w:rsid w:val="00981E56"/>
    <w:rsid w:val="009820EB"/>
    <w:rsid w:val="00982AB4"/>
    <w:rsid w:val="009835EC"/>
    <w:rsid w:val="00983B46"/>
    <w:rsid w:val="00984137"/>
    <w:rsid w:val="00985F6E"/>
    <w:rsid w:val="00986105"/>
    <w:rsid w:val="00986E5F"/>
    <w:rsid w:val="009876D1"/>
    <w:rsid w:val="0099022C"/>
    <w:rsid w:val="009904B9"/>
    <w:rsid w:val="00990D1A"/>
    <w:rsid w:val="009917A3"/>
    <w:rsid w:val="00992657"/>
    <w:rsid w:val="0099336C"/>
    <w:rsid w:val="00993DF2"/>
    <w:rsid w:val="00994A48"/>
    <w:rsid w:val="009956C7"/>
    <w:rsid w:val="0099664E"/>
    <w:rsid w:val="00996E69"/>
    <w:rsid w:val="009970D9"/>
    <w:rsid w:val="0099767B"/>
    <w:rsid w:val="00997FE1"/>
    <w:rsid w:val="009A0244"/>
    <w:rsid w:val="009A07D6"/>
    <w:rsid w:val="009A0CA4"/>
    <w:rsid w:val="009A0D4A"/>
    <w:rsid w:val="009A2113"/>
    <w:rsid w:val="009A3727"/>
    <w:rsid w:val="009A3B5C"/>
    <w:rsid w:val="009A42A7"/>
    <w:rsid w:val="009A4F07"/>
    <w:rsid w:val="009A7FEF"/>
    <w:rsid w:val="009B15DB"/>
    <w:rsid w:val="009B1D8D"/>
    <w:rsid w:val="009B33EC"/>
    <w:rsid w:val="009B3422"/>
    <w:rsid w:val="009B3826"/>
    <w:rsid w:val="009B3B74"/>
    <w:rsid w:val="009B63AC"/>
    <w:rsid w:val="009B7863"/>
    <w:rsid w:val="009C0C97"/>
    <w:rsid w:val="009C1A14"/>
    <w:rsid w:val="009C24E9"/>
    <w:rsid w:val="009C27F0"/>
    <w:rsid w:val="009C2BAF"/>
    <w:rsid w:val="009C4D7E"/>
    <w:rsid w:val="009C5E6D"/>
    <w:rsid w:val="009C7662"/>
    <w:rsid w:val="009C795B"/>
    <w:rsid w:val="009D0506"/>
    <w:rsid w:val="009D1331"/>
    <w:rsid w:val="009D1ACB"/>
    <w:rsid w:val="009D2B91"/>
    <w:rsid w:val="009D2DC7"/>
    <w:rsid w:val="009D32C4"/>
    <w:rsid w:val="009D42CB"/>
    <w:rsid w:val="009D4A82"/>
    <w:rsid w:val="009D6618"/>
    <w:rsid w:val="009D714B"/>
    <w:rsid w:val="009D765A"/>
    <w:rsid w:val="009D7D88"/>
    <w:rsid w:val="009E02D3"/>
    <w:rsid w:val="009E160F"/>
    <w:rsid w:val="009E16E3"/>
    <w:rsid w:val="009E3C1B"/>
    <w:rsid w:val="009E3DBE"/>
    <w:rsid w:val="009E470A"/>
    <w:rsid w:val="009E495E"/>
    <w:rsid w:val="009E4ECD"/>
    <w:rsid w:val="009E5376"/>
    <w:rsid w:val="009E5C7E"/>
    <w:rsid w:val="009E60E2"/>
    <w:rsid w:val="009E6A3B"/>
    <w:rsid w:val="009E6B1C"/>
    <w:rsid w:val="009E6C40"/>
    <w:rsid w:val="009F1BDE"/>
    <w:rsid w:val="009F33B9"/>
    <w:rsid w:val="009F3D83"/>
    <w:rsid w:val="009F4AC0"/>
    <w:rsid w:val="009F6CD0"/>
    <w:rsid w:val="00A021AB"/>
    <w:rsid w:val="00A02222"/>
    <w:rsid w:val="00A0238E"/>
    <w:rsid w:val="00A02DE4"/>
    <w:rsid w:val="00A03272"/>
    <w:rsid w:val="00A043C4"/>
    <w:rsid w:val="00A044CB"/>
    <w:rsid w:val="00A04856"/>
    <w:rsid w:val="00A11051"/>
    <w:rsid w:val="00A1264C"/>
    <w:rsid w:val="00A12D7E"/>
    <w:rsid w:val="00A13863"/>
    <w:rsid w:val="00A13FC1"/>
    <w:rsid w:val="00A142E1"/>
    <w:rsid w:val="00A14D90"/>
    <w:rsid w:val="00A1584E"/>
    <w:rsid w:val="00A173AF"/>
    <w:rsid w:val="00A20203"/>
    <w:rsid w:val="00A20AC0"/>
    <w:rsid w:val="00A20DB4"/>
    <w:rsid w:val="00A229B9"/>
    <w:rsid w:val="00A23229"/>
    <w:rsid w:val="00A2352A"/>
    <w:rsid w:val="00A2371C"/>
    <w:rsid w:val="00A240E9"/>
    <w:rsid w:val="00A24D24"/>
    <w:rsid w:val="00A24E6A"/>
    <w:rsid w:val="00A253D6"/>
    <w:rsid w:val="00A25579"/>
    <w:rsid w:val="00A314C2"/>
    <w:rsid w:val="00A32B22"/>
    <w:rsid w:val="00A340B9"/>
    <w:rsid w:val="00A349B7"/>
    <w:rsid w:val="00A35EA1"/>
    <w:rsid w:val="00A377AE"/>
    <w:rsid w:val="00A37BD9"/>
    <w:rsid w:val="00A37FC6"/>
    <w:rsid w:val="00A40C8C"/>
    <w:rsid w:val="00A41247"/>
    <w:rsid w:val="00A41CF8"/>
    <w:rsid w:val="00A41FCF"/>
    <w:rsid w:val="00A4267F"/>
    <w:rsid w:val="00A42CAB"/>
    <w:rsid w:val="00A43C5E"/>
    <w:rsid w:val="00A44000"/>
    <w:rsid w:val="00A451F2"/>
    <w:rsid w:val="00A45C00"/>
    <w:rsid w:val="00A47170"/>
    <w:rsid w:val="00A473BF"/>
    <w:rsid w:val="00A509BA"/>
    <w:rsid w:val="00A5111B"/>
    <w:rsid w:val="00A52424"/>
    <w:rsid w:val="00A53956"/>
    <w:rsid w:val="00A5563D"/>
    <w:rsid w:val="00A55FDC"/>
    <w:rsid w:val="00A56EF1"/>
    <w:rsid w:val="00A607F3"/>
    <w:rsid w:val="00A61258"/>
    <w:rsid w:val="00A61CBE"/>
    <w:rsid w:val="00A62BF8"/>
    <w:rsid w:val="00A65465"/>
    <w:rsid w:val="00A65D19"/>
    <w:rsid w:val="00A65EE3"/>
    <w:rsid w:val="00A66DC2"/>
    <w:rsid w:val="00A66E75"/>
    <w:rsid w:val="00A67672"/>
    <w:rsid w:val="00A71217"/>
    <w:rsid w:val="00A71CC2"/>
    <w:rsid w:val="00A71D90"/>
    <w:rsid w:val="00A7226B"/>
    <w:rsid w:val="00A72DE2"/>
    <w:rsid w:val="00A73179"/>
    <w:rsid w:val="00A744FD"/>
    <w:rsid w:val="00A749BC"/>
    <w:rsid w:val="00A74F93"/>
    <w:rsid w:val="00A756EC"/>
    <w:rsid w:val="00A75FD8"/>
    <w:rsid w:val="00A76FC5"/>
    <w:rsid w:val="00A775EE"/>
    <w:rsid w:val="00A778BE"/>
    <w:rsid w:val="00A77935"/>
    <w:rsid w:val="00A77F8F"/>
    <w:rsid w:val="00A8194A"/>
    <w:rsid w:val="00A8219B"/>
    <w:rsid w:val="00A825F7"/>
    <w:rsid w:val="00A83994"/>
    <w:rsid w:val="00A83C3C"/>
    <w:rsid w:val="00A84CF5"/>
    <w:rsid w:val="00A85B35"/>
    <w:rsid w:val="00A8670B"/>
    <w:rsid w:val="00A878EC"/>
    <w:rsid w:val="00A879F3"/>
    <w:rsid w:val="00A900DE"/>
    <w:rsid w:val="00A91C3D"/>
    <w:rsid w:val="00A91EF0"/>
    <w:rsid w:val="00A92405"/>
    <w:rsid w:val="00A92A37"/>
    <w:rsid w:val="00A92EC9"/>
    <w:rsid w:val="00A92F33"/>
    <w:rsid w:val="00A9513E"/>
    <w:rsid w:val="00A96F0C"/>
    <w:rsid w:val="00A97305"/>
    <w:rsid w:val="00AA1A4C"/>
    <w:rsid w:val="00AA1F2E"/>
    <w:rsid w:val="00AA2220"/>
    <w:rsid w:val="00AA4124"/>
    <w:rsid w:val="00AA510C"/>
    <w:rsid w:val="00AA523B"/>
    <w:rsid w:val="00AA5932"/>
    <w:rsid w:val="00AA6F64"/>
    <w:rsid w:val="00AA7008"/>
    <w:rsid w:val="00AB34E3"/>
    <w:rsid w:val="00AB37F4"/>
    <w:rsid w:val="00AB43F6"/>
    <w:rsid w:val="00AB502E"/>
    <w:rsid w:val="00AB71B9"/>
    <w:rsid w:val="00AB7BF3"/>
    <w:rsid w:val="00AC0FF4"/>
    <w:rsid w:val="00AC105F"/>
    <w:rsid w:val="00AC3651"/>
    <w:rsid w:val="00AC3656"/>
    <w:rsid w:val="00AC50C4"/>
    <w:rsid w:val="00AC5990"/>
    <w:rsid w:val="00AC5C15"/>
    <w:rsid w:val="00AC6E41"/>
    <w:rsid w:val="00AC785E"/>
    <w:rsid w:val="00AD143C"/>
    <w:rsid w:val="00AD1791"/>
    <w:rsid w:val="00AD306D"/>
    <w:rsid w:val="00AD5D34"/>
    <w:rsid w:val="00AD5F01"/>
    <w:rsid w:val="00AD60BC"/>
    <w:rsid w:val="00AD6B86"/>
    <w:rsid w:val="00AD7297"/>
    <w:rsid w:val="00AD7C2F"/>
    <w:rsid w:val="00AE077D"/>
    <w:rsid w:val="00AE0FF6"/>
    <w:rsid w:val="00AE13BF"/>
    <w:rsid w:val="00AE197B"/>
    <w:rsid w:val="00AE4746"/>
    <w:rsid w:val="00AE4B06"/>
    <w:rsid w:val="00AE4FFB"/>
    <w:rsid w:val="00AE758F"/>
    <w:rsid w:val="00AE7CE4"/>
    <w:rsid w:val="00AF01AF"/>
    <w:rsid w:val="00AF2A4D"/>
    <w:rsid w:val="00AF2D50"/>
    <w:rsid w:val="00AF3958"/>
    <w:rsid w:val="00AF524C"/>
    <w:rsid w:val="00AF5D65"/>
    <w:rsid w:val="00AF6734"/>
    <w:rsid w:val="00AF7997"/>
    <w:rsid w:val="00B00768"/>
    <w:rsid w:val="00B01014"/>
    <w:rsid w:val="00B022A5"/>
    <w:rsid w:val="00B023D2"/>
    <w:rsid w:val="00B02D69"/>
    <w:rsid w:val="00B05006"/>
    <w:rsid w:val="00B05837"/>
    <w:rsid w:val="00B062B7"/>
    <w:rsid w:val="00B06416"/>
    <w:rsid w:val="00B0704F"/>
    <w:rsid w:val="00B07D94"/>
    <w:rsid w:val="00B106A4"/>
    <w:rsid w:val="00B115BA"/>
    <w:rsid w:val="00B1191C"/>
    <w:rsid w:val="00B126BB"/>
    <w:rsid w:val="00B1392C"/>
    <w:rsid w:val="00B13BBA"/>
    <w:rsid w:val="00B14025"/>
    <w:rsid w:val="00B1433F"/>
    <w:rsid w:val="00B14D79"/>
    <w:rsid w:val="00B14EA8"/>
    <w:rsid w:val="00B15619"/>
    <w:rsid w:val="00B16772"/>
    <w:rsid w:val="00B16874"/>
    <w:rsid w:val="00B172C6"/>
    <w:rsid w:val="00B17F2B"/>
    <w:rsid w:val="00B17FD9"/>
    <w:rsid w:val="00B20015"/>
    <w:rsid w:val="00B20544"/>
    <w:rsid w:val="00B20E15"/>
    <w:rsid w:val="00B21289"/>
    <w:rsid w:val="00B22758"/>
    <w:rsid w:val="00B22820"/>
    <w:rsid w:val="00B23A54"/>
    <w:rsid w:val="00B23E32"/>
    <w:rsid w:val="00B23F22"/>
    <w:rsid w:val="00B23F95"/>
    <w:rsid w:val="00B25931"/>
    <w:rsid w:val="00B26BC7"/>
    <w:rsid w:val="00B27662"/>
    <w:rsid w:val="00B27806"/>
    <w:rsid w:val="00B27926"/>
    <w:rsid w:val="00B27B20"/>
    <w:rsid w:val="00B30010"/>
    <w:rsid w:val="00B306C0"/>
    <w:rsid w:val="00B30B72"/>
    <w:rsid w:val="00B34990"/>
    <w:rsid w:val="00B3533B"/>
    <w:rsid w:val="00B35BD1"/>
    <w:rsid w:val="00B367A8"/>
    <w:rsid w:val="00B37D99"/>
    <w:rsid w:val="00B42FCD"/>
    <w:rsid w:val="00B459F2"/>
    <w:rsid w:val="00B467B4"/>
    <w:rsid w:val="00B468F6"/>
    <w:rsid w:val="00B502B1"/>
    <w:rsid w:val="00B50AD2"/>
    <w:rsid w:val="00B5129E"/>
    <w:rsid w:val="00B52671"/>
    <w:rsid w:val="00B5367C"/>
    <w:rsid w:val="00B5382C"/>
    <w:rsid w:val="00B53E5B"/>
    <w:rsid w:val="00B54566"/>
    <w:rsid w:val="00B5483B"/>
    <w:rsid w:val="00B56507"/>
    <w:rsid w:val="00B568BE"/>
    <w:rsid w:val="00B56D14"/>
    <w:rsid w:val="00B57E66"/>
    <w:rsid w:val="00B634D1"/>
    <w:rsid w:val="00B63515"/>
    <w:rsid w:val="00B63EC1"/>
    <w:rsid w:val="00B64632"/>
    <w:rsid w:val="00B66934"/>
    <w:rsid w:val="00B66FA9"/>
    <w:rsid w:val="00B678D8"/>
    <w:rsid w:val="00B70A95"/>
    <w:rsid w:val="00B715C6"/>
    <w:rsid w:val="00B737AE"/>
    <w:rsid w:val="00B737B5"/>
    <w:rsid w:val="00B738DD"/>
    <w:rsid w:val="00B73F1F"/>
    <w:rsid w:val="00B753CB"/>
    <w:rsid w:val="00B7667C"/>
    <w:rsid w:val="00B76F5A"/>
    <w:rsid w:val="00B772D7"/>
    <w:rsid w:val="00B7766A"/>
    <w:rsid w:val="00B80744"/>
    <w:rsid w:val="00B818CE"/>
    <w:rsid w:val="00B82268"/>
    <w:rsid w:val="00B83157"/>
    <w:rsid w:val="00B84086"/>
    <w:rsid w:val="00B8411B"/>
    <w:rsid w:val="00B841CF"/>
    <w:rsid w:val="00B8621B"/>
    <w:rsid w:val="00B8696D"/>
    <w:rsid w:val="00B86D50"/>
    <w:rsid w:val="00B87269"/>
    <w:rsid w:val="00B9056D"/>
    <w:rsid w:val="00B90861"/>
    <w:rsid w:val="00B91AE7"/>
    <w:rsid w:val="00B92A0F"/>
    <w:rsid w:val="00B92E30"/>
    <w:rsid w:val="00B94038"/>
    <w:rsid w:val="00B9530D"/>
    <w:rsid w:val="00BA17D6"/>
    <w:rsid w:val="00BA33D7"/>
    <w:rsid w:val="00BA35C3"/>
    <w:rsid w:val="00BA3674"/>
    <w:rsid w:val="00BA3FA2"/>
    <w:rsid w:val="00BA63FE"/>
    <w:rsid w:val="00BA6C2D"/>
    <w:rsid w:val="00BA798A"/>
    <w:rsid w:val="00BB015A"/>
    <w:rsid w:val="00BB05D4"/>
    <w:rsid w:val="00BB2566"/>
    <w:rsid w:val="00BB25D2"/>
    <w:rsid w:val="00BB349C"/>
    <w:rsid w:val="00BB471B"/>
    <w:rsid w:val="00BB4BEF"/>
    <w:rsid w:val="00BB5FAA"/>
    <w:rsid w:val="00BB75EC"/>
    <w:rsid w:val="00BB7ACC"/>
    <w:rsid w:val="00BB7F03"/>
    <w:rsid w:val="00BC05A4"/>
    <w:rsid w:val="00BC070B"/>
    <w:rsid w:val="00BC1A42"/>
    <w:rsid w:val="00BC2427"/>
    <w:rsid w:val="00BC4699"/>
    <w:rsid w:val="00BC52DA"/>
    <w:rsid w:val="00BC61E0"/>
    <w:rsid w:val="00BC729D"/>
    <w:rsid w:val="00BD0845"/>
    <w:rsid w:val="00BD1B14"/>
    <w:rsid w:val="00BD25F2"/>
    <w:rsid w:val="00BD2AD8"/>
    <w:rsid w:val="00BD3C01"/>
    <w:rsid w:val="00BD3DD7"/>
    <w:rsid w:val="00BD5469"/>
    <w:rsid w:val="00BD6208"/>
    <w:rsid w:val="00BD653E"/>
    <w:rsid w:val="00BD70E6"/>
    <w:rsid w:val="00BE0E58"/>
    <w:rsid w:val="00BE0F79"/>
    <w:rsid w:val="00BE1ED6"/>
    <w:rsid w:val="00BE1FF0"/>
    <w:rsid w:val="00BE2271"/>
    <w:rsid w:val="00BE2EF3"/>
    <w:rsid w:val="00BE4013"/>
    <w:rsid w:val="00BE513E"/>
    <w:rsid w:val="00BE5247"/>
    <w:rsid w:val="00BE5914"/>
    <w:rsid w:val="00BE5D85"/>
    <w:rsid w:val="00BE67D8"/>
    <w:rsid w:val="00BF00E7"/>
    <w:rsid w:val="00BF1D02"/>
    <w:rsid w:val="00BF229B"/>
    <w:rsid w:val="00BF2366"/>
    <w:rsid w:val="00BF26C7"/>
    <w:rsid w:val="00BF370B"/>
    <w:rsid w:val="00BF4597"/>
    <w:rsid w:val="00BF6921"/>
    <w:rsid w:val="00BF7298"/>
    <w:rsid w:val="00C0368E"/>
    <w:rsid w:val="00C047C3"/>
    <w:rsid w:val="00C05246"/>
    <w:rsid w:val="00C054DA"/>
    <w:rsid w:val="00C06EA5"/>
    <w:rsid w:val="00C10CD4"/>
    <w:rsid w:val="00C12C74"/>
    <w:rsid w:val="00C13248"/>
    <w:rsid w:val="00C1351F"/>
    <w:rsid w:val="00C14F10"/>
    <w:rsid w:val="00C15541"/>
    <w:rsid w:val="00C15CD8"/>
    <w:rsid w:val="00C15DAE"/>
    <w:rsid w:val="00C200C6"/>
    <w:rsid w:val="00C2075C"/>
    <w:rsid w:val="00C217A8"/>
    <w:rsid w:val="00C219E6"/>
    <w:rsid w:val="00C22411"/>
    <w:rsid w:val="00C23203"/>
    <w:rsid w:val="00C23511"/>
    <w:rsid w:val="00C26615"/>
    <w:rsid w:val="00C26928"/>
    <w:rsid w:val="00C26D64"/>
    <w:rsid w:val="00C27D15"/>
    <w:rsid w:val="00C30039"/>
    <w:rsid w:val="00C3033E"/>
    <w:rsid w:val="00C3091C"/>
    <w:rsid w:val="00C31512"/>
    <w:rsid w:val="00C32B15"/>
    <w:rsid w:val="00C337DB"/>
    <w:rsid w:val="00C3395E"/>
    <w:rsid w:val="00C34442"/>
    <w:rsid w:val="00C3452F"/>
    <w:rsid w:val="00C34BD9"/>
    <w:rsid w:val="00C35616"/>
    <w:rsid w:val="00C356CA"/>
    <w:rsid w:val="00C35ED3"/>
    <w:rsid w:val="00C36FB5"/>
    <w:rsid w:val="00C372B9"/>
    <w:rsid w:val="00C40256"/>
    <w:rsid w:val="00C4026D"/>
    <w:rsid w:val="00C4059D"/>
    <w:rsid w:val="00C40A63"/>
    <w:rsid w:val="00C41A7C"/>
    <w:rsid w:val="00C42199"/>
    <w:rsid w:val="00C429F4"/>
    <w:rsid w:val="00C43411"/>
    <w:rsid w:val="00C43AC1"/>
    <w:rsid w:val="00C43D26"/>
    <w:rsid w:val="00C44133"/>
    <w:rsid w:val="00C447B5"/>
    <w:rsid w:val="00C448E9"/>
    <w:rsid w:val="00C4545C"/>
    <w:rsid w:val="00C475F8"/>
    <w:rsid w:val="00C51DAD"/>
    <w:rsid w:val="00C52E3E"/>
    <w:rsid w:val="00C535D4"/>
    <w:rsid w:val="00C53840"/>
    <w:rsid w:val="00C54BE8"/>
    <w:rsid w:val="00C55248"/>
    <w:rsid w:val="00C56451"/>
    <w:rsid w:val="00C56821"/>
    <w:rsid w:val="00C57427"/>
    <w:rsid w:val="00C60A34"/>
    <w:rsid w:val="00C6122C"/>
    <w:rsid w:val="00C619E1"/>
    <w:rsid w:val="00C6239B"/>
    <w:rsid w:val="00C63218"/>
    <w:rsid w:val="00C64D6C"/>
    <w:rsid w:val="00C658A2"/>
    <w:rsid w:val="00C6649B"/>
    <w:rsid w:val="00C66A85"/>
    <w:rsid w:val="00C6779B"/>
    <w:rsid w:val="00C67A04"/>
    <w:rsid w:val="00C70B7A"/>
    <w:rsid w:val="00C711B3"/>
    <w:rsid w:val="00C7204C"/>
    <w:rsid w:val="00C73D14"/>
    <w:rsid w:val="00C75BAE"/>
    <w:rsid w:val="00C82914"/>
    <w:rsid w:val="00C832D7"/>
    <w:rsid w:val="00C84D5F"/>
    <w:rsid w:val="00C84F38"/>
    <w:rsid w:val="00C8752A"/>
    <w:rsid w:val="00C90349"/>
    <w:rsid w:val="00C90948"/>
    <w:rsid w:val="00C937DF"/>
    <w:rsid w:val="00C93A5E"/>
    <w:rsid w:val="00C94A93"/>
    <w:rsid w:val="00C955A5"/>
    <w:rsid w:val="00CA11AF"/>
    <w:rsid w:val="00CA136C"/>
    <w:rsid w:val="00CA17C6"/>
    <w:rsid w:val="00CA1C29"/>
    <w:rsid w:val="00CA2830"/>
    <w:rsid w:val="00CA2A4B"/>
    <w:rsid w:val="00CA2D2D"/>
    <w:rsid w:val="00CA2F82"/>
    <w:rsid w:val="00CA32D6"/>
    <w:rsid w:val="00CA46C4"/>
    <w:rsid w:val="00CA4BBD"/>
    <w:rsid w:val="00CA4DF7"/>
    <w:rsid w:val="00CA51A6"/>
    <w:rsid w:val="00CA67F5"/>
    <w:rsid w:val="00CA703A"/>
    <w:rsid w:val="00CA79E0"/>
    <w:rsid w:val="00CB03D5"/>
    <w:rsid w:val="00CB05A0"/>
    <w:rsid w:val="00CB0B92"/>
    <w:rsid w:val="00CB2769"/>
    <w:rsid w:val="00CB2B97"/>
    <w:rsid w:val="00CB3C2A"/>
    <w:rsid w:val="00CB5FC5"/>
    <w:rsid w:val="00CB6347"/>
    <w:rsid w:val="00CB78F9"/>
    <w:rsid w:val="00CB7D34"/>
    <w:rsid w:val="00CC08E9"/>
    <w:rsid w:val="00CC0B6E"/>
    <w:rsid w:val="00CC1ACA"/>
    <w:rsid w:val="00CC1F6E"/>
    <w:rsid w:val="00CC2353"/>
    <w:rsid w:val="00CC5D45"/>
    <w:rsid w:val="00CC70C3"/>
    <w:rsid w:val="00CC7B00"/>
    <w:rsid w:val="00CD06D4"/>
    <w:rsid w:val="00CD06EF"/>
    <w:rsid w:val="00CD0849"/>
    <w:rsid w:val="00CD0A52"/>
    <w:rsid w:val="00CD25DB"/>
    <w:rsid w:val="00CD2B94"/>
    <w:rsid w:val="00CD3051"/>
    <w:rsid w:val="00CD45FE"/>
    <w:rsid w:val="00CD5FC8"/>
    <w:rsid w:val="00CD5FD2"/>
    <w:rsid w:val="00CD7F01"/>
    <w:rsid w:val="00CE02D6"/>
    <w:rsid w:val="00CE36D9"/>
    <w:rsid w:val="00CE4AC8"/>
    <w:rsid w:val="00CE4D08"/>
    <w:rsid w:val="00CE5A6B"/>
    <w:rsid w:val="00CE6402"/>
    <w:rsid w:val="00CE6766"/>
    <w:rsid w:val="00CE74C4"/>
    <w:rsid w:val="00CF135F"/>
    <w:rsid w:val="00CF1ADC"/>
    <w:rsid w:val="00CF388D"/>
    <w:rsid w:val="00CF43B0"/>
    <w:rsid w:val="00CF5A0B"/>
    <w:rsid w:val="00CF61F9"/>
    <w:rsid w:val="00CF6DC5"/>
    <w:rsid w:val="00D008D8"/>
    <w:rsid w:val="00D017A4"/>
    <w:rsid w:val="00D02680"/>
    <w:rsid w:val="00D03258"/>
    <w:rsid w:val="00D04AC2"/>
    <w:rsid w:val="00D05A50"/>
    <w:rsid w:val="00D0663A"/>
    <w:rsid w:val="00D06985"/>
    <w:rsid w:val="00D10433"/>
    <w:rsid w:val="00D114D0"/>
    <w:rsid w:val="00D12BFF"/>
    <w:rsid w:val="00D15B58"/>
    <w:rsid w:val="00D15E03"/>
    <w:rsid w:val="00D17596"/>
    <w:rsid w:val="00D20BFC"/>
    <w:rsid w:val="00D211BB"/>
    <w:rsid w:val="00D22A2C"/>
    <w:rsid w:val="00D2398D"/>
    <w:rsid w:val="00D2469B"/>
    <w:rsid w:val="00D248BD"/>
    <w:rsid w:val="00D25284"/>
    <w:rsid w:val="00D26AEC"/>
    <w:rsid w:val="00D26F05"/>
    <w:rsid w:val="00D27107"/>
    <w:rsid w:val="00D27DA5"/>
    <w:rsid w:val="00D30E4D"/>
    <w:rsid w:val="00D31890"/>
    <w:rsid w:val="00D31C26"/>
    <w:rsid w:val="00D3239A"/>
    <w:rsid w:val="00D324B2"/>
    <w:rsid w:val="00D342AE"/>
    <w:rsid w:val="00D366AD"/>
    <w:rsid w:val="00D40797"/>
    <w:rsid w:val="00D411FA"/>
    <w:rsid w:val="00D41524"/>
    <w:rsid w:val="00D418DB"/>
    <w:rsid w:val="00D4295F"/>
    <w:rsid w:val="00D453F0"/>
    <w:rsid w:val="00D466AD"/>
    <w:rsid w:val="00D46CA2"/>
    <w:rsid w:val="00D50074"/>
    <w:rsid w:val="00D508BD"/>
    <w:rsid w:val="00D51A90"/>
    <w:rsid w:val="00D52B4D"/>
    <w:rsid w:val="00D540D0"/>
    <w:rsid w:val="00D545A8"/>
    <w:rsid w:val="00D600A4"/>
    <w:rsid w:val="00D60F8A"/>
    <w:rsid w:val="00D63E28"/>
    <w:rsid w:val="00D63F8C"/>
    <w:rsid w:val="00D64D8C"/>
    <w:rsid w:val="00D65812"/>
    <w:rsid w:val="00D65A1E"/>
    <w:rsid w:val="00D6733E"/>
    <w:rsid w:val="00D67406"/>
    <w:rsid w:val="00D70790"/>
    <w:rsid w:val="00D70834"/>
    <w:rsid w:val="00D71874"/>
    <w:rsid w:val="00D7422A"/>
    <w:rsid w:val="00D7530F"/>
    <w:rsid w:val="00D771AB"/>
    <w:rsid w:val="00D77797"/>
    <w:rsid w:val="00D80272"/>
    <w:rsid w:val="00D81AE8"/>
    <w:rsid w:val="00D81F9F"/>
    <w:rsid w:val="00D83568"/>
    <w:rsid w:val="00D8373F"/>
    <w:rsid w:val="00D83C15"/>
    <w:rsid w:val="00D846DC"/>
    <w:rsid w:val="00D849B5"/>
    <w:rsid w:val="00D86844"/>
    <w:rsid w:val="00D86E3C"/>
    <w:rsid w:val="00D906EA"/>
    <w:rsid w:val="00D915D7"/>
    <w:rsid w:val="00D922DD"/>
    <w:rsid w:val="00D92AA1"/>
    <w:rsid w:val="00D92BEE"/>
    <w:rsid w:val="00D92D07"/>
    <w:rsid w:val="00D937AC"/>
    <w:rsid w:val="00D9475A"/>
    <w:rsid w:val="00D95C64"/>
    <w:rsid w:val="00D9653D"/>
    <w:rsid w:val="00D96E1F"/>
    <w:rsid w:val="00D97140"/>
    <w:rsid w:val="00D97780"/>
    <w:rsid w:val="00D97EAA"/>
    <w:rsid w:val="00DA26B9"/>
    <w:rsid w:val="00DA26F3"/>
    <w:rsid w:val="00DA3C15"/>
    <w:rsid w:val="00DA4D52"/>
    <w:rsid w:val="00DA6E14"/>
    <w:rsid w:val="00DA789B"/>
    <w:rsid w:val="00DA7A0F"/>
    <w:rsid w:val="00DB071C"/>
    <w:rsid w:val="00DB1A12"/>
    <w:rsid w:val="00DB1C3F"/>
    <w:rsid w:val="00DB2065"/>
    <w:rsid w:val="00DB2435"/>
    <w:rsid w:val="00DB2A60"/>
    <w:rsid w:val="00DB3ACB"/>
    <w:rsid w:val="00DB3EFE"/>
    <w:rsid w:val="00DB5974"/>
    <w:rsid w:val="00DB5A5B"/>
    <w:rsid w:val="00DB64EB"/>
    <w:rsid w:val="00DB7E6D"/>
    <w:rsid w:val="00DC02B7"/>
    <w:rsid w:val="00DC18E8"/>
    <w:rsid w:val="00DC1A9E"/>
    <w:rsid w:val="00DC2B21"/>
    <w:rsid w:val="00DC2BD1"/>
    <w:rsid w:val="00DC355F"/>
    <w:rsid w:val="00DC65BC"/>
    <w:rsid w:val="00DC682B"/>
    <w:rsid w:val="00DC6A63"/>
    <w:rsid w:val="00DC6C69"/>
    <w:rsid w:val="00DC7607"/>
    <w:rsid w:val="00DD131D"/>
    <w:rsid w:val="00DD1A2E"/>
    <w:rsid w:val="00DD272D"/>
    <w:rsid w:val="00DD42BB"/>
    <w:rsid w:val="00DD4305"/>
    <w:rsid w:val="00DD433E"/>
    <w:rsid w:val="00DD50CB"/>
    <w:rsid w:val="00DD601E"/>
    <w:rsid w:val="00DD62CA"/>
    <w:rsid w:val="00DD68D6"/>
    <w:rsid w:val="00DD7A12"/>
    <w:rsid w:val="00DE1CBE"/>
    <w:rsid w:val="00DE2013"/>
    <w:rsid w:val="00DE24CE"/>
    <w:rsid w:val="00DE2F6B"/>
    <w:rsid w:val="00DE3395"/>
    <w:rsid w:val="00DE413D"/>
    <w:rsid w:val="00DE4747"/>
    <w:rsid w:val="00DE4C85"/>
    <w:rsid w:val="00DE5C7D"/>
    <w:rsid w:val="00DE672F"/>
    <w:rsid w:val="00DE72B3"/>
    <w:rsid w:val="00DE7328"/>
    <w:rsid w:val="00DF1049"/>
    <w:rsid w:val="00DF13D2"/>
    <w:rsid w:val="00DF152B"/>
    <w:rsid w:val="00DF1B18"/>
    <w:rsid w:val="00DF24C6"/>
    <w:rsid w:val="00DF2522"/>
    <w:rsid w:val="00DF381C"/>
    <w:rsid w:val="00DF434C"/>
    <w:rsid w:val="00DF45A0"/>
    <w:rsid w:val="00DF4B25"/>
    <w:rsid w:val="00DF73A1"/>
    <w:rsid w:val="00DF7EC5"/>
    <w:rsid w:val="00E002C2"/>
    <w:rsid w:val="00E015A5"/>
    <w:rsid w:val="00E0171C"/>
    <w:rsid w:val="00E035F7"/>
    <w:rsid w:val="00E039C4"/>
    <w:rsid w:val="00E047A3"/>
    <w:rsid w:val="00E049AA"/>
    <w:rsid w:val="00E0516C"/>
    <w:rsid w:val="00E0516D"/>
    <w:rsid w:val="00E054FF"/>
    <w:rsid w:val="00E07AF9"/>
    <w:rsid w:val="00E07B95"/>
    <w:rsid w:val="00E1274D"/>
    <w:rsid w:val="00E12C85"/>
    <w:rsid w:val="00E14C15"/>
    <w:rsid w:val="00E158C7"/>
    <w:rsid w:val="00E15D35"/>
    <w:rsid w:val="00E16061"/>
    <w:rsid w:val="00E1609B"/>
    <w:rsid w:val="00E16C08"/>
    <w:rsid w:val="00E17717"/>
    <w:rsid w:val="00E17838"/>
    <w:rsid w:val="00E17C6B"/>
    <w:rsid w:val="00E20E17"/>
    <w:rsid w:val="00E222DC"/>
    <w:rsid w:val="00E225CE"/>
    <w:rsid w:val="00E23C8E"/>
    <w:rsid w:val="00E23CB7"/>
    <w:rsid w:val="00E24852"/>
    <w:rsid w:val="00E24C7D"/>
    <w:rsid w:val="00E25614"/>
    <w:rsid w:val="00E26E0B"/>
    <w:rsid w:val="00E27EC9"/>
    <w:rsid w:val="00E303A2"/>
    <w:rsid w:val="00E30419"/>
    <w:rsid w:val="00E30F54"/>
    <w:rsid w:val="00E3210A"/>
    <w:rsid w:val="00E32F87"/>
    <w:rsid w:val="00E33C8E"/>
    <w:rsid w:val="00E34837"/>
    <w:rsid w:val="00E34B1A"/>
    <w:rsid w:val="00E35018"/>
    <w:rsid w:val="00E352C5"/>
    <w:rsid w:val="00E3547A"/>
    <w:rsid w:val="00E35C01"/>
    <w:rsid w:val="00E376EA"/>
    <w:rsid w:val="00E3793E"/>
    <w:rsid w:val="00E419A4"/>
    <w:rsid w:val="00E431F3"/>
    <w:rsid w:val="00E4361E"/>
    <w:rsid w:val="00E44AD2"/>
    <w:rsid w:val="00E44D38"/>
    <w:rsid w:val="00E45A6F"/>
    <w:rsid w:val="00E461A6"/>
    <w:rsid w:val="00E46EF1"/>
    <w:rsid w:val="00E4722A"/>
    <w:rsid w:val="00E47537"/>
    <w:rsid w:val="00E4775C"/>
    <w:rsid w:val="00E51C7D"/>
    <w:rsid w:val="00E5296F"/>
    <w:rsid w:val="00E53498"/>
    <w:rsid w:val="00E537F9"/>
    <w:rsid w:val="00E53B4F"/>
    <w:rsid w:val="00E54117"/>
    <w:rsid w:val="00E56F8C"/>
    <w:rsid w:val="00E5739E"/>
    <w:rsid w:val="00E577DC"/>
    <w:rsid w:val="00E613A0"/>
    <w:rsid w:val="00E63846"/>
    <w:rsid w:val="00E65CD7"/>
    <w:rsid w:val="00E6629E"/>
    <w:rsid w:val="00E662D8"/>
    <w:rsid w:val="00E66856"/>
    <w:rsid w:val="00E66FCC"/>
    <w:rsid w:val="00E67B45"/>
    <w:rsid w:val="00E67DFD"/>
    <w:rsid w:val="00E708C1"/>
    <w:rsid w:val="00E72357"/>
    <w:rsid w:val="00E743E6"/>
    <w:rsid w:val="00E74839"/>
    <w:rsid w:val="00E74BF1"/>
    <w:rsid w:val="00E751D5"/>
    <w:rsid w:val="00E759D5"/>
    <w:rsid w:val="00E75C79"/>
    <w:rsid w:val="00E762C1"/>
    <w:rsid w:val="00E763DE"/>
    <w:rsid w:val="00E77F58"/>
    <w:rsid w:val="00E80DA9"/>
    <w:rsid w:val="00E80F1B"/>
    <w:rsid w:val="00E81EE9"/>
    <w:rsid w:val="00E822F2"/>
    <w:rsid w:val="00E823A6"/>
    <w:rsid w:val="00E84786"/>
    <w:rsid w:val="00E84BA0"/>
    <w:rsid w:val="00E85310"/>
    <w:rsid w:val="00E85535"/>
    <w:rsid w:val="00E86056"/>
    <w:rsid w:val="00E86CF5"/>
    <w:rsid w:val="00E87265"/>
    <w:rsid w:val="00E8750E"/>
    <w:rsid w:val="00E879AA"/>
    <w:rsid w:val="00E905CC"/>
    <w:rsid w:val="00E90CD0"/>
    <w:rsid w:val="00E90F98"/>
    <w:rsid w:val="00E9192F"/>
    <w:rsid w:val="00E91E06"/>
    <w:rsid w:val="00E9225B"/>
    <w:rsid w:val="00E924B6"/>
    <w:rsid w:val="00E9258F"/>
    <w:rsid w:val="00E92855"/>
    <w:rsid w:val="00E92DED"/>
    <w:rsid w:val="00E945A0"/>
    <w:rsid w:val="00E94CFB"/>
    <w:rsid w:val="00E94E43"/>
    <w:rsid w:val="00E9500B"/>
    <w:rsid w:val="00E95CDB"/>
    <w:rsid w:val="00E960D0"/>
    <w:rsid w:val="00E96953"/>
    <w:rsid w:val="00E96BBF"/>
    <w:rsid w:val="00E97597"/>
    <w:rsid w:val="00E9773A"/>
    <w:rsid w:val="00E9787A"/>
    <w:rsid w:val="00EA1854"/>
    <w:rsid w:val="00EA193B"/>
    <w:rsid w:val="00EA2390"/>
    <w:rsid w:val="00EA2E63"/>
    <w:rsid w:val="00EA38D5"/>
    <w:rsid w:val="00EA42CD"/>
    <w:rsid w:val="00EA5739"/>
    <w:rsid w:val="00EA5A9F"/>
    <w:rsid w:val="00EA6030"/>
    <w:rsid w:val="00EA6DA8"/>
    <w:rsid w:val="00EA6FE0"/>
    <w:rsid w:val="00EB046B"/>
    <w:rsid w:val="00EB12E4"/>
    <w:rsid w:val="00EB14CB"/>
    <w:rsid w:val="00EB2E61"/>
    <w:rsid w:val="00EB2FA0"/>
    <w:rsid w:val="00EB40A7"/>
    <w:rsid w:val="00EB68ED"/>
    <w:rsid w:val="00EB7064"/>
    <w:rsid w:val="00EB7914"/>
    <w:rsid w:val="00EC0383"/>
    <w:rsid w:val="00EC0D93"/>
    <w:rsid w:val="00EC1181"/>
    <w:rsid w:val="00EC310A"/>
    <w:rsid w:val="00EC4A6C"/>
    <w:rsid w:val="00EC5E0F"/>
    <w:rsid w:val="00EC7D25"/>
    <w:rsid w:val="00ED0264"/>
    <w:rsid w:val="00ED03FF"/>
    <w:rsid w:val="00ED0E19"/>
    <w:rsid w:val="00ED16FC"/>
    <w:rsid w:val="00ED266F"/>
    <w:rsid w:val="00ED3A84"/>
    <w:rsid w:val="00ED3B1D"/>
    <w:rsid w:val="00ED3FC3"/>
    <w:rsid w:val="00ED709D"/>
    <w:rsid w:val="00ED7C79"/>
    <w:rsid w:val="00EE2040"/>
    <w:rsid w:val="00EE27C8"/>
    <w:rsid w:val="00EE3537"/>
    <w:rsid w:val="00EE3AB1"/>
    <w:rsid w:val="00EE3ED7"/>
    <w:rsid w:val="00EE4407"/>
    <w:rsid w:val="00EE494A"/>
    <w:rsid w:val="00EE4D92"/>
    <w:rsid w:val="00EE5287"/>
    <w:rsid w:val="00EE55FD"/>
    <w:rsid w:val="00EE6134"/>
    <w:rsid w:val="00EE65C1"/>
    <w:rsid w:val="00EE6A45"/>
    <w:rsid w:val="00EE6BCA"/>
    <w:rsid w:val="00EE7BFB"/>
    <w:rsid w:val="00EF0259"/>
    <w:rsid w:val="00EF035A"/>
    <w:rsid w:val="00EF06E0"/>
    <w:rsid w:val="00EF1E66"/>
    <w:rsid w:val="00EF203B"/>
    <w:rsid w:val="00EF203F"/>
    <w:rsid w:val="00EF22E5"/>
    <w:rsid w:val="00EF2375"/>
    <w:rsid w:val="00EF2920"/>
    <w:rsid w:val="00EF4228"/>
    <w:rsid w:val="00EF42AC"/>
    <w:rsid w:val="00EF68C9"/>
    <w:rsid w:val="00EF7D8C"/>
    <w:rsid w:val="00F00DBC"/>
    <w:rsid w:val="00F010A7"/>
    <w:rsid w:val="00F01F9F"/>
    <w:rsid w:val="00F0282E"/>
    <w:rsid w:val="00F05466"/>
    <w:rsid w:val="00F0599F"/>
    <w:rsid w:val="00F05AC9"/>
    <w:rsid w:val="00F05FE5"/>
    <w:rsid w:val="00F06384"/>
    <w:rsid w:val="00F07330"/>
    <w:rsid w:val="00F10764"/>
    <w:rsid w:val="00F109C4"/>
    <w:rsid w:val="00F1136C"/>
    <w:rsid w:val="00F116C7"/>
    <w:rsid w:val="00F12007"/>
    <w:rsid w:val="00F1290D"/>
    <w:rsid w:val="00F14998"/>
    <w:rsid w:val="00F15566"/>
    <w:rsid w:val="00F15C5C"/>
    <w:rsid w:val="00F16AAC"/>
    <w:rsid w:val="00F17E09"/>
    <w:rsid w:val="00F20289"/>
    <w:rsid w:val="00F20F43"/>
    <w:rsid w:val="00F217EB"/>
    <w:rsid w:val="00F21C3C"/>
    <w:rsid w:val="00F21D8C"/>
    <w:rsid w:val="00F22775"/>
    <w:rsid w:val="00F22B40"/>
    <w:rsid w:val="00F2385D"/>
    <w:rsid w:val="00F23949"/>
    <w:rsid w:val="00F26B42"/>
    <w:rsid w:val="00F26C61"/>
    <w:rsid w:val="00F26E49"/>
    <w:rsid w:val="00F277A0"/>
    <w:rsid w:val="00F303D7"/>
    <w:rsid w:val="00F307D7"/>
    <w:rsid w:val="00F31114"/>
    <w:rsid w:val="00F32325"/>
    <w:rsid w:val="00F328C2"/>
    <w:rsid w:val="00F32FEC"/>
    <w:rsid w:val="00F333FF"/>
    <w:rsid w:val="00F34436"/>
    <w:rsid w:val="00F35CBC"/>
    <w:rsid w:val="00F37B49"/>
    <w:rsid w:val="00F37B78"/>
    <w:rsid w:val="00F40EF6"/>
    <w:rsid w:val="00F40F58"/>
    <w:rsid w:val="00F437E3"/>
    <w:rsid w:val="00F44199"/>
    <w:rsid w:val="00F442F4"/>
    <w:rsid w:val="00F44E92"/>
    <w:rsid w:val="00F45094"/>
    <w:rsid w:val="00F45B78"/>
    <w:rsid w:val="00F45C7F"/>
    <w:rsid w:val="00F46A39"/>
    <w:rsid w:val="00F47F1D"/>
    <w:rsid w:val="00F51B43"/>
    <w:rsid w:val="00F522A6"/>
    <w:rsid w:val="00F5341C"/>
    <w:rsid w:val="00F54A0F"/>
    <w:rsid w:val="00F554ED"/>
    <w:rsid w:val="00F55F6E"/>
    <w:rsid w:val="00F56D06"/>
    <w:rsid w:val="00F57478"/>
    <w:rsid w:val="00F60960"/>
    <w:rsid w:val="00F61AAB"/>
    <w:rsid w:val="00F630D0"/>
    <w:rsid w:val="00F637C6"/>
    <w:rsid w:val="00F63814"/>
    <w:rsid w:val="00F63AC6"/>
    <w:rsid w:val="00F66810"/>
    <w:rsid w:val="00F679A5"/>
    <w:rsid w:val="00F67FF1"/>
    <w:rsid w:val="00F7041A"/>
    <w:rsid w:val="00F70476"/>
    <w:rsid w:val="00F72BA8"/>
    <w:rsid w:val="00F732F2"/>
    <w:rsid w:val="00F7468A"/>
    <w:rsid w:val="00F75320"/>
    <w:rsid w:val="00F7573E"/>
    <w:rsid w:val="00F774AA"/>
    <w:rsid w:val="00F7760E"/>
    <w:rsid w:val="00F77AB0"/>
    <w:rsid w:val="00F816D7"/>
    <w:rsid w:val="00F8201A"/>
    <w:rsid w:val="00F827E4"/>
    <w:rsid w:val="00F82FE8"/>
    <w:rsid w:val="00F853F9"/>
    <w:rsid w:val="00F9016F"/>
    <w:rsid w:val="00F901CA"/>
    <w:rsid w:val="00F902A5"/>
    <w:rsid w:val="00F90C66"/>
    <w:rsid w:val="00F90D51"/>
    <w:rsid w:val="00F918B7"/>
    <w:rsid w:val="00F96057"/>
    <w:rsid w:val="00F96BFB"/>
    <w:rsid w:val="00F96C2F"/>
    <w:rsid w:val="00F96CFE"/>
    <w:rsid w:val="00FA0414"/>
    <w:rsid w:val="00FA0C31"/>
    <w:rsid w:val="00FA0E76"/>
    <w:rsid w:val="00FA0FEF"/>
    <w:rsid w:val="00FA17AB"/>
    <w:rsid w:val="00FA1A96"/>
    <w:rsid w:val="00FA260C"/>
    <w:rsid w:val="00FA2848"/>
    <w:rsid w:val="00FA31A9"/>
    <w:rsid w:val="00FA4032"/>
    <w:rsid w:val="00FA42E5"/>
    <w:rsid w:val="00FA48BF"/>
    <w:rsid w:val="00FA5180"/>
    <w:rsid w:val="00FA5AA4"/>
    <w:rsid w:val="00FA64DB"/>
    <w:rsid w:val="00FA6EB4"/>
    <w:rsid w:val="00FA716D"/>
    <w:rsid w:val="00FA770A"/>
    <w:rsid w:val="00FA7AD8"/>
    <w:rsid w:val="00FA7EE3"/>
    <w:rsid w:val="00FB0A0D"/>
    <w:rsid w:val="00FB1921"/>
    <w:rsid w:val="00FB2B35"/>
    <w:rsid w:val="00FB4961"/>
    <w:rsid w:val="00FB6245"/>
    <w:rsid w:val="00FB64AE"/>
    <w:rsid w:val="00FB79A1"/>
    <w:rsid w:val="00FB7FC4"/>
    <w:rsid w:val="00FC0595"/>
    <w:rsid w:val="00FC10CF"/>
    <w:rsid w:val="00FC161B"/>
    <w:rsid w:val="00FC164F"/>
    <w:rsid w:val="00FC1E65"/>
    <w:rsid w:val="00FC1ED1"/>
    <w:rsid w:val="00FC20A7"/>
    <w:rsid w:val="00FC2362"/>
    <w:rsid w:val="00FC3B87"/>
    <w:rsid w:val="00FC4DB7"/>
    <w:rsid w:val="00FC53B9"/>
    <w:rsid w:val="00FC78FE"/>
    <w:rsid w:val="00FD1093"/>
    <w:rsid w:val="00FD1AB3"/>
    <w:rsid w:val="00FD1C5C"/>
    <w:rsid w:val="00FD1DD2"/>
    <w:rsid w:val="00FD267A"/>
    <w:rsid w:val="00FD2D32"/>
    <w:rsid w:val="00FD4DE5"/>
    <w:rsid w:val="00FD4F4D"/>
    <w:rsid w:val="00FD5FF8"/>
    <w:rsid w:val="00FD7293"/>
    <w:rsid w:val="00FD7F10"/>
    <w:rsid w:val="00FE0200"/>
    <w:rsid w:val="00FE054E"/>
    <w:rsid w:val="00FE069E"/>
    <w:rsid w:val="00FE0E57"/>
    <w:rsid w:val="00FE12CD"/>
    <w:rsid w:val="00FE2645"/>
    <w:rsid w:val="00FE3D11"/>
    <w:rsid w:val="00FE57AD"/>
    <w:rsid w:val="00FE6FD3"/>
    <w:rsid w:val="00FE7FAF"/>
    <w:rsid w:val="00FF0226"/>
    <w:rsid w:val="00FF05DC"/>
    <w:rsid w:val="00FF0681"/>
    <w:rsid w:val="00FF1279"/>
    <w:rsid w:val="00FF2EFE"/>
    <w:rsid w:val="00FF3AA2"/>
    <w:rsid w:val="00FF4872"/>
    <w:rsid w:val="00FF4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margin;mso-position-vertical-relative:margin" fill="f" fillcolor="white" stroke="f">
      <v:fill color="white" on="f"/>
      <v:stroke on="f"/>
      <v:shadow opacity=".5" offset="6pt,6pt"/>
    </o:shapedefaults>
    <o:shapelayout v:ext="edit">
      <o:idmap v:ext="edit" data="1"/>
    </o:shapelayout>
  </w:shapeDefaults>
  <w:decimalSymbol w:val="."/>
  <w:listSeparator w:val=","/>
  <w14:docId w14:val="7E0B4776"/>
  <w15:docId w15:val="{0E95263F-A1E9-4421-9FD1-E87C9BE8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361"/>
    <w:rPr>
      <w:sz w:val="24"/>
      <w:szCs w:val="24"/>
    </w:rPr>
  </w:style>
  <w:style w:type="paragraph" w:styleId="Heading1">
    <w:name w:val="heading 1"/>
    <w:basedOn w:val="Normal"/>
    <w:next w:val="Normal"/>
    <w:link w:val="Heading1Char"/>
    <w:qFormat/>
    <w:rsid w:val="00BB7F03"/>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1E3DD5"/>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DF7EC5"/>
    <w:pPr>
      <w:spacing w:before="100" w:beforeAutospacing="1" w:after="100" w:afterAutospacing="1"/>
    </w:pPr>
  </w:style>
  <w:style w:type="paragraph" w:styleId="NormalWeb">
    <w:name w:val="Normal (Web)"/>
    <w:basedOn w:val="Normal"/>
    <w:uiPriority w:val="99"/>
    <w:rsid w:val="00DF7EC5"/>
    <w:pPr>
      <w:spacing w:before="100" w:beforeAutospacing="1" w:after="100" w:afterAutospacing="1"/>
    </w:pPr>
  </w:style>
  <w:style w:type="character" w:styleId="CommentReference">
    <w:name w:val="annotation reference"/>
    <w:basedOn w:val="DefaultParagraphFont"/>
    <w:semiHidden/>
    <w:rsid w:val="00F07330"/>
    <w:rPr>
      <w:rFonts w:cs="Times New Roman"/>
      <w:sz w:val="16"/>
      <w:szCs w:val="16"/>
    </w:rPr>
  </w:style>
  <w:style w:type="paragraph" w:styleId="CommentText">
    <w:name w:val="annotation text"/>
    <w:basedOn w:val="Normal"/>
    <w:link w:val="CommentTextChar"/>
    <w:semiHidden/>
    <w:rsid w:val="00F07330"/>
    <w:rPr>
      <w:sz w:val="20"/>
      <w:szCs w:val="20"/>
    </w:rPr>
  </w:style>
  <w:style w:type="paragraph" w:styleId="CommentSubject">
    <w:name w:val="annotation subject"/>
    <w:basedOn w:val="CommentText"/>
    <w:next w:val="CommentText"/>
    <w:link w:val="CommentSubjectChar"/>
    <w:semiHidden/>
    <w:rsid w:val="00F07330"/>
    <w:rPr>
      <w:b/>
      <w:bCs/>
    </w:rPr>
  </w:style>
  <w:style w:type="paragraph" w:styleId="BalloonText">
    <w:name w:val="Balloon Text"/>
    <w:basedOn w:val="Normal"/>
    <w:link w:val="BalloonTextChar"/>
    <w:semiHidden/>
    <w:rsid w:val="00F07330"/>
    <w:rPr>
      <w:rFonts w:ascii="Tahoma" w:hAnsi="Tahoma" w:cs="Tahoma"/>
      <w:sz w:val="16"/>
      <w:szCs w:val="16"/>
    </w:rPr>
  </w:style>
  <w:style w:type="character" w:customStyle="1" w:styleId="volume">
    <w:name w:val="volume"/>
    <w:basedOn w:val="DefaultParagraphFont"/>
    <w:rsid w:val="00903AFC"/>
    <w:rPr>
      <w:rFonts w:cs="Times New Roman"/>
    </w:rPr>
  </w:style>
  <w:style w:type="character" w:customStyle="1" w:styleId="issue">
    <w:name w:val="issue"/>
    <w:basedOn w:val="DefaultParagraphFont"/>
    <w:rsid w:val="00903AFC"/>
    <w:rPr>
      <w:rFonts w:cs="Times New Roman"/>
    </w:rPr>
  </w:style>
  <w:style w:type="character" w:customStyle="1" w:styleId="pages">
    <w:name w:val="pages"/>
    <w:basedOn w:val="DefaultParagraphFont"/>
    <w:rsid w:val="00903AFC"/>
    <w:rPr>
      <w:rFonts w:cs="Times New Roman"/>
    </w:rPr>
  </w:style>
  <w:style w:type="character" w:customStyle="1" w:styleId="Heading1Char">
    <w:name w:val="Heading 1 Char"/>
    <w:basedOn w:val="DefaultParagraphFont"/>
    <w:link w:val="Heading1"/>
    <w:locked/>
    <w:rsid w:val="00BB7F03"/>
    <w:rPr>
      <w:rFonts w:ascii="Cambria" w:hAnsi="Cambria" w:cs="Times New Roman"/>
      <w:b/>
      <w:bCs/>
      <w:color w:val="365F91"/>
      <w:sz w:val="28"/>
      <w:szCs w:val="28"/>
    </w:rPr>
  </w:style>
  <w:style w:type="paragraph" w:styleId="Bibliography">
    <w:name w:val="Bibliography"/>
    <w:basedOn w:val="Normal"/>
    <w:next w:val="Normal"/>
    <w:rsid w:val="00940EFB"/>
  </w:style>
  <w:style w:type="paragraph" w:styleId="ListParagraph">
    <w:name w:val="List Paragraph"/>
    <w:basedOn w:val="Normal"/>
    <w:qFormat/>
    <w:rsid w:val="00F70476"/>
    <w:pPr>
      <w:ind w:left="720"/>
      <w:contextualSpacing/>
    </w:pPr>
  </w:style>
  <w:style w:type="paragraph" w:styleId="Caption">
    <w:name w:val="caption"/>
    <w:basedOn w:val="Normal"/>
    <w:next w:val="Normal"/>
    <w:qFormat/>
    <w:rsid w:val="004436C5"/>
    <w:pPr>
      <w:spacing w:after="200"/>
    </w:pPr>
    <w:rPr>
      <w:b/>
      <w:bCs/>
      <w:color w:val="4F81BD"/>
      <w:sz w:val="18"/>
      <w:szCs w:val="18"/>
    </w:rPr>
  </w:style>
  <w:style w:type="table" w:styleId="TableGrid">
    <w:name w:val="Table Grid"/>
    <w:basedOn w:val="TableNormal"/>
    <w:uiPriority w:val="39"/>
    <w:rsid w:val="005135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semiHidden/>
    <w:rsid w:val="00312828"/>
    <w:rPr>
      <w:sz w:val="24"/>
      <w:szCs w:val="24"/>
    </w:rPr>
  </w:style>
  <w:style w:type="paragraph" w:styleId="Header">
    <w:name w:val="header"/>
    <w:basedOn w:val="Normal"/>
    <w:link w:val="HeaderChar"/>
    <w:uiPriority w:val="99"/>
    <w:rsid w:val="00E84BA0"/>
    <w:pPr>
      <w:tabs>
        <w:tab w:val="center" w:pos="4680"/>
        <w:tab w:val="right" w:pos="9360"/>
      </w:tabs>
    </w:pPr>
  </w:style>
  <w:style w:type="character" w:customStyle="1" w:styleId="HeaderChar">
    <w:name w:val="Header Char"/>
    <w:basedOn w:val="DefaultParagraphFont"/>
    <w:link w:val="Header"/>
    <w:uiPriority w:val="99"/>
    <w:locked/>
    <w:rsid w:val="00E84BA0"/>
    <w:rPr>
      <w:rFonts w:cs="Times New Roman"/>
      <w:sz w:val="24"/>
      <w:szCs w:val="24"/>
    </w:rPr>
  </w:style>
  <w:style w:type="paragraph" w:styleId="Footer">
    <w:name w:val="footer"/>
    <w:basedOn w:val="Normal"/>
    <w:link w:val="FooterChar"/>
    <w:uiPriority w:val="99"/>
    <w:rsid w:val="00E84BA0"/>
    <w:pPr>
      <w:tabs>
        <w:tab w:val="center" w:pos="4680"/>
        <w:tab w:val="right" w:pos="9360"/>
      </w:tabs>
    </w:pPr>
  </w:style>
  <w:style w:type="character" w:customStyle="1" w:styleId="FooterChar">
    <w:name w:val="Footer Char"/>
    <w:basedOn w:val="DefaultParagraphFont"/>
    <w:link w:val="Footer"/>
    <w:uiPriority w:val="99"/>
    <w:locked/>
    <w:rsid w:val="00E84BA0"/>
    <w:rPr>
      <w:rFonts w:cs="Times New Roman"/>
      <w:sz w:val="24"/>
      <w:szCs w:val="24"/>
    </w:rPr>
  </w:style>
  <w:style w:type="paragraph" w:customStyle="1" w:styleId="PIHeader">
    <w:name w:val="PI Header"/>
    <w:basedOn w:val="Normal"/>
    <w:rsid w:val="00E84BA0"/>
    <w:pPr>
      <w:autoSpaceDE w:val="0"/>
      <w:autoSpaceDN w:val="0"/>
      <w:spacing w:after="40"/>
      <w:ind w:left="864"/>
    </w:pPr>
    <w:rPr>
      <w:rFonts w:ascii="Arial" w:hAnsi="Arial" w:cs="Arial"/>
      <w:noProof/>
      <w:sz w:val="16"/>
      <w:szCs w:val="20"/>
    </w:rPr>
  </w:style>
  <w:style w:type="character" w:styleId="PageNumber">
    <w:name w:val="page number"/>
    <w:basedOn w:val="DefaultParagraphFont"/>
    <w:rsid w:val="00E84BA0"/>
    <w:rPr>
      <w:rFonts w:ascii="Arial" w:hAnsi="Arial" w:cs="Times New Roman"/>
      <w:sz w:val="20"/>
      <w:u w:val="single"/>
    </w:rPr>
  </w:style>
  <w:style w:type="paragraph" w:customStyle="1" w:styleId="FormFooterBorder">
    <w:name w:val="FormFooter/Border"/>
    <w:basedOn w:val="Footer"/>
    <w:rsid w:val="00E84BA0"/>
    <w:pPr>
      <w:pBdr>
        <w:top w:val="single" w:sz="6" w:space="1" w:color="auto"/>
      </w:pBdr>
      <w:tabs>
        <w:tab w:val="clear" w:pos="4680"/>
        <w:tab w:val="clear" w:pos="9360"/>
        <w:tab w:val="center" w:pos="5400"/>
        <w:tab w:val="right" w:pos="10800"/>
      </w:tabs>
      <w:autoSpaceDE w:val="0"/>
      <w:autoSpaceDN w:val="0"/>
    </w:pPr>
    <w:rPr>
      <w:rFonts w:ascii="Arial" w:hAnsi="Arial" w:cs="Arial"/>
      <w:sz w:val="16"/>
      <w:szCs w:val="16"/>
    </w:rPr>
  </w:style>
  <w:style w:type="character" w:customStyle="1" w:styleId="Heading2Char">
    <w:name w:val="Heading 2 Char"/>
    <w:basedOn w:val="DefaultParagraphFont"/>
    <w:link w:val="Heading2"/>
    <w:locked/>
    <w:rsid w:val="001E3DD5"/>
    <w:rPr>
      <w:rFonts w:ascii="Cambria" w:hAnsi="Cambria" w:cs="Times New Roman"/>
      <w:b/>
      <w:bCs/>
      <w:color w:val="4F81BD"/>
      <w:sz w:val="26"/>
      <w:szCs w:val="26"/>
    </w:rPr>
  </w:style>
  <w:style w:type="paragraph" w:customStyle="1" w:styleId="FormHeader">
    <w:name w:val="Form Header"/>
    <w:basedOn w:val="Normal"/>
    <w:rsid w:val="001E3DD5"/>
    <w:pPr>
      <w:tabs>
        <w:tab w:val="right" w:pos="10656"/>
      </w:tabs>
      <w:autoSpaceDE w:val="0"/>
      <w:autoSpaceDN w:val="0"/>
    </w:pPr>
    <w:rPr>
      <w:rFonts w:ascii="Arial" w:hAnsi="Arial" w:cs="Arial"/>
      <w:sz w:val="16"/>
      <w:szCs w:val="16"/>
    </w:rPr>
  </w:style>
  <w:style w:type="paragraph" w:customStyle="1" w:styleId="DataField11pt">
    <w:name w:val="Data Field 11pt"/>
    <w:basedOn w:val="Normal"/>
    <w:link w:val="DataField11ptChar"/>
    <w:rsid w:val="001E3DD5"/>
    <w:pPr>
      <w:autoSpaceDE w:val="0"/>
      <w:autoSpaceDN w:val="0"/>
      <w:spacing w:line="300" w:lineRule="exact"/>
    </w:pPr>
    <w:rPr>
      <w:rFonts w:ascii="Arial" w:hAnsi="Arial" w:cs="Arial"/>
      <w:sz w:val="22"/>
      <w:szCs w:val="20"/>
    </w:rPr>
  </w:style>
  <w:style w:type="paragraph" w:customStyle="1" w:styleId="DataField10pt">
    <w:name w:val="Data Field 10pt"/>
    <w:basedOn w:val="Normal"/>
    <w:rsid w:val="001E3DD5"/>
    <w:pPr>
      <w:autoSpaceDE w:val="0"/>
      <w:autoSpaceDN w:val="0"/>
    </w:pPr>
    <w:rPr>
      <w:rFonts w:ascii="Arial" w:hAnsi="Arial" w:cs="Arial"/>
      <w:sz w:val="20"/>
      <w:szCs w:val="20"/>
    </w:rPr>
  </w:style>
  <w:style w:type="paragraph" w:customStyle="1" w:styleId="HeadingNote">
    <w:name w:val="Heading Note"/>
    <w:basedOn w:val="Normal"/>
    <w:rsid w:val="001E3DD5"/>
    <w:pPr>
      <w:autoSpaceDE w:val="0"/>
      <w:autoSpaceDN w:val="0"/>
      <w:spacing w:before="40" w:after="40"/>
      <w:jc w:val="center"/>
    </w:pPr>
    <w:rPr>
      <w:rFonts w:ascii="Arial" w:hAnsi="Arial" w:cs="Arial"/>
      <w:i/>
      <w:iCs/>
      <w:sz w:val="16"/>
      <w:szCs w:val="16"/>
    </w:rPr>
  </w:style>
  <w:style w:type="paragraph" w:customStyle="1" w:styleId="FormFieldCaption">
    <w:name w:val="Form Field Caption"/>
    <w:basedOn w:val="Normal"/>
    <w:rsid w:val="001E3DD5"/>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1E3DD5"/>
    <w:pPr>
      <w:tabs>
        <w:tab w:val="left" w:pos="252"/>
      </w:tabs>
      <w:autoSpaceDE w:val="0"/>
      <w:autoSpaceDN w:val="0"/>
    </w:pPr>
    <w:rPr>
      <w:rFonts w:ascii="Arial" w:hAnsi="Arial" w:cs="Arial"/>
      <w:sz w:val="14"/>
      <w:szCs w:val="14"/>
    </w:rPr>
  </w:style>
  <w:style w:type="paragraph" w:customStyle="1" w:styleId="DHHSHeading">
    <w:name w:val="DHHS Heading"/>
    <w:basedOn w:val="HeadingNote"/>
    <w:rsid w:val="001E3DD5"/>
    <w:rPr>
      <w:i w:val="0"/>
    </w:rPr>
  </w:style>
  <w:style w:type="paragraph" w:customStyle="1" w:styleId="DataField10pt14ptspacing">
    <w:name w:val="DataField10pt/14pt spacing"/>
    <w:basedOn w:val="DataField10pt"/>
    <w:rsid w:val="001E3DD5"/>
    <w:pPr>
      <w:spacing w:line="280" w:lineRule="exact"/>
    </w:pPr>
    <w:rPr>
      <w:noProof/>
    </w:rPr>
  </w:style>
  <w:style w:type="character" w:customStyle="1" w:styleId="FormFieldCaptionChar">
    <w:name w:val="Form Field Caption Char"/>
    <w:basedOn w:val="DefaultParagraphFont"/>
    <w:rsid w:val="001E3DD5"/>
    <w:rPr>
      <w:rFonts w:ascii="Arial" w:hAnsi="Arial" w:cs="Arial"/>
      <w:sz w:val="16"/>
      <w:szCs w:val="16"/>
      <w:lang w:val="en-US" w:eastAsia="en-US" w:bidi="ar-SA"/>
    </w:rPr>
  </w:style>
  <w:style w:type="paragraph" w:customStyle="1" w:styleId="FacePageFooter">
    <w:name w:val="FacePage Footer"/>
    <w:basedOn w:val="Normal"/>
    <w:rsid w:val="00B66FA9"/>
    <w:pPr>
      <w:tabs>
        <w:tab w:val="center" w:pos="5328"/>
        <w:tab w:val="right" w:pos="10728"/>
      </w:tabs>
      <w:autoSpaceDE w:val="0"/>
      <w:autoSpaceDN w:val="0"/>
      <w:spacing w:before="20"/>
      <w:ind w:left="58"/>
    </w:pPr>
    <w:rPr>
      <w:rFonts w:ascii="Arial" w:hAnsi="Arial" w:cs="Arial"/>
      <w:sz w:val="16"/>
      <w:szCs w:val="16"/>
    </w:rPr>
  </w:style>
  <w:style w:type="paragraph" w:customStyle="1" w:styleId="FormFooter">
    <w:name w:val="Form Footer"/>
    <w:basedOn w:val="FormHeader"/>
    <w:rsid w:val="00853A72"/>
    <w:pPr>
      <w:tabs>
        <w:tab w:val="clear" w:pos="10656"/>
        <w:tab w:val="center" w:pos="5328"/>
        <w:tab w:val="right" w:pos="10728"/>
      </w:tabs>
      <w:ind w:left="58"/>
    </w:pPr>
  </w:style>
  <w:style w:type="paragraph" w:customStyle="1" w:styleId="FormInstructions">
    <w:name w:val="Form Instructions"/>
    <w:basedOn w:val="FormFieldCaption7pt"/>
    <w:link w:val="FormInstructionsChar"/>
    <w:rsid w:val="00853A72"/>
    <w:pPr>
      <w:spacing w:before="20"/>
      <w:jc w:val="both"/>
    </w:pPr>
    <w:rPr>
      <w:sz w:val="15"/>
    </w:rPr>
  </w:style>
  <w:style w:type="character" w:customStyle="1" w:styleId="DataField11ptChar">
    <w:name w:val="Data Field 11pt Char"/>
    <w:basedOn w:val="DefaultParagraphFont"/>
    <w:link w:val="DataField11pt"/>
    <w:locked/>
    <w:rsid w:val="00853A72"/>
    <w:rPr>
      <w:rFonts w:ascii="Arial" w:hAnsi="Arial" w:cs="Arial"/>
      <w:sz w:val="22"/>
    </w:rPr>
  </w:style>
  <w:style w:type="paragraph" w:customStyle="1" w:styleId="StyleFormInstructions8pt">
    <w:name w:val="Style Form Instructions + 8 pt"/>
    <w:basedOn w:val="FormInstructions"/>
    <w:link w:val="StyleFormInstructions8ptChar"/>
    <w:rsid w:val="00853A72"/>
    <w:rPr>
      <w:sz w:val="16"/>
    </w:rPr>
  </w:style>
  <w:style w:type="character" w:customStyle="1" w:styleId="FormInstructionsChar">
    <w:name w:val="Form Instructions Char"/>
    <w:basedOn w:val="DefaultParagraphFont"/>
    <w:link w:val="FormInstructions"/>
    <w:locked/>
    <w:rsid w:val="00853A72"/>
    <w:rPr>
      <w:rFonts w:ascii="Arial" w:hAnsi="Arial" w:cs="Arial"/>
      <w:sz w:val="14"/>
      <w:szCs w:val="14"/>
    </w:rPr>
  </w:style>
  <w:style w:type="character" w:customStyle="1" w:styleId="StyleFormInstructions8ptChar">
    <w:name w:val="Style Form Instructions + 8 pt Char"/>
    <w:basedOn w:val="FormInstructionsChar"/>
    <w:link w:val="StyleFormInstructions8pt"/>
    <w:locked/>
    <w:rsid w:val="00853A72"/>
    <w:rPr>
      <w:rFonts w:ascii="Arial" w:hAnsi="Arial" w:cs="Arial"/>
      <w:sz w:val="14"/>
      <w:szCs w:val="14"/>
    </w:rPr>
  </w:style>
  <w:style w:type="paragraph" w:customStyle="1" w:styleId="DataField11pt-Single">
    <w:name w:val="Data Field 11pt-Single"/>
    <w:basedOn w:val="Normal"/>
    <w:link w:val="DataField11pt-SingleChar"/>
    <w:rsid w:val="00924F01"/>
    <w:pPr>
      <w:autoSpaceDE w:val="0"/>
      <w:autoSpaceDN w:val="0"/>
    </w:pPr>
    <w:rPr>
      <w:rFonts w:ascii="Arial" w:hAnsi="Arial" w:cs="Arial"/>
      <w:sz w:val="22"/>
      <w:szCs w:val="20"/>
    </w:rPr>
  </w:style>
  <w:style w:type="character" w:customStyle="1" w:styleId="DataField11pt-SingleChar">
    <w:name w:val="Data Field 11pt-Single Char"/>
    <w:basedOn w:val="DefaultParagraphFont"/>
    <w:link w:val="DataField11pt-Single"/>
    <w:locked/>
    <w:rsid w:val="00924F01"/>
    <w:rPr>
      <w:rFonts w:ascii="Arial" w:hAnsi="Arial" w:cs="Arial"/>
      <w:sz w:val="22"/>
    </w:rPr>
  </w:style>
  <w:style w:type="paragraph" w:customStyle="1" w:styleId="HeadNoteNotItalics">
    <w:name w:val="HeadNoteNotItalics"/>
    <w:basedOn w:val="HeadingNote"/>
    <w:rsid w:val="00924F01"/>
    <w:rPr>
      <w:i w:val="0"/>
    </w:rPr>
  </w:style>
  <w:style w:type="paragraph" w:styleId="NoSpacing">
    <w:name w:val="No Spacing"/>
    <w:link w:val="NoSpacingChar"/>
    <w:uiPriority w:val="1"/>
    <w:qFormat/>
    <w:rsid w:val="000F41C7"/>
    <w:rPr>
      <w:rFonts w:ascii="Calibri" w:hAnsi="Calibri"/>
      <w:sz w:val="22"/>
      <w:szCs w:val="22"/>
    </w:rPr>
  </w:style>
  <w:style w:type="character" w:customStyle="1" w:styleId="NoSpacingChar">
    <w:name w:val="No Spacing Char"/>
    <w:basedOn w:val="DefaultParagraphFont"/>
    <w:link w:val="NoSpacing"/>
    <w:uiPriority w:val="1"/>
    <w:locked/>
    <w:rsid w:val="000F41C7"/>
    <w:rPr>
      <w:rFonts w:ascii="Calibri" w:hAnsi="Calibri"/>
      <w:sz w:val="22"/>
      <w:szCs w:val="22"/>
      <w:lang w:val="en-US" w:eastAsia="en-US" w:bidi="ar-SA"/>
    </w:rPr>
  </w:style>
  <w:style w:type="character" w:customStyle="1" w:styleId="gn">
    <w:name w:val="gn"/>
    <w:basedOn w:val="DefaultParagraphFont"/>
    <w:rsid w:val="00BE5247"/>
    <w:rPr>
      <w:rFonts w:cs="Times New Roman"/>
    </w:rPr>
  </w:style>
  <w:style w:type="character" w:styleId="Hyperlink">
    <w:name w:val="Hyperlink"/>
    <w:basedOn w:val="DefaultParagraphFont"/>
    <w:uiPriority w:val="99"/>
    <w:unhideWhenUsed/>
    <w:rsid w:val="00647B2F"/>
    <w:rPr>
      <w:color w:val="0000FF"/>
      <w:u w:val="single"/>
    </w:rPr>
  </w:style>
  <w:style w:type="character" w:customStyle="1" w:styleId="ti2">
    <w:name w:val="ti2"/>
    <w:basedOn w:val="DefaultParagraphFont"/>
    <w:rsid w:val="00647B2F"/>
    <w:rPr>
      <w:sz w:val="22"/>
      <w:szCs w:val="22"/>
    </w:rPr>
  </w:style>
  <w:style w:type="table" w:styleId="TableClassic3">
    <w:name w:val="Table Classic 3"/>
    <w:basedOn w:val="TableNormal"/>
    <w:rsid w:val="00E354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Default">
    <w:name w:val="Default"/>
    <w:rsid w:val="005C18A2"/>
    <w:pPr>
      <w:autoSpaceDE w:val="0"/>
      <w:autoSpaceDN w:val="0"/>
      <w:adjustRightInd w:val="0"/>
    </w:pPr>
    <w:rPr>
      <w:rFonts w:ascii="Calibri" w:eastAsiaTheme="minorHAnsi" w:hAnsi="Calibri" w:cs="Calibri"/>
      <w:color w:val="000000"/>
      <w:sz w:val="24"/>
      <w:szCs w:val="24"/>
    </w:rPr>
  </w:style>
  <w:style w:type="character" w:styleId="PlaceholderText">
    <w:name w:val="Placeholder Text"/>
    <w:basedOn w:val="DefaultParagraphFont"/>
    <w:uiPriority w:val="99"/>
    <w:semiHidden/>
    <w:rsid w:val="00335129"/>
    <w:rPr>
      <w:color w:val="808080"/>
    </w:rPr>
  </w:style>
  <w:style w:type="character" w:styleId="FollowedHyperlink">
    <w:name w:val="FollowedHyperlink"/>
    <w:basedOn w:val="DefaultParagraphFont"/>
    <w:rsid w:val="001F06F3"/>
    <w:rPr>
      <w:color w:val="800080" w:themeColor="followedHyperlink"/>
      <w:u w:val="single"/>
    </w:rPr>
  </w:style>
  <w:style w:type="character" w:customStyle="1" w:styleId="CommentTextChar">
    <w:name w:val="Comment Text Char"/>
    <w:basedOn w:val="DefaultParagraphFont"/>
    <w:link w:val="CommentText"/>
    <w:semiHidden/>
    <w:rsid w:val="006E1C90"/>
  </w:style>
  <w:style w:type="character" w:customStyle="1" w:styleId="CommentSubjectChar">
    <w:name w:val="Comment Subject Char"/>
    <w:basedOn w:val="CommentTextChar"/>
    <w:link w:val="CommentSubject"/>
    <w:semiHidden/>
    <w:rsid w:val="006E1C90"/>
    <w:rPr>
      <w:b/>
      <w:bCs/>
    </w:rPr>
  </w:style>
  <w:style w:type="character" w:customStyle="1" w:styleId="BalloonTextChar">
    <w:name w:val="Balloon Text Char"/>
    <w:basedOn w:val="DefaultParagraphFont"/>
    <w:link w:val="BalloonText"/>
    <w:semiHidden/>
    <w:rsid w:val="006E1C90"/>
    <w:rPr>
      <w:rFonts w:ascii="Tahoma" w:hAnsi="Tahoma" w:cs="Tahoma"/>
      <w:sz w:val="16"/>
      <w:szCs w:val="16"/>
    </w:rPr>
  </w:style>
  <w:style w:type="character" w:customStyle="1" w:styleId="UnresolvedMention1">
    <w:name w:val="Unresolved Mention1"/>
    <w:basedOn w:val="DefaultParagraphFont"/>
    <w:uiPriority w:val="99"/>
    <w:semiHidden/>
    <w:unhideWhenUsed/>
    <w:rsid w:val="007F14B4"/>
    <w:rPr>
      <w:color w:val="605E5C"/>
      <w:shd w:val="clear" w:color="auto" w:fill="E1DFDD"/>
    </w:rPr>
  </w:style>
  <w:style w:type="character" w:styleId="Emphasis">
    <w:name w:val="Emphasis"/>
    <w:basedOn w:val="DefaultParagraphFont"/>
    <w:uiPriority w:val="20"/>
    <w:qFormat/>
    <w:locked/>
    <w:rsid w:val="00195EAE"/>
    <w:rPr>
      <w:i/>
      <w:iCs/>
    </w:rPr>
  </w:style>
  <w:style w:type="character" w:styleId="IntenseReference">
    <w:name w:val="Intense Reference"/>
    <w:basedOn w:val="DefaultParagraphFont"/>
    <w:uiPriority w:val="32"/>
    <w:qFormat/>
    <w:rsid w:val="00C55248"/>
    <w:rPr>
      <w:b/>
      <w:bCs/>
      <w:smallCaps/>
      <w:color w:val="4F81BD" w:themeColor="accent1"/>
      <w:spacing w:val="5"/>
    </w:rPr>
  </w:style>
  <w:style w:type="paragraph" w:customStyle="1" w:styleId="AABB">
    <w:name w:val="AABB"/>
    <w:basedOn w:val="Normal"/>
    <w:link w:val="AABBChar"/>
    <w:qFormat/>
    <w:rsid w:val="00C55248"/>
  </w:style>
  <w:style w:type="character" w:customStyle="1" w:styleId="UnresolvedMention10">
    <w:name w:val="Unresolved Mention1"/>
    <w:basedOn w:val="DefaultParagraphFont"/>
    <w:uiPriority w:val="99"/>
    <w:semiHidden/>
    <w:unhideWhenUsed/>
    <w:rsid w:val="00C55248"/>
    <w:rPr>
      <w:color w:val="808080"/>
      <w:shd w:val="clear" w:color="auto" w:fill="E6E6E6"/>
    </w:rPr>
  </w:style>
  <w:style w:type="character" w:customStyle="1" w:styleId="AABBChar">
    <w:name w:val="AABB Char"/>
    <w:basedOn w:val="DefaultParagraphFont"/>
    <w:link w:val="AABB"/>
    <w:rsid w:val="00C55248"/>
    <w:rPr>
      <w:sz w:val="24"/>
      <w:szCs w:val="24"/>
    </w:rPr>
  </w:style>
  <w:style w:type="character" w:customStyle="1" w:styleId="cit-pub-date">
    <w:name w:val="cit-pub-date"/>
    <w:basedOn w:val="DefaultParagraphFont"/>
    <w:rsid w:val="00C55248"/>
  </w:style>
  <w:style w:type="character" w:customStyle="1" w:styleId="cit-vol">
    <w:name w:val="cit-vol"/>
    <w:basedOn w:val="DefaultParagraphFont"/>
    <w:rsid w:val="00C55248"/>
  </w:style>
  <w:style w:type="character" w:customStyle="1" w:styleId="cit-fpage">
    <w:name w:val="cit-fpage"/>
    <w:basedOn w:val="DefaultParagraphFont"/>
    <w:rsid w:val="00C55248"/>
  </w:style>
  <w:style w:type="character" w:styleId="UnresolvedMention">
    <w:name w:val="Unresolved Mention"/>
    <w:basedOn w:val="DefaultParagraphFont"/>
    <w:uiPriority w:val="99"/>
    <w:semiHidden/>
    <w:unhideWhenUsed/>
    <w:rsid w:val="00876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1761">
      <w:bodyDiv w:val="1"/>
      <w:marLeft w:val="0"/>
      <w:marRight w:val="0"/>
      <w:marTop w:val="0"/>
      <w:marBottom w:val="0"/>
      <w:divBdr>
        <w:top w:val="none" w:sz="0" w:space="0" w:color="auto"/>
        <w:left w:val="none" w:sz="0" w:space="0" w:color="auto"/>
        <w:bottom w:val="none" w:sz="0" w:space="0" w:color="auto"/>
        <w:right w:val="none" w:sz="0" w:space="0" w:color="auto"/>
      </w:divBdr>
    </w:div>
    <w:div w:id="649795862">
      <w:bodyDiv w:val="1"/>
      <w:marLeft w:val="0"/>
      <w:marRight w:val="0"/>
      <w:marTop w:val="0"/>
      <w:marBottom w:val="0"/>
      <w:divBdr>
        <w:top w:val="none" w:sz="0" w:space="0" w:color="auto"/>
        <w:left w:val="none" w:sz="0" w:space="0" w:color="auto"/>
        <w:bottom w:val="none" w:sz="0" w:space="0" w:color="auto"/>
        <w:right w:val="none" w:sz="0" w:space="0" w:color="auto"/>
      </w:divBdr>
    </w:div>
    <w:div w:id="891038247">
      <w:bodyDiv w:val="1"/>
      <w:marLeft w:val="0"/>
      <w:marRight w:val="0"/>
      <w:marTop w:val="0"/>
      <w:marBottom w:val="0"/>
      <w:divBdr>
        <w:top w:val="none" w:sz="0" w:space="0" w:color="auto"/>
        <w:left w:val="none" w:sz="0" w:space="0" w:color="auto"/>
        <w:bottom w:val="none" w:sz="0" w:space="0" w:color="auto"/>
        <w:right w:val="none" w:sz="0" w:space="0" w:color="auto"/>
      </w:divBdr>
    </w:div>
    <w:div w:id="960498575">
      <w:bodyDiv w:val="1"/>
      <w:marLeft w:val="0"/>
      <w:marRight w:val="0"/>
      <w:marTop w:val="0"/>
      <w:marBottom w:val="0"/>
      <w:divBdr>
        <w:top w:val="none" w:sz="0" w:space="0" w:color="auto"/>
        <w:left w:val="none" w:sz="0" w:space="0" w:color="auto"/>
        <w:bottom w:val="none" w:sz="0" w:space="0" w:color="auto"/>
        <w:right w:val="none" w:sz="0" w:space="0" w:color="auto"/>
      </w:divBdr>
    </w:div>
    <w:div w:id="980505233">
      <w:bodyDiv w:val="1"/>
      <w:marLeft w:val="0"/>
      <w:marRight w:val="0"/>
      <w:marTop w:val="0"/>
      <w:marBottom w:val="0"/>
      <w:divBdr>
        <w:top w:val="none" w:sz="0" w:space="0" w:color="auto"/>
        <w:left w:val="none" w:sz="0" w:space="0" w:color="auto"/>
        <w:bottom w:val="none" w:sz="0" w:space="0" w:color="auto"/>
        <w:right w:val="none" w:sz="0" w:space="0" w:color="auto"/>
      </w:divBdr>
    </w:div>
    <w:div w:id="1119183721">
      <w:bodyDiv w:val="1"/>
      <w:marLeft w:val="0"/>
      <w:marRight w:val="0"/>
      <w:marTop w:val="0"/>
      <w:marBottom w:val="0"/>
      <w:divBdr>
        <w:top w:val="none" w:sz="0" w:space="0" w:color="auto"/>
        <w:left w:val="none" w:sz="0" w:space="0" w:color="auto"/>
        <w:bottom w:val="none" w:sz="0" w:space="0" w:color="auto"/>
        <w:right w:val="none" w:sz="0" w:space="0" w:color="auto"/>
      </w:divBdr>
    </w:div>
    <w:div w:id="1137407572">
      <w:bodyDiv w:val="1"/>
      <w:marLeft w:val="0"/>
      <w:marRight w:val="0"/>
      <w:marTop w:val="0"/>
      <w:marBottom w:val="0"/>
      <w:divBdr>
        <w:top w:val="none" w:sz="0" w:space="0" w:color="auto"/>
        <w:left w:val="none" w:sz="0" w:space="0" w:color="auto"/>
        <w:bottom w:val="none" w:sz="0" w:space="0" w:color="auto"/>
        <w:right w:val="none" w:sz="0" w:space="0" w:color="auto"/>
      </w:divBdr>
    </w:div>
    <w:div w:id="1641568151">
      <w:bodyDiv w:val="1"/>
      <w:marLeft w:val="0"/>
      <w:marRight w:val="0"/>
      <w:marTop w:val="0"/>
      <w:marBottom w:val="0"/>
      <w:divBdr>
        <w:top w:val="none" w:sz="0" w:space="0" w:color="auto"/>
        <w:left w:val="none" w:sz="0" w:space="0" w:color="auto"/>
        <w:bottom w:val="none" w:sz="0" w:space="0" w:color="auto"/>
        <w:right w:val="none" w:sz="0" w:space="0" w:color="auto"/>
      </w:divBdr>
    </w:div>
    <w:div w:id="178438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Small%20KS%5BAuthor%5D&amp;cauthor=true&amp;cauthor_uid=21874001" TargetMode="External"/><Relationship Id="rId21" Type="http://schemas.openxmlformats.org/officeDocument/2006/relationships/header" Target="header6.xml"/><Relationship Id="rId42" Type="http://schemas.openxmlformats.org/officeDocument/2006/relationships/hyperlink" Target="https://www.ncbi.nlm.nih.gov/pubmed/?term=Kim%20YJ%5BAuthor%5D&amp;cauthor=true&amp;cauthor_uid=22158537" TargetMode="External"/><Relationship Id="rId63" Type="http://schemas.openxmlformats.org/officeDocument/2006/relationships/hyperlink" Target="https://www.ncbi.nlm.nih.gov/pubmed/?term=Cho%20NH%5BAuthor%5D&amp;cauthor=true&amp;cauthor_uid=22158537" TargetMode="External"/><Relationship Id="rId84" Type="http://schemas.openxmlformats.org/officeDocument/2006/relationships/hyperlink" Target="https://www.ncbi.nlm.nih.gov/pubmed/?term=Kato%20N%5BAuthor%5D&amp;cauthor=true&amp;cauthor_uid=22158537" TargetMode="External"/><Relationship Id="rId138" Type="http://schemas.openxmlformats.org/officeDocument/2006/relationships/hyperlink" Target="https://www.ncbi.nlm.nih.gov/pubmed/?term=Seielstad%20M%5BAuthor%5D&amp;cauthor=true&amp;cauthor_uid=21874001" TargetMode="External"/><Relationship Id="rId159" Type="http://schemas.openxmlformats.org/officeDocument/2006/relationships/hyperlink" Target="https://www.ncbi.nlm.nih.gov/pubmed/?term=Wang%20W%5BAuthor%5D&amp;cauthor=true&amp;cauthor_uid=27589775" TargetMode="External"/><Relationship Id="rId170" Type="http://schemas.openxmlformats.org/officeDocument/2006/relationships/hyperlink" Target="https://www.ncbi.nlm.nih.gov/pubmed/?term=Watada%20H%5BAuthor%5D&amp;cauthor=true&amp;cauthor_uid=20818381" TargetMode="External"/><Relationship Id="rId191" Type="http://schemas.openxmlformats.org/officeDocument/2006/relationships/hyperlink" Target="https://www.ncbi.nlm.nih.gov/pubmed/?term=Tai%20ES%5BAuthor%5D&amp;cauthor=true&amp;cauthor_uid=20818381" TargetMode="External"/><Relationship Id="rId205" Type="http://schemas.openxmlformats.org/officeDocument/2006/relationships/glossaryDocument" Target="glossary/document.xml"/><Relationship Id="rId16" Type="http://schemas.openxmlformats.org/officeDocument/2006/relationships/footer" Target="footer3.xml"/><Relationship Id="rId107" Type="http://schemas.openxmlformats.org/officeDocument/2006/relationships/hyperlink" Target="https://www.ncbi.nlm.nih.gov/pubmed/?term=Matthews%20DR%5BAuthor%5D&amp;cauthor=true&amp;cauthor_uid=21874001" TargetMode="External"/><Relationship Id="rId11" Type="http://schemas.openxmlformats.org/officeDocument/2006/relationships/hyperlink" Target="mailto:msewnet3@gmail.com" TargetMode="External"/><Relationship Id="rId32" Type="http://schemas.openxmlformats.org/officeDocument/2006/relationships/hyperlink" Target="https://www.ncbi.nlm.nih.gov/pubmed/?term=Yamamoto%20K%5BAuthor%5D&amp;cauthor=true&amp;cauthor_uid=22158537" TargetMode="External"/><Relationship Id="rId37" Type="http://schemas.openxmlformats.org/officeDocument/2006/relationships/hyperlink" Target="https://www.ncbi.nlm.nih.gov/pubmed/?term=Chen%20YT%5BAuthor%5D&amp;cauthor=true&amp;cauthor_uid=22158537" TargetMode="External"/><Relationship Id="rId53" Type="http://schemas.openxmlformats.org/officeDocument/2006/relationships/hyperlink" Target="https://www.ncbi.nlm.nih.gov/pubmed/?term=Wong%20TY%5BAuthor%5D&amp;cauthor=true&amp;cauthor_uid=22158537" TargetMode="External"/><Relationship Id="rId58" Type="http://schemas.openxmlformats.org/officeDocument/2006/relationships/hyperlink" Target="https://www.ncbi.nlm.nih.gov/pubmed/?term=So%20WY%5BAuthor%5D&amp;cauthor=true&amp;cauthor_uid=22158537" TargetMode="External"/><Relationship Id="rId74" Type="http://schemas.openxmlformats.org/officeDocument/2006/relationships/hyperlink" Target="https://www.ncbi.nlm.nih.gov/pubmed/?term=Chuang%20LM%5BAuthor%5D&amp;cauthor=true&amp;cauthor_uid=22158537" TargetMode="External"/><Relationship Id="rId79" Type="http://schemas.openxmlformats.org/officeDocument/2006/relationships/hyperlink" Target="https://www.ncbi.nlm.nih.gov/pubmed/?term=Wu%20JY%5BAuthor%5D&amp;cauthor=true&amp;cauthor_uid=22158537" TargetMode="External"/><Relationship Id="rId102" Type="http://schemas.openxmlformats.org/officeDocument/2006/relationships/hyperlink" Target="https://www.ncbi.nlm.nih.gov/pubmed/?term=Khor%20CC%5BAuthor%5D&amp;cauthor=true&amp;cauthor_uid=21874001" TargetMode="External"/><Relationship Id="rId123" Type="http://schemas.openxmlformats.org/officeDocument/2006/relationships/hyperlink" Target="https://www.ncbi.nlm.nih.gov/pubmed/?term=DIAGRAM%5BCorporate%20Author%5D" TargetMode="External"/><Relationship Id="rId128" Type="http://schemas.openxmlformats.org/officeDocument/2006/relationships/hyperlink" Target="https://www.ncbi.nlm.nih.gov/pubmed/?term=Deloukas%20P%5BAuthor%5D&amp;cauthor=true&amp;cauthor_uid=21874001" TargetMode="External"/><Relationship Id="rId144" Type="http://schemas.openxmlformats.org/officeDocument/2006/relationships/hyperlink" Target="https://www.ncbi.nlm.nih.gov/pubmed/?term=Tai%20ES%5BAuthor%5D&amp;cauthor=true&amp;cauthor_uid=21874001" TargetMode="External"/><Relationship Id="rId149" Type="http://schemas.openxmlformats.org/officeDocument/2006/relationships/hyperlink" Target="https://www.ncbi.nlm.nih.gov/pubmed/?term=Nakamura%20Y%5BAuthor%5D&amp;cauthor=true&amp;cauthor_uid=22046406" TargetMode="External"/><Relationship Id="rId5" Type="http://schemas.openxmlformats.org/officeDocument/2006/relationships/webSettings" Target="webSettings.xml"/><Relationship Id="rId90" Type="http://schemas.openxmlformats.org/officeDocument/2006/relationships/hyperlink" Target="https://www.ncbi.nlm.nih.gov/pubmed/?term=Radha%20V%5BAuthor%5D&amp;cauthor=true&amp;cauthor_uid=21874001" TargetMode="External"/><Relationship Id="rId95" Type="http://schemas.openxmlformats.org/officeDocument/2006/relationships/hyperlink" Target="https://www.ncbi.nlm.nih.gov/pubmed/?term=Basit%20A%5BAuthor%5D&amp;cauthor=true&amp;cauthor_uid=21874001" TargetMode="External"/><Relationship Id="rId160" Type="http://schemas.openxmlformats.org/officeDocument/2006/relationships/hyperlink" Target="https://www.ncbi.nlm.nih.gov/pubmed/?term=Nakashima%20N%5BAuthor%5D&amp;cauthor=true&amp;cauthor_uid=19401414" TargetMode="External"/><Relationship Id="rId165" Type="http://schemas.openxmlformats.org/officeDocument/2006/relationships/hyperlink" Target="https://www.ncbi.nlm.nih.gov/pubmed/?term=Kato%20N%5BAuthor%5D&amp;cauthor=true&amp;cauthor_uid=19401414" TargetMode="External"/><Relationship Id="rId181" Type="http://schemas.openxmlformats.org/officeDocument/2006/relationships/hyperlink" Target="https://www.ncbi.nlm.nih.gov/pubmed/?term=Hansen%20T%5BAuthor%5D&amp;cauthor=true&amp;cauthor_uid=20818381" TargetMode="External"/><Relationship Id="rId186" Type="http://schemas.openxmlformats.org/officeDocument/2006/relationships/hyperlink" Target="https://www.ncbi.nlm.nih.gov/pubmed/?term=Hirose%20H%5BAuthor%5D&amp;cauthor=true&amp;cauthor_uid=20818381" TargetMode="External"/><Relationship Id="rId22" Type="http://schemas.openxmlformats.org/officeDocument/2006/relationships/footer" Target="footer6.xml"/><Relationship Id="rId27" Type="http://schemas.openxmlformats.org/officeDocument/2006/relationships/image" Target="media/image5.jpeg"/><Relationship Id="rId43" Type="http://schemas.openxmlformats.org/officeDocument/2006/relationships/hyperlink" Target="https://www.ncbi.nlm.nih.gov/pubmed/?term=Lee%20JJ%5BAuthor%5D&amp;cauthor=true&amp;cauthor_uid=22158537" TargetMode="External"/><Relationship Id="rId48" Type="http://schemas.openxmlformats.org/officeDocument/2006/relationships/hyperlink" Target="https://www.ncbi.nlm.nih.gov/pubmed/?term=Nakamura%20J%5BAuthor%5D&amp;cauthor=true&amp;cauthor_uid=22158537" TargetMode="External"/><Relationship Id="rId64" Type="http://schemas.openxmlformats.org/officeDocument/2006/relationships/hyperlink" Target="https://www.ncbi.nlm.nih.gov/pubmed/?term=Chang%20TJ%5BAuthor%5D&amp;cauthor=true&amp;cauthor_uid=22158537" TargetMode="External"/><Relationship Id="rId69" Type="http://schemas.openxmlformats.org/officeDocument/2006/relationships/hyperlink" Target="https://www.ncbi.nlm.nih.gov/pubmed/?term=DIAGRAM%20Consortium%5BCorporate%20Author%5D" TargetMode="External"/><Relationship Id="rId113" Type="http://schemas.openxmlformats.org/officeDocument/2006/relationships/hyperlink" Target="https://www.ncbi.nlm.nih.gov/pubmed/?term=Rasheed%20A%5BAuthor%5D&amp;cauthor=true&amp;cauthor_uid=21874001" TargetMode="External"/><Relationship Id="rId118" Type="http://schemas.openxmlformats.org/officeDocument/2006/relationships/hyperlink" Target="https://www.ncbi.nlm.nih.gov/pubmed/?term=Suo%20C%5BAuthor%5D&amp;cauthor=true&amp;cauthor_uid=21874001" TargetMode="External"/><Relationship Id="rId134" Type="http://schemas.openxmlformats.org/officeDocument/2006/relationships/hyperlink" Target="https://www.ncbi.nlm.nih.gov/pubmed/?term=Liang%20J%5BAuthor%5D&amp;cauthor=true&amp;cauthor_uid=21874001" TargetMode="External"/><Relationship Id="rId139" Type="http://schemas.openxmlformats.org/officeDocument/2006/relationships/hyperlink" Target="https://www.ncbi.nlm.nih.gov/pubmed/?term=Zimmet%20PZ%5BAuthor%5D&amp;cauthor=true&amp;cauthor_uid=21874001" TargetMode="External"/><Relationship Id="rId80" Type="http://schemas.openxmlformats.org/officeDocument/2006/relationships/hyperlink" Target="https://www.ncbi.nlm.nih.gov/pubmed/?term=Teo%20YY%5BAuthor%5D&amp;cauthor=true&amp;cauthor_uid=22158537" TargetMode="External"/><Relationship Id="rId85" Type="http://schemas.openxmlformats.org/officeDocument/2006/relationships/hyperlink" Target="https://www.ncbi.nlm.nih.gov/pubmed/?term=Han%20BG%5BAuthor%5D&amp;cauthor=true&amp;cauthor_uid=22158537" TargetMode="External"/><Relationship Id="rId150" Type="http://schemas.openxmlformats.org/officeDocument/2006/relationships/hyperlink" Target="https://www.ncbi.nlm.nih.gov/pubmed/?term=Maeda%20S%5BAuthor%5D&amp;cauthor=true&amp;cauthor_uid=22046406" TargetMode="External"/><Relationship Id="rId155" Type="http://schemas.openxmlformats.org/officeDocument/2006/relationships/hyperlink" Target="https://www.ncbi.nlm.nih.gov/pubmed/?term=Wang%20H%5BAuthor%5D&amp;cauthor=true&amp;cauthor_uid=27589775" TargetMode="External"/><Relationship Id="rId171" Type="http://schemas.openxmlformats.org/officeDocument/2006/relationships/hyperlink" Target="https://www.ncbi.nlm.nih.gov/pubmed/?term=Maegawa%20H%5BAuthor%5D&amp;cauthor=true&amp;cauthor_uid=20818381" TargetMode="External"/><Relationship Id="rId176" Type="http://schemas.openxmlformats.org/officeDocument/2006/relationships/hyperlink" Target="https://www.ncbi.nlm.nih.gov/pubmed/?term=Andersen%20G%5BAuthor%5D&amp;cauthor=true&amp;cauthor_uid=20818381" TargetMode="External"/><Relationship Id="rId192" Type="http://schemas.openxmlformats.org/officeDocument/2006/relationships/hyperlink" Target="https://www.ncbi.nlm.nih.gov/pubmed/?term=Ito%20C%5BAuthor%5D&amp;cauthor=true&amp;cauthor_uid=20818381" TargetMode="External"/><Relationship Id="rId197" Type="http://schemas.openxmlformats.org/officeDocument/2006/relationships/hyperlink" Target="https://www.ncbi.nlm.nih.gov/pubmed/?term=Froguel%20P%5BAuthor%5D&amp;cauthor=true&amp;cauthor_uid=20818381" TargetMode="External"/><Relationship Id="rId206" Type="http://schemas.openxmlformats.org/officeDocument/2006/relationships/theme" Target="theme/theme1.xml"/><Relationship Id="rId201" Type="http://schemas.openxmlformats.org/officeDocument/2006/relationships/hyperlink" Target="https://www.ncbi.nlm.nih.gov/pubmed/?term=Kadowaki%20T%5BAuthor%5D&amp;cauthor=true&amp;cauthor_uid=20818381" TargetMode="External"/><Relationship Id="rId12" Type="http://schemas.openxmlformats.org/officeDocument/2006/relationships/hyperlink" Target="mailto:msewnet3@gmail.com" TargetMode="External"/><Relationship Id="rId17" Type="http://schemas.openxmlformats.org/officeDocument/2006/relationships/header" Target="header4.xml"/><Relationship Id="rId33" Type="http://schemas.openxmlformats.org/officeDocument/2006/relationships/hyperlink" Target="https://www.ncbi.nlm.nih.gov/pubmed/?term=Adair%20LS%5BAuthor%5D&amp;cauthor=true&amp;cauthor_uid=22158537" TargetMode="External"/><Relationship Id="rId38" Type="http://schemas.openxmlformats.org/officeDocument/2006/relationships/hyperlink" Target="https://www.ncbi.nlm.nih.gov/pubmed/?term=Gao%20Y%5BAuthor%5D&amp;cauthor=true&amp;cauthor_uid=22158537" TargetMode="External"/><Relationship Id="rId59" Type="http://schemas.openxmlformats.org/officeDocument/2006/relationships/hyperlink" Target="https://www.ncbi.nlm.nih.gov/pubmed/?term=Ohnaka%20K%5BAuthor%5D&amp;cauthor=true&amp;cauthor_uid=22158537" TargetMode="External"/><Relationship Id="rId103" Type="http://schemas.openxmlformats.org/officeDocument/2006/relationships/hyperlink" Target="https://www.ncbi.nlm.nih.gov/pubmed/?term=Kowlessur%20S%5BAuthor%5D&amp;cauthor=true&amp;cauthor_uid=21874001" TargetMode="External"/><Relationship Id="rId108" Type="http://schemas.openxmlformats.org/officeDocument/2006/relationships/hyperlink" Target="https://www.ncbi.nlm.nih.gov/pubmed/?term=Liu%20J%5BAuthor%5D&amp;cauthor=true&amp;cauthor_uid=21874001" TargetMode="External"/><Relationship Id="rId124" Type="http://schemas.openxmlformats.org/officeDocument/2006/relationships/hyperlink" Target="https://www.ncbi.nlm.nih.gov/pubmed/?term=MuTHER%5BCorporate%20Author%5D" TargetMode="External"/><Relationship Id="rId129" Type="http://schemas.openxmlformats.org/officeDocument/2006/relationships/hyperlink" Target="https://www.ncbi.nlm.nih.gov/pubmed/?term=Frayling%20TM%5BAuthor%5D&amp;cauthor=true&amp;cauthor_uid=21874001" TargetMode="External"/><Relationship Id="rId54" Type="http://schemas.openxmlformats.org/officeDocument/2006/relationships/hyperlink" Target="https://www.ncbi.nlm.nih.gov/pubmed/?term=Yokota%20M%5BAuthor%5D&amp;cauthor=true&amp;cauthor_uid=22158537" TargetMode="External"/><Relationship Id="rId70" Type="http://schemas.openxmlformats.org/officeDocument/2006/relationships/hyperlink" Target="https://www.ncbi.nlm.nih.gov/pubmed/?term=MuTHER%20Consortium%5BCorporate%20Author%5D" TargetMode="External"/><Relationship Id="rId75" Type="http://schemas.openxmlformats.org/officeDocument/2006/relationships/hyperlink" Target="https://www.ncbi.nlm.nih.gov/pubmed/?term=Chan%20JC%5BAuthor%5D&amp;cauthor=true&amp;cauthor_uid=22158537" TargetMode="External"/><Relationship Id="rId91" Type="http://schemas.openxmlformats.org/officeDocument/2006/relationships/hyperlink" Target="https://www.ncbi.nlm.nih.gov/pubmed/?term=Rees%20SD%5BAuthor%5D&amp;cauthor=true&amp;cauthor_uid=21874001" TargetMode="External"/><Relationship Id="rId96" Type="http://schemas.openxmlformats.org/officeDocument/2006/relationships/hyperlink" Target="https://www.ncbi.nlm.nih.gov/pubmed/?term=Chidambaram%20M%5BAuthor%5D&amp;cauthor=true&amp;cauthor_uid=21874001" TargetMode="External"/><Relationship Id="rId140" Type="http://schemas.openxmlformats.org/officeDocument/2006/relationships/hyperlink" Target="https://www.ncbi.nlm.nih.gov/pubmed/?term=Elliott%20P%5BAuthor%5D&amp;cauthor=true&amp;cauthor_uid=21874001" TargetMode="External"/><Relationship Id="rId145" Type="http://schemas.openxmlformats.org/officeDocument/2006/relationships/hyperlink" Target="https://www.ncbi.nlm.nih.gov/pubmed/?term=Chambers%20JC%5BAuthor%5D&amp;cauthor=true&amp;cauthor_uid=21874001" TargetMode="External"/><Relationship Id="rId161" Type="http://schemas.openxmlformats.org/officeDocument/2006/relationships/hyperlink" Target="https://www.ncbi.nlm.nih.gov/pubmed/?term=Nawata%20H%5BAuthor%5D&amp;cauthor=true&amp;cauthor_uid=19401414" TargetMode="External"/><Relationship Id="rId166" Type="http://schemas.openxmlformats.org/officeDocument/2006/relationships/hyperlink" Target="https://www.ncbi.nlm.nih.gov/pubmed/?term=Ng%20DP%5BAuthor%5D&amp;cauthor=true&amp;cauthor_uid=20818381" TargetMode="External"/><Relationship Id="rId182" Type="http://schemas.openxmlformats.org/officeDocument/2006/relationships/hyperlink" Target="https://www.ncbi.nlm.nih.gov/pubmed/?term=Ohshige%20T%5BAuthor%5D&amp;cauthor=true&amp;cauthor_uid=20818381" TargetMode="External"/><Relationship Id="rId187" Type="http://schemas.openxmlformats.org/officeDocument/2006/relationships/hyperlink" Target="https://www.ncbi.nlm.nih.gov/pubmed/?term=So%20WY%5BAuthor%5D&amp;cauthor=true&amp;cauthor_uid=2081838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image" Target="media/image6.jpeg"/><Relationship Id="rId49" Type="http://schemas.openxmlformats.org/officeDocument/2006/relationships/hyperlink" Target="https://www.ncbi.nlm.nih.gov/pubmed/?term=Nakashima%20E%5BAuthor%5D&amp;cauthor=true&amp;cauthor_uid=22158537" TargetMode="External"/><Relationship Id="rId114" Type="http://schemas.openxmlformats.org/officeDocument/2006/relationships/hyperlink" Target="https://www.ncbi.nlm.nih.gov/pubmed/?term=Samuel%20M%5BAuthor%5D&amp;cauthor=true&amp;cauthor_uid=21874001" TargetMode="External"/><Relationship Id="rId119" Type="http://schemas.openxmlformats.org/officeDocument/2006/relationships/hyperlink" Target="https://www.ncbi.nlm.nih.gov/pubmed/?term=Wickremasinghe%20AR%5BAuthor%5D&amp;cauthor=true&amp;cauthor_uid=21874001" TargetMode="External"/><Relationship Id="rId44" Type="http://schemas.openxmlformats.org/officeDocument/2006/relationships/hyperlink" Target="https://www.ncbi.nlm.nih.gov/pubmed/?term=Lee%20NR%5BAuthor%5D&amp;cauthor=true&amp;cauthor_uid=22158537" TargetMode="External"/><Relationship Id="rId60" Type="http://schemas.openxmlformats.org/officeDocument/2006/relationships/hyperlink" Target="https://www.ncbi.nlm.nih.gov/pubmed/?term=Ikegami%20H%5BAuthor%5D&amp;cauthor=true&amp;cauthor_uid=22158537" TargetMode="External"/><Relationship Id="rId65" Type="http://schemas.openxmlformats.org/officeDocument/2006/relationships/hyperlink" Target="https://www.ncbi.nlm.nih.gov/pubmed/?term=Bao%20Y%5BAuthor%5D&amp;cauthor=true&amp;cauthor_uid=22158537" TargetMode="External"/><Relationship Id="rId81" Type="http://schemas.openxmlformats.org/officeDocument/2006/relationships/hyperlink" Target="https://www.ncbi.nlm.nih.gov/pubmed/?term=Tai%20ES%5BAuthor%5D&amp;cauthor=true&amp;cauthor_uid=22158537" TargetMode="External"/><Relationship Id="rId86" Type="http://schemas.openxmlformats.org/officeDocument/2006/relationships/hyperlink" Target="https://www.ncbi.nlm.nih.gov/pubmed/?term=Seielstad%20M%5BAuthor%5D&amp;cauthor=true&amp;cauthor_uid=22158537" TargetMode="External"/><Relationship Id="rId130" Type="http://schemas.openxmlformats.org/officeDocument/2006/relationships/hyperlink" Target="https://www.ncbi.nlm.nih.gov/pubmed/?term=Froguel%20P%5BAuthor%5D&amp;cauthor=true&amp;cauthor_uid=21874001" TargetMode="External"/><Relationship Id="rId135" Type="http://schemas.openxmlformats.org/officeDocument/2006/relationships/hyperlink" Target="https://www.ncbi.nlm.nih.gov/pubmed/?term=Mohan%20V%5BAuthor%5D&amp;cauthor=true&amp;cauthor_uid=21874001" TargetMode="External"/><Relationship Id="rId151" Type="http://schemas.openxmlformats.org/officeDocument/2006/relationships/hyperlink" Target="https://www.ncbi.nlm.nih.gov/pubmed/?term=Veronica%20AK%5BAuthor%5D&amp;cauthor=true&amp;cauthor_uid=27589775" TargetMode="External"/><Relationship Id="rId156" Type="http://schemas.openxmlformats.org/officeDocument/2006/relationships/hyperlink" Target="https://www.ncbi.nlm.nih.gov/pubmed/?term=Fang%20HH%5BAuthor%5D&amp;cauthor=true&amp;cauthor_uid=27589775" TargetMode="External"/><Relationship Id="rId177" Type="http://schemas.openxmlformats.org/officeDocument/2006/relationships/hyperlink" Target="https://www.ncbi.nlm.nih.gov/pubmed/?term=Witte%20DR%5BAuthor%5D&amp;cauthor=true&amp;cauthor_uid=20818381" TargetMode="External"/><Relationship Id="rId198" Type="http://schemas.openxmlformats.org/officeDocument/2006/relationships/hyperlink" Target="https://www.ncbi.nlm.nih.gov/pubmed/?term=Pedersen%20O%5BAuthor%5D&amp;cauthor=true&amp;cauthor_uid=20818381" TargetMode="External"/><Relationship Id="rId172" Type="http://schemas.openxmlformats.org/officeDocument/2006/relationships/hyperlink" Target="https://www.ncbi.nlm.nih.gov/pubmed/?term=Okada-Iwabu%20M%5BAuthor%5D&amp;cauthor=true&amp;cauthor_uid=20818381" TargetMode="External"/><Relationship Id="rId193" Type="http://schemas.openxmlformats.org/officeDocument/2006/relationships/hyperlink" Target="https://www.ncbi.nlm.nih.gov/pubmed/?term=Tanaka%20Y%5BAuthor%5D&amp;cauthor=true&amp;cauthor_uid=20818381" TargetMode="External"/><Relationship Id="rId202" Type="http://schemas.openxmlformats.org/officeDocument/2006/relationships/header" Target="header7.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www.ncbi.nlm.nih.gov/pubmed/?term=Hu%20FB%5BAuthor%5D&amp;cauthor=true&amp;cauthor_uid=22158537" TargetMode="External"/><Relationship Id="rId109" Type="http://schemas.openxmlformats.org/officeDocument/2006/relationships/hyperlink" Target="https://www.ncbi.nlm.nih.gov/pubmed/?term=Morris%20AP%5BAuthor%5D&amp;cauthor=true&amp;cauthor_uid=21874001" TargetMode="External"/><Relationship Id="rId34" Type="http://schemas.openxmlformats.org/officeDocument/2006/relationships/hyperlink" Target="https://www.ncbi.nlm.nih.gov/pubmed/?term=Aung%20T%5BAuthor%5D&amp;cauthor=true&amp;cauthor_uid=22158537" TargetMode="External"/><Relationship Id="rId50" Type="http://schemas.openxmlformats.org/officeDocument/2006/relationships/hyperlink" Target="https://www.ncbi.nlm.nih.gov/pubmed/?term=Ng%20DP%5BAuthor%5D&amp;cauthor=true&amp;cauthor_uid=22158537" TargetMode="External"/><Relationship Id="rId55" Type="http://schemas.openxmlformats.org/officeDocument/2006/relationships/hyperlink" Target="https://www.ncbi.nlm.nih.gov/pubmed/?term=Zheng%20W%5BAuthor%5D&amp;cauthor=true&amp;cauthor_uid=22158537" TargetMode="External"/><Relationship Id="rId76" Type="http://schemas.openxmlformats.org/officeDocument/2006/relationships/hyperlink" Target="https://www.ncbi.nlm.nih.gov/pubmed/?term=Maeda%20S%5BAuthor%5D&amp;cauthor=true&amp;cauthor_uid=22158537" TargetMode="External"/><Relationship Id="rId97" Type="http://schemas.openxmlformats.org/officeDocument/2006/relationships/hyperlink" Target="https://www.ncbi.nlm.nih.gov/pubmed/?term=Das%20D%5BAuthor%5D&amp;cauthor=true&amp;cauthor_uid=21874001" TargetMode="External"/><Relationship Id="rId104" Type="http://schemas.openxmlformats.org/officeDocument/2006/relationships/hyperlink" Target="https://www.ncbi.nlm.nih.gov/pubmed/?term=Kristensen%20MM%5BAuthor%5D&amp;cauthor=true&amp;cauthor_uid=21874001" TargetMode="External"/><Relationship Id="rId120" Type="http://schemas.openxmlformats.org/officeDocument/2006/relationships/hyperlink" Target="https://www.ncbi.nlm.nih.gov/pubmed/?term=Wong%20TY%5BAuthor%5D&amp;cauthor=true&amp;cauthor_uid=21874001" TargetMode="External"/><Relationship Id="rId125" Type="http://schemas.openxmlformats.org/officeDocument/2006/relationships/hyperlink" Target="https://www.ncbi.nlm.nih.gov/pubmed/?term=Abecasis%20GR%5BAuthor%5D&amp;cauthor=true&amp;cauthor_uid=21874001" TargetMode="External"/><Relationship Id="rId141" Type="http://schemas.openxmlformats.org/officeDocument/2006/relationships/hyperlink" Target="https://www.ncbi.nlm.nih.gov/pubmed/?term=Teo%20YY%5BAuthor%5D&amp;cauthor=true&amp;cauthor_uid=21874001" TargetMode="External"/><Relationship Id="rId146" Type="http://schemas.openxmlformats.org/officeDocument/2006/relationships/hyperlink" Target="https://www.ncbi.nlm.nih.gov/pubmed/?term=Kawamori%20R%5BAuthor%5D&amp;cauthor=true&amp;cauthor_uid=22046406" TargetMode="External"/><Relationship Id="rId167" Type="http://schemas.openxmlformats.org/officeDocument/2006/relationships/hyperlink" Target="https://www.ncbi.nlm.nih.gov/pubmed/?term=Ma%20RC%5BAuthor%5D&amp;cauthor=true&amp;cauthor_uid=20818381" TargetMode="External"/><Relationship Id="rId188" Type="http://schemas.openxmlformats.org/officeDocument/2006/relationships/hyperlink" Target="https://www.ncbi.nlm.nih.gov/pubmed/?term=Beury%20D%5BAuthor%5D&amp;cauthor=true&amp;cauthor_uid=20818381" TargetMode="External"/><Relationship Id="rId7" Type="http://schemas.openxmlformats.org/officeDocument/2006/relationships/endnotes" Target="endnotes.xml"/><Relationship Id="rId71" Type="http://schemas.openxmlformats.org/officeDocument/2006/relationships/hyperlink" Target="https://www.ncbi.nlm.nih.gov/pubmed/?term=Takayanagi%20R%5BAuthor%5D&amp;cauthor=true&amp;cauthor_uid=22158537" TargetMode="External"/><Relationship Id="rId92" Type="http://schemas.openxmlformats.org/officeDocument/2006/relationships/hyperlink" Target="https://www.ncbi.nlm.nih.gov/pubmed/?term=Takeuchi%20F%5BAuthor%5D&amp;cauthor=true&amp;cauthor_uid=21874001" TargetMode="External"/><Relationship Id="rId162" Type="http://schemas.openxmlformats.org/officeDocument/2006/relationships/hyperlink" Target="https://www.ncbi.nlm.nih.gov/pubmed/?term=Nakamura%20J%5BAuthor%5D&amp;cauthor=true&amp;cauthor_uid=19401414" TargetMode="External"/><Relationship Id="rId183" Type="http://schemas.openxmlformats.org/officeDocument/2006/relationships/hyperlink" Target="https://www.ncbi.nlm.nih.gov/pubmed/?term=Omori%20S%5BAuthor%5D&amp;cauthor=true&amp;cauthor_uid=20818381" TargetMode="External"/><Relationship Id="rId2" Type="http://schemas.openxmlformats.org/officeDocument/2006/relationships/numbering" Target="numbering.xml"/><Relationship Id="rId29" Type="http://schemas.openxmlformats.org/officeDocument/2006/relationships/hyperlink" Target="https://www.ncbi.nlm.nih.gov/pubmed/?term=Chang%20YC%5BAuthor%5D&amp;cauthor=true&amp;cauthor_uid=22158537" TargetMode="External"/><Relationship Id="rId24" Type="http://schemas.openxmlformats.org/officeDocument/2006/relationships/image" Target="media/image2.png"/><Relationship Id="rId40" Type="http://schemas.openxmlformats.org/officeDocument/2006/relationships/hyperlink" Target="https://www.ncbi.nlm.nih.gov/pubmed/?term=Kim%20HL%5BAuthor%5D&amp;cauthor=true&amp;cauthor_uid=22158537" TargetMode="External"/><Relationship Id="rId45" Type="http://schemas.openxmlformats.org/officeDocument/2006/relationships/hyperlink" Target="https://www.ncbi.nlm.nih.gov/pubmed/?term=Li%20Y%5BAuthor%5D&amp;cauthor=true&amp;cauthor_uid=22158537" TargetMode="External"/><Relationship Id="rId66" Type="http://schemas.openxmlformats.org/officeDocument/2006/relationships/hyperlink" Target="https://www.ncbi.nlm.nih.gov/pubmed/?term=Hedman%20%C3%85K%5BAuthor%5D&amp;cauthor=true&amp;cauthor_uid=22158537" TargetMode="External"/><Relationship Id="rId87" Type="http://schemas.openxmlformats.org/officeDocument/2006/relationships/hyperlink" Target="https://www.ncbi.nlm.nih.gov/pubmed/?term=Jafar%20T%5BAuthor%5D&amp;cauthor=true&amp;cauthor_uid=21874001" TargetMode="External"/><Relationship Id="rId110" Type="http://schemas.openxmlformats.org/officeDocument/2006/relationships/hyperlink" Target="https://www.ncbi.nlm.nih.gov/pubmed/?term=Nica%20AC%5BAuthor%5D&amp;cauthor=true&amp;cauthor_uid=21874001" TargetMode="External"/><Relationship Id="rId115" Type="http://schemas.openxmlformats.org/officeDocument/2006/relationships/hyperlink" Target="https://www.ncbi.nlm.nih.gov/pubmed/?term=Shah%20N%5BAuthor%5D&amp;cauthor=true&amp;cauthor_uid=21874001" TargetMode="External"/><Relationship Id="rId131" Type="http://schemas.openxmlformats.org/officeDocument/2006/relationships/hyperlink" Target="https://www.ncbi.nlm.nih.gov/pubmed/?term=Kato%20N%5BAuthor%5D&amp;cauthor=true&amp;cauthor_uid=21874001" TargetMode="External"/><Relationship Id="rId136" Type="http://schemas.openxmlformats.org/officeDocument/2006/relationships/hyperlink" Target="https://www.ncbi.nlm.nih.gov/pubmed/?term=Sanghera%20DK%5BAuthor%5D&amp;cauthor=true&amp;cauthor_uid=21874001" TargetMode="External"/><Relationship Id="rId157" Type="http://schemas.openxmlformats.org/officeDocument/2006/relationships/hyperlink" Target="https://www.ncbi.nlm.nih.gov/pubmed/?term=Gao%20Q%5BAuthor%5D&amp;cauthor=true&amp;cauthor_uid=27589775" TargetMode="External"/><Relationship Id="rId178" Type="http://schemas.openxmlformats.org/officeDocument/2006/relationships/hyperlink" Target="https://www.ncbi.nlm.nih.gov/pubmed/?term=J%C3%B8rgensen%20T%5BAuthor%5D&amp;cauthor=true&amp;cauthor_uid=20818381" TargetMode="External"/><Relationship Id="rId61" Type="http://schemas.openxmlformats.org/officeDocument/2006/relationships/hyperlink" Target="https://www.ncbi.nlm.nih.gov/pubmed/?term=Hara%20K%5BAuthor%5D&amp;cauthor=true&amp;cauthor_uid=22158537" TargetMode="External"/><Relationship Id="rId82" Type="http://schemas.openxmlformats.org/officeDocument/2006/relationships/hyperlink" Target="https://www.ncbi.nlm.nih.gov/pubmed/?term=Shu%20XO%5BAuthor%5D&amp;cauthor=true&amp;cauthor_uid=22158537" TargetMode="External"/><Relationship Id="rId152" Type="http://schemas.openxmlformats.org/officeDocument/2006/relationships/hyperlink" Target="https://www.ncbi.nlm.nih.gov/pubmed/?term=Qiu%20J%5BAuthor%5D&amp;cauthor=true&amp;cauthor_uid=27589775" TargetMode="External"/><Relationship Id="rId173" Type="http://schemas.openxmlformats.org/officeDocument/2006/relationships/hyperlink" Target="https://www.ncbi.nlm.nih.gov/pubmed/?term=Iwabu%20M%5BAuthor%5D&amp;cauthor=true&amp;cauthor_uid=20818381" TargetMode="External"/><Relationship Id="rId194" Type="http://schemas.openxmlformats.org/officeDocument/2006/relationships/hyperlink" Target="https://www.ncbi.nlm.nih.gov/pubmed/?term=Kashiwagi%20A%5BAuthor%5D&amp;cauthor=true&amp;cauthor_uid=20818381" TargetMode="External"/><Relationship Id="rId199" Type="http://schemas.openxmlformats.org/officeDocument/2006/relationships/hyperlink" Target="https://www.ncbi.nlm.nih.gov/pubmed/?term=Kamatani%20N%5BAuthor%5D&amp;cauthor=true&amp;cauthor_uid=20818381" TargetMode="External"/><Relationship Id="rId203" Type="http://schemas.openxmlformats.org/officeDocument/2006/relationships/footer" Target="footer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s://www.ncbi.nlm.nih.gov/pubmed/?term=Kwak%20SH%5BAuthor%5D&amp;cauthor=true&amp;cauthor_uid=22158537" TargetMode="External"/><Relationship Id="rId35" Type="http://schemas.openxmlformats.org/officeDocument/2006/relationships/hyperlink" Target="https://www.ncbi.nlm.nih.gov/pubmed/?term=Cai%20Q%5BAuthor%5D&amp;cauthor=true&amp;cauthor_uid=22158537" TargetMode="External"/><Relationship Id="rId56" Type="http://schemas.openxmlformats.org/officeDocument/2006/relationships/hyperlink" Target="https://www.ncbi.nlm.nih.gov/pubmed/?term=Zhang%20R%5BAuthor%5D&amp;cauthor=true&amp;cauthor_uid=22158537" TargetMode="External"/><Relationship Id="rId77" Type="http://schemas.openxmlformats.org/officeDocument/2006/relationships/hyperlink" Target="https://www.ncbi.nlm.nih.gov/pubmed/?term=Kadowaki%20T%5BAuthor%5D&amp;cauthor=true&amp;cauthor_uid=22158537" TargetMode="External"/><Relationship Id="rId100" Type="http://schemas.openxmlformats.org/officeDocument/2006/relationships/hyperlink" Target="https://www.ncbi.nlm.nih.gov/pubmed/?term=Hydrie%20ZI%5BAuthor%5D&amp;cauthor=true&amp;cauthor_uid=21874001" TargetMode="External"/><Relationship Id="rId105" Type="http://schemas.openxmlformats.org/officeDocument/2006/relationships/hyperlink" Target="https://www.ncbi.nlm.nih.gov/pubmed/?term=Liju%20S%5BAuthor%5D&amp;cauthor=true&amp;cauthor_uid=21874001" TargetMode="External"/><Relationship Id="rId126" Type="http://schemas.openxmlformats.org/officeDocument/2006/relationships/hyperlink" Target="https://www.ncbi.nlm.nih.gov/pubmed/?term=Barnett%20AH%5BAuthor%5D&amp;cauthor=true&amp;cauthor_uid=21874001" TargetMode="External"/><Relationship Id="rId147" Type="http://schemas.openxmlformats.org/officeDocument/2006/relationships/hyperlink" Target="https://www.ncbi.nlm.nih.gov/pubmed/?term=Tobe%20K%5BAuthor%5D&amp;cauthor=true&amp;cauthor_uid=22046406" TargetMode="External"/><Relationship Id="rId168" Type="http://schemas.openxmlformats.org/officeDocument/2006/relationships/hyperlink" Target="https://www.ncbi.nlm.nih.gov/pubmed/?term=Tsunoda%20T%5BAuthor%5D&amp;cauthor=true&amp;cauthor_uid=20818381" TargetMode="External"/><Relationship Id="rId8" Type="http://schemas.openxmlformats.org/officeDocument/2006/relationships/header" Target="header1.xml"/><Relationship Id="rId51" Type="http://schemas.openxmlformats.org/officeDocument/2006/relationships/hyperlink" Target="https://www.ncbi.nlm.nih.gov/pubmed/?term=Tay%20WT%5BAuthor%5D&amp;cauthor=true&amp;cauthor_uid=22158537" TargetMode="External"/><Relationship Id="rId72" Type="http://schemas.openxmlformats.org/officeDocument/2006/relationships/hyperlink" Target="https://www.ncbi.nlm.nih.gov/pubmed/?term=Park%20KS%5BAuthor%5D&amp;cauthor=true&amp;cauthor_uid=22158537" TargetMode="External"/><Relationship Id="rId93" Type="http://schemas.openxmlformats.org/officeDocument/2006/relationships/hyperlink" Target="https://www.ncbi.nlm.nih.gov/pubmed/?term=Young%20R%5BAuthor%5D&amp;cauthor=true&amp;cauthor_uid=21874001" TargetMode="External"/><Relationship Id="rId98" Type="http://schemas.openxmlformats.org/officeDocument/2006/relationships/hyperlink" Target="https://www.ncbi.nlm.nih.gov/pubmed/?term=Grundberg%20E%5BAuthor%5D&amp;cauthor=true&amp;cauthor_uid=21874001" TargetMode="External"/><Relationship Id="rId121" Type="http://schemas.openxmlformats.org/officeDocument/2006/relationships/hyperlink" Target="https://www.ncbi.nlm.nih.gov/pubmed/?term=Yang%20M%5BAuthor%5D&amp;cauthor=true&amp;cauthor_uid=21874001" TargetMode="External"/><Relationship Id="rId142" Type="http://schemas.openxmlformats.org/officeDocument/2006/relationships/hyperlink" Target="https://www.ncbi.nlm.nih.gov/pubmed/?term=McCarthy%20MI%5BAuthor%5D&amp;cauthor=true&amp;cauthor_uid=21874001" TargetMode="External"/><Relationship Id="rId163" Type="http://schemas.openxmlformats.org/officeDocument/2006/relationships/hyperlink" Target="https://www.ncbi.nlm.nih.gov/pubmed/?term=Kono%20S%5BAuthor%5D&amp;cauthor=true&amp;cauthor_uid=19401414" TargetMode="External"/><Relationship Id="rId184" Type="http://schemas.openxmlformats.org/officeDocument/2006/relationships/hyperlink" Target="https://www.ncbi.nlm.nih.gov/pubmed/?term=Saito%20I%5BAuthor%5D&amp;cauthor=true&amp;cauthor_uid=20818381" TargetMode="External"/><Relationship Id="rId189" Type="http://schemas.openxmlformats.org/officeDocument/2006/relationships/hyperlink" Target="https://www.ncbi.nlm.nih.gov/pubmed/?term=Chan%20JC%5BAuthor%5D&amp;cauthor=true&amp;cauthor_uid=20818381"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www.ncbi.nlm.nih.gov/pubmed/?term=Liu%20JJ%5BAuthor%5D&amp;cauthor=true&amp;cauthor_uid=22158537" TargetMode="External"/><Relationship Id="rId67" Type="http://schemas.openxmlformats.org/officeDocument/2006/relationships/hyperlink" Target="https://www.ncbi.nlm.nih.gov/pubmed/?term=Morris%20AP%5BAuthor%5D&amp;cauthor=true&amp;cauthor_uid=22158537" TargetMode="External"/><Relationship Id="rId116" Type="http://schemas.openxmlformats.org/officeDocument/2006/relationships/hyperlink" Target="https://www.ncbi.nlm.nih.gov/pubmed/?term=Shera%20AS%5BAuthor%5D&amp;cauthor=true&amp;cauthor_uid=21874001" TargetMode="External"/><Relationship Id="rId137" Type="http://schemas.openxmlformats.org/officeDocument/2006/relationships/hyperlink" Target="https://www.ncbi.nlm.nih.gov/pubmed/?term=Scott%20J%5BAuthor%5D&amp;cauthor=true&amp;cauthor_uid=21874001" TargetMode="External"/><Relationship Id="rId158" Type="http://schemas.openxmlformats.org/officeDocument/2006/relationships/hyperlink" Target="https://www.ncbi.nlm.nih.gov/pubmed/?term=Wang%20YX%5BAuthor%5D&amp;cauthor=true&amp;cauthor_uid=27589775" TargetMode="External"/><Relationship Id="rId20" Type="http://schemas.openxmlformats.org/officeDocument/2006/relationships/footer" Target="footer5.xml"/><Relationship Id="rId41" Type="http://schemas.openxmlformats.org/officeDocument/2006/relationships/hyperlink" Target="https://www.ncbi.nlm.nih.gov/pubmed/?term=Kim%20S%5BAuthor%5D&amp;cauthor=true&amp;cauthor_uid=22158537" TargetMode="External"/><Relationship Id="rId62" Type="http://schemas.openxmlformats.org/officeDocument/2006/relationships/hyperlink" Target="https://www.ncbi.nlm.nih.gov/pubmed/?term=Cho%20YM%5BAuthor%5D&amp;cauthor=true&amp;cauthor_uid=22158537" TargetMode="External"/><Relationship Id="rId83" Type="http://schemas.openxmlformats.org/officeDocument/2006/relationships/hyperlink" Target="https://www.ncbi.nlm.nih.gov/pubmed/?term=Mohlke%20KL%5BAuthor%5D&amp;cauthor=true&amp;cauthor_uid=22158537" TargetMode="External"/><Relationship Id="rId88" Type="http://schemas.openxmlformats.org/officeDocument/2006/relationships/hyperlink" Target="https://www.ncbi.nlm.nih.gov/pubmed/?term=Jowett%20JB%5BAuthor%5D&amp;cauthor=true&amp;cauthor_uid=21874001" TargetMode="External"/><Relationship Id="rId111" Type="http://schemas.openxmlformats.org/officeDocument/2006/relationships/hyperlink" Target="https://www.ncbi.nlm.nih.gov/pubmed/?term=Pinidiyapathirage%20JM%5BAuthor%5D&amp;cauthor=true&amp;cauthor_uid=21874001" TargetMode="External"/><Relationship Id="rId132" Type="http://schemas.openxmlformats.org/officeDocument/2006/relationships/hyperlink" Target="https://www.ncbi.nlm.nih.gov/pubmed/?term=Katulanda%20P%5BAuthor%5D&amp;cauthor=true&amp;cauthor_uid=21874001" TargetMode="External"/><Relationship Id="rId153" Type="http://schemas.openxmlformats.org/officeDocument/2006/relationships/hyperlink" Target="https://www.ncbi.nlm.nih.gov/pubmed/?term=Song%20MS%5BAuthor%5D&amp;cauthor=true&amp;cauthor_uid=27589775" TargetMode="External"/><Relationship Id="rId174" Type="http://schemas.openxmlformats.org/officeDocument/2006/relationships/hyperlink" Target="https://www.ncbi.nlm.nih.gov/pubmed/?term=Shojima%20N%5BAuthor%5D&amp;cauthor=true&amp;cauthor_uid=20818381" TargetMode="External"/><Relationship Id="rId179" Type="http://schemas.openxmlformats.org/officeDocument/2006/relationships/hyperlink" Target="https://www.ncbi.nlm.nih.gov/pubmed/?term=Lauritzen%20T%5BAuthor%5D&amp;cauthor=true&amp;cauthor_uid=20818381" TargetMode="External"/><Relationship Id="rId195" Type="http://schemas.openxmlformats.org/officeDocument/2006/relationships/hyperlink" Target="https://www.ncbi.nlm.nih.gov/pubmed/?term=Kawamori%20R%5BAuthor%5D&amp;cauthor=true&amp;cauthor_uid=20818381" TargetMode="External"/><Relationship Id="rId190" Type="http://schemas.openxmlformats.org/officeDocument/2006/relationships/hyperlink" Target="https://www.ncbi.nlm.nih.gov/pubmed/?term=Park%20KS%5BAuthor%5D&amp;cauthor=true&amp;cauthor_uid=20818381" TargetMode="External"/><Relationship Id="rId204"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s://www.ncbi.nlm.nih.gov/pubmed/?term=Chang%20LC%5BAuthor%5D&amp;cauthor=true&amp;cauthor_uid=22158537" TargetMode="External"/><Relationship Id="rId57" Type="http://schemas.openxmlformats.org/officeDocument/2006/relationships/hyperlink" Target="https://www.ncbi.nlm.nih.gov/pubmed/?term=Wang%20C%5BAuthor%5D&amp;cauthor=true&amp;cauthor_uid=22158537" TargetMode="External"/><Relationship Id="rId106" Type="http://schemas.openxmlformats.org/officeDocument/2006/relationships/hyperlink" Target="https://www.ncbi.nlm.nih.gov/pubmed/?term=Lim%20WY%5BAuthor%5D&amp;cauthor=true&amp;cauthor_uid=21874001" TargetMode="External"/><Relationship Id="rId127" Type="http://schemas.openxmlformats.org/officeDocument/2006/relationships/hyperlink" Target="https://www.ncbi.nlm.nih.gov/pubmed/?term=Caulfield%20M%5BAuthor%5D&amp;cauthor=true&amp;cauthor_uid=21874001" TargetMode="External"/><Relationship Id="rId10" Type="http://schemas.openxmlformats.org/officeDocument/2006/relationships/hyperlink" Target="mailto:msewnet3@gmail.com" TargetMode="External"/><Relationship Id="rId31" Type="http://schemas.openxmlformats.org/officeDocument/2006/relationships/hyperlink" Target="https://www.ncbi.nlm.nih.gov/pubmed/?term=Ma%20RC%5BAuthor%5D&amp;cauthor=true&amp;cauthor_uid=22158537" TargetMode="External"/><Relationship Id="rId52" Type="http://schemas.openxmlformats.org/officeDocument/2006/relationships/hyperlink" Target="https://www.ncbi.nlm.nih.gov/pubmed/?term=Tsai%20FJ%5BAuthor%5D&amp;cauthor=true&amp;cauthor_uid=22158537" TargetMode="External"/><Relationship Id="rId73" Type="http://schemas.openxmlformats.org/officeDocument/2006/relationships/hyperlink" Target="https://www.ncbi.nlm.nih.gov/pubmed/?term=Jia%20W%5BAuthor%5D&amp;cauthor=true&amp;cauthor_uid=22158537" TargetMode="External"/><Relationship Id="rId78" Type="http://schemas.openxmlformats.org/officeDocument/2006/relationships/hyperlink" Target="https://www.ncbi.nlm.nih.gov/pubmed/?term=Lee%20JY%5BAuthor%5D&amp;cauthor=true&amp;cauthor_uid=22158537" TargetMode="External"/><Relationship Id="rId94" Type="http://schemas.openxmlformats.org/officeDocument/2006/relationships/hyperlink" Target="https://www.ncbi.nlm.nih.gov/pubmed/?term=Aung%20T%5BAuthor%5D&amp;cauthor=true&amp;cauthor_uid=21874001" TargetMode="External"/><Relationship Id="rId99" Type="http://schemas.openxmlformats.org/officeDocument/2006/relationships/hyperlink" Target="https://www.ncbi.nlm.nih.gov/pubmed/?term=Hedman%20AK%5BAuthor%5D&amp;cauthor=true&amp;cauthor_uid=21874001" TargetMode="External"/><Relationship Id="rId101" Type="http://schemas.openxmlformats.org/officeDocument/2006/relationships/hyperlink" Target="https://www.ncbi.nlm.nih.gov/pubmed/?term=Islam%20M%5BAuthor%5D&amp;cauthor=true&amp;cauthor_uid=21874001" TargetMode="External"/><Relationship Id="rId122" Type="http://schemas.openxmlformats.org/officeDocument/2006/relationships/hyperlink" Target="https://www.ncbi.nlm.nih.gov/pubmed/?term=Zhang%20F%5BAuthor%5D&amp;cauthor=true&amp;cauthor_uid=21874001" TargetMode="External"/><Relationship Id="rId143" Type="http://schemas.openxmlformats.org/officeDocument/2006/relationships/hyperlink" Target="https://www.ncbi.nlm.nih.gov/pubmed/?term=Danesh%20J%5BAuthor%5D&amp;cauthor=true&amp;cauthor_uid=21874001" TargetMode="External"/><Relationship Id="rId148" Type="http://schemas.openxmlformats.org/officeDocument/2006/relationships/hyperlink" Target="https://www.ncbi.nlm.nih.gov/pubmed/?term=Kadowaki%20T%5BAuthor%5D&amp;cauthor=true&amp;cauthor_uid=22046406" TargetMode="External"/><Relationship Id="rId164" Type="http://schemas.openxmlformats.org/officeDocument/2006/relationships/hyperlink" Target="https://www.ncbi.nlm.nih.gov/pubmed/?term=Takayanagi%20R%5BAuthor%5D&amp;cauthor=true&amp;cauthor_uid=19401414" TargetMode="External"/><Relationship Id="rId169" Type="http://schemas.openxmlformats.org/officeDocument/2006/relationships/hyperlink" Target="https://www.ncbi.nlm.nih.gov/pubmed/?term=Kubo%20M%5BAuthor%5D&amp;cauthor=true&amp;cauthor_uid=20818381" TargetMode="External"/><Relationship Id="rId185" Type="http://schemas.openxmlformats.org/officeDocument/2006/relationships/hyperlink" Target="https://www.ncbi.nlm.nih.gov/pubmed/?term=Kaku%20K%5BAuthor%5D&amp;cauthor=true&amp;cauthor_uid=2081838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ncbi.nlm.nih.gov/pubmed/?term=Sandb%C3%A6k%20A%5BAuthor%5D&amp;cauthor=true&amp;cauthor_uid=20818381" TargetMode="External"/><Relationship Id="rId26" Type="http://schemas.openxmlformats.org/officeDocument/2006/relationships/image" Target="media/image4.png"/><Relationship Id="rId47" Type="http://schemas.openxmlformats.org/officeDocument/2006/relationships/hyperlink" Target="https://www.ncbi.nlm.nih.gov/pubmed/?term=Lu%20W%5BAuthor%5D&amp;cauthor=true&amp;cauthor_uid=22158537" TargetMode="External"/><Relationship Id="rId68" Type="http://schemas.openxmlformats.org/officeDocument/2006/relationships/hyperlink" Target="https://www.ncbi.nlm.nih.gov/pubmed/?term=McCarthy%20MI%5BAuthor%5D&amp;cauthor=true&amp;cauthor_uid=22158537" TargetMode="External"/><Relationship Id="rId89" Type="http://schemas.openxmlformats.org/officeDocument/2006/relationships/hyperlink" Target="https://www.ncbi.nlm.nih.gov/pubmed/?term=Li%20X%5BAuthor%5D&amp;cauthor=true&amp;cauthor_uid=21874001" TargetMode="External"/><Relationship Id="rId112" Type="http://schemas.openxmlformats.org/officeDocument/2006/relationships/hyperlink" Target="https://www.ncbi.nlm.nih.gov/pubmed/?term=Prokopenko%20I%5BAuthor%5D&amp;cauthor=true&amp;cauthor_uid=21874001" TargetMode="External"/><Relationship Id="rId133" Type="http://schemas.openxmlformats.org/officeDocument/2006/relationships/hyperlink" Target="https://www.ncbi.nlm.nih.gov/pubmed/?term=Kelly%20MA%5BAuthor%5D&amp;cauthor=true&amp;cauthor_uid=21874001" TargetMode="External"/><Relationship Id="rId154" Type="http://schemas.openxmlformats.org/officeDocument/2006/relationships/hyperlink" Target="https://www.ncbi.nlm.nih.gov/pubmed/?term=Zhang%20J%5BAuthor%5D&amp;cauthor=true&amp;cauthor_uid=27589775" TargetMode="External"/><Relationship Id="rId175" Type="http://schemas.openxmlformats.org/officeDocument/2006/relationships/hyperlink" Target="https://www.ncbi.nlm.nih.gov/pubmed/?term=Shin%20HD%5BAuthor%5D&amp;cauthor=true&amp;cauthor_uid=20818381" TargetMode="External"/><Relationship Id="rId196" Type="http://schemas.openxmlformats.org/officeDocument/2006/relationships/hyperlink" Target="https://www.ncbi.nlm.nih.gov/pubmed/?term=Kasuga%20M%5BAuthor%5D&amp;cauthor=true&amp;cauthor_uid=20818381" TargetMode="External"/><Relationship Id="rId200" Type="http://schemas.openxmlformats.org/officeDocument/2006/relationships/hyperlink" Target="https://www.ncbi.nlm.nih.gov/pubmed/?term=Nakamura%20Y%5BAuthor%5D&amp;cauthor=true&amp;cauthor_uid=2081838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22AB76B18246A493A6AD2D1BBE2F3C"/>
        <w:category>
          <w:name w:val="General"/>
          <w:gallery w:val="placeholder"/>
        </w:category>
        <w:types>
          <w:type w:val="bbPlcHdr"/>
        </w:types>
        <w:behaviors>
          <w:behavior w:val="content"/>
        </w:behaviors>
        <w:guid w:val="{7B7EEFEC-3054-44EE-B465-16253C40A894}"/>
      </w:docPartPr>
      <w:docPartBody>
        <w:p w:rsidR="008A35AB" w:rsidRDefault="008A35AB" w:rsidP="008A35AB">
          <w:pPr>
            <w:pStyle w:val="5D22AB76B18246A493A6AD2D1BBE2F3C2"/>
          </w:pPr>
          <w:r w:rsidRPr="00AB22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EFD"/>
    <w:rsid w:val="00121AEA"/>
    <w:rsid w:val="00167514"/>
    <w:rsid w:val="00233C5E"/>
    <w:rsid w:val="00240FED"/>
    <w:rsid w:val="00366761"/>
    <w:rsid w:val="004551DC"/>
    <w:rsid w:val="004E7955"/>
    <w:rsid w:val="00513C44"/>
    <w:rsid w:val="00586322"/>
    <w:rsid w:val="00696D01"/>
    <w:rsid w:val="00842EFD"/>
    <w:rsid w:val="008A35AB"/>
    <w:rsid w:val="00966023"/>
    <w:rsid w:val="00A459D4"/>
    <w:rsid w:val="00AA7373"/>
    <w:rsid w:val="00B83418"/>
    <w:rsid w:val="00D062AB"/>
    <w:rsid w:val="00D079CC"/>
    <w:rsid w:val="00E4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5AB"/>
    <w:rPr>
      <w:color w:val="808080"/>
    </w:rPr>
  </w:style>
  <w:style w:type="paragraph" w:customStyle="1" w:styleId="867AC6093DC04FC5AC73BD5CA12B8C71">
    <w:name w:val="867AC6093DC04FC5AC73BD5CA12B8C71"/>
    <w:rsid w:val="00842EFD"/>
  </w:style>
  <w:style w:type="paragraph" w:customStyle="1" w:styleId="C8AAC29D33D64F05817A6B8006B98A73">
    <w:name w:val="C8AAC29D33D64F05817A6B8006B98A73"/>
    <w:rsid w:val="00842EFD"/>
  </w:style>
  <w:style w:type="paragraph" w:customStyle="1" w:styleId="F6EE5FABA3F34D4DA2BBDD3CADD8AEAF">
    <w:name w:val="F6EE5FABA3F34D4DA2BBDD3CADD8AEAF"/>
    <w:rsid w:val="00842EFD"/>
  </w:style>
  <w:style w:type="paragraph" w:customStyle="1" w:styleId="5D22AB76B18246A493A6AD2D1BBE2F3C">
    <w:name w:val="5D22AB76B18246A493A6AD2D1BBE2F3C"/>
    <w:rsid w:val="00842EFD"/>
  </w:style>
  <w:style w:type="paragraph" w:customStyle="1" w:styleId="99E00621AE9C4859947C84BD869EDAD5">
    <w:name w:val="99E00621AE9C4859947C84BD869EDAD5"/>
    <w:rsid w:val="00842EFD"/>
  </w:style>
  <w:style w:type="paragraph" w:customStyle="1" w:styleId="5D22AB76B18246A493A6AD2D1BBE2F3C1">
    <w:name w:val="5D22AB76B18246A493A6AD2D1BBE2F3C1"/>
    <w:rsid w:val="00842EFD"/>
    <w:pPr>
      <w:spacing w:after="0" w:line="240" w:lineRule="auto"/>
    </w:pPr>
    <w:rPr>
      <w:rFonts w:ascii="Times New Roman" w:eastAsia="Times New Roman" w:hAnsi="Times New Roman" w:cs="Times New Roman"/>
      <w:sz w:val="24"/>
      <w:szCs w:val="24"/>
    </w:rPr>
  </w:style>
  <w:style w:type="paragraph" w:customStyle="1" w:styleId="99E00621AE9C4859947C84BD869EDAD51">
    <w:name w:val="99E00621AE9C4859947C84BD869EDAD51"/>
    <w:rsid w:val="00842EFD"/>
    <w:pPr>
      <w:spacing w:after="0" w:line="240" w:lineRule="auto"/>
    </w:pPr>
    <w:rPr>
      <w:rFonts w:ascii="Times New Roman" w:eastAsia="Times New Roman" w:hAnsi="Times New Roman" w:cs="Times New Roman"/>
      <w:sz w:val="24"/>
      <w:szCs w:val="24"/>
    </w:rPr>
  </w:style>
  <w:style w:type="paragraph" w:customStyle="1" w:styleId="5D22AB76B18246A493A6AD2D1BBE2F3C2">
    <w:name w:val="5D22AB76B18246A493A6AD2D1BBE2F3C2"/>
    <w:rsid w:val="008A35AB"/>
    <w:pPr>
      <w:spacing w:after="0" w:line="240" w:lineRule="auto"/>
    </w:pPr>
    <w:rPr>
      <w:rFonts w:ascii="Times New Roman" w:eastAsia="Times New Roman" w:hAnsi="Times New Roman" w:cs="Times New Roman"/>
      <w:sz w:val="24"/>
      <w:szCs w:val="24"/>
    </w:rPr>
  </w:style>
  <w:style w:type="paragraph" w:customStyle="1" w:styleId="3C62F4398F0241C1805AD989C28BBF37">
    <w:name w:val="3C62F4398F0241C1805AD989C28BBF37"/>
    <w:rsid w:val="00B83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E8A41-6459-46EA-AF70-CC2614159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7992</Words>
  <Characters>243083</Characters>
  <Application>Microsoft Office Word</Application>
  <DocSecurity>0</DocSecurity>
  <Lines>2025</Lines>
  <Paragraphs>501</Paragraphs>
  <ScaleCrop>false</ScaleCrop>
  <HeadingPairs>
    <vt:vector size="2" baseType="variant">
      <vt:variant>
        <vt:lpstr>Title</vt:lpstr>
      </vt:variant>
      <vt:variant>
        <vt:i4>1</vt:i4>
      </vt:variant>
    </vt:vector>
  </HeadingPairs>
  <TitlesOfParts>
    <vt:vector size="1" baseType="lpstr">
      <vt:lpstr>SMAD PROTEIN EXPRESSION INHIBITION FOR TREATMENT OF ADVANCED CANCER</vt:lpstr>
    </vt:vector>
  </TitlesOfParts>
  <Company>JojO</Company>
  <LinksUpToDate>false</LinksUpToDate>
  <CharactersWithSpaces>250574</CharactersWithSpaces>
  <SharedDoc>false</SharedDoc>
  <HLinks>
    <vt:vector size="102" baseType="variant">
      <vt:variant>
        <vt:i4>3014736</vt:i4>
      </vt:variant>
      <vt:variant>
        <vt:i4>284</vt:i4>
      </vt:variant>
      <vt:variant>
        <vt:i4>0</vt:i4>
      </vt:variant>
      <vt:variant>
        <vt:i4>5</vt:i4>
      </vt:variant>
      <vt:variant>
        <vt:lpwstr>javascript:AL_get(this, 'jour', 'Bioorg Med Chem Lett.');</vt:lpwstr>
      </vt:variant>
      <vt:variant>
        <vt:lpwstr/>
      </vt:variant>
      <vt:variant>
        <vt:i4>5636211</vt:i4>
      </vt:variant>
      <vt:variant>
        <vt:i4>281</vt:i4>
      </vt:variant>
      <vt:variant>
        <vt:i4>0</vt:i4>
      </vt:variant>
      <vt:variant>
        <vt:i4>5</vt:i4>
      </vt:variant>
      <vt:variant>
        <vt:lpwstr>http://www.ncbi.nlm.nih.gov/sites/entrez?Db=pubmed&amp;Cmd=Search&amp;Term=%22Yingling%20JM%22%5BAuthor%5D&amp;itool=EntrezSystem2.PEntrez.Pubmed.Pubmed_ResultsPanel.Pubmed_DiscoveryPanel.Pubmed_RVAbstractPlus</vt:lpwstr>
      </vt:variant>
      <vt:variant>
        <vt:lpwstr/>
      </vt:variant>
      <vt:variant>
        <vt:i4>1900598</vt:i4>
      </vt:variant>
      <vt:variant>
        <vt:i4>278</vt:i4>
      </vt:variant>
      <vt:variant>
        <vt:i4>0</vt:i4>
      </vt:variant>
      <vt:variant>
        <vt:i4>5</vt:i4>
      </vt:variant>
      <vt:variant>
        <vt:lpwstr>http://www.ncbi.nlm.nih.gov/sites/entrez?Db=pubmed&amp;Cmd=Search&amp;Term=%22Zhang%20F%22%5BAuthor%5D&amp;itool=EntrezSystem2.PEntrez.Pubmed.Pubmed_ResultsPanel.Pubmed_DiscoveryPanel.Pubmed_RVAbstractPlus</vt:lpwstr>
      </vt:variant>
      <vt:variant>
        <vt:lpwstr/>
      </vt:variant>
      <vt:variant>
        <vt:i4>7995479</vt:i4>
      </vt:variant>
      <vt:variant>
        <vt:i4>275</vt:i4>
      </vt:variant>
      <vt:variant>
        <vt:i4>0</vt:i4>
      </vt:variant>
      <vt:variant>
        <vt:i4>5</vt:i4>
      </vt:variant>
      <vt:variant>
        <vt:lpwstr>http://www.ncbi.nlm.nih.gov/sites/entrez?Db=pubmed&amp;Cmd=Search&amp;Term=%22Yan%20L%22%5BAuthor%5D&amp;itool=EntrezSystem2.PEntrez.Pubmed.Pubmed_ResultsPanel.Pubmed_DiscoveryPanel.Pubmed_RVAbstractPlus</vt:lpwstr>
      </vt:variant>
      <vt:variant>
        <vt:lpwstr/>
      </vt:variant>
      <vt:variant>
        <vt:i4>2818060</vt:i4>
      </vt:variant>
      <vt:variant>
        <vt:i4>272</vt:i4>
      </vt:variant>
      <vt:variant>
        <vt:i4>0</vt:i4>
      </vt:variant>
      <vt:variant>
        <vt:i4>5</vt:i4>
      </vt:variant>
      <vt:variant>
        <vt:lpwstr>http://www.ncbi.nlm.nih.gov/sites/entrez?Db=pubmed&amp;Cmd=Search&amp;Term=%22Wagner%20JR%22%5BAuthor%5D&amp;itool=EntrezSystem2.PEntrez.Pubmed.Pubmed_ResultsPanel.Pubmed_DiscoveryPanel.Pubmed_RVAbstractPlus</vt:lpwstr>
      </vt:variant>
      <vt:variant>
        <vt:lpwstr/>
      </vt:variant>
      <vt:variant>
        <vt:i4>327724</vt:i4>
      </vt:variant>
      <vt:variant>
        <vt:i4>269</vt:i4>
      </vt:variant>
      <vt:variant>
        <vt:i4>0</vt:i4>
      </vt:variant>
      <vt:variant>
        <vt:i4>5</vt:i4>
      </vt:variant>
      <vt:variant>
        <vt:lpwstr>http://www.ncbi.nlm.nih.gov/sites/entrez?Db=pubmed&amp;Cmd=Search&amp;Term=%22Smith%20EC%22%5BAuthor%5D&amp;itool=EntrezSystem2.PEntrez.Pubmed.Pubmed_ResultsPanel.Pubmed_DiscoveryPanel.Pubmed_RVAbstractPlus</vt:lpwstr>
      </vt:variant>
      <vt:variant>
        <vt:lpwstr/>
      </vt:variant>
      <vt:variant>
        <vt:i4>6750273</vt:i4>
      </vt:variant>
      <vt:variant>
        <vt:i4>266</vt:i4>
      </vt:variant>
      <vt:variant>
        <vt:i4>0</vt:i4>
      </vt:variant>
      <vt:variant>
        <vt:i4>5</vt:i4>
      </vt:variant>
      <vt:variant>
        <vt:lpwstr>http://www.ncbi.nlm.nih.gov/sites/entrez?Db=pubmed&amp;Cmd=Search&amp;Term=%22Parsons%20S%22%5BAuthor%5D&amp;itool=EntrezSystem2.PEntrez.Pubmed.Pubmed_ResultsPanel.Pubmed_DiscoveryPanel.Pubmed_RVAbstractPlus</vt:lpwstr>
      </vt:variant>
      <vt:variant>
        <vt:lpwstr/>
      </vt:variant>
      <vt:variant>
        <vt:i4>2949123</vt:i4>
      </vt:variant>
      <vt:variant>
        <vt:i4>263</vt:i4>
      </vt:variant>
      <vt:variant>
        <vt:i4>0</vt:i4>
      </vt:variant>
      <vt:variant>
        <vt:i4>5</vt:i4>
      </vt:variant>
      <vt:variant>
        <vt:lpwstr>http://www.ncbi.nlm.nih.gov/sites/entrez?Db=pubmed&amp;Cmd=Search&amp;Term=%22Mort%20N%22%5BAuthor%5D&amp;itool=EntrezSystem2.PEntrez.Pubmed.Pubmed_ResultsPanel.Pubmed_DiscoveryPanel.Pubmed_RVAbstractPlus</vt:lpwstr>
      </vt:variant>
      <vt:variant>
        <vt:lpwstr/>
      </vt:variant>
      <vt:variant>
        <vt:i4>4391030</vt:i4>
      </vt:variant>
      <vt:variant>
        <vt:i4>260</vt:i4>
      </vt:variant>
      <vt:variant>
        <vt:i4>0</vt:i4>
      </vt:variant>
      <vt:variant>
        <vt:i4>5</vt:i4>
      </vt:variant>
      <vt:variant>
        <vt:lpwstr>http://www.ncbi.nlm.nih.gov/sites/entrez?Db=pubmed&amp;Cmd=Search&amp;Term=%22McMillen%20WT%22%5BAuthor%5D&amp;itool=EntrezSystem2.PEntrez.Pubmed.Pubmed_ResultsPanel.Pubmed_DiscoveryPanel.Pubmed_RVAbstractPlus</vt:lpwstr>
      </vt:variant>
      <vt:variant>
        <vt:lpwstr/>
      </vt:variant>
      <vt:variant>
        <vt:i4>3997726</vt:i4>
      </vt:variant>
      <vt:variant>
        <vt:i4>257</vt:i4>
      </vt:variant>
      <vt:variant>
        <vt:i4>0</vt:i4>
      </vt:variant>
      <vt:variant>
        <vt:i4>5</vt:i4>
      </vt:variant>
      <vt:variant>
        <vt:lpwstr>http://www.ncbi.nlm.nih.gov/sites/entrez?Db=pubmed&amp;Cmd=Search&amp;Term=%22Li%20HY%22%5BAuthor%5D&amp;itool=EntrezSystem2.PEntrez.Pubmed.Pubmed_ResultsPanel.Pubmed_DiscoveryPanel.Pubmed_RVAbstractPlus</vt:lpwstr>
      </vt:variant>
      <vt:variant>
        <vt:lpwstr/>
      </vt:variant>
      <vt:variant>
        <vt:i4>2162709</vt:i4>
      </vt:variant>
      <vt:variant>
        <vt:i4>254</vt:i4>
      </vt:variant>
      <vt:variant>
        <vt:i4>0</vt:i4>
      </vt:variant>
      <vt:variant>
        <vt:i4>5</vt:i4>
      </vt:variant>
      <vt:variant>
        <vt:lpwstr>http://www.ncbi.nlm.nih.gov/sites/entrez?Db=pubmed&amp;Cmd=Search&amp;Term=%22Herron%20DK%22%5BAuthor%5D&amp;itool=EntrezSystem2.PEntrez.Pubmed.Pubmed_ResultsPanel.Pubmed_DiscoveryPanel.Pubmed_RVAbstractPlus</vt:lpwstr>
      </vt:variant>
      <vt:variant>
        <vt:lpwstr/>
      </vt:variant>
      <vt:variant>
        <vt:i4>8126466</vt:i4>
      </vt:variant>
      <vt:variant>
        <vt:i4>251</vt:i4>
      </vt:variant>
      <vt:variant>
        <vt:i4>0</vt:i4>
      </vt:variant>
      <vt:variant>
        <vt:i4>5</vt:i4>
      </vt:variant>
      <vt:variant>
        <vt:lpwstr>http://www.ncbi.nlm.nih.gov/sites/entrez?Db=pubmed&amp;Cmd=Search&amp;Term=%22Goodson%20T%20Jr%22%5BAuthor%5D&amp;itool=EntrezSystem2.PEntrez.Pubmed.Pubmed_ResultsPanel.Pubmed_DiscoveryPanel.Pubmed_RVAbstractPlus</vt:lpwstr>
      </vt:variant>
      <vt:variant>
        <vt:lpwstr/>
      </vt:variant>
      <vt:variant>
        <vt:i4>5636198</vt:i4>
      </vt:variant>
      <vt:variant>
        <vt:i4>248</vt:i4>
      </vt:variant>
      <vt:variant>
        <vt:i4>0</vt:i4>
      </vt:variant>
      <vt:variant>
        <vt:i4>5</vt:i4>
      </vt:variant>
      <vt:variant>
        <vt:lpwstr>http://www.ncbi.nlm.nih.gov/sites/entrez?Db=pubmed&amp;Cmd=Search&amp;Term=%22Campbell%20RM%22%5BAuthor%5D&amp;itool=EntrezSystem2.PEntrez.Pubmed.Pubmed_ResultsPanel.Pubmed_DiscoveryPanel.Pubmed_RVAbstractPlus</vt:lpwstr>
      </vt:variant>
      <vt:variant>
        <vt:lpwstr/>
      </vt:variant>
      <vt:variant>
        <vt:i4>4718711</vt:i4>
      </vt:variant>
      <vt:variant>
        <vt:i4>245</vt:i4>
      </vt:variant>
      <vt:variant>
        <vt:i4>0</vt:i4>
      </vt:variant>
      <vt:variant>
        <vt:i4>5</vt:i4>
      </vt:variant>
      <vt:variant>
        <vt:lpwstr>http://www.ncbi.nlm.nih.gov/sites/entrez?Db=pubmed&amp;Cmd=Search&amp;Term=%22Anderson%20BD%22%5BAuthor%5D&amp;itool=EntrezSystem2.PEntrez.Pubmed.Pubmed_ResultsPanel.Pubmed_DiscoveryPanel.Pubmed_RVAbstractPlus</vt:lpwstr>
      </vt:variant>
      <vt:variant>
        <vt:lpwstr/>
      </vt:variant>
      <vt:variant>
        <vt:i4>655407</vt:i4>
      </vt:variant>
      <vt:variant>
        <vt:i4>242</vt:i4>
      </vt:variant>
      <vt:variant>
        <vt:i4>0</vt:i4>
      </vt:variant>
      <vt:variant>
        <vt:i4>5</vt:i4>
      </vt:variant>
      <vt:variant>
        <vt:lpwstr>http://www.ncbi.nlm.nih.gov/sites/entrez?Db=pubmed&amp;Cmd=Search&amp;Term=%22Britt%20KS%22%5BAuthor%5D&amp;itool=EntrezSystem2.PEntrez.Pubmed.Pubmed_ResultsPanel.Pubmed_DiscoveryPanel.Pubmed_RVAbstractPlus</vt:lpwstr>
      </vt:variant>
      <vt:variant>
        <vt:lpwstr/>
      </vt:variant>
      <vt:variant>
        <vt:i4>3014687</vt:i4>
      </vt:variant>
      <vt:variant>
        <vt:i4>239</vt:i4>
      </vt:variant>
      <vt:variant>
        <vt:i4>0</vt:i4>
      </vt:variant>
      <vt:variant>
        <vt:i4>5</vt:i4>
      </vt:variant>
      <vt:variant>
        <vt:lpwstr>http://www.ncbi.nlm.nih.gov/sites/entrez?Db=pubmed&amp;Cmd=Search&amp;Term=%22Beight%20DW%22%5BAuthor%5D&amp;itool=EntrezSystem2.PEntrez.Pubmed.Pubmed_ResultsPanel.Pubmed_DiscoveryPanel.Pubmed_RVAbstractPlus</vt:lpwstr>
      </vt:variant>
      <vt:variant>
        <vt:lpwstr/>
      </vt:variant>
      <vt:variant>
        <vt:i4>3932185</vt:i4>
      </vt:variant>
      <vt:variant>
        <vt:i4>236</vt:i4>
      </vt:variant>
      <vt:variant>
        <vt:i4>0</vt:i4>
      </vt:variant>
      <vt:variant>
        <vt:i4>5</vt:i4>
      </vt:variant>
      <vt:variant>
        <vt:lpwstr>http://www.ncbi.nlm.nih.gov/sites/entrez?Db=pubmed&amp;Cmd=Search&amp;Term=%22Sawyer%20JS%22%5BAuthor%5D&amp;itool=EntrezSystem2.PEntrez.Pubmed.Pubmed_ResultsPanel.Pubmed_DiscoveryPanel.Pubmed_RVAbstractPlus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SMAD PROTEIN EXPRESSION INHIBITION FOR TREATMENT OF ADVANCED CANCER</dc:title>
  <dc:creator>Michelle Sharp</dc:creator>
  <cp:lastModifiedBy>Mengistu Sewnet</cp:lastModifiedBy>
  <cp:revision>6</cp:revision>
  <cp:lastPrinted>2018-07-26T14:09:00Z</cp:lastPrinted>
  <dcterms:created xsi:type="dcterms:W3CDTF">2018-08-01T16:05:00Z</dcterms:created>
  <dcterms:modified xsi:type="dcterms:W3CDTF">2018-08-01T17:25:00Z</dcterms:modified>
</cp:coreProperties>
</file>