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0F912" w14:textId="77777777" w:rsidR="006A22B9" w:rsidRDefault="006A22B9" w:rsidP="006A22B9">
      <w:pPr>
        <w:rPr>
          <w:rFonts w:ascii="Georgia" w:hAnsi="Georgia"/>
        </w:rPr>
      </w:pPr>
      <w:bookmarkStart w:id="0" w:name="_GoBack"/>
      <w:bookmarkEnd w:id="0"/>
      <w:r>
        <w:rPr>
          <w:rFonts w:ascii="Georgia" w:hAnsi="Georgia"/>
        </w:rPr>
        <w:t>Joshua Miller</w:t>
      </w:r>
    </w:p>
    <w:p w14:paraId="2FC02DD0" w14:textId="77777777" w:rsidR="006A22B9" w:rsidRDefault="006A22B9" w:rsidP="006A22B9">
      <w:pPr>
        <w:rPr>
          <w:rFonts w:ascii="Georgia" w:hAnsi="Georgia"/>
        </w:rPr>
      </w:pPr>
      <w:r>
        <w:rPr>
          <w:rFonts w:ascii="Georgia" w:hAnsi="Georgia"/>
        </w:rPr>
        <w:t>Peirce Undergraduate Fellowship</w:t>
      </w:r>
    </w:p>
    <w:p w14:paraId="7AAA624B" w14:textId="77777777" w:rsidR="006A22B9" w:rsidRDefault="006A22B9" w:rsidP="006A22B9">
      <w:pPr>
        <w:rPr>
          <w:rFonts w:ascii="Georgia" w:hAnsi="Georgia"/>
        </w:rPr>
      </w:pPr>
    </w:p>
    <w:p w14:paraId="7589E05D" w14:textId="77777777" w:rsidR="006A22B9" w:rsidRPr="00F90193" w:rsidRDefault="006A22B9" w:rsidP="006A22B9">
      <w:pPr>
        <w:rPr>
          <w:rFonts w:ascii="Georgia" w:hAnsi="Georgia"/>
        </w:rPr>
      </w:pPr>
      <w:r>
        <w:rPr>
          <w:rFonts w:ascii="Georgia" w:hAnsi="Georgia"/>
          <w:b/>
          <w:bCs/>
        </w:rPr>
        <w:t>Restorative Action</w:t>
      </w:r>
    </w:p>
    <w:p w14:paraId="45713936" w14:textId="77777777" w:rsidR="006A22B9" w:rsidRDefault="006A22B9" w:rsidP="006A22B9">
      <w:pPr>
        <w:ind w:firstLine="720"/>
        <w:rPr>
          <w:rFonts w:ascii="Georgia" w:hAnsi="Georgia"/>
        </w:rPr>
      </w:pPr>
    </w:p>
    <w:p w14:paraId="23AC95F9" w14:textId="6F922D86" w:rsidR="006A22B9" w:rsidRDefault="006A22B9" w:rsidP="006A22B9">
      <w:pPr>
        <w:spacing w:line="480" w:lineRule="auto"/>
        <w:ind w:firstLine="720"/>
        <w:rPr>
          <w:rFonts w:ascii="Georgia" w:hAnsi="Georgia"/>
        </w:rPr>
      </w:pPr>
      <w:r w:rsidRPr="00F8442B">
        <w:rPr>
          <w:rFonts w:ascii="Georgia" w:hAnsi="Georgia"/>
        </w:rPr>
        <w:t>I wanted</w:t>
      </w:r>
      <w:r>
        <w:rPr>
          <w:rFonts w:ascii="Georgia" w:hAnsi="Georgia"/>
        </w:rPr>
        <w:t xml:space="preserve"> to do a Black-centered history project as soon as I learned about Goucher alumnae Yabsera Faris’s own oral history project where she interviewed Black students from earlier graduating classes to </w:t>
      </w:r>
      <w:r w:rsidR="0025157F">
        <w:rPr>
          <w:rFonts w:ascii="Georgia" w:hAnsi="Georgia"/>
        </w:rPr>
        <w:t xml:space="preserve">showcase what their experiences were like </w:t>
      </w:r>
      <w:r>
        <w:rPr>
          <w:rFonts w:ascii="Georgia" w:hAnsi="Georgia"/>
        </w:rPr>
        <w:t>(appropriately named “</w:t>
      </w:r>
      <w:hyperlink r:id="rId6" w:history="1">
        <w:r w:rsidRPr="00727C96">
          <w:rPr>
            <w:rStyle w:val="Hyperlink"/>
            <w:rFonts w:ascii="Georgia" w:hAnsi="Georgia"/>
          </w:rPr>
          <w:t>Black at Goucher</w:t>
        </w:r>
      </w:hyperlink>
      <w:r>
        <w:rPr>
          <w:rFonts w:ascii="Georgia" w:hAnsi="Georgia"/>
        </w:rPr>
        <w:t>”).  I think the nature of her project itself helps to illuminate part of my interest in pursuing my own considering that I hadn’t learned of her efforts through conventional outlets.  Which is to say, I didn’t see anything about it on the college website nor did I hear about it in my classes.  As a matter of fact if my friend and mentor hadn’t told me about the project, there’d end up being at least another six months before I learned about it myself at that year’s 50</w:t>
      </w:r>
      <w:r w:rsidRPr="00F8442B">
        <w:rPr>
          <w:rFonts w:ascii="Georgia" w:hAnsi="Georgia"/>
          <w:vertAlign w:val="superscript"/>
        </w:rPr>
        <w:t>th</w:t>
      </w:r>
      <w:r>
        <w:rPr>
          <w:rFonts w:ascii="Georgia" w:hAnsi="Georgia"/>
        </w:rPr>
        <w:t xml:space="preserve"> anniversary celebration of Goucher’s Black Student Association.  And if that was the case, I might not have found the inspiration to do a project of my own.  Fortunately, things didn’t turn out that way, and my experience conducting the research for this project exposed me to knowledge that went beyond the bounds of my subject matter, the Blackout protest of 2018.  And rather than being thrown off track studying the breadth of Black history on Goucher’s campus, sifting through the Archives provided more clarity as I determined exactly what I sought to accomplish with </w:t>
      </w:r>
      <w:r w:rsidR="00A61F66">
        <w:rPr>
          <w:rFonts w:ascii="Georgia" w:hAnsi="Georgia"/>
        </w:rPr>
        <w:t>my research</w:t>
      </w:r>
      <w:r>
        <w:rPr>
          <w:rFonts w:ascii="Georgia" w:hAnsi="Georgia"/>
        </w:rPr>
        <w:t>.</w:t>
      </w:r>
    </w:p>
    <w:p w14:paraId="2F0244A1" w14:textId="429AFDE7" w:rsidR="006A22B9" w:rsidRDefault="006A22B9" w:rsidP="006A22B9">
      <w:pPr>
        <w:spacing w:line="480" w:lineRule="auto"/>
        <w:ind w:firstLine="720"/>
        <w:rPr>
          <w:rFonts w:ascii="Georgia" w:hAnsi="Georgia"/>
        </w:rPr>
      </w:pPr>
      <w:r>
        <w:rPr>
          <w:rFonts w:ascii="Georgia" w:hAnsi="Georgia"/>
        </w:rPr>
        <w:t xml:space="preserve">Part of the reason I wanted to explore the Blackout protest was because I felt that it was fading from public consciousness.  Black students organized the protest in the fall of 2018 in response to a hate crime in which anti-Black graffiti reading something along the lines of “I’m </w:t>
      </w:r>
      <w:r w:rsidR="001622B7">
        <w:rPr>
          <w:rFonts w:ascii="Georgia" w:hAnsi="Georgia"/>
        </w:rPr>
        <w:t>gonna kill all niggers</w:t>
      </w:r>
      <w:r>
        <w:rPr>
          <w:rFonts w:ascii="Georgia" w:hAnsi="Georgia"/>
        </w:rPr>
        <w:t>” was pasted on the first floor of the Heubeck-Jeffery residence hall</w:t>
      </w:r>
      <w:r w:rsidR="000C4E21">
        <w:rPr>
          <w:rFonts w:ascii="Georgia" w:hAnsi="Georgia"/>
        </w:rPr>
        <w:t xml:space="preserve"> on November 14th</w:t>
      </w:r>
      <w:r>
        <w:rPr>
          <w:rFonts w:ascii="Georgia" w:hAnsi="Georgia"/>
        </w:rPr>
        <w:t xml:space="preserve">, along with the room numbers of a few Black </w:t>
      </w:r>
      <w:r>
        <w:rPr>
          <w:rFonts w:ascii="Georgia" w:hAnsi="Georgia"/>
        </w:rPr>
        <w:lastRenderedPageBreak/>
        <w:t xml:space="preserve">students. The campus population was officially informed of the event the morning after it’d happened, and that night’s Umoja (now known as Goucher’s Black Student Union) meeting was quickly reformatted as a safe space for Black students to air out their feelings.  It ultimately culminated in a need to formulate a response to the hate crime as well as the school administration considering the recent history of such actions being perpetrated on campus with varying degrees of follow up.  The Blackout was an all-day protest where we occupied the ground floor of Mary Fisher Dining Hall to bring attention to what’d happened and demand a substantial response from our administration in contrast to lackluster response to hate crimes in the past years that targeted other identity groups.  </w:t>
      </w:r>
    </w:p>
    <w:p w14:paraId="050F9FCC" w14:textId="793C47A8" w:rsidR="006A22B9" w:rsidRDefault="006A22B9" w:rsidP="006A22B9">
      <w:pPr>
        <w:spacing w:line="480" w:lineRule="auto"/>
        <w:ind w:firstLine="720"/>
        <w:rPr>
          <w:rFonts w:ascii="Georgia" w:hAnsi="Georgia"/>
        </w:rPr>
      </w:pPr>
      <w:r>
        <w:rPr>
          <w:rFonts w:ascii="Georgia" w:hAnsi="Georgia"/>
        </w:rPr>
        <w:t xml:space="preserve">In the months afterward, once Thanksgiving and winter break had come and gone, I’d heard whispers of the event being misinterpreted by people of different standings across campus, but the straw that broke the camel’s back was when I went online to see how the event was captured by </w:t>
      </w:r>
      <w:r w:rsidR="00B777CB">
        <w:rPr>
          <w:rFonts w:ascii="Georgia" w:hAnsi="Georgia"/>
        </w:rPr>
        <w:t xml:space="preserve">a few </w:t>
      </w:r>
      <w:r>
        <w:rPr>
          <w:rFonts w:ascii="Georgia" w:hAnsi="Georgia"/>
        </w:rPr>
        <w:t>news outlets.</w:t>
      </w:r>
      <w:r w:rsidR="00B777CB">
        <w:rPr>
          <w:rFonts w:ascii="Georgia" w:hAnsi="Georgia"/>
        </w:rPr>
        <w:t xml:space="preserve">  </w:t>
      </w:r>
      <w:r>
        <w:rPr>
          <w:rFonts w:ascii="Georgia" w:hAnsi="Georgia"/>
        </w:rPr>
        <w:t>In his article “</w:t>
      </w:r>
      <w:hyperlink r:id="rId7" w:history="1">
        <w:r w:rsidRPr="00AD2A9A">
          <w:rPr>
            <w:rStyle w:val="Hyperlink"/>
            <w:rFonts w:ascii="Georgia" w:hAnsi="Georgia"/>
          </w:rPr>
          <w:t>Inventing Victimhood</w:t>
        </w:r>
      </w:hyperlink>
      <w:r>
        <w:rPr>
          <w:rFonts w:ascii="Georgia" w:hAnsi="Georgia"/>
        </w:rPr>
        <w:t>,” Andy Ngo described what happened on campus as a “hate-crime hoax” after it became public knowledge that Black undergraduate student Fynn Arthur was responsible for the act</w:t>
      </w:r>
      <w:r w:rsidR="007840D1">
        <w:rPr>
          <w:rFonts w:ascii="Georgia" w:hAnsi="Georgia"/>
        </w:rPr>
        <w:t xml:space="preserve"> and even wrote down his own room number in the threat to evade suspicion</w:t>
      </w:r>
      <w:r>
        <w:rPr>
          <w:rFonts w:ascii="Georgia" w:hAnsi="Georgia"/>
        </w:rPr>
        <w:t xml:space="preserve">.  The City Journal outlet wasn’t the only news source to broadcast this message either; </w:t>
      </w:r>
      <w:hyperlink r:id="rId8" w:history="1">
        <w:r w:rsidRPr="00B447D4">
          <w:rPr>
            <w:rStyle w:val="Hyperlink"/>
            <w:rFonts w:ascii="Georgia" w:hAnsi="Georgia"/>
          </w:rPr>
          <w:t>the Washington Times</w:t>
        </w:r>
      </w:hyperlink>
      <w:r>
        <w:rPr>
          <w:rFonts w:ascii="Georgia" w:hAnsi="Georgia"/>
        </w:rPr>
        <w:t xml:space="preserve"> and the </w:t>
      </w:r>
      <w:hyperlink r:id="rId9" w:history="1">
        <w:r w:rsidRPr="00433189">
          <w:rPr>
            <w:rStyle w:val="Hyperlink"/>
            <w:rFonts w:ascii="Georgia" w:hAnsi="Georgia"/>
          </w:rPr>
          <w:t>New York Post</w:t>
        </w:r>
      </w:hyperlink>
      <w:r>
        <w:rPr>
          <w:rFonts w:ascii="Georgia" w:hAnsi="Georgia"/>
        </w:rPr>
        <w:t xml:space="preserve"> had posted similar articles describing the hate crime as fraudulent.   </w:t>
      </w:r>
    </w:p>
    <w:p w14:paraId="4371F747" w14:textId="4085ACB0" w:rsidR="006A22B9" w:rsidRDefault="006A22B9" w:rsidP="006A22B9">
      <w:pPr>
        <w:spacing w:line="480" w:lineRule="auto"/>
        <w:ind w:firstLine="720"/>
        <w:rPr>
          <w:rFonts w:ascii="Georgia" w:hAnsi="Georgia"/>
        </w:rPr>
      </w:pPr>
      <w:r>
        <w:rPr>
          <w:rFonts w:ascii="Georgia" w:hAnsi="Georgia"/>
        </w:rPr>
        <w:t xml:space="preserve">In Ngo’s article, he engaged in a discussion of reported hate crimes which </w:t>
      </w:r>
      <w:r w:rsidR="000738DA">
        <w:rPr>
          <w:rFonts w:ascii="Georgia" w:hAnsi="Georgia"/>
        </w:rPr>
        <w:t>were</w:t>
      </w:r>
      <w:r>
        <w:rPr>
          <w:rFonts w:ascii="Georgia" w:hAnsi="Georgia"/>
        </w:rPr>
        <w:t xml:space="preserve"> disputed by a later revelation that the parties involved somehow cried wolf, but what I noted about the description of our incident was how keen he was to label Arthur as Black </w:t>
      </w:r>
      <w:r w:rsidR="00EA343C">
        <w:rPr>
          <w:rFonts w:ascii="Georgia" w:hAnsi="Georgia"/>
        </w:rPr>
        <w:t>when multiple other sources, including the W</w:t>
      </w:r>
      <w:r>
        <w:rPr>
          <w:rFonts w:ascii="Georgia" w:hAnsi="Georgia"/>
        </w:rPr>
        <w:t>ashington Times</w:t>
      </w:r>
      <w:r w:rsidR="009C46D3">
        <w:rPr>
          <w:rFonts w:ascii="Georgia" w:hAnsi="Georgia"/>
        </w:rPr>
        <w:t>,</w:t>
      </w:r>
      <w:r>
        <w:rPr>
          <w:rFonts w:ascii="Georgia" w:hAnsi="Georgia"/>
        </w:rPr>
        <w:t xml:space="preserve"> acknowledges that </w:t>
      </w:r>
      <w:r>
        <w:rPr>
          <w:rFonts w:ascii="Georgia" w:hAnsi="Georgia"/>
        </w:rPr>
        <w:lastRenderedPageBreak/>
        <w:t xml:space="preserve">Arthur </w:t>
      </w:r>
      <w:r w:rsidR="00EA343C">
        <w:rPr>
          <w:rFonts w:ascii="Georgia" w:hAnsi="Georgia"/>
        </w:rPr>
        <w:t>is</w:t>
      </w:r>
      <w:r>
        <w:rPr>
          <w:rFonts w:ascii="Georgia" w:hAnsi="Georgia"/>
        </w:rPr>
        <w:t xml:space="preserve"> biracial in the first line of their article.  From my perspective this labelling was done to corroborate the narrative of false victimhood, because grouping Goucher’s incident with the other hate crime hoaxes doesn’t work as well when one considers the fact that Arthur may be half-White, or the fact that he grew up in a predominantly White state.  Because if someone really takes the time to look past Arthur’s confession, in which he stated that </w:t>
      </w:r>
      <w:r w:rsidRPr="00640CE2">
        <w:rPr>
          <w:rFonts w:ascii="Georgia" w:hAnsi="Georgia"/>
        </w:rPr>
        <w:t xml:space="preserve">what he did was done on account of </w:t>
      </w:r>
      <w:hyperlink r:id="rId10" w:history="1">
        <w:r w:rsidR="000738DA" w:rsidRPr="000738DA">
          <w:rPr>
            <w:rStyle w:val="Hyperlink"/>
            <w:rFonts w:ascii="Georgia" w:hAnsi="Georgia"/>
          </w:rPr>
          <w:t>bottled</w:t>
        </w:r>
        <w:r w:rsidRPr="000738DA">
          <w:rPr>
            <w:rStyle w:val="Hyperlink"/>
            <w:rFonts w:ascii="Georgia" w:hAnsi="Georgia"/>
          </w:rPr>
          <w:t xml:space="preserve"> up anger</w:t>
        </w:r>
      </w:hyperlink>
      <w:r>
        <w:rPr>
          <w:rFonts w:ascii="Georgia" w:hAnsi="Georgia"/>
        </w:rPr>
        <w:t>, and reflects upon the historical relevance of the threat he issued, taking just a moment to contemplate what it’d take for a Black person to issue such threats against their own community, they might start asking the more important question: how did this person get here?  But I digress because, as one of the Black students who woke up the morning after the hate crime to think that I might fall victim to such a threat, I’m not completely interested in absolving Arthur.</w:t>
      </w:r>
    </w:p>
    <w:p w14:paraId="0628320B" w14:textId="496C4523" w:rsidR="006A22B9" w:rsidRDefault="006A22B9" w:rsidP="006A22B9">
      <w:pPr>
        <w:spacing w:line="480" w:lineRule="auto"/>
        <w:ind w:firstLine="720"/>
        <w:rPr>
          <w:rFonts w:ascii="Georgia" w:hAnsi="Georgia"/>
        </w:rPr>
      </w:pPr>
      <w:r>
        <w:rPr>
          <w:rFonts w:ascii="Georgia" w:hAnsi="Georgia"/>
        </w:rPr>
        <w:t xml:space="preserve">A hate crime is defined by </w:t>
      </w:r>
      <w:hyperlink r:id="rId11" w:history="1">
        <w:r w:rsidRPr="00587A44">
          <w:rPr>
            <w:rStyle w:val="Hyperlink"/>
            <w:rFonts w:ascii="Georgia" w:hAnsi="Georgia"/>
          </w:rPr>
          <w:t>Merriam-Webster</w:t>
        </w:r>
      </w:hyperlink>
      <w:r>
        <w:rPr>
          <w:rFonts w:ascii="Georgia" w:hAnsi="Georgia"/>
        </w:rPr>
        <w:t xml:space="preserve"> as a crime “</w:t>
      </w:r>
      <w:r w:rsidRPr="00587A44">
        <w:rPr>
          <w:rFonts w:ascii="Georgia" w:hAnsi="Georgia"/>
        </w:rPr>
        <w:t>motivated by hostility to the victim as a member of a group (such as one based on color, creed, gender, or sexual orientation),</w:t>
      </w:r>
      <w:r>
        <w:rPr>
          <w:rFonts w:ascii="Georgia" w:hAnsi="Georgia"/>
        </w:rPr>
        <w:t xml:space="preserve">” which for me was all the more reason to feel scorned by these articles.  Because really, whether the perpetrator turned out to be Black or White, when Goucher’s Black student body learned what’d happened that morning, we didn’t know what the perpetrator’s identity was.  This wasn’t a plot devised by our Black Student Union to garner more attention for Black students.  And though the Black student body didn’t react identically, to say that we were unsettled is an understatement.  Which is why so many of us went to work planning the Blackout to occur just two days after the hate crime itself.  For me, it was a show of solidarity as much as it was a reclamation of space.  Those in attendance felt that they weren’t being seen and therefore we made it our mission to make our presence there indistinguishable.  And so, grappling with the </w:t>
      </w:r>
      <w:r>
        <w:rPr>
          <w:rFonts w:ascii="Georgia" w:hAnsi="Georgia"/>
        </w:rPr>
        <w:lastRenderedPageBreak/>
        <w:t xml:space="preserve">fact that some people were blatantly misinterpreting the purpose of our protest as well as the intentions behind the perpetrator, my priority became giving some of the Black students at Goucher a chance to clear the air.  </w:t>
      </w:r>
    </w:p>
    <w:p w14:paraId="4F147BE7" w14:textId="64E76233" w:rsidR="006A22B9" w:rsidRDefault="006A22B9" w:rsidP="006A22B9">
      <w:pPr>
        <w:spacing w:line="480" w:lineRule="auto"/>
        <w:ind w:firstLine="720"/>
        <w:rPr>
          <w:rFonts w:ascii="Georgia" w:hAnsi="Georgia"/>
        </w:rPr>
      </w:pPr>
      <w:r>
        <w:rPr>
          <w:rFonts w:ascii="Georgia" w:hAnsi="Georgia"/>
        </w:rPr>
        <w:t xml:space="preserve">However something else that was important to me was consideration of what had led to such an explosive reaction on our behalf.  After all it stands to reason that if this was the first hate crime like this at Goucher, or at least the first hate crime like this at Goucher in </w:t>
      </w:r>
      <w:r w:rsidR="00A97E97">
        <w:rPr>
          <w:rFonts w:ascii="Georgia" w:hAnsi="Georgia"/>
        </w:rPr>
        <w:t xml:space="preserve">a few </w:t>
      </w:r>
      <w:r>
        <w:rPr>
          <w:rFonts w:ascii="Georgia" w:hAnsi="Georgia"/>
        </w:rPr>
        <w:t xml:space="preserve">years, the Black student body wouldn’t have felt the need to react the way they did.  I wanted to take into account how Black students felt in general on campus to help define concretely whether the campus offered a racially equitable space, which is reflected in my interview questions.  Part of the reason that I did this was because of how shallow our depictions could be in news articles but also because, as I delved deeper into the history of Goucher through the documents stored in the Library’s Special Collections department, I recognized a pattern of reactive protest that was sparked by the discontent of Black students.  This ranged from the founding of the Black Student Association </w:t>
      </w:r>
      <w:r w:rsidR="00A354A3">
        <w:rPr>
          <w:rFonts w:ascii="Georgia" w:hAnsi="Georgia"/>
        </w:rPr>
        <w:t>after</w:t>
      </w:r>
      <w:r>
        <w:rPr>
          <w:rFonts w:ascii="Georgia" w:hAnsi="Georgia"/>
        </w:rPr>
        <w:t xml:space="preserve"> the assassination of Dr. Martin Luther King </w:t>
      </w:r>
      <w:r w:rsidR="00E23CF0">
        <w:rPr>
          <w:rFonts w:ascii="Georgia" w:hAnsi="Georgia"/>
        </w:rPr>
        <w:t xml:space="preserve">Jr. </w:t>
      </w:r>
      <w:r>
        <w:rPr>
          <w:rFonts w:ascii="Georgia" w:hAnsi="Georgia"/>
        </w:rPr>
        <w:t xml:space="preserve">to Umoja (the African Alliance) organizing a demonstration in Stimson Hall’s dining hall in response to a derogatory comment being posted on the door of a visiting guest spending the night at the college.  It certainly encapsulates the Blackout and the events that led up to it, and even beyond that it concerns the current Black Student Union’s teach-in series to what we’ve considered insincere responses to the escalating racial tensions </w:t>
      </w:r>
      <w:r w:rsidR="00C42ED9">
        <w:rPr>
          <w:rFonts w:ascii="Georgia" w:hAnsi="Georgia"/>
        </w:rPr>
        <w:t xml:space="preserve">in the country </w:t>
      </w:r>
      <w:r>
        <w:rPr>
          <w:rFonts w:ascii="Georgia" w:hAnsi="Georgia"/>
        </w:rPr>
        <w:t xml:space="preserve">this past summer.  All in all, it </w:t>
      </w:r>
      <w:r w:rsidR="003263F2">
        <w:rPr>
          <w:rFonts w:ascii="Georgia" w:hAnsi="Georgia"/>
        </w:rPr>
        <w:t>speaks</w:t>
      </w:r>
      <w:r>
        <w:rPr>
          <w:rFonts w:ascii="Georgia" w:hAnsi="Georgia"/>
        </w:rPr>
        <w:t xml:space="preserve"> to a repeating problem that hasn’t been resolved, certainly not for lack of effort on the behalf of Black students who mobilize against such instances of racism and bias</w:t>
      </w:r>
      <w:r w:rsidR="00E72A93">
        <w:rPr>
          <w:rFonts w:ascii="Georgia" w:hAnsi="Georgia"/>
        </w:rPr>
        <w:t>.  A</w:t>
      </w:r>
      <w:r>
        <w:rPr>
          <w:rFonts w:ascii="Georgia" w:hAnsi="Georgia"/>
        </w:rPr>
        <w:t xml:space="preserve">nd bystanders who see the reactions of Black people who </w:t>
      </w:r>
      <w:r>
        <w:rPr>
          <w:rFonts w:ascii="Georgia" w:hAnsi="Georgia"/>
        </w:rPr>
        <w:lastRenderedPageBreak/>
        <w:t xml:space="preserve">rally behind those who report hate crimes, true or false, </w:t>
      </w:r>
      <w:r w:rsidR="00DA4799">
        <w:rPr>
          <w:rFonts w:ascii="Georgia" w:hAnsi="Georgia"/>
        </w:rPr>
        <w:t>and</w:t>
      </w:r>
      <w:r>
        <w:rPr>
          <w:rFonts w:ascii="Georgia" w:hAnsi="Georgia"/>
        </w:rPr>
        <w:t xml:space="preserve"> cannot identify a larger issue certainly aren’t helping.</w:t>
      </w:r>
    </w:p>
    <w:p w14:paraId="5FE237B0" w14:textId="38030EEC" w:rsidR="006A22B9" w:rsidRDefault="006A22B9" w:rsidP="006A22B9">
      <w:pPr>
        <w:spacing w:line="480" w:lineRule="auto"/>
        <w:ind w:firstLine="720"/>
        <w:rPr>
          <w:rFonts w:ascii="Georgia" w:hAnsi="Georgia"/>
        </w:rPr>
      </w:pPr>
      <w:r>
        <w:rPr>
          <w:rFonts w:ascii="Georgia" w:hAnsi="Georgia"/>
        </w:rPr>
        <w:t>In drafting this essay I was asked to reflect upon how the project evolved and grew throughout my research process, something I felt was crucial to acknowledge considering the escalating racial tensions in the country.  Yet, interestingly enough, I didn’t travel too far off my beaten path.  If anything, as I’ve had the opportunity to talk to more of my interviewees, it was pleasing to find that for some of them</w:t>
      </w:r>
      <w:r w:rsidR="00BF73FF">
        <w:rPr>
          <w:rFonts w:ascii="Georgia" w:hAnsi="Georgia"/>
        </w:rPr>
        <w:t xml:space="preserve"> reflecting upon the event offered a sense of closure</w:t>
      </w:r>
      <w:r>
        <w:rPr>
          <w:rFonts w:ascii="Georgia" w:hAnsi="Georgia"/>
        </w:rPr>
        <w:t xml:space="preserve">.  Was it perfect? No.  And I don’t think it’s fair to expect perfection from an event that was organized on two days’ notice.  But I think that for me what was really important about that event was that regardless of what those newspapers might try to report about our protest I believe that those who participated will hold on to the memory of what we did </w:t>
      </w:r>
      <w:r w:rsidR="00AB1C81">
        <w:rPr>
          <w:rFonts w:ascii="Georgia" w:hAnsi="Georgia"/>
        </w:rPr>
        <w:t>that day</w:t>
      </w:r>
      <w:r>
        <w:rPr>
          <w:rFonts w:ascii="Georgia" w:hAnsi="Georgia"/>
        </w:rPr>
        <w:t xml:space="preserve"> for all its flaws and all its successes.  People seem so prone to condemn the actions of Black people when they don’t subscribe to the more docile reactions that are expected of them, however these same knee jerk reactions do little to account for the traumas that evoke these actions in the first place.  For all the anger that we felt </w:t>
      </w:r>
      <w:r w:rsidR="00EE2A03">
        <w:rPr>
          <w:rFonts w:ascii="Georgia" w:hAnsi="Georgia"/>
        </w:rPr>
        <w:t>at what’d happened,</w:t>
      </w:r>
      <w:r>
        <w:rPr>
          <w:rFonts w:ascii="Georgia" w:hAnsi="Georgia"/>
        </w:rPr>
        <w:t xml:space="preserve"> the joy that we shared in one another’s company after an attack that was meant to make us feel isolated and threatened</w:t>
      </w:r>
      <w:r w:rsidR="00F32C38">
        <w:rPr>
          <w:rFonts w:ascii="Georgia" w:hAnsi="Georgia"/>
        </w:rPr>
        <w:t xml:space="preserve"> made me feel </w:t>
      </w:r>
      <w:r>
        <w:rPr>
          <w:rFonts w:ascii="Georgia" w:hAnsi="Georgia"/>
        </w:rPr>
        <w:t xml:space="preserve">that we had each other’s backs and that we can do that again as the need arises.  And in the future should anything like this happen, I’d like to hope that Black students will be able to use this project along with anything else documented in Goucher’s </w:t>
      </w:r>
      <w:r w:rsidR="00A61F66">
        <w:rPr>
          <w:rFonts w:ascii="Georgia" w:hAnsi="Georgia"/>
        </w:rPr>
        <w:t>Archives</w:t>
      </w:r>
      <w:r>
        <w:rPr>
          <w:rFonts w:ascii="Georgia" w:hAnsi="Georgia"/>
        </w:rPr>
        <w:t xml:space="preserve"> to understand the efforts of those who came before </w:t>
      </w:r>
      <w:r w:rsidR="00AB1C81">
        <w:rPr>
          <w:rFonts w:ascii="Georgia" w:hAnsi="Georgia"/>
        </w:rPr>
        <w:t>them,</w:t>
      </w:r>
      <w:r>
        <w:rPr>
          <w:rFonts w:ascii="Georgia" w:hAnsi="Georgia"/>
        </w:rPr>
        <w:t xml:space="preserve"> so they know that they aren’t alone in whatever attempts they put forth to achieve equity and social justice at this institution.  </w:t>
      </w:r>
    </w:p>
    <w:p w14:paraId="4ACF00CE" w14:textId="77777777" w:rsidR="00832646" w:rsidRDefault="00832646"/>
    <w:sectPr w:rsidR="00832646" w:rsidSect="00222EC8">
      <w:footerReference w:type="even" r:id="rId12"/>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2F8E3D" w14:textId="77777777" w:rsidR="00EE182C" w:rsidRDefault="00EE182C" w:rsidP="00280CD9">
      <w:r>
        <w:separator/>
      </w:r>
    </w:p>
  </w:endnote>
  <w:endnote w:type="continuationSeparator" w:id="0">
    <w:p w14:paraId="72AB8406" w14:textId="77777777" w:rsidR="00EE182C" w:rsidRDefault="00EE182C" w:rsidP="00280C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788348641"/>
      <w:docPartObj>
        <w:docPartGallery w:val="Page Numbers (Bottom of Page)"/>
        <w:docPartUnique/>
      </w:docPartObj>
    </w:sdtPr>
    <w:sdtEndPr>
      <w:rPr>
        <w:rStyle w:val="PageNumber"/>
      </w:rPr>
    </w:sdtEndPr>
    <w:sdtContent>
      <w:p w14:paraId="4D0224D4" w14:textId="0452481E" w:rsidR="00280CD9" w:rsidRDefault="00280CD9" w:rsidP="00490D0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5BADECC" w14:textId="77777777" w:rsidR="00280CD9" w:rsidRDefault="00280CD9" w:rsidP="00280CD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468630773"/>
      <w:docPartObj>
        <w:docPartGallery w:val="Page Numbers (Bottom of Page)"/>
        <w:docPartUnique/>
      </w:docPartObj>
    </w:sdtPr>
    <w:sdtEndPr>
      <w:rPr>
        <w:rStyle w:val="PageNumber"/>
      </w:rPr>
    </w:sdtEndPr>
    <w:sdtContent>
      <w:p w14:paraId="1D690CD8" w14:textId="0CD431D3" w:rsidR="00280CD9" w:rsidRDefault="00280CD9" w:rsidP="00490D0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BA7876">
          <w:rPr>
            <w:rStyle w:val="PageNumber"/>
            <w:noProof/>
          </w:rPr>
          <w:t>2</w:t>
        </w:r>
        <w:r>
          <w:rPr>
            <w:rStyle w:val="PageNumber"/>
          </w:rPr>
          <w:fldChar w:fldCharType="end"/>
        </w:r>
      </w:p>
    </w:sdtContent>
  </w:sdt>
  <w:p w14:paraId="59D36225" w14:textId="77777777" w:rsidR="00280CD9" w:rsidRDefault="00280CD9" w:rsidP="00280CD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AB5D36" w14:textId="77777777" w:rsidR="00EE182C" w:rsidRDefault="00EE182C" w:rsidP="00280CD9">
      <w:r>
        <w:separator/>
      </w:r>
    </w:p>
  </w:footnote>
  <w:footnote w:type="continuationSeparator" w:id="0">
    <w:p w14:paraId="24D3B148" w14:textId="77777777" w:rsidR="00EE182C" w:rsidRDefault="00EE182C" w:rsidP="00280CD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22B9"/>
    <w:rsid w:val="0005614A"/>
    <w:rsid w:val="000738DA"/>
    <w:rsid w:val="000C4E21"/>
    <w:rsid w:val="001622B7"/>
    <w:rsid w:val="00222EC8"/>
    <w:rsid w:val="0025157F"/>
    <w:rsid w:val="00280CD9"/>
    <w:rsid w:val="003263F2"/>
    <w:rsid w:val="00422DE6"/>
    <w:rsid w:val="004F6F9A"/>
    <w:rsid w:val="005C3DB3"/>
    <w:rsid w:val="00693170"/>
    <w:rsid w:val="006A22B9"/>
    <w:rsid w:val="0072639A"/>
    <w:rsid w:val="007656B4"/>
    <w:rsid w:val="007840D1"/>
    <w:rsid w:val="00832646"/>
    <w:rsid w:val="009C004D"/>
    <w:rsid w:val="009C46D3"/>
    <w:rsid w:val="00A354A3"/>
    <w:rsid w:val="00A61F66"/>
    <w:rsid w:val="00A97E97"/>
    <w:rsid w:val="00AB1C81"/>
    <w:rsid w:val="00B47BD2"/>
    <w:rsid w:val="00B777CB"/>
    <w:rsid w:val="00BA7876"/>
    <w:rsid w:val="00BF73FF"/>
    <w:rsid w:val="00C42ED9"/>
    <w:rsid w:val="00DA4799"/>
    <w:rsid w:val="00E23CF0"/>
    <w:rsid w:val="00E72A93"/>
    <w:rsid w:val="00EA343C"/>
    <w:rsid w:val="00EE182C"/>
    <w:rsid w:val="00EE2A03"/>
    <w:rsid w:val="00F32C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F905F"/>
  <w15:chartTrackingRefBased/>
  <w15:docId w15:val="{CB643F97-1025-6245-8D88-499F012AD3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22B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22B9"/>
    <w:rPr>
      <w:color w:val="0563C1" w:themeColor="hyperlink"/>
      <w:u w:val="single"/>
    </w:rPr>
  </w:style>
  <w:style w:type="character" w:styleId="FollowedHyperlink">
    <w:name w:val="FollowedHyperlink"/>
    <w:basedOn w:val="DefaultParagraphFont"/>
    <w:uiPriority w:val="99"/>
    <w:semiHidden/>
    <w:unhideWhenUsed/>
    <w:rsid w:val="006A22B9"/>
    <w:rPr>
      <w:color w:val="954F72" w:themeColor="followedHyperlink"/>
      <w:u w:val="single"/>
    </w:rPr>
  </w:style>
  <w:style w:type="character" w:customStyle="1" w:styleId="UnresolvedMention">
    <w:name w:val="Unresolved Mention"/>
    <w:basedOn w:val="DefaultParagraphFont"/>
    <w:uiPriority w:val="99"/>
    <w:semiHidden/>
    <w:unhideWhenUsed/>
    <w:rsid w:val="000738DA"/>
    <w:rPr>
      <w:color w:val="605E5C"/>
      <w:shd w:val="clear" w:color="auto" w:fill="E1DFDD"/>
    </w:rPr>
  </w:style>
  <w:style w:type="paragraph" w:styleId="Footer">
    <w:name w:val="footer"/>
    <w:basedOn w:val="Normal"/>
    <w:link w:val="FooterChar"/>
    <w:uiPriority w:val="99"/>
    <w:unhideWhenUsed/>
    <w:rsid w:val="00280CD9"/>
    <w:pPr>
      <w:tabs>
        <w:tab w:val="center" w:pos="4680"/>
        <w:tab w:val="right" w:pos="9360"/>
      </w:tabs>
    </w:pPr>
  </w:style>
  <w:style w:type="character" w:customStyle="1" w:styleId="FooterChar">
    <w:name w:val="Footer Char"/>
    <w:basedOn w:val="DefaultParagraphFont"/>
    <w:link w:val="Footer"/>
    <w:uiPriority w:val="99"/>
    <w:rsid w:val="00280CD9"/>
  </w:style>
  <w:style w:type="character" w:styleId="PageNumber">
    <w:name w:val="page number"/>
    <w:basedOn w:val="DefaultParagraphFont"/>
    <w:uiPriority w:val="99"/>
    <w:semiHidden/>
    <w:unhideWhenUsed/>
    <w:rsid w:val="00280C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ashingtontimes.com/news/2018/dec/4/fynn-arthur-goucher-college-student-arrested-race-/" TargetMode="External"/><Relationship Id="rId13"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hyperlink" Target="https://www.city-journal.org/campus-hate-crime-hoaxes" TargetMode="External"/><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lackatgoucher.tumblr.com/" TargetMode="External"/><Relationship Id="rId11" Type="http://schemas.openxmlformats.org/officeDocument/2006/relationships/hyperlink" Target="https://www.merriam-webster.com/dictionary/hate%20crime" TargetMode="Externa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yperlink" Target="https://www.baltimoresun.com/news/crime/bs-md-co-goucher-hate-crime-charges-20181204-20181204-f3w5n7hccbb6hkdrebflm4uljm-story.html" TargetMode="External"/><Relationship Id="rId4" Type="http://schemas.openxmlformats.org/officeDocument/2006/relationships/footnotes" Target="footnotes.xml"/><Relationship Id="rId9" Type="http://schemas.openxmlformats.org/officeDocument/2006/relationships/hyperlink" Target="https://nypost.com/2019/02/21/the-list-of-bogus-hate-crimes-in-trump-era-is-long/"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1523</Words>
  <Characters>8684</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Miller, Joshua</dc:creator>
  <cp:keywords/>
  <dc:description/>
  <cp:lastModifiedBy>Welzenbach, Kristen</cp:lastModifiedBy>
  <cp:revision>2</cp:revision>
  <cp:lastPrinted>2020-11-20T18:04:00Z</cp:lastPrinted>
  <dcterms:created xsi:type="dcterms:W3CDTF">2021-02-11T20:33:00Z</dcterms:created>
  <dcterms:modified xsi:type="dcterms:W3CDTF">2021-02-11T20:33:00Z</dcterms:modified>
</cp:coreProperties>
</file>