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44A455" w14:textId="77777777" w:rsidR="0051693A" w:rsidRDefault="0051693A" w:rsidP="0051693A">
      <w:pPr>
        <w:spacing w:line="480" w:lineRule="auto"/>
        <w:ind w:firstLine="720"/>
        <w:jc w:val="center"/>
        <w:rPr>
          <w:rFonts w:ascii="Times New Roman" w:hAnsi="Times New Roman" w:cs="Times New Roman"/>
          <w:sz w:val="28"/>
          <w:szCs w:val="28"/>
        </w:rPr>
      </w:pPr>
    </w:p>
    <w:p w14:paraId="062CFB0E" w14:textId="77777777" w:rsidR="0051693A" w:rsidRDefault="0051693A" w:rsidP="00F374F6">
      <w:pPr>
        <w:spacing w:line="480" w:lineRule="auto"/>
        <w:rPr>
          <w:rFonts w:ascii="Times New Roman" w:hAnsi="Times New Roman" w:cs="Times New Roman"/>
          <w:sz w:val="28"/>
          <w:szCs w:val="28"/>
        </w:rPr>
      </w:pPr>
    </w:p>
    <w:p w14:paraId="579C22BB" w14:textId="77777777" w:rsidR="00F374F6" w:rsidRDefault="00F374F6" w:rsidP="00F374F6">
      <w:pPr>
        <w:spacing w:line="480" w:lineRule="auto"/>
        <w:rPr>
          <w:rFonts w:ascii="Times New Roman" w:hAnsi="Times New Roman" w:cs="Times New Roman"/>
          <w:sz w:val="28"/>
          <w:szCs w:val="28"/>
        </w:rPr>
      </w:pPr>
    </w:p>
    <w:p w14:paraId="164A37A0" w14:textId="77777777" w:rsidR="0051693A" w:rsidRDefault="00326D61" w:rsidP="0051693A">
      <w:pPr>
        <w:spacing w:line="480" w:lineRule="auto"/>
        <w:ind w:firstLine="720"/>
        <w:jc w:val="center"/>
        <w:rPr>
          <w:rFonts w:ascii="Times New Roman" w:hAnsi="Times New Roman" w:cs="Times New Roman"/>
          <w:sz w:val="28"/>
          <w:szCs w:val="28"/>
        </w:rPr>
      </w:pPr>
      <w:r>
        <w:rPr>
          <w:rFonts w:ascii="Times New Roman" w:hAnsi="Times New Roman" w:cs="Times New Roman"/>
          <w:sz w:val="28"/>
          <w:szCs w:val="28"/>
        </w:rPr>
        <w:t>ABSTRACT</w:t>
      </w:r>
    </w:p>
    <w:p w14:paraId="7C49E46E" w14:textId="77777777" w:rsidR="0051693A" w:rsidRDefault="0051693A" w:rsidP="0051693A">
      <w:pPr>
        <w:spacing w:line="480" w:lineRule="auto"/>
        <w:ind w:firstLine="720"/>
        <w:jc w:val="center"/>
        <w:rPr>
          <w:rFonts w:ascii="Times New Roman" w:hAnsi="Times New Roman" w:cs="Times New Roman"/>
          <w:sz w:val="28"/>
          <w:szCs w:val="28"/>
        </w:rPr>
      </w:pPr>
    </w:p>
    <w:p w14:paraId="39CD57A8" w14:textId="77777777" w:rsidR="0051693A" w:rsidRDefault="0051693A" w:rsidP="0051693A">
      <w:pPr>
        <w:spacing w:line="480" w:lineRule="auto"/>
        <w:ind w:firstLine="720"/>
        <w:jc w:val="center"/>
        <w:rPr>
          <w:rFonts w:ascii="Times New Roman" w:hAnsi="Times New Roman" w:cs="Times New Roman"/>
          <w:sz w:val="28"/>
          <w:szCs w:val="28"/>
        </w:rPr>
        <w:sectPr w:rsidR="0051693A" w:rsidSect="009F565C">
          <w:footerReference w:type="even" r:id="rId8"/>
          <w:footerReference w:type="default" r:id="rId9"/>
          <w:footerReference w:type="first" r:id="rId10"/>
          <w:pgSz w:w="12240" w:h="15840"/>
          <w:pgMar w:top="1440" w:right="1440" w:bottom="1440" w:left="1440" w:header="720" w:footer="720" w:gutter="0"/>
          <w:pgNumType w:fmt="lowerRoman" w:start="1"/>
          <w:cols w:space="720"/>
          <w:titlePg/>
          <w:docGrid w:linePitch="360"/>
        </w:sectPr>
      </w:pPr>
    </w:p>
    <w:p w14:paraId="2C98DDF9" w14:textId="74A71DC7" w:rsidR="0051693A" w:rsidRDefault="0051693A" w:rsidP="0051693A">
      <w:pPr>
        <w:spacing w:line="480" w:lineRule="auto"/>
        <w:ind w:firstLine="720"/>
        <w:rPr>
          <w:rFonts w:ascii="Times New Roman" w:hAnsi="Times New Roman" w:cs="Times New Roman"/>
        </w:rPr>
      </w:pPr>
      <w:r w:rsidRPr="0051693A">
        <w:rPr>
          <w:rFonts w:ascii="Times New Roman" w:hAnsi="Times New Roman" w:cs="Times New Roman"/>
        </w:rPr>
        <w:lastRenderedPageBreak/>
        <w:t>Title of Thesis:</w:t>
      </w:r>
    </w:p>
    <w:p w14:paraId="15A8A013" w14:textId="77777777" w:rsidR="0051693A" w:rsidRDefault="0051693A" w:rsidP="0051693A">
      <w:pPr>
        <w:spacing w:line="480" w:lineRule="auto"/>
        <w:ind w:firstLine="720"/>
        <w:rPr>
          <w:rFonts w:ascii="Times New Roman" w:hAnsi="Times New Roman" w:cs="Times New Roman"/>
        </w:rPr>
      </w:pPr>
    </w:p>
    <w:p w14:paraId="0111BCCB" w14:textId="77777777" w:rsidR="0051693A" w:rsidRPr="0051693A" w:rsidRDefault="0051693A" w:rsidP="0051693A">
      <w:pPr>
        <w:spacing w:line="480" w:lineRule="auto"/>
        <w:ind w:firstLine="720"/>
        <w:rPr>
          <w:rFonts w:ascii="Times New Roman" w:hAnsi="Times New Roman" w:cs="Times New Roman"/>
        </w:rPr>
      </w:pPr>
    </w:p>
    <w:p w14:paraId="06A7F678" w14:textId="2AD028D1" w:rsidR="0051693A" w:rsidRPr="0051693A" w:rsidRDefault="0051693A" w:rsidP="0051693A">
      <w:pPr>
        <w:spacing w:line="480" w:lineRule="auto"/>
        <w:ind w:firstLine="720"/>
        <w:rPr>
          <w:rFonts w:ascii="Times New Roman" w:hAnsi="Times New Roman" w:cs="Times New Roman"/>
        </w:rPr>
      </w:pPr>
      <w:r w:rsidRPr="0051693A">
        <w:rPr>
          <w:rFonts w:ascii="Times New Roman" w:hAnsi="Times New Roman" w:cs="Times New Roman"/>
        </w:rPr>
        <w:t>Degree Candidate:</w:t>
      </w:r>
    </w:p>
    <w:p w14:paraId="25572B64" w14:textId="0CCF46A4" w:rsidR="0051693A" w:rsidRPr="0051693A" w:rsidRDefault="0051693A" w:rsidP="0051693A">
      <w:pPr>
        <w:spacing w:line="480" w:lineRule="auto"/>
        <w:ind w:firstLine="720"/>
        <w:rPr>
          <w:rFonts w:ascii="Times New Roman" w:hAnsi="Times New Roman" w:cs="Times New Roman"/>
        </w:rPr>
      </w:pPr>
      <w:r w:rsidRPr="0051693A">
        <w:rPr>
          <w:rFonts w:ascii="Times New Roman" w:hAnsi="Times New Roman" w:cs="Times New Roman"/>
        </w:rPr>
        <w:t>Degree and Year:</w:t>
      </w:r>
    </w:p>
    <w:p w14:paraId="2C694E13" w14:textId="6B3C1DA3" w:rsidR="0051693A" w:rsidRDefault="0051693A" w:rsidP="0051693A">
      <w:pPr>
        <w:spacing w:line="480" w:lineRule="auto"/>
        <w:ind w:firstLine="720"/>
        <w:rPr>
          <w:rFonts w:ascii="Times New Roman" w:hAnsi="Times New Roman" w:cs="Times New Roman"/>
        </w:rPr>
      </w:pPr>
      <w:r w:rsidRPr="0051693A">
        <w:rPr>
          <w:rFonts w:ascii="Times New Roman" w:hAnsi="Times New Roman" w:cs="Times New Roman"/>
        </w:rPr>
        <w:t>Thesis Directed by</w:t>
      </w:r>
      <w:r>
        <w:rPr>
          <w:rFonts w:ascii="Times New Roman" w:hAnsi="Times New Roman" w:cs="Times New Roman"/>
        </w:rPr>
        <w:t>:</w:t>
      </w:r>
    </w:p>
    <w:p w14:paraId="7750A0F7" w14:textId="20845A97" w:rsidR="0051693A" w:rsidRDefault="0051693A" w:rsidP="0051693A">
      <w:pPr>
        <w:spacing w:line="480" w:lineRule="auto"/>
        <w:ind w:left="450"/>
        <w:rPr>
          <w:rFonts w:ascii="Times New Roman" w:hAnsi="Times New Roman" w:cs="Times New Roman"/>
        </w:rPr>
      </w:pPr>
      <w:r>
        <w:rPr>
          <w:rFonts w:ascii="Times New Roman" w:hAnsi="Times New Roman" w:cs="Times New Roman"/>
        </w:rPr>
        <w:br w:type="column"/>
      </w:r>
      <w:r>
        <w:rPr>
          <w:rFonts w:ascii="Times New Roman" w:hAnsi="Times New Roman" w:cs="Times New Roman"/>
        </w:rPr>
        <w:lastRenderedPageBreak/>
        <w:t>CULTURAL PLACEKEEPING FOR PRESERVATION: BUILDING A CULTURALLY SUSTAINABLE PRESERVATION MODEL</w:t>
      </w:r>
    </w:p>
    <w:p w14:paraId="020326AC" w14:textId="711CB94A" w:rsidR="0051693A" w:rsidRDefault="0051693A" w:rsidP="0051693A">
      <w:pPr>
        <w:spacing w:line="480" w:lineRule="auto"/>
        <w:ind w:left="450"/>
        <w:rPr>
          <w:rFonts w:ascii="Times New Roman" w:hAnsi="Times New Roman" w:cs="Times New Roman"/>
        </w:rPr>
      </w:pPr>
      <w:r>
        <w:rPr>
          <w:rFonts w:ascii="Times New Roman" w:hAnsi="Times New Roman" w:cs="Times New Roman"/>
        </w:rPr>
        <w:t>Samantha Travis</w:t>
      </w:r>
    </w:p>
    <w:p w14:paraId="4DEF51AA" w14:textId="30B10114" w:rsidR="0051693A" w:rsidRDefault="00304F60" w:rsidP="0051693A">
      <w:pPr>
        <w:spacing w:line="480" w:lineRule="auto"/>
        <w:ind w:left="450"/>
        <w:rPr>
          <w:rFonts w:ascii="Times New Roman" w:hAnsi="Times New Roman" w:cs="Times New Roman"/>
        </w:rPr>
      </w:pPr>
      <w:r>
        <w:rPr>
          <w:rFonts w:ascii="Times New Roman" w:hAnsi="Times New Roman" w:cs="Times New Roman"/>
        </w:rPr>
        <w:t>Master of Arts in Historic Preservation, 2019</w:t>
      </w:r>
    </w:p>
    <w:p w14:paraId="6BF853BA" w14:textId="71A87C83" w:rsidR="00304F60" w:rsidRDefault="00304F60" w:rsidP="0051693A">
      <w:pPr>
        <w:spacing w:line="480" w:lineRule="auto"/>
        <w:ind w:left="450"/>
        <w:rPr>
          <w:rFonts w:ascii="Times New Roman" w:hAnsi="Times New Roman" w:cs="Times New Roman"/>
        </w:rPr>
      </w:pPr>
      <w:r>
        <w:rPr>
          <w:rFonts w:ascii="Times New Roman" w:hAnsi="Times New Roman" w:cs="Times New Roman"/>
        </w:rPr>
        <w:t>Lauren Schiszik</w:t>
      </w:r>
    </w:p>
    <w:p w14:paraId="11833582" w14:textId="71E0E094" w:rsidR="00304F60" w:rsidRDefault="00304F60" w:rsidP="0051693A">
      <w:pPr>
        <w:spacing w:line="480" w:lineRule="auto"/>
        <w:ind w:left="450"/>
        <w:rPr>
          <w:rFonts w:ascii="Times New Roman" w:hAnsi="Times New Roman" w:cs="Times New Roman"/>
        </w:rPr>
      </w:pPr>
      <w:r>
        <w:rPr>
          <w:rFonts w:ascii="Times New Roman" w:hAnsi="Times New Roman" w:cs="Times New Roman"/>
        </w:rPr>
        <w:t>Welch Center for Graduate Studies</w:t>
      </w:r>
    </w:p>
    <w:p w14:paraId="48468FD9" w14:textId="69EF2435" w:rsidR="00304F60" w:rsidRDefault="00304F60" w:rsidP="0051693A">
      <w:pPr>
        <w:spacing w:line="480" w:lineRule="auto"/>
        <w:ind w:left="450"/>
        <w:rPr>
          <w:rFonts w:ascii="Times New Roman" w:hAnsi="Times New Roman" w:cs="Times New Roman"/>
        </w:rPr>
      </w:pPr>
      <w:r>
        <w:rPr>
          <w:rFonts w:ascii="Times New Roman" w:hAnsi="Times New Roman" w:cs="Times New Roman"/>
        </w:rPr>
        <w:t>Goucher College</w:t>
      </w:r>
    </w:p>
    <w:p w14:paraId="234A5184" w14:textId="77777777" w:rsidR="00304F60" w:rsidRDefault="00304F60" w:rsidP="0051693A">
      <w:pPr>
        <w:spacing w:line="480" w:lineRule="auto"/>
        <w:ind w:left="450"/>
        <w:rPr>
          <w:rFonts w:ascii="Times New Roman" w:hAnsi="Times New Roman" w:cs="Times New Roman"/>
        </w:rPr>
      </w:pPr>
    </w:p>
    <w:p w14:paraId="7525F217" w14:textId="77777777" w:rsidR="00304F60" w:rsidRDefault="00304F60" w:rsidP="0051693A">
      <w:pPr>
        <w:spacing w:line="480" w:lineRule="auto"/>
        <w:ind w:left="450"/>
        <w:rPr>
          <w:rFonts w:ascii="Times New Roman" w:hAnsi="Times New Roman" w:cs="Times New Roman"/>
        </w:rPr>
        <w:sectPr w:rsidR="00304F60" w:rsidSect="0051693A">
          <w:type w:val="continuous"/>
          <w:pgSz w:w="12240" w:h="15840"/>
          <w:pgMar w:top="1440" w:right="1440" w:bottom="1440" w:left="1440" w:header="720" w:footer="720" w:gutter="0"/>
          <w:pgNumType w:fmt="lowerRoman" w:start="1"/>
          <w:cols w:num="2" w:space="720" w:equalWidth="0">
            <w:col w:w="2880" w:space="720"/>
            <w:col w:w="5760"/>
          </w:cols>
          <w:titlePg/>
          <w:docGrid w:linePitch="360"/>
        </w:sectPr>
      </w:pPr>
    </w:p>
    <w:p w14:paraId="67BDA7F2" w14:textId="7EBAD974" w:rsidR="00304F60" w:rsidRDefault="008660A4" w:rsidP="00304F60">
      <w:pPr>
        <w:spacing w:line="480" w:lineRule="auto"/>
        <w:rPr>
          <w:rFonts w:ascii="Times New Roman" w:hAnsi="Times New Roman" w:cs="Times New Roman"/>
          <w:color w:val="000000"/>
        </w:rPr>
      </w:pPr>
      <w:r>
        <w:rPr>
          <w:rFonts w:ascii="Times New Roman" w:hAnsi="Times New Roman" w:cs="Times New Roman"/>
        </w:rPr>
        <w:lastRenderedPageBreak/>
        <w:tab/>
      </w:r>
      <w:r w:rsidR="009C05FD" w:rsidRPr="0013480C">
        <w:rPr>
          <w:rFonts w:ascii="Times New Roman" w:hAnsi="Times New Roman" w:cs="Times New Roman"/>
          <w:color w:val="000000"/>
        </w:rPr>
        <w:t>Focusing on preserving significant architecture and landscapes by identifying character-defining features and</w:t>
      </w:r>
      <w:r w:rsidR="009C05FD">
        <w:rPr>
          <w:rFonts w:ascii="Times New Roman" w:hAnsi="Times New Roman" w:cs="Times New Roman"/>
          <w:color w:val="000000"/>
        </w:rPr>
        <w:t xml:space="preserve"> the</w:t>
      </w:r>
      <w:r w:rsidR="009C05FD" w:rsidRPr="0013480C">
        <w:rPr>
          <w:rFonts w:ascii="Times New Roman" w:hAnsi="Times New Roman" w:cs="Times New Roman"/>
          <w:color w:val="000000"/>
        </w:rPr>
        <w:t xml:space="preserve"> historic</w:t>
      </w:r>
      <w:r w:rsidR="009C05FD">
        <w:rPr>
          <w:rFonts w:ascii="Times New Roman" w:hAnsi="Times New Roman" w:cs="Times New Roman"/>
          <w:color w:val="000000"/>
        </w:rPr>
        <w:t xml:space="preserve"> context of</w:t>
      </w:r>
      <w:r w:rsidR="009C05FD" w:rsidRPr="0013480C">
        <w:rPr>
          <w:rFonts w:ascii="Times New Roman" w:hAnsi="Times New Roman" w:cs="Times New Roman"/>
          <w:color w:val="000000"/>
        </w:rPr>
        <w:t xml:space="preserve"> significance has long been</w:t>
      </w:r>
      <w:r w:rsidR="009C05FD">
        <w:rPr>
          <w:rFonts w:ascii="Times New Roman" w:hAnsi="Times New Roman" w:cs="Times New Roman"/>
          <w:color w:val="000000"/>
        </w:rPr>
        <w:t xml:space="preserve"> in</w:t>
      </w:r>
      <w:r w:rsidR="009C05FD" w:rsidRPr="0013480C">
        <w:rPr>
          <w:rFonts w:ascii="Times New Roman" w:hAnsi="Times New Roman" w:cs="Times New Roman"/>
          <w:color w:val="000000"/>
        </w:rPr>
        <w:t xml:space="preserve"> the purview of the historic preservation professional.</w:t>
      </w:r>
      <w:r w:rsidR="009C05FD" w:rsidRPr="00DE512E">
        <w:rPr>
          <w:rFonts w:ascii="Times New Roman" w:eastAsia="Times New Roman" w:hAnsi="Times New Roman" w:cs="Times New Roman"/>
          <w:color w:val="000000"/>
        </w:rPr>
        <w:t xml:space="preserve"> </w:t>
      </w:r>
      <w:r w:rsidR="009C05FD" w:rsidRPr="0013480C">
        <w:rPr>
          <w:rFonts w:ascii="Times New Roman" w:hAnsi="Times New Roman" w:cs="Times New Roman"/>
          <w:color w:val="000000"/>
        </w:rPr>
        <w:t xml:space="preserve">While tens of thousands of properties have been listed </w:t>
      </w:r>
      <w:r w:rsidR="009C05FD">
        <w:rPr>
          <w:rFonts w:ascii="Times New Roman" w:hAnsi="Times New Roman" w:cs="Times New Roman"/>
          <w:color w:val="000000"/>
        </w:rPr>
        <w:t>on</w:t>
      </w:r>
      <w:r w:rsidR="009C05FD" w:rsidRPr="0013480C">
        <w:rPr>
          <w:rFonts w:ascii="Times New Roman" w:hAnsi="Times New Roman" w:cs="Times New Roman"/>
          <w:color w:val="000000"/>
        </w:rPr>
        <w:t xml:space="preserve"> the</w:t>
      </w:r>
      <w:r w:rsidR="009C05FD">
        <w:rPr>
          <w:rFonts w:ascii="Times New Roman" w:hAnsi="Times New Roman" w:cs="Times New Roman"/>
          <w:color w:val="000000"/>
        </w:rPr>
        <w:t xml:space="preserve"> National</w:t>
      </w:r>
      <w:r w:rsidR="009C05FD" w:rsidRPr="0013480C">
        <w:rPr>
          <w:rFonts w:ascii="Times New Roman" w:hAnsi="Times New Roman" w:cs="Times New Roman"/>
          <w:color w:val="000000"/>
        </w:rPr>
        <w:t xml:space="preserve"> Register, historic preservation has faced criticism that it has not effectively evolved </w:t>
      </w:r>
      <w:r w:rsidR="009C05FD">
        <w:rPr>
          <w:rFonts w:ascii="Times New Roman" w:hAnsi="Times New Roman" w:cs="Times New Roman"/>
          <w:color w:val="000000"/>
        </w:rPr>
        <w:t xml:space="preserve">its identification and designation tools </w:t>
      </w:r>
      <w:r w:rsidR="009C05FD" w:rsidRPr="0013480C">
        <w:rPr>
          <w:rFonts w:ascii="Times New Roman" w:hAnsi="Times New Roman" w:cs="Times New Roman"/>
          <w:color w:val="000000"/>
        </w:rPr>
        <w:t>over the decades to include histories that do not fit neatly into the criteria and rules set</w:t>
      </w:r>
      <w:r w:rsidR="00633CEB">
        <w:rPr>
          <w:rFonts w:ascii="Times New Roman" w:hAnsi="Times New Roman" w:cs="Times New Roman"/>
          <w:color w:val="000000"/>
        </w:rPr>
        <w:t xml:space="preserve"> by the </w:t>
      </w:r>
      <w:r w:rsidR="004F788F">
        <w:rPr>
          <w:rFonts w:ascii="Times New Roman" w:hAnsi="Times New Roman" w:cs="Times New Roman"/>
          <w:color w:val="000000"/>
        </w:rPr>
        <w:t>Secretary of Interior’s Standards</w:t>
      </w:r>
      <w:r w:rsidR="009C05FD">
        <w:rPr>
          <w:rFonts w:ascii="Times New Roman" w:hAnsi="Times New Roman" w:cs="Times New Roman"/>
          <w:color w:val="000000"/>
        </w:rPr>
        <w:t>.</w:t>
      </w:r>
    </w:p>
    <w:p w14:paraId="6E919E7F" w14:textId="31C324CD" w:rsidR="009C05FD" w:rsidRDefault="009C05FD" w:rsidP="009C05FD">
      <w:pPr>
        <w:spacing w:line="480" w:lineRule="auto"/>
        <w:ind w:firstLine="720"/>
        <w:rPr>
          <w:rFonts w:ascii="Times New Roman" w:hAnsi="Times New Roman" w:cs="Times New Roman"/>
          <w:color w:val="000000"/>
        </w:rPr>
      </w:pPr>
      <w:r w:rsidRPr="0013480C">
        <w:rPr>
          <w:rFonts w:ascii="Times New Roman" w:hAnsi="Times New Roman" w:cs="Times New Roman"/>
          <w:color w:val="000000"/>
        </w:rPr>
        <w:t>Buildings and spaces lend tangibility to culture, but the cultural heritage must first be understood</w:t>
      </w:r>
      <w:r>
        <w:rPr>
          <w:rFonts w:ascii="Times New Roman" w:hAnsi="Times New Roman" w:cs="Times New Roman"/>
          <w:color w:val="000000"/>
        </w:rPr>
        <w:t xml:space="preserve"> and valued, especially at the local level</w:t>
      </w:r>
      <w:r w:rsidRPr="0013480C">
        <w:rPr>
          <w:rFonts w:ascii="Times New Roman" w:hAnsi="Times New Roman" w:cs="Times New Roman"/>
          <w:color w:val="000000"/>
        </w:rPr>
        <w:t>.</w:t>
      </w:r>
      <w:r>
        <w:rPr>
          <w:rFonts w:ascii="Times New Roman" w:hAnsi="Times New Roman" w:cs="Times New Roman"/>
          <w:color w:val="000000"/>
        </w:rPr>
        <w:t xml:space="preserve"> When historic preservation originates with a foundational intention of preserving the cultures developed by those presently using the space, </w:t>
      </w:r>
      <w:r>
        <w:rPr>
          <w:rFonts w:ascii="Times New Roman" w:hAnsi="Times New Roman" w:cs="Times New Roman"/>
          <w:color w:val="000000"/>
        </w:rPr>
        <w:lastRenderedPageBreak/>
        <w:t>particularly by acknowledging and utilizing the knowledge of current residents, the community</w:t>
      </w:r>
      <w:r w:rsidR="004F788F">
        <w:rPr>
          <w:rFonts w:ascii="Times New Roman" w:hAnsi="Times New Roman" w:cs="Times New Roman"/>
          <w:color w:val="000000"/>
        </w:rPr>
        <w:t xml:space="preserve"> impacted</w:t>
      </w:r>
      <w:r>
        <w:rPr>
          <w:rFonts w:ascii="Times New Roman" w:hAnsi="Times New Roman" w:cs="Times New Roman"/>
          <w:color w:val="000000"/>
        </w:rPr>
        <w:t xml:space="preserve"> may develop a greater trust in the preservation process.</w:t>
      </w:r>
      <w:r w:rsidRPr="00CE4F23">
        <w:rPr>
          <w:rFonts w:ascii="Times New Roman" w:hAnsi="Times New Roman" w:cs="Times New Roman"/>
          <w:color w:val="FF0000"/>
        </w:rPr>
        <w:t xml:space="preserve"> </w:t>
      </w:r>
      <w:r w:rsidR="00633CEB">
        <w:rPr>
          <w:rFonts w:ascii="Times New Roman" w:hAnsi="Times New Roman" w:cs="Times New Roman"/>
          <w:color w:val="000000"/>
        </w:rPr>
        <w:t xml:space="preserve">Using a culturally sustainable </w:t>
      </w:r>
      <w:r>
        <w:rPr>
          <w:rFonts w:ascii="Times New Roman" w:hAnsi="Times New Roman" w:cs="Times New Roman"/>
          <w:color w:val="000000"/>
        </w:rPr>
        <w:t xml:space="preserve">preservation model builds on </w:t>
      </w:r>
      <w:r w:rsidR="004F788F">
        <w:rPr>
          <w:rFonts w:ascii="Times New Roman" w:hAnsi="Times New Roman" w:cs="Times New Roman"/>
          <w:color w:val="000000"/>
        </w:rPr>
        <w:t>the</w:t>
      </w:r>
      <w:r>
        <w:rPr>
          <w:rFonts w:ascii="Times New Roman" w:hAnsi="Times New Roman" w:cs="Times New Roman"/>
          <w:color w:val="000000"/>
        </w:rPr>
        <w:t xml:space="preserve"> sense of place and </w:t>
      </w:r>
      <w:r w:rsidR="00633CEB">
        <w:rPr>
          <w:rFonts w:ascii="Times New Roman" w:hAnsi="Times New Roman" w:cs="Times New Roman"/>
          <w:color w:val="000000"/>
        </w:rPr>
        <w:t>cultural</w:t>
      </w:r>
      <w:r>
        <w:rPr>
          <w:rFonts w:ascii="Times New Roman" w:hAnsi="Times New Roman" w:cs="Times New Roman"/>
          <w:color w:val="000000"/>
        </w:rPr>
        <w:t xml:space="preserve"> identity of the existing community, and will lead to preservation that is more readily accepted and successful.</w:t>
      </w:r>
    </w:p>
    <w:p w14:paraId="649BE89D" w14:textId="2667A950" w:rsidR="00633CEB" w:rsidRDefault="00633CEB" w:rsidP="009C05FD">
      <w:pPr>
        <w:spacing w:line="480" w:lineRule="auto"/>
        <w:ind w:firstLine="720"/>
        <w:rPr>
          <w:rFonts w:ascii="Times New Roman" w:hAnsi="Times New Roman" w:cs="Times New Roman"/>
          <w:color w:val="000000"/>
        </w:rPr>
      </w:pPr>
      <w:r>
        <w:rPr>
          <w:rFonts w:ascii="Times New Roman" w:hAnsi="Times New Roman" w:cs="Times New Roman"/>
          <w:color w:val="000000"/>
        </w:rPr>
        <w:t xml:space="preserve">This thesis </w:t>
      </w:r>
      <w:proofErr w:type="gramStart"/>
      <w:r>
        <w:rPr>
          <w:rFonts w:ascii="Times New Roman" w:hAnsi="Times New Roman" w:cs="Times New Roman"/>
          <w:color w:val="000000"/>
        </w:rPr>
        <w:t>looks into</w:t>
      </w:r>
      <w:proofErr w:type="gramEnd"/>
      <w:r>
        <w:rPr>
          <w:rFonts w:ascii="Times New Roman" w:hAnsi="Times New Roman" w:cs="Times New Roman"/>
          <w:color w:val="000000"/>
        </w:rPr>
        <w:t xml:space="preserve"> how a culturally sustainable preservation model could be </w:t>
      </w:r>
      <w:r w:rsidR="00370189">
        <w:rPr>
          <w:rFonts w:ascii="Times New Roman" w:hAnsi="Times New Roman" w:cs="Times New Roman"/>
          <w:color w:val="000000"/>
        </w:rPr>
        <w:t>utilized</w:t>
      </w:r>
      <w:r>
        <w:rPr>
          <w:rFonts w:ascii="Times New Roman" w:hAnsi="Times New Roman" w:cs="Times New Roman"/>
          <w:color w:val="000000"/>
        </w:rPr>
        <w:t xml:space="preserve"> in neighborhoods in Legacy Cities. It explores the threats faced by people within these neighborhoods from encroaching development, and fears over gentrification and displacement. </w:t>
      </w:r>
      <w:r w:rsidR="00370189">
        <w:rPr>
          <w:rFonts w:ascii="Times New Roman" w:hAnsi="Times New Roman" w:cs="Times New Roman"/>
          <w:color w:val="000000"/>
        </w:rPr>
        <w:t>Examining the</w:t>
      </w:r>
      <w:r>
        <w:rPr>
          <w:rFonts w:ascii="Times New Roman" w:hAnsi="Times New Roman" w:cs="Times New Roman"/>
          <w:color w:val="000000"/>
        </w:rPr>
        <w:t xml:space="preserve"> Buffalo, New York, </w:t>
      </w:r>
      <w:r w:rsidR="00370189">
        <w:rPr>
          <w:rFonts w:ascii="Times New Roman" w:hAnsi="Times New Roman" w:cs="Times New Roman"/>
          <w:color w:val="000000"/>
        </w:rPr>
        <w:t xml:space="preserve">neighborhoods of Elmwood Historic District and the Fruit Belt </w:t>
      </w:r>
      <w:r>
        <w:rPr>
          <w:rFonts w:ascii="Times New Roman" w:hAnsi="Times New Roman" w:cs="Times New Roman"/>
          <w:color w:val="000000"/>
        </w:rPr>
        <w:t>as case s</w:t>
      </w:r>
      <w:r w:rsidR="00370189">
        <w:rPr>
          <w:rFonts w:ascii="Times New Roman" w:hAnsi="Times New Roman" w:cs="Times New Roman"/>
          <w:color w:val="000000"/>
        </w:rPr>
        <w:t>tudies,</w:t>
      </w:r>
      <w:r>
        <w:rPr>
          <w:rFonts w:ascii="Times New Roman" w:hAnsi="Times New Roman" w:cs="Times New Roman"/>
          <w:color w:val="000000"/>
        </w:rPr>
        <w:t xml:space="preserve"> we can see how</w:t>
      </w:r>
      <w:r w:rsidR="00370189">
        <w:rPr>
          <w:rFonts w:ascii="Times New Roman" w:hAnsi="Times New Roman" w:cs="Times New Roman"/>
          <w:color w:val="000000"/>
        </w:rPr>
        <w:t xml:space="preserve"> and why</w:t>
      </w:r>
      <w:r>
        <w:rPr>
          <w:rFonts w:ascii="Times New Roman" w:hAnsi="Times New Roman" w:cs="Times New Roman"/>
          <w:color w:val="000000"/>
        </w:rPr>
        <w:t xml:space="preserve"> to design and implement a </w:t>
      </w:r>
      <w:r w:rsidR="00E57F17">
        <w:rPr>
          <w:rFonts w:ascii="Times New Roman" w:hAnsi="Times New Roman" w:cs="Times New Roman"/>
          <w:color w:val="000000"/>
        </w:rPr>
        <w:t>preservation plan</w:t>
      </w:r>
      <w:r>
        <w:rPr>
          <w:rFonts w:ascii="Times New Roman" w:hAnsi="Times New Roman" w:cs="Times New Roman"/>
          <w:color w:val="000000"/>
        </w:rPr>
        <w:t xml:space="preserve"> that embraces tangible and intangible representations of </w:t>
      </w:r>
      <w:r w:rsidR="00370189">
        <w:rPr>
          <w:rFonts w:ascii="Times New Roman" w:hAnsi="Times New Roman" w:cs="Times New Roman"/>
          <w:color w:val="000000"/>
        </w:rPr>
        <w:t>cultural and heritage resources</w:t>
      </w:r>
      <w:r>
        <w:rPr>
          <w:rFonts w:ascii="Times New Roman" w:hAnsi="Times New Roman" w:cs="Times New Roman"/>
          <w:color w:val="000000"/>
        </w:rPr>
        <w:t xml:space="preserve">. </w:t>
      </w:r>
    </w:p>
    <w:p w14:paraId="03EFC53B" w14:textId="77777777" w:rsidR="004F788F" w:rsidRDefault="004F788F" w:rsidP="004F788F">
      <w:pPr>
        <w:spacing w:line="480" w:lineRule="auto"/>
        <w:rPr>
          <w:rFonts w:ascii="Times New Roman" w:hAnsi="Times New Roman" w:cs="Times New Roman"/>
          <w:color w:val="000000"/>
        </w:rPr>
      </w:pPr>
    </w:p>
    <w:p w14:paraId="206E0D3A" w14:textId="77777777" w:rsidR="004F788F" w:rsidRDefault="004F788F" w:rsidP="004F788F">
      <w:pPr>
        <w:spacing w:line="480" w:lineRule="auto"/>
        <w:rPr>
          <w:rFonts w:ascii="Times New Roman" w:hAnsi="Times New Roman" w:cs="Times New Roman"/>
          <w:color w:val="000000"/>
        </w:rPr>
      </w:pPr>
    </w:p>
    <w:p w14:paraId="64BF6768" w14:textId="77777777" w:rsidR="004F788F" w:rsidRDefault="004F788F" w:rsidP="004F788F">
      <w:pPr>
        <w:spacing w:line="480" w:lineRule="auto"/>
        <w:rPr>
          <w:rFonts w:ascii="Times New Roman" w:hAnsi="Times New Roman" w:cs="Times New Roman"/>
          <w:color w:val="000000"/>
        </w:rPr>
      </w:pPr>
    </w:p>
    <w:p w14:paraId="4E741846" w14:textId="77777777" w:rsidR="0042313D" w:rsidRDefault="0042313D" w:rsidP="00304F60">
      <w:pPr>
        <w:spacing w:line="480" w:lineRule="auto"/>
        <w:rPr>
          <w:rFonts w:ascii="Times New Roman" w:hAnsi="Times New Roman" w:cs="Times New Roman"/>
          <w:color w:val="000000"/>
          <w:u w:val="single"/>
        </w:rPr>
      </w:pPr>
    </w:p>
    <w:p w14:paraId="56D41E07" w14:textId="77777777" w:rsidR="0042313D" w:rsidRDefault="0042313D" w:rsidP="00304F60">
      <w:pPr>
        <w:spacing w:line="480" w:lineRule="auto"/>
        <w:rPr>
          <w:rFonts w:ascii="Times New Roman" w:hAnsi="Times New Roman" w:cs="Times New Roman"/>
          <w:color w:val="000000"/>
          <w:u w:val="single"/>
        </w:rPr>
      </w:pPr>
    </w:p>
    <w:p w14:paraId="3F6585D0" w14:textId="77777777" w:rsidR="000C27E2" w:rsidRDefault="000C27E2" w:rsidP="00304F60">
      <w:pPr>
        <w:spacing w:line="480" w:lineRule="auto"/>
        <w:rPr>
          <w:rFonts w:ascii="Times New Roman" w:hAnsi="Times New Roman" w:cs="Times New Roman"/>
          <w:color w:val="000000"/>
          <w:u w:val="single"/>
        </w:rPr>
      </w:pPr>
    </w:p>
    <w:p w14:paraId="1BED36C7" w14:textId="77777777" w:rsidR="00F374F6" w:rsidRDefault="00F374F6" w:rsidP="00304F60">
      <w:pPr>
        <w:spacing w:line="480" w:lineRule="auto"/>
        <w:rPr>
          <w:rFonts w:ascii="Times New Roman" w:hAnsi="Times New Roman" w:cs="Times New Roman"/>
          <w:color w:val="000000"/>
          <w:u w:val="single"/>
        </w:rPr>
      </w:pPr>
    </w:p>
    <w:p w14:paraId="765B37C6" w14:textId="77777777" w:rsidR="00F374F6" w:rsidRDefault="00F374F6" w:rsidP="00304F60">
      <w:pPr>
        <w:spacing w:line="480" w:lineRule="auto"/>
        <w:rPr>
          <w:rFonts w:ascii="Times New Roman" w:hAnsi="Times New Roman" w:cs="Times New Roman"/>
          <w:color w:val="000000"/>
          <w:u w:val="single"/>
        </w:rPr>
      </w:pPr>
    </w:p>
    <w:p w14:paraId="1937846F" w14:textId="77777777" w:rsidR="00F374F6" w:rsidRDefault="00F374F6" w:rsidP="00304F60">
      <w:pPr>
        <w:spacing w:line="480" w:lineRule="auto"/>
        <w:rPr>
          <w:rFonts w:ascii="Times New Roman" w:hAnsi="Times New Roman" w:cs="Times New Roman"/>
          <w:color w:val="000000"/>
          <w:u w:val="single"/>
        </w:rPr>
      </w:pPr>
    </w:p>
    <w:p w14:paraId="67F6F6AB" w14:textId="77777777" w:rsidR="009C05FD" w:rsidRPr="004F788F" w:rsidRDefault="004F788F" w:rsidP="00304F60">
      <w:pPr>
        <w:spacing w:line="480" w:lineRule="auto"/>
        <w:rPr>
          <w:rFonts w:ascii="Times New Roman" w:hAnsi="Times New Roman" w:cs="Times New Roman"/>
          <w:color w:val="000000"/>
        </w:rPr>
      </w:pPr>
      <w:r w:rsidRPr="004F788F">
        <w:rPr>
          <w:rFonts w:ascii="Times New Roman" w:hAnsi="Times New Roman" w:cs="Times New Roman"/>
          <w:color w:val="000000"/>
          <w:u w:val="single"/>
        </w:rPr>
        <w:t>Subject Headings</w:t>
      </w:r>
      <w:r>
        <w:rPr>
          <w:rFonts w:ascii="Times New Roman" w:hAnsi="Times New Roman" w:cs="Times New Roman"/>
          <w:color w:val="000000"/>
        </w:rPr>
        <w:t xml:space="preserve">: Legacy City, gentrification, historic preservation planning, Buffalo, New York, Elmwood Historic District, Fruit Belt, post-industrialization, cultural sustainability, placekeeping, significance, place and sense of place </w:t>
      </w:r>
    </w:p>
    <w:p w14:paraId="164D01CA" w14:textId="77777777" w:rsidR="00304F60" w:rsidRDefault="00304F60" w:rsidP="00304F60">
      <w:pPr>
        <w:rPr>
          <w:rFonts w:ascii="Times New Roman" w:hAnsi="Times New Roman" w:cs="Times New Roman"/>
        </w:rPr>
      </w:pPr>
    </w:p>
    <w:p w14:paraId="4BC564F3" w14:textId="77777777" w:rsidR="00304F60" w:rsidRDefault="00304F60" w:rsidP="00304F60">
      <w:pPr>
        <w:rPr>
          <w:rFonts w:ascii="Times New Roman" w:hAnsi="Times New Roman" w:cs="Times New Roman"/>
        </w:rPr>
        <w:sectPr w:rsidR="00304F60" w:rsidSect="00304F60">
          <w:headerReference w:type="default" r:id="rId11"/>
          <w:footerReference w:type="default" r:id="rId12"/>
          <w:type w:val="continuous"/>
          <w:pgSz w:w="12240" w:h="15840"/>
          <w:pgMar w:top="1440" w:right="1440" w:bottom="1440" w:left="1440" w:header="720" w:footer="720" w:gutter="0"/>
          <w:pgNumType w:fmt="lowerRoman" w:start="1"/>
          <w:cols w:space="720"/>
          <w:titlePg/>
          <w:docGrid w:linePitch="360"/>
        </w:sectPr>
      </w:pPr>
    </w:p>
    <w:p w14:paraId="0491F55A" w14:textId="631EB206" w:rsidR="00151A51" w:rsidRDefault="00151A51" w:rsidP="003F12E6">
      <w:pPr>
        <w:ind w:firstLine="720"/>
        <w:rPr>
          <w:rFonts w:ascii="Times New Roman" w:hAnsi="Times New Roman" w:cs="Times New Roman"/>
        </w:rPr>
      </w:pPr>
    </w:p>
    <w:p w14:paraId="668CA44D" w14:textId="77777777" w:rsidR="00100602" w:rsidRDefault="00100602" w:rsidP="003F12E6">
      <w:pPr>
        <w:ind w:firstLine="720"/>
        <w:rPr>
          <w:rFonts w:ascii="Times New Roman" w:hAnsi="Times New Roman" w:cs="Times New Roman"/>
        </w:rPr>
      </w:pPr>
    </w:p>
    <w:p w14:paraId="206C3B20" w14:textId="77777777" w:rsidR="00633E34" w:rsidRDefault="00633E34" w:rsidP="003F12E6">
      <w:pPr>
        <w:ind w:firstLine="720"/>
        <w:rPr>
          <w:rFonts w:ascii="Times New Roman" w:hAnsi="Times New Roman" w:cs="Times New Roman"/>
        </w:rPr>
      </w:pPr>
    </w:p>
    <w:p w14:paraId="7324F79D" w14:textId="77777777" w:rsidR="00633E34" w:rsidRDefault="00633E34" w:rsidP="003F12E6">
      <w:pPr>
        <w:ind w:firstLine="720"/>
        <w:rPr>
          <w:rFonts w:ascii="Times New Roman" w:hAnsi="Times New Roman" w:cs="Times New Roman"/>
        </w:rPr>
      </w:pPr>
    </w:p>
    <w:p w14:paraId="6C3C3CB1" w14:textId="77777777" w:rsidR="00633E34" w:rsidRDefault="00633E34" w:rsidP="003F12E6">
      <w:pPr>
        <w:ind w:firstLine="720"/>
        <w:rPr>
          <w:rFonts w:ascii="Times New Roman" w:hAnsi="Times New Roman" w:cs="Times New Roman"/>
        </w:rPr>
      </w:pPr>
    </w:p>
    <w:p w14:paraId="5DF1397A" w14:textId="77777777" w:rsidR="00633E34" w:rsidRDefault="00633E34" w:rsidP="003F12E6">
      <w:pPr>
        <w:ind w:firstLine="720"/>
        <w:rPr>
          <w:rFonts w:ascii="Times New Roman" w:hAnsi="Times New Roman" w:cs="Times New Roman"/>
        </w:rPr>
      </w:pPr>
    </w:p>
    <w:p w14:paraId="0A36DBCF" w14:textId="77777777" w:rsidR="00633E34" w:rsidRDefault="00633E34" w:rsidP="003F12E6">
      <w:pPr>
        <w:ind w:firstLine="720"/>
        <w:rPr>
          <w:rFonts w:ascii="Times New Roman" w:hAnsi="Times New Roman" w:cs="Times New Roman"/>
        </w:rPr>
      </w:pPr>
    </w:p>
    <w:p w14:paraId="759B498C" w14:textId="77777777" w:rsidR="00633E34" w:rsidRDefault="00633E34" w:rsidP="003F12E6">
      <w:pPr>
        <w:ind w:firstLine="720"/>
        <w:rPr>
          <w:rFonts w:ascii="Times New Roman" w:hAnsi="Times New Roman" w:cs="Times New Roman"/>
        </w:rPr>
      </w:pPr>
    </w:p>
    <w:p w14:paraId="61616649" w14:textId="77777777" w:rsidR="00633E34" w:rsidRDefault="00633E34" w:rsidP="003F12E6">
      <w:pPr>
        <w:ind w:firstLine="720"/>
        <w:rPr>
          <w:rFonts w:ascii="Times New Roman" w:hAnsi="Times New Roman" w:cs="Times New Roman"/>
        </w:rPr>
      </w:pPr>
    </w:p>
    <w:p w14:paraId="709DE40B" w14:textId="77777777" w:rsidR="00633E34" w:rsidRDefault="00633E34" w:rsidP="003F12E6">
      <w:pPr>
        <w:ind w:firstLine="720"/>
        <w:rPr>
          <w:rFonts w:ascii="Times New Roman" w:hAnsi="Times New Roman" w:cs="Times New Roman"/>
        </w:rPr>
      </w:pPr>
    </w:p>
    <w:p w14:paraId="5351E706" w14:textId="77777777" w:rsidR="00633E34" w:rsidRDefault="00633E34" w:rsidP="00633E34">
      <w:pPr>
        <w:spacing w:line="480" w:lineRule="auto"/>
        <w:jc w:val="center"/>
        <w:rPr>
          <w:rFonts w:ascii="Times New Roman" w:hAnsi="Times New Roman" w:cs="Times New Roman"/>
          <w:sz w:val="28"/>
          <w:szCs w:val="28"/>
        </w:rPr>
      </w:pPr>
      <w:r>
        <w:rPr>
          <w:rFonts w:ascii="Times New Roman" w:hAnsi="Times New Roman" w:cs="Times New Roman"/>
          <w:sz w:val="28"/>
          <w:szCs w:val="28"/>
        </w:rPr>
        <w:t xml:space="preserve">CULTURAL PLACEKEEPING FOR PRESERVATION: </w:t>
      </w:r>
    </w:p>
    <w:p w14:paraId="360BE034" w14:textId="0818A1E2" w:rsidR="00633E34" w:rsidRDefault="00633E34" w:rsidP="00633E34">
      <w:pPr>
        <w:spacing w:line="480" w:lineRule="auto"/>
        <w:jc w:val="center"/>
        <w:rPr>
          <w:rFonts w:ascii="Times New Roman" w:hAnsi="Times New Roman" w:cs="Times New Roman"/>
          <w:sz w:val="28"/>
          <w:szCs w:val="28"/>
        </w:rPr>
      </w:pPr>
      <w:r>
        <w:rPr>
          <w:rFonts w:ascii="Times New Roman" w:hAnsi="Times New Roman" w:cs="Times New Roman"/>
          <w:sz w:val="28"/>
          <w:szCs w:val="28"/>
        </w:rPr>
        <w:t>BUILDING A CULTURALLY SUSTAINABLE PRESERVATION MODEL</w:t>
      </w:r>
    </w:p>
    <w:p w14:paraId="34070BBB" w14:textId="77777777" w:rsidR="00633E34" w:rsidRDefault="00633E34" w:rsidP="00633E34">
      <w:pPr>
        <w:spacing w:line="480" w:lineRule="auto"/>
        <w:jc w:val="center"/>
        <w:rPr>
          <w:rFonts w:ascii="Times New Roman" w:hAnsi="Times New Roman" w:cs="Times New Roman"/>
          <w:sz w:val="28"/>
          <w:szCs w:val="28"/>
        </w:rPr>
      </w:pPr>
    </w:p>
    <w:p w14:paraId="0D59DA5B" w14:textId="77777777" w:rsidR="00633E34" w:rsidRDefault="00633E34" w:rsidP="00633E34">
      <w:pPr>
        <w:spacing w:line="480" w:lineRule="auto"/>
        <w:jc w:val="center"/>
        <w:rPr>
          <w:rFonts w:ascii="Times New Roman" w:hAnsi="Times New Roman" w:cs="Times New Roman"/>
          <w:sz w:val="28"/>
          <w:szCs w:val="28"/>
        </w:rPr>
      </w:pPr>
    </w:p>
    <w:p w14:paraId="4B1A8B3B" w14:textId="7194C980" w:rsidR="00633E34" w:rsidRPr="00A50833" w:rsidRDefault="00633E34" w:rsidP="00633E34">
      <w:pPr>
        <w:spacing w:line="480" w:lineRule="auto"/>
        <w:jc w:val="center"/>
        <w:rPr>
          <w:rFonts w:ascii="Times New Roman" w:hAnsi="Times New Roman" w:cs="Times New Roman"/>
        </w:rPr>
      </w:pPr>
      <w:r w:rsidRPr="00A50833">
        <w:rPr>
          <w:rFonts w:ascii="Times New Roman" w:hAnsi="Times New Roman" w:cs="Times New Roman"/>
        </w:rPr>
        <w:t>Samantha Travis</w:t>
      </w:r>
    </w:p>
    <w:p w14:paraId="545C3CC9" w14:textId="77777777" w:rsidR="00633E34" w:rsidRPr="00A50833" w:rsidRDefault="00633E34" w:rsidP="00633E34">
      <w:pPr>
        <w:spacing w:line="480" w:lineRule="auto"/>
        <w:jc w:val="center"/>
        <w:rPr>
          <w:rFonts w:ascii="Times New Roman" w:hAnsi="Times New Roman" w:cs="Times New Roman"/>
        </w:rPr>
      </w:pPr>
    </w:p>
    <w:p w14:paraId="74033593" w14:textId="77777777" w:rsidR="00633E34" w:rsidRPr="00A50833" w:rsidRDefault="00633E34" w:rsidP="00633E34">
      <w:pPr>
        <w:spacing w:line="480" w:lineRule="auto"/>
        <w:jc w:val="center"/>
        <w:rPr>
          <w:rFonts w:ascii="Times New Roman" w:hAnsi="Times New Roman" w:cs="Times New Roman"/>
        </w:rPr>
      </w:pPr>
    </w:p>
    <w:p w14:paraId="4C1EDACB" w14:textId="77777777" w:rsidR="00A50833" w:rsidRDefault="00633E34" w:rsidP="00633E34">
      <w:pPr>
        <w:spacing w:line="480" w:lineRule="auto"/>
        <w:jc w:val="center"/>
        <w:rPr>
          <w:rFonts w:ascii="Times New Roman" w:hAnsi="Times New Roman" w:cs="Times New Roman"/>
        </w:rPr>
      </w:pPr>
      <w:r w:rsidRPr="00A50833">
        <w:rPr>
          <w:rFonts w:ascii="Times New Roman" w:hAnsi="Times New Roman" w:cs="Times New Roman"/>
        </w:rPr>
        <w:t xml:space="preserve">Thesis submitted to the faculty of Goucher College in partial </w:t>
      </w:r>
    </w:p>
    <w:p w14:paraId="1A8BE167" w14:textId="77777777" w:rsidR="00A50833" w:rsidRDefault="00633E34" w:rsidP="00633E34">
      <w:pPr>
        <w:spacing w:line="480" w:lineRule="auto"/>
        <w:jc w:val="center"/>
        <w:rPr>
          <w:rFonts w:ascii="Times New Roman" w:hAnsi="Times New Roman" w:cs="Times New Roman"/>
        </w:rPr>
      </w:pPr>
      <w:r w:rsidRPr="00A50833">
        <w:rPr>
          <w:rFonts w:ascii="Times New Roman" w:hAnsi="Times New Roman" w:cs="Times New Roman"/>
        </w:rPr>
        <w:t>fulfillment of the requirements for the degree of</w:t>
      </w:r>
    </w:p>
    <w:p w14:paraId="3A2B2ED4" w14:textId="0352F7BA" w:rsidR="00633E34" w:rsidRPr="00A50833" w:rsidRDefault="00633E34" w:rsidP="00633E34">
      <w:pPr>
        <w:spacing w:line="480" w:lineRule="auto"/>
        <w:jc w:val="center"/>
        <w:rPr>
          <w:rFonts w:ascii="Times New Roman" w:hAnsi="Times New Roman" w:cs="Times New Roman"/>
        </w:rPr>
      </w:pPr>
      <w:r w:rsidRPr="00A50833">
        <w:rPr>
          <w:rFonts w:ascii="Times New Roman" w:hAnsi="Times New Roman" w:cs="Times New Roman"/>
        </w:rPr>
        <w:t xml:space="preserve"> Master of Arts in Historic Preservation</w:t>
      </w:r>
    </w:p>
    <w:p w14:paraId="145C870D" w14:textId="3CB5AA01" w:rsidR="00633E34" w:rsidRPr="00A50833" w:rsidRDefault="00633E34" w:rsidP="00633E34">
      <w:pPr>
        <w:spacing w:line="480" w:lineRule="auto"/>
        <w:jc w:val="center"/>
        <w:rPr>
          <w:rFonts w:ascii="Times New Roman" w:hAnsi="Times New Roman" w:cs="Times New Roman"/>
        </w:rPr>
      </w:pPr>
      <w:r w:rsidRPr="00A50833">
        <w:rPr>
          <w:rFonts w:ascii="Times New Roman" w:hAnsi="Times New Roman" w:cs="Times New Roman"/>
        </w:rPr>
        <w:t>2019</w:t>
      </w:r>
    </w:p>
    <w:p w14:paraId="2F771F3A" w14:textId="77777777" w:rsidR="005629CF" w:rsidRPr="00A50833" w:rsidRDefault="005629CF" w:rsidP="00633E34">
      <w:pPr>
        <w:spacing w:line="480" w:lineRule="auto"/>
        <w:jc w:val="center"/>
        <w:rPr>
          <w:rFonts w:ascii="Times New Roman" w:hAnsi="Times New Roman" w:cs="Times New Roman"/>
        </w:rPr>
      </w:pPr>
    </w:p>
    <w:p w14:paraId="07F5D22F" w14:textId="4A5CD195" w:rsidR="005629CF" w:rsidRPr="00A50833" w:rsidRDefault="005629CF" w:rsidP="005629CF">
      <w:pPr>
        <w:spacing w:line="480" w:lineRule="auto"/>
        <w:rPr>
          <w:rFonts w:ascii="Times New Roman" w:hAnsi="Times New Roman" w:cs="Times New Roman"/>
        </w:rPr>
      </w:pPr>
      <w:r w:rsidRPr="00A50833">
        <w:rPr>
          <w:rFonts w:ascii="Times New Roman" w:hAnsi="Times New Roman" w:cs="Times New Roman"/>
        </w:rPr>
        <w:t>Advisory Committee:</w:t>
      </w:r>
    </w:p>
    <w:p w14:paraId="7C8D0DF1" w14:textId="26DBE602" w:rsidR="005629CF" w:rsidRPr="00A50833" w:rsidRDefault="007772DB" w:rsidP="005629CF">
      <w:pPr>
        <w:spacing w:line="480" w:lineRule="auto"/>
        <w:rPr>
          <w:rFonts w:ascii="Times New Roman" w:hAnsi="Times New Roman" w:cs="Times New Roman"/>
        </w:rPr>
      </w:pPr>
      <w:r w:rsidRPr="00A50833">
        <w:rPr>
          <w:rFonts w:ascii="Times New Roman" w:hAnsi="Times New Roman" w:cs="Times New Roman"/>
        </w:rPr>
        <w:t>Lauren Schiszik, Director</w:t>
      </w:r>
    </w:p>
    <w:p w14:paraId="20B3A55F" w14:textId="2CAD97B4" w:rsidR="007772DB" w:rsidRPr="00A50833" w:rsidRDefault="007772DB" w:rsidP="005629CF">
      <w:pPr>
        <w:spacing w:line="480" w:lineRule="auto"/>
        <w:rPr>
          <w:rFonts w:ascii="Times New Roman" w:hAnsi="Times New Roman" w:cs="Times New Roman"/>
        </w:rPr>
      </w:pPr>
      <w:r w:rsidRPr="00A50833">
        <w:rPr>
          <w:rFonts w:ascii="Times New Roman" w:hAnsi="Times New Roman" w:cs="Times New Roman"/>
        </w:rPr>
        <w:t>Tim Frye</w:t>
      </w:r>
    </w:p>
    <w:p w14:paraId="13D34FEB" w14:textId="1AA1AA1C" w:rsidR="007772DB" w:rsidRPr="00A50833" w:rsidRDefault="007772DB" w:rsidP="005629CF">
      <w:pPr>
        <w:spacing w:line="480" w:lineRule="auto"/>
        <w:rPr>
          <w:rFonts w:ascii="Times New Roman" w:hAnsi="Times New Roman" w:cs="Times New Roman"/>
        </w:rPr>
      </w:pPr>
      <w:r w:rsidRPr="00A50833">
        <w:rPr>
          <w:rFonts w:ascii="Times New Roman" w:hAnsi="Times New Roman" w:cs="Times New Roman"/>
        </w:rPr>
        <w:t>Amy E. Skillman</w:t>
      </w:r>
    </w:p>
    <w:p w14:paraId="2076D2B8" w14:textId="77777777" w:rsidR="00151A51" w:rsidRDefault="00151A51" w:rsidP="00633E34">
      <w:pPr>
        <w:spacing w:line="480" w:lineRule="auto"/>
        <w:jc w:val="center"/>
        <w:rPr>
          <w:rFonts w:ascii="Times New Roman" w:hAnsi="Times New Roman" w:cs="Times New Roman"/>
        </w:rPr>
      </w:pPr>
    </w:p>
    <w:p w14:paraId="1CC07FE1" w14:textId="77777777" w:rsidR="0032426D" w:rsidRDefault="0032426D" w:rsidP="00151A51">
      <w:pPr>
        <w:rPr>
          <w:rFonts w:ascii="Times New Roman" w:hAnsi="Times New Roman" w:cs="Times New Roman"/>
        </w:rPr>
        <w:sectPr w:rsidR="0032426D" w:rsidSect="009F565C">
          <w:headerReference w:type="first" r:id="rId13"/>
          <w:footerReference w:type="first" r:id="rId14"/>
          <w:pgSz w:w="12240" w:h="15840"/>
          <w:pgMar w:top="1440" w:right="1440" w:bottom="1440" w:left="1440" w:header="720" w:footer="720" w:gutter="0"/>
          <w:pgNumType w:fmt="lowerRoman" w:start="1"/>
          <w:cols w:space="720"/>
          <w:titlePg/>
          <w:docGrid w:linePitch="360"/>
        </w:sectPr>
      </w:pPr>
    </w:p>
    <w:p w14:paraId="38B4E47D" w14:textId="55F3C9CF" w:rsidR="003F12E6" w:rsidRDefault="003F12E6" w:rsidP="003F12E6">
      <w:pPr>
        <w:ind w:firstLine="720"/>
        <w:rPr>
          <w:rFonts w:ascii="Times New Roman" w:hAnsi="Times New Roman" w:cs="Times New Roman"/>
        </w:rPr>
      </w:pPr>
    </w:p>
    <w:p w14:paraId="0EAE5CF7" w14:textId="77777777" w:rsidR="003F12E6" w:rsidRDefault="003F12E6" w:rsidP="003F12E6">
      <w:pPr>
        <w:ind w:firstLine="720"/>
        <w:rPr>
          <w:rFonts w:ascii="Times New Roman" w:hAnsi="Times New Roman" w:cs="Times New Roman"/>
        </w:rPr>
      </w:pPr>
    </w:p>
    <w:p w14:paraId="52312321" w14:textId="77777777" w:rsidR="003F12E6" w:rsidRDefault="003F12E6" w:rsidP="003F12E6">
      <w:pPr>
        <w:ind w:firstLine="720"/>
        <w:rPr>
          <w:rFonts w:ascii="Times New Roman" w:hAnsi="Times New Roman" w:cs="Times New Roman"/>
        </w:rPr>
      </w:pPr>
    </w:p>
    <w:p w14:paraId="421D9A0E" w14:textId="77777777" w:rsidR="003F12E6" w:rsidRDefault="003F12E6" w:rsidP="003F12E6">
      <w:pPr>
        <w:ind w:firstLine="720"/>
        <w:rPr>
          <w:rFonts w:ascii="Times New Roman" w:hAnsi="Times New Roman" w:cs="Times New Roman"/>
        </w:rPr>
      </w:pPr>
    </w:p>
    <w:p w14:paraId="04ABE89A" w14:textId="77777777" w:rsidR="003F12E6" w:rsidRDefault="003F12E6" w:rsidP="003F12E6">
      <w:pPr>
        <w:ind w:firstLine="720"/>
        <w:rPr>
          <w:rFonts w:ascii="Times New Roman" w:hAnsi="Times New Roman" w:cs="Times New Roman"/>
        </w:rPr>
      </w:pPr>
    </w:p>
    <w:p w14:paraId="5207036F" w14:textId="77777777" w:rsidR="003F12E6" w:rsidRDefault="003F12E6" w:rsidP="003F12E6">
      <w:pPr>
        <w:ind w:firstLine="720"/>
        <w:rPr>
          <w:rFonts w:ascii="Times New Roman" w:hAnsi="Times New Roman" w:cs="Times New Roman"/>
        </w:rPr>
      </w:pPr>
    </w:p>
    <w:p w14:paraId="721B8898" w14:textId="77777777" w:rsidR="003F12E6" w:rsidRDefault="003F12E6" w:rsidP="003F12E6">
      <w:pPr>
        <w:ind w:firstLine="720"/>
        <w:rPr>
          <w:rFonts w:ascii="Times New Roman" w:hAnsi="Times New Roman" w:cs="Times New Roman"/>
        </w:rPr>
      </w:pPr>
    </w:p>
    <w:p w14:paraId="2554362B" w14:textId="77777777" w:rsidR="003F12E6" w:rsidRDefault="003F12E6" w:rsidP="003F12E6">
      <w:pPr>
        <w:ind w:firstLine="720"/>
        <w:rPr>
          <w:rFonts w:ascii="Times New Roman" w:hAnsi="Times New Roman" w:cs="Times New Roman"/>
        </w:rPr>
      </w:pPr>
    </w:p>
    <w:p w14:paraId="2AAEC858" w14:textId="77777777" w:rsidR="003F12E6" w:rsidRDefault="003F12E6" w:rsidP="003F12E6">
      <w:pPr>
        <w:ind w:firstLine="720"/>
        <w:rPr>
          <w:rFonts w:ascii="Times New Roman" w:hAnsi="Times New Roman" w:cs="Times New Roman"/>
        </w:rPr>
      </w:pPr>
    </w:p>
    <w:p w14:paraId="0E489EB4" w14:textId="77777777" w:rsidR="003F12E6" w:rsidRDefault="003F12E6" w:rsidP="003F12E6">
      <w:pPr>
        <w:ind w:firstLine="720"/>
        <w:rPr>
          <w:rFonts w:ascii="Times New Roman" w:hAnsi="Times New Roman" w:cs="Times New Roman"/>
        </w:rPr>
      </w:pPr>
    </w:p>
    <w:p w14:paraId="12FD24DA" w14:textId="77777777" w:rsidR="003F12E6" w:rsidRDefault="003F12E6" w:rsidP="003F12E6">
      <w:pPr>
        <w:ind w:firstLine="720"/>
        <w:rPr>
          <w:rFonts w:ascii="Times New Roman" w:hAnsi="Times New Roman" w:cs="Times New Roman"/>
        </w:rPr>
      </w:pPr>
    </w:p>
    <w:p w14:paraId="147B8149" w14:textId="77777777" w:rsidR="003F12E6" w:rsidRDefault="003F12E6" w:rsidP="003F12E6">
      <w:pPr>
        <w:ind w:firstLine="720"/>
        <w:rPr>
          <w:rFonts w:ascii="Times New Roman" w:hAnsi="Times New Roman" w:cs="Times New Roman"/>
        </w:rPr>
      </w:pPr>
    </w:p>
    <w:p w14:paraId="611B88F0" w14:textId="77777777" w:rsidR="003F12E6" w:rsidRDefault="003F12E6" w:rsidP="003F12E6">
      <w:pPr>
        <w:ind w:firstLine="720"/>
        <w:rPr>
          <w:rFonts w:ascii="Times New Roman" w:hAnsi="Times New Roman" w:cs="Times New Roman"/>
        </w:rPr>
      </w:pPr>
    </w:p>
    <w:p w14:paraId="78613A99" w14:textId="77777777" w:rsidR="003F12E6" w:rsidRDefault="003F12E6" w:rsidP="003F12E6">
      <w:pPr>
        <w:ind w:firstLine="720"/>
        <w:rPr>
          <w:rFonts w:ascii="Times New Roman" w:hAnsi="Times New Roman" w:cs="Times New Roman"/>
        </w:rPr>
      </w:pPr>
    </w:p>
    <w:p w14:paraId="4511F080" w14:textId="77777777" w:rsidR="003F12E6" w:rsidRDefault="003F12E6" w:rsidP="003F12E6">
      <w:pPr>
        <w:ind w:firstLine="720"/>
        <w:rPr>
          <w:rFonts w:ascii="Times New Roman" w:hAnsi="Times New Roman" w:cs="Times New Roman"/>
        </w:rPr>
      </w:pPr>
    </w:p>
    <w:p w14:paraId="5C442E26" w14:textId="77777777" w:rsidR="003F12E6" w:rsidRDefault="003F12E6" w:rsidP="003F12E6">
      <w:pPr>
        <w:ind w:firstLine="720"/>
        <w:rPr>
          <w:rFonts w:ascii="Times New Roman" w:hAnsi="Times New Roman" w:cs="Times New Roman"/>
        </w:rPr>
      </w:pPr>
    </w:p>
    <w:p w14:paraId="3EAB44DE" w14:textId="77777777" w:rsidR="003F12E6" w:rsidRDefault="003F12E6" w:rsidP="003F12E6">
      <w:pPr>
        <w:ind w:firstLine="720"/>
        <w:rPr>
          <w:rFonts w:ascii="Times New Roman" w:hAnsi="Times New Roman" w:cs="Times New Roman"/>
        </w:rPr>
      </w:pPr>
    </w:p>
    <w:p w14:paraId="4B7DC30D" w14:textId="77777777" w:rsidR="003F12E6" w:rsidRDefault="003F12E6" w:rsidP="003F12E6">
      <w:pPr>
        <w:ind w:firstLine="720"/>
        <w:rPr>
          <w:rFonts w:ascii="Times New Roman" w:hAnsi="Times New Roman" w:cs="Times New Roman"/>
        </w:rPr>
      </w:pPr>
    </w:p>
    <w:p w14:paraId="4DB27645" w14:textId="77777777" w:rsidR="003F12E6" w:rsidRDefault="003F12E6" w:rsidP="003F12E6">
      <w:pPr>
        <w:ind w:firstLine="720"/>
        <w:rPr>
          <w:rFonts w:ascii="Times New Roman" w:hAnsi="Times New Roman" w:cs="Times New Roman"/>
        </w:rPr>
      </w:pPr>
    </w:p>
    <w:p w14:paraId="01E05C76" w14:textId="77777777" w:rsidR="00F374F6" w:rsidRDefault="00F374F6" w:rsidP="003F12E6">
      <w:pPr>
        <w:ind w:firstLine="720"/>
        <w:rPr>
          <w:rFonts w:ascii="Times New Roman" w:hAnsi="Times New Roman" w:cs="Times New Roman"/>
        </w:rPr>
      </w:pPr>
    </w:p>
    <w:p w14:paraId="326086A3" w14:textId="77777777" w:rsidR="003F12E6" w:rsidRDefault="003F12E6" w:rsidP="003F12E6">
      <w:pPr>
        <w:ind w:firstLine="720"/>
        <w:jc w:val="center"/>
        <w:rPr>
          <w:rFonts w:ascii="Times New Roman" w:hAnsi="Times New Roman" w:cs="Times New Roman"/>
        </w:rPr>
      </w:pPr>
    </w:p>
    <w:p w14:paraId="4592E6FD" w14:textId="55703B4B" w:rsidR="00637BCE" w:rsidRPr="00637BCE" w:rsidRDefault="00637BCE" w:rsidP="003F12E6">
      <w:pPr>
        <w:ind w:firstLine="720"/>
        <w:jc w:val="center"/>
        <w:rPr>
          <w:rFonts w:ascii="Times New Roman" w:hAnsi="Times New Roman" w:cs="Times New Roman"/>
        </w:rPr>
      </w:pPr>
      <w:r>
        <w:rPr>
          <w:rFonts w:ascii="Times New Roman" w:hAnsi="Times New Roman" w:cs="Times New Roman"/>
        </w:rPr>
        <w:t xml:space="preserve">This work is dedicated with extreme gratitude to my </w:t>
      </w:r>
      <w:r w:rsidR="00A50833">
        <w:rPr>
          <w:rFonts w:ascii="Times New Roman" w:hAnsi="Times New Roman" w:cs="Times New Roman"/>
        </w:rPr>
        <w:t>husband, Ben</w:t>
      </w:r>
      <w:r>
        <w:rPr>
          <w:rFonts w:ascii="Times New Roman" w:hAnsi="Times New Roman" w:cs="Times New Roman"/>
        </w:rPr>
        <w:t xml:space="preserve">, and my children, Isabel, Sophia, and Henry. </w:t>
      </w:r>
      <w:r w:rsidR="0022168B">
        <w:rPr>
          <w:rFonts w:ascii="Times New Roman" w:hAnsi="Times New Roman" w:cs="Times New Roman"/>
        </w:rPr>
        <w:t xml:space="preserve">You gathered around </w:t>
      </w:r>
      <w:r w:rsidR="000A7BCF">
        <w:rPr>
          <w:rFonts w:ascii="Times New Roman" w:hAnsi="Times New Roman" w:cs="Times New Roman"/>
        </w:rPr>
        <w:t>and</w:t>
      </w:r>
      <w:r w:rsidR="0022168B">
        <w:rPr>
          <w:rFonts w:ascii="Times New Roman" w:hAnsi="Times New Roman" w:cs="Times New Roman"/>
        </w:rPr>
        <w:t xml:space="preserve"> allow</w:t>
      </w:r>
      <w:r w:rsidR="000A7BCF">
        <w:rPr>
          <w:rFonts w:ascii="Times New Roman" w:hAnsi="Times New Roman" w:cs="Times New Roman"/>
        </w:rPr>
        <w:t>ed</w:t>
      </w:r>
      <w:r w:rsidR="0022168B">
        <w:rPr>
          <w:rFonts w:ascii="Times New Roman" w:hAnsi="Times New Roman" w:cs="Times New Roman"/>
        </w:rPr>
        <w:t xml:space="preserve"> me the space to pursue my goals</w:t>
      </w:r>
      <w:r w:rsidR="000A7BCF">
        <w:rPr>
          <w:rFonts w:ascii="Times New Roman" w:hAnsi="Times New Roman" w:cs="Times New Roman"/>
        </w:rPr>
        <w:t xml:space="preserve">. </w:t>
      </w:r>
      <w:r w:rsidR="00E90AAF">
        <w:rPr>
          <w:rFonts w:ascii="Times New Roman" w:hAnsi="Times New Roman" w:cs="Times New Roman"/>
        </w:rPr>
        <w:t>We grow together. Thank you.</w:t>
      </w:r>
    </w:p>
    <w:p w14:paraId="47848579" w14:textId="5A27B7A8" w:rsidR="00637BCE" w:rsidRDefault="00637BCE">
      <w:r>
        <w:br w:type="page"/>
      </w:r>
    </w:p>
    <w:p w14:paraId="40BD9F3E" w14:textId="77777777" w:rsidR="00A80FB2" w:rsidRDefault="00A80FB2"/>
    <w:p w14:paraId="4201605A" w14:textId="77777777" w:rsidR="00A80FB2" w:rsidRDefault="00A80FB2"/>
    <w:p w14:paraId="49DA3E07" w14:textId="77777777" w:rsidR="00A80FB2" w:rsidRDefault="00A80FB2"/>
    <w:p w14:paraId="548A6A82" w14:textId="77777777" w:rsidR="00A80FB2" w:rsidRDefault="00A80FB2"/>
    <w:p w14:paraId="5D24E081" w14:textId="77777777" w:rsidR="00A80FB2" w:rsidRDefault="00A80FB2"/>
    <w:p w14:paraId="6AC5A88D" w14:textId="77777777" w:rsidR="00A80FB2" w:rsidRDefault="00A80FB2"/>
    <w:p w14:paraId="3BE01472" w14:textId="77777777" w:rsidR="00A80FB2" w:rsidRDefault="00A80FB2"/>
    <w:p w14:paraId="1E7D308F" w14:textId="77777777" w:rsidR="00A80FB2" w:rsidRDefault="00A80FB2"/>
    <w:p w14:paraId="3590E3D9" w14:textId="77777777" w:rsidR="00A80FB2" w:rsidRDefault="00A80FB2"/>
    <w:p w14:paraId="1281BC93" w14:textId="46D73507" w:rsidR="00A80FB2" w:rsidRDefault="00F471D2" w:rsidP="00F471D2">
      <w:pPr>
        <w:jc w:val="center"/>
        <w:rPr>
          <w:rFonts w:ascii="Times New Roman" w:hAnsi="Times New Roman" w:cs="Times New Roman"/>
          <w:sz w:val="28"/>
          <w:szCs w:val="28"/>
        </w:rPr>
      </w:pPr>
      <w:r>
        <w:rPr>
          <w:rFonts w:ascii="Times New Roman" w:hAnsi="Times New Roman" w:cs="Times New Roman"/>
          <w:sz w:val="28"/>
          <w:szCs w:val="28"/>
        </w:rPr>
        <w:t>ACKNOWLEDGEMENTS</w:t>
      </w:r>
    </w:p>
    <w:p w14:paraId="34CB5E92" w14:textId="77777777" w:rsidR="000C27E2" w:rsidRDefault="000C27E2" w:rsidP="00F471D2">
      <w:pPr>
        <w:jc w:val="center"/>
        <w:rPr>
          <w:rFonts w:ascii="Times New Roman" w:hAnsi="Times New Roman" w:cs="Times New Roman"/>
          <w:sz w:val="28"/>
          <w:szCs w:val="28"/>
        </w:rPr>
      </w:pPr>
    </w:p>
    <w:p w14:paraId="78F7D0FD" w14:textId="561984D4" w:rsidR="000C27E2" w:rsidRDefault="000C27E2" w:rsidP="000C27E2">
      <w:pPr>
        <w:spacing w:line="480" w:lineRule="auto"/>
        <w:rPr>
          <w:rFonts w:ascii="Times New Roman" w:hAnsi="Times New Roman" w:cs="Times New Roman"/>
        </w:rPr>
      </w:pPr>
      <w:r>
        <w:rPr>
          <w:rFonts w:ascii="Times New Roman" w:hAnsi="Times New Roman" w:cs="Times New Roman"/>
        </w:rPr>
        <w:tab/>
      </w:r>
    </w:p>
    <w:p w14:paraId="29D88104" w14:textId="4D9F80B1" w:rsidR="00510C25" w:rsidRDefault="00510C25" w:rsidP="000C27E2">
      <w:pPr>
        <w:spacing w:line="480" w:lineRule="auto"/>
        <w:rPr>
          <w:rFonts w:ascii="Times New Roman" w:hAnsi="Times New Roman" w:cs="Times New Roman"/>
        </w:rPr>
      </w:pPr>
      <w:r>
        <w:rPr>
          <w:rFonts w:ascii="Times New Roman" w:hAnsi="Times New Roman" w:cs="Times New Roman"/>
        </w:rPr>
        <w:tab/>
      </w:r>
      <w:r w:rsidR="00F03F27">
        <w:rPr>
          <w:rFonts w:ascii="Times New Roman" w:hAnsi="Times New Roman" w:cs="Times New Roman"/>
        </w:rPr>
        <w:t xml:space="preserve">It is with no small sense of relief that I would like to </w:t>
      </w:r>
      <w:r w:rsidR="00931B36">
        <w:rPr>
          <w:rFonts w:ascii="Times New Roman" w:hAnsi="Times New Roman" w:cs="Times New Roman"/>
        </w:rPr>
        <w:t>extend gratitude to</w:t>
      </w:r>
      <w:r w:rsidR="00F03F27">
        <w:rPr>
          <w:rFonts w:ascii="Times New Roman" w:hAnsi="Times New Roman" w:cs="Times New Roman"/>
        </w:rPr>
        <w:t xml:space="preserve"> my committee</w:t>
      </w:r>
      <w:r w:rsidR="00931B36">
        <w:rPr>
          <w:rFonts w:ascii="Times New Roman" w:hAnsi="Times New Roman" w:cs="Times New Roman"/>
        </w:rPr>
        <w:t xml:space="preserve"> members</w:t>
      </w:r>
      <w:r w:rsidR="00F03F27">
        <w:rPr>
          <w:rFonts w:ascii="Times New Roman" w:hAnsi="Times New Roman" w:cs="Times New Roman"/>
        </w:rPr>
        <w:t xml:space="preserve"> Lauren Schiszik, Amy Skillman, and Tim Frye for never wavering in your </w:t>
      </w:r>
      <w:r w:rsidR="004C7B59">
        <w:rPr>
          <w:rFonts w:ascii="Times New Roman" w:hAnsi="Times New Roman" w:cs="Times New Roman"/>
        </w:rPr>
        <w:t>consistent enco</w:t>
      </w:r>
      <w:r w:rsidR="00931B36">
        <w:rPr>
          <w:rFonts w:ascii="Times New Roman" w:hAnsi="Times New Roman" w:cs="Times New Roman"/>
        </w:rPr>
        <w:t>uragement—</w:t>
      </w:r>
      <w:r w:rsidR="004C7B59">
        <w:rPr>
          <w:rFonts w:ascii="Times New Roman" w:hAnsi="Times New Roman" w:cs="Times New Roman"/>
        </w:rPr>
        <w:t xml:space="preserve">both of this idea and that I could complete it in the time allowed. </w:t>
      </w:r>
      <w:r w:rsidR="00931B36">
        <w:rPr>
          <w:rFonts w:ascii="Times New Roman" w:hAnsi="Times New Roman" w:cs="Times New Roman"/>
        </w:rPr>
        <w:t>Thank you for lending your expertise to this p</w:t>
      </w:r>
      <w:r w:rsidR="002216EE">
        <w:rPr>
          <w:rFonts w:ascii="Times New Roman" w:hAnsi="Times New Roman" w:cs="Times New Roman"/>
        </w:rPr>
        <w:t xml:space="preserve">roject, and helping me think outside my current frame of knowledge. </w:t>
      </w:r>
    </w:p>
    <w:p w14:paraId="4662CFB6" w14:textId="304077C0" w:rsidR="002216EE" w:rsidRDefault="002216EE" w:rsidP="000C27E2">
      <w:pPr>
        <w:spacing w:line="480" w:lineRule="auto"/>
        <w:rPr>
          <w:rFonts w:ascii="Times New Roman" w:hAnsi="Times New Roman" w:cs="Times New Roman"/>
        </w:rPr>
      </w:pPr>
      <w:r>
        <w:rPr>
          <w:rFonts w:ascii="Times New Roman" w:hAnsi="Times New Roman" w:cs="Times New Roman"/>
        </w:rPr>
        <w:tab/>
        <w:t xml:space="preserve">I was also assisted in gaining a better understanding of the City of Buffalo by </w:t>
      </w:r>
      <w:r w:rsidR="002E4525">
        <w:rPr>
          <w:rFonts w:ascii="Times New Roman" w:hAnsi="Times New Roman" w:cs="Times New Roman"/>
        </w:rPr>
        <w:t>resident professionals</w:t>
      </w:r>
      <w:r>
        <w:rPr>
          <w:rFonts w:ascii="Times New Roman" w:hAnsi="Times New Roman" w:cs="Times New Roman"/>
        </w:rPr>
        <w:t xml:space="preserve"> in the fields of historic preservation, community advocacy, and development. </w:t>
      </w:r>
      <w:r w:rsidR="004109A5">
        <w:rPr>
          <w:rFonts w:ascii="Times New Roman" w:hAnsi="Times New Roman" w:cs="Times New Roman"/>
        </w:rPr>
        <w:t>Thank you for taking your time to offer insights</w:t>
      </w:r>
      <w:r w:rsidR="008C4467">
        <w:rPr>
          <w:rFonts w:ascii="Times New Roman" w:hAnsi="Times New Roman" w:cs="Times New Roman"/>
        </w:rPr>
        <w:t xml:space="preserve"> </w:t>
      </w:r>
      <w:r w:rsidR="004109A5">
        <w:rPr>
          <w:rFonts w:ascii="Times New Roman" w:hAnsi="Times New Roman" w:cs="Times New Roman"/>
        </w:rPr>
        <w:t>I could never have obtained through my solitary research methods</w:t>
      </w:r>
      <w:r w:rsidR="008C4467">
        <w:rPr>
          <w:rFonts w:ascii="Times New Roman" w:hAnsi="Times New Roman" w:cs="Times New Roman"/>
        </w:rPr>
        <w:t>.</w:t>
      </w:r>
      <w:r w:rsidR="004109A5">
        <w:rPr>
          <w:rFonts w:ascii="Times New Roman" w:hAnsi="Times New Roman" w:cs="Times New Roman"/>
        </w:rPr>
        <w:t xml:space="preserve"> </w:t>
      </w:r>
      <w:r w:rsidR="008C4467">
        <w:rPr>
          <w:rFonts w:ascii="Times New Roman" w:hAnsi="Times New Roman" w:cs="Times New Roman"/>
        </w:rPr>
        <w:t>Each of you were obviously passionate and optimistic about the future of Buffalo and its residents, and I was inspired and enlightened by our conversations.</w:t>
      </w:r>
    </w:p>
    <w:p w14:paraId="3DCB13AE" w14:textId="24DB11FF" w:rsidR="004109A5" w:rsidRPr="000C27E2" w:rsidRDefault="004109A5" w:rsidP="000C27E2">
      <w:pPr>
        <w:spacing w:line="480" w:lineRule="auto"/>
        <w:rPr>
          <w:rFonts w:ascii="Times New Roman" w:hAnsi="Times New Roman" w:cs="Times New Roman"/>
        </w:rPr>
      </w:pPr>
      <w:r>
        <w:rPr>
          <w:rFonts w:ascii="Times New Roman" w:hAnsi="Times New Roman" w:cs="Times New Roman"/>
        </w:rPr>
        <w:tab/>
        <w:t xml:space="preserve">I also feel compelled to thank those I work with, both colleagues and clients. You will very likely never read this, but you feigned interest and that meant a lot. By listening to my doubts and celebrating my achievements you all remind me why people are almost always the best part of any profession.  </w:t>
      </w:r>
    </w:p>
    <w:p w14:paraId="1749F826" w14:textId="77777777" w:rsidR="00A94680" w:rsidRDefault="00A94680">
      <w:r>
        <w:br w:type="page"/>
      </w:r>
    </w:p>
    <w:p w14:paraId="705681D4" w14:textId="77777777" w:rsidR="00580FCA" w:rsidRDefault="00580FCA">
      <w:pPr>
        <w:rPr>
          <w:rFonts w:ascii="Times New Roman" w:hAnsi="Times New Roman" w:cs="Times New Roman"/>
          <w:bCs/>
          <w:sz w:val="28"/>
          <w:szCs w:val="28"/>
        </w:rPr>
      </w:pPr>
    </w:p>
    <w:p w14:paraId="008129D7" w14:textId="66BB4456" w:rsidR="00A36E25" w:rsidRPr="009C482D" w:rsidRDefault="00420EB0" w:rsidP="009C482D">
      <w:pPr>
        <w:pStyle w:val="TOC1"/>
        <w:jc w:val="center"/>
      </w:pPr>
      <w:r>
        <w:t>TABLE OF CONTENTS</w:t>
      </w:r>
    </w:p>
    <w:p w14:paraId="60FAE3B3" w14:textId="0C26AC40" w:rsidR="008C48CE" w:rsidRDefault="00742231" w:rsidP="008C48CE">
      <w:pPr>
        <w:pStyle w:val="TOC1"/>
        <w:jc w:val="center"/>
        <w:rPr>
          <w:noProof/>
          <w:sz w:val="23"/>
          <w:szCs w:val="23"/>
        </w:rPr>
      </w:pPr>
      <w:r w:rsidRPr="008C48CE">
        <w:rPr>
          <w:rFonts w:eastAsiaTheme="majorEastAsia"/>
          <w:sz w:val="23"/>
          <w:szCs w:val="23"/>
        </w:rPr>
        <w:fldChar w:fldCharType="begin"/>
      </w:r>
      <w:r w:rsidRPr="008C48CE">
        <w:rPr>
          <w:rFonts w:eastAsiaTheme="majorEastAsia"/>
          <w:sz w:val="23"/>
          <w:szCs w:val="23"/>
        </w:rPr>
        <w:instrText xml:space="preserve"> TOC \o "1-1" </w:instrText>
      </w:r>
      <w:r w:rsidRPr="008C48CE">
        <w:rPr>
          <w:rFonts w:eastAsiaTheme="majorEastAsia"/>
          <w:sz w:val="23"/>
          <w:szCs w:val="23"/>
        </w:rPr>
        <w:fldChar w:fldCharType="separate"/>
      </w:r>
    </w:p>
    <w:p w14:paraId="12E2FC5D" w14:textId="77777777" w:rsidR="009C482D" w:rsidRDefault="009C482D" w:rsidP="00686291">
      <w:pPr>
        <w:pStyle w:val="TOC1"/>
        <w:rPr>
          <w:noProof/>
          <w:sz w:val="23"/>
          <w:szCs w:val="23"/>
        </w:rPr>
      </w:pPr>
      <w:r>
        <w:rPr>
          <w:noProof/>
          <w:sz w:val="23"/>
          <w:szCs w:val="23"/>
        </w:rPr>
        <w:t>LIST OF FIGURES</w:t>
      </w:r>
      <w:r>
        <w:rPr>
          <w:noProof/>
          <w:sz w:val="23"/>
          <w:szCs w:val="23"/>
        </w:rPr>
        <w:tab/>
        <w:t>v</w:t>
      </w:r>
    </w:p>
    <w:p w14:paraId="54A72A19" w14:textId="42AABC63" w:rsidR="009C482D" w:rsidRDefault="009C482D" w:rsidP="009C482D">
      <w:pPr>
        <w:pStyle w:val="TOC1"/>
        <w:jc w:val="center"/>
        <w:rPr>
          <w:noProof/>
          <w:sz w:val="23"/>
          <w:szCs w:val="23"/>
        </w:rPr>
      </w:pPr>
      <w:r w:rsidRPr="008C48CE">
        <w:rPr>
          <w:noProof/>
          <w:sz w:val="23"/>
          <w:szCs w:val="23"/>
        </w:rPr>
        <w:t>C</w:t>
      </w:r>
      <w:r>
        <w:rPr>
          <w:noProof/>
          <w:sz w:val="23"/>
          <w:szCs w:val="23"/>
        </w:rPr>
        <w:t>HAPTER I</w:t>
      </w:r>
    </w:p>
    <w:p w14:paraId="2DFDD463" w14:textId="28F8321C" w:rsidR="00742231" w:rsidRPr="009C482D" w:rsidRDefault="008C48CE" w:rsidP="00686291">
      <w:pPr>
        <w:pStyle w:val="TOC1"/>
        <w:rPr>
          <w:noProof/>
          <w:sz w:val="23"/>
          <w:szCs w:val="23"/>
        </w:rPr>
      </w:pPr>
      <w:r>
        <w:rPr>
          <w:noProof/>
          <w:sz w:val="23"/>
          <w:szCs w:val="23"/>
        </w:rPr>
        <w:t>LAYING THE GROUNDWORK</w:t>
      </w:r>
      <w:r w:rsidR="00742231" w:rsidRPr="008C48CE">
        <w:rPr>
          <w:noProof/>
          <w:sz w:val="23"/>
          <w:szCs w:val="23"/>
        </w:rPr>
        <w:tab/>
      </w:r>
      <w:r w:rsidR="00742231" w:rsidRPr="008C48CE">
        <w:rPr>
          <w:noProof/>
          <w:sz w:val="23"/>
          <w:szCs w:val="23"/>
        </w:rPr>
        <w:fldChar w:fldCharType="begin"/>
      </w:r>
      <w:r w:rsidR="00742231" w:rsidRPr="008C48CE">
        <w:rPr>
          <w:noProof/>
          <w:sz w:val="23"/>
          <w:szCs w:val="23"/>
        </w:rPr>
        <w:instrText xml:space="preserve"> PAGEREF _Toc8036821 \h </w:instrText>
      </w:r>
      <w:r w:rsidR="00742231" w:rsidRPr="008C48CE">
        <w:rPr>
          <w:noProof/>
          <w:sz w:val="23"/>
          <w:szCs w:val="23"/>
        </w:rPr>
      </w:r>
      <w:r w:rsidR="00742231" w:rsidRPr="008C48CE">
        <w:rPr>
          <w:noProof/>
          <w:sz w:val="23"/>
          <w:szCs w:val="23"/>
        </w:rPr>
        <w:fldChar w:fldCharType="separate"/>
      </w:r>
      <w:r w:rsidR="00742231" w:rsidRPr="008C48CE">
        <w:rPr>
          <w:noProof/>
          <w:sz w:val="23"/>
          <w:szCs w:val="23"/>
        </w:rPr>
        <w:t>1</w:t>
      </w:r>
      <w:r w:rsidR="00742231" w:rsidRPr="008C48CE">
        <w:rPr>
          <w:noProof/>
          <w:sz w:val="23"/>
          <w:szCs w:val="23"/>
        </w:rPr>
        <w:fldChar w:fldCharType="end"/>
      </w:r>
    </w:p>
    <w:p w14:paraId="5F7EBE92" w14:textId="192E85DD" w:rsidR="00686291" w:rsidRPr="008C48CE" w:rsidRDefault="00686291" w:rsidP="00686291">
      <w:pPr>
        <w:pStyle w:val="TOC1"/>
        <w:spacing w:line="240" w:lineRule="auto"/>
        <w:rPr>
          <w:noProof/>
          <w:sz w:val="23"/>
          <w:szCs w:val="23"/>
        </w:rPr>
      </w:pPr>
      <w:r w:rsidRPr="008C48CE">
        <w:rPr>
          <w:noProof/>
          <w:sz w:val="23"/>
          <w:szCs w:val="23"/>
        </w:rPr>
        <w:t>Introduction</w:t>
      </w:r>
      <w:r w:rsidRPr="008C48CE">
        <w:rPr>
          <w:noProof/>
          <w:sz w:val="23"/>
          <w:szCs w:val="23"/>
        </w:rPr>
        <w:tab/>
        <w:t>1</w:t>
      </w:r>
    </w:p>
    <w:p w14:paraId="28D23964" w14:textId="23F07D75" w:rsidR="00686291" w:rsidRPr="008C48CE" w:rsidRDefault="00686291" w:rsidP="00686291">
      <w:pPr>
        <w:pStyle w:val="TOC1"/>
        <w:spacing w:line="240" w:lineRule="auto"/>
        <w:rPr>
          <w:noProof/>
          <w:sz w:val="23"/>
          <w:szCs w:val="23"/>
        </w:rPr>
      </w:pPr>
      <w:r w:rsidRPr="008C48CE">
        <w:rPr>
          <w:noProof/>
          <w:sz w:val="23"/>
          <w:szCs w:val="23"/>
        </w:rPr>
        <w:t>Definitions and Literature Research</w:t>
      </w:r>
      <w:r w:rsidRPr="008C48CE">
        <w:rPr>
          <w:noProof/>
          <w:sz w:val="23"/>
          <w:szCs w:val="23"/>
        </w:rPr>
        <w:tab/>
        <w:t>5</w:t>
      </w:r>
    </w:p>
    <w:p w14:paraId="5C09B9F5" w14:textId="7C2FDEA4" w:rsidR="00686291" w:rsidRPr="008C48CE" w:rsidRDefault="00686291" w:rsidP="00686291">
      <w:pPr>
        <w:pStyle w:val="TOC1"/>
        <w:spacing w:line="240" w:lineRule="auto"/>
        <w:rPr>
          <w:noProof/>
          <w:sz w:val="23"/>
          <w:szCs w:val="23"/>
        </w:rPr>
      </w:pPr>
      <w:r w:rsidRPr="008C48CE">
        <w:rPr>
          <w:noProof/>
          <w:sz w:val="23"/>
          <w:szCs w:val="23"/>
        </w:rPr>
        <w:t>Environment</w:t>
      </w:r>
      <w:r w:rsidRPr="008C48CE">
        <w:rPr>
          <w:noProof/>
          <w:sz w:val="23"/>
          <w:szCs w:val="23"/>
        </w:rPr>
        <w:tab/>
        <w:t>6</w:t>
      </w:r>
    </w:p>
    <w:p w14:paraId="537D3655" w14:textId="059A455B" w:rsidR="00686291" w:rsidRPr="008C48CE" w:rsidRDefault="00686291" w:rsidP="00686291">
      <w:pPr>
        <w:pStyle w:val="TOC1"/>
        <w:spacing w:line="240" w:lineRule="auto"/>
        <w:rPr>
          <w:noProof/>
          <w:sz w:val="23"/>
          <w:szCs w:val="23"/>
        </w:rPr>
      </w:pPr>
      <w:r w:rsidRPr="008C48CE">
        <w:rPr>
          <w:noProof/>
          <w:sz w:val="23"/>
          <w:szCs w:val="23"/>
        </w:rPr>
        <w:t>People</w:t>
      </w:r>
      <w:r w:rsidRPr="008C48CE">
        <w:rPr>
          <w:noProof/>
          <w:sz w:val="23"/>
          <w:szCs w:val="23"/>
        </w:rPr>
        <w:tab/>
        <w:t>14</w:t>
      </w:r>
    </w:p>
    <w:p w14:paraId="0A636BCF" w14:textId="232B9D12" w:rsidR="00686291" w:rsidRPr="008C48CE" w:rsidRDefault="00686291" w:rsidP="00686291">
      <w:pPr>
        <w:pStyle w:val="TOC1"/>
        <w:spacing w:line="240" w:lineRule="auto"/>
        <w:rPr>
          <w:noProof/>
          <w:sz w:val="23"/>
          <w:szCs w:val="23"/>
        </w:rPr>
      </w:pPr>
      <w:r w:rsidRPr="008C48CE">
        <w:rPr>
          <w:noProof/>
          <w:sz w:val="23"/>
          <w:szCs w:val="23"/>
        </w:rPr>
        <w:t>Current Scholarship</w:t>
      </w:r>
      <w:r w:rsidRPr="008C48CE">
        <w:rPr>
          <w:noProof/>
          <w:sz w:val="23"/>
          <w:szCs w:val="23"/>
        </w:rPr>
        <w:tab/>
        <w:t>19</w:t>
      </w:r>
    </w:p>
    <w:p w14:paraId="5B359035" w14:textId="30EA24D6" w:rsidR="00686291" w:rsidRPr="008C48CE" w:rsidRDefault="00686291" w:rsidP="00686291">
      <w:pPr>
        <w:pStyle w:val="TOC1"/>
        <w:spacing w:line="240" w:lineRule="auto"/>
        <w:rPr>
          <w:noProof/>
          <w:sz w:val="23"/>
          <w:szCs w:val="23"/>
        </w:rPr>
      </w:pPr>
      <w:r w:rsidRPr="008C48CE">
        <w:rPr>
          <w:noProof/>
          <w:sz w:val="23"/>
          <w:szCs w:val="23"/>
        </w:rPr>
        <w:t>Conclusion</w:t>
      </w:r>
      <w:r w:rsidRPr="008C48CE">
        <w:rPr>
          <w:noProof/>
          <w:sz w:val="23"/>
          <w:szCs w:val="23"/>
        </w:rPr>
        <w:tab/>
        <w:t>24</w:t>
      </w:r>
    </w:p>
    <w:p w14:paraId="2193E895" w14:textId="77777777" w:rsidR="00686291" w:rsidRPr="008C48CE" w:rsidRDefault="00686291" w:rsidP="00686291">
      <w:pPr>
        <w:pStyle w:val="TOC1"/>
        <w:rPr>
          <w:noProof/>
          <w:sz w:val="23"/>
          <w:szCs w:val="23"/>
        </w:rPr>
      </w:pPr>
    </w:p>
    <w:p w14:paraId="1BBABEE5" w14:textId="0D21981B" w:rsidR="008C48CE" w:rsidRDefault="00E674FB" w:rsidP="008C48CE">
      <w:pPr>
        <w:pStyle w:val="TOC1"/>
        <w:jc w:val="center"/>
        <w:rPr>
          <w:noProof/>
          <w:sz w:val="23"/>
          <w:szCs w:val="23"/>
        </w:rPr>
      </w:pPr>
      <w:r w:rsidRPr="008C48CE">
        <w:rPr>
          <w:noProof/>
          <w:sz w:val="23"/>
          <w:szCs w:val="23"/>
        </w:rPr>
        <w:t>C</w:t>
      </w:r>
      <w:r w:rsidR="008C48CE">
        <w:rPr>
          <w:noProof/>
          <w:sz w:val="23"/>
          <w:szCs w:val="23"/>
        </w:rPr>
        <w:t>HAPTER II</w:t>
      </w:r>
    </w:p>
    <w:p w14:paraId="74D16627" w14:textId="663A1AED" w:rsidR="005C0F02" w:rsidRPr="008C48CE" w:rsidRDefault="008C48CE" w:rsidP="00686291">
      <w:pPr>
        <w:pStyle w:val="TOC1"/>
        <w:rPr>
          <w:noProof/>
          <w:sz w:val="23"/>
          <w:szCs w:val="23"/>
        </w:rPr>
      </w:pPr>
      <w:r>
        <w:rPr>
          <w:noProof/>
          <w:sz w:val="23"/>
          <w:szCs w:val="23"/>
        </w:rPr>
        <w:t>AMERICAN INDUSTRIAL CITIES, LEGACY CITIES, AND GENTRIFICATION</w:t>
      </w:r>
      <w:r w:rsidR="001C4322" w:rsidRPr="008C48CE">
        <w:rPr>
          <w:noProof/>
          <w:sz w:val="23"/>
          <w:szCs w:val="23"/>
        </w:rPr>
        <w:tab/>
        <w:t>26</w:t>
      </w:r>
    </w:p>
    <w:p w14:paraId="424E5081" w14:textId="51733D6E" w:rsidR="00686291" w:rsidRPr="008C48CE" w:rsidRDefault="00686291" w:rsidP="00892F9B">
      <w:pPr>
        <w:pStyle w:val="TOC1"/>
        <w:spacing w:line="240" w:lineRule="auto"/>
        <w:rPr>
          <w:noProof/>
          <w:sz w:val="23"/>
          <w:szCs w:val="23"/>
        </w:rPr>
      </w:pPr>
      <w:r w:rsidRPr="008C48CE">
        <w:rPr>
          <w:noProof/>
          <w:sz w:val="23"/>
          <w:szCs w:val="23"/>
        </w:rPr>
        <w:t>History of Ethnic and Economic Change in American Industrial Cities</w:t>
      </w:r>
      <w:r w:rsidRPr="008C48CE">
        <w:rPr>
          <w:noProof/>
          <w:sz w:val="23"/>
          <w:szCs w:val="23"/>
        </w:rPr>
        <w:tab/>
        <w:t>26</w:t>
      </w:r>
    </w:p>
    <w:p w14:paraId="4D087343" w14:textId="583AA40F" w:rsidR="00686291" w:rsidRPr="008C48CE" w:rsidRDefault="00686291" w:rsidP="00892F9B">
      <w:pPr>
        <w:pStyle w:val="TOC1"/>
        <w:spacing w:line="240" w:lineRule="auto"/>
        <w:rPr>
          <w:noProof/>
          <w:sz w:val="23"/>
          <w:szCs w:val="23"/>
        </w:rPr>
      </w:pPr>
      <w:r w:rsidRPr="008C48CE">
        <w:rPr>
          <w:noProof/>
          <w:sz w:val="23"/>
          <w:szCs w:val="23"/>
        </w:rPr>
        <w:t>What is a Legacy City?</w:t>
      </w:r>
      <w:r w:rsidRPr="008C48CE">
        <w:rPr>
          <w:noProof/>
          <w:sz w:val="23"/>
          <w:szCs w:val="23"/>
        </w:rPr>
        <w:tab/>
        <w:t>34</w:t>
      </w:r>
    </w:p>
    <w:p w14:paraId="5CB4C1AB" w14:textId="1D769E61" w:rsidR="00686291" w:rsidRPr="008C48CE" w:rsidRDefault="00686291" w:rsidP="00892F9B">
      <w:pPr>
        <w:pStyle w:val="TOC1"/>
        <w:spacing w:line="240" w:lineRule="auto"/>
        <w:rPr>
          <w:noProof/>
          <w:sz w:val="23"/>
          <w:szCs w:val="23"/>
        </w:rPr>
      </w:pPr>
      <w:r w:rsidRPr="008C48CE">
        <w:rPr>
          <w:noProof/>
          <w:sz w:val="23"/>
          <w:szCs w:val="23"/>
        </w:rPr>
        <w:t>Analysis of Gentrification and How it has Changed Over Time</w:t>
      </w:r>
      <w:r w:rsidRPr="008C48CE">
        <w:rPr>
          <w:noProof/>
          <w:sz w:val="23"/>
          <w:szCs w:val="23"/>
        </w:rPr>
        <w:tab/>
        <w:t>36</w:t>
      </w:r>
    </w:p>
    <w:p w14:paraId="6AA6C03C" w14:textId="1A29A533" w:rsidR="00686291" w:rsidRPr="008C48CE" w:rsidRDefault="00686291" w:rsidP="00892F9B">
      <w:pPr>
        <w:pStyle w:val="TOC1"/>
        <w:spacing w:line="240" w:lineRule="auto"/>
        <w:rPr>
          <w:noProof/>
          <w:sz w:val="23"/>
          <w:szCs w:val="23"/>
        </w:rPr>
      </w:pPr>
      <w:r w:rsidRPr="008C48CE">
        <w:rPr>
          <w:noProof/>
          <w:sz w:val="23"/>
          <w:szCs w:val="23"/>
        </w:rPr>
        <w:t>Conclusion</w:t>
      </w:r>
      <w:r w:rsidRPr="008C48CE">
        <w:rPr>
          <w:noProof/>
          <w:sz w:val="23"/>
          <w:szCs w:val="23"/>
        </w:rPr>
        <w:tab/>
        <w:t>47</w:t>
      </w:r>
    </w:p>
    <w:p w14:paraId="7AF65B19" w14:textId="77777777" w:rsidR="00892F9B" w:rsidRPr="008C48CE" w:rsidRDefault="00892F9B" w:rsidP="00686291">
      <w:pPr>
        <w:pStyle w:val="TOC1"/>
        <w:rPr>
          <w:noProof/>
          <w:sz w:val="23"/>
          <w:szCs w:val="23"/>
        </w:rPr>
      </w:pPr>
    </w:p>
    <w:p w14:paraId="5CD4EB38" w14:textId="31B3A762" w:rsidR="008C48CE" w:rsidRDefault="008C48CE" w:rsidP="008C48CE">
      <w:pPr>
        <w:pStyle w:val="TOC1"/>
        <w:jc w:val="center"/>
        <w:rPr>
          <w:noProof/>
          <w:sz w:val="23"/>
          <w:szCs w:val="23"/>
        </w:rPr>
      </w:pPr>
      <w:r>
        <w:rPr>
          <w:noProof/>
          <w:sz w:val="23"/>
          <w:szCs w:val="23"/>
        </w:rPr>
        <w:t>CHAPTER III</w:t>
      </w:r>
    </w:p>
    <w:p w14:paraId="26FCE4CC" w14:textId="59C714BE" w:rsidR="005C0F02" w:rsidRPr="008C48CE" w:rsidRDefault="008C48CE" w:rsidP="00686291">
      <w:pPr>
        <w:pStyle w:val="TOC1"/>
        <w:rPr>
          <w:noProof/>
          <w:sz w:val="23"/>
          <w:szCs w:val="23"/>
        </w:rPr>
      </w:pPr>
      <w:r>
        <w:rPr>
          <w:noProof/>
          <w:sz w:val="23"/>
          <w:szCs w:val="23"/>
        </w:rPr>
        <w:t>ANALYSIS OF BUFFALO, NY: HISTORY, PRESERVATION, AND NEIGHBORHOOD CHANGE</w:t>
      </w:r>
      <w:r w:rsidR="001C4322" w:rsidRPr="008C48CE">
        <w:rPr>
          <w:noProof/>
          <w:sz w:val="23"/>
          <w:szCs w:val="23"/>
        </w:rPr>
        <w:tab/>
        <w:t>49</w:t>
      </w:r>
    </w:p>
    <w:p w14:paraId="5811CF1B" w14:textId="3E4336EB" w:rsidR="00892F9B" w:rsidRPr="008C48CE" w:rsidRDefault="00892F9B" w:rsidP="00892F9B">
      <w:pPr>
        <w:pStyle w:val="TOC1"/>
        <w:spacing w:line="240" w:lineRule="auto"/>
        <w:rPr>
          <w:noProof/>
          <w:sz w:val="23"/>
          <w:szCs w:val="23"/>
        </w:rPr>
      </w:pPr>
      <w:r w:rsidRPr="008C48CE">
        <w:rPr>
          <w:noProof/>
          <w:sz w:val="23"/>
          <w:szCs w:val="23"/>
        </w:rPr>
        <w:t>Buffalo, New York</w:t>
      </w:r>
      <w:r w:rsidRPr="008C48CE">
        <w:rPr>
          <w:noProof/>
          <w:sz w:val="23"/>
          <w:szCs w:val="23"/>
        </w:rPr>
        <w:tab/>
        <w:t>49</w:t>
      </w:r>
    </w:p>
    <w:p w14:paraId="339EB5BB" w14:textId="6AAE9109" w:rsidR="00892F9B" w:rsidRPr="008C48CE" w:rsidRDefault="00892F9B" w:rsidP="00892F9B">
      <w:pPr>
        <w:pStyle w:val="TOC1"/>
        <w:spacing w:line="240" w:lineRule="auto"/>
        <w:rPr>
          <w:noProof/>
          <w:sz w:val="23"/>
          <w:szCs w:val="23"/>
        </w:rPr>
      </w:pPr>
      <w:r w:rsidRPr="008C48CE">
        <w:rPr>
          <w:noProof/>
          <w:sz w:val="23"/>
          <w:szCs w:val="23"/>
        </w:rPr>
        <w:t>Solutions at the State and Local Government Level</w:t>
      </w:r>
      <w:r w:rsidRPr="008C48CE">
        <w:rPr>
          <w:noProof/>
          <w:sz w:val="23"/>
          <w:szCs w:val="23"/>
        </w:rPr>
        <w:tab/>
        <w:t>54</w:t>
      </w:r>
    </w:p>
    <w:p w14:paraId="45FEF8C3" w14:textId="619A194B" w:rsidR="00892F9B" w:rsidRPr="008C48CE" w:rsidRDefault="00892F9B" w:rsidP="00892F9B">
      <w:pPr>
        <w:pStyle w:val="TOC1"/>
        <w:spacing w:line="240" w:lineRule="auto"/>
        <w:rPr>
          <w:noProof/>
          <w:sz w:val="23"/>
          <w:szCs w:val="23"/>
        </w:rPr>
      </w:pPr>
      <w:r w:rsidRPr="008C48CE">
        <w:rPr>
          <w:noProof/>
          <w:sz w:val="23"/>
          <w:szCs w:val="23"/>
        </w:rPr>
        <w:lastRenderedPageBreak/>
        <w:t>Preservation Ethic and Assets Within Buffalo</w:t>
      </w:r>
      <w:r w:rsidRPr="008C48CE">
        <w:rPr>
          <w:noProof/>
          <w:sz w:val="23"/>
          <w:szCs w:val="23"/>
        </w:rPr>
        <w:tab/>
        <w:t>59</w:t>
      </w:r>
    </w:p>
    <w:p w14:paraId="6FC944E2" w14:textId="17648EDC" w:rsidR="00892F9B" w:rsidRPr="008C48CE" w:rsidRDefault="00892F9B" w:rsidP="00892F9B">
      <w:pPr>
        <w:pStyle w:val="TOC1"/>
        <w:spacing w:line="240" w:lineRule="auto"/>
        <w:rPr>
          <w:noProof/>
          <w:sz w:val="23"/>
          <w:szCs w:val="23"/>
        </w:rPr>
      </w:pPr>
      <w:r w:rsidRPr="008C48CE">
        <w:rPr>
          <w:noProof/>
          <w:sz w:val="23"/>
          <w:szCs w:val="23"/>
        </w:rPr>
        <w:t>Non-preservation Preservation</w:t>
      </w:r>
      <w:r w:rsidRPr="008C48CE">
        <w:rPr>
          <w:noProof/>
          <w:sz w:val="23"/>
          <w:szCs w:val="23"/>
        </w:rPr>
        <w:tab/>
        <w:t>63</w:t>
      </w:r>
    </w:p>
    <w:p w14:paraId="07C95209" w14:textId="22C6394C" w:rsidR="00892F9B" w:rsidRPr="008C48CE" w:rsidRDefault="00892F9B" w:rsidP="00892F9B">
      <w:pPr>
        <w:pStyle w:val="TOC1"/>
        <w:spacing w:line="240" w:lineRule="auto"/>
        <w:rPr>
          <w:noProof/>
          <w:sz w:val="23"/>
          <w:szCs w:val="23"/>
        </w:rPr>
      </w:pPr>
      <w:r w:rsidRPr="008C48CE">
        <w:rPr>
          <w:noProof/>
          <w:sz w:val="23"/>
          <w:szCs w:val="23"/>
        </w:rPr>
        <w:t>Introduction of Sample Buffalo Neighborhoods Im</w:t>
      </w:r>
      <w:r w:rsidR="005F47DF">
        <w:rPr>
          <w:noProof/>
          <w:sz w:val="23"/>
          <w:szCs w:val="23"/>
        </w:rPr>
        <w:t>pacted by Recent Reinvestment</w:t>
      </w:r>
      <w:r w:rsidR="005F47DF">
        <w:rPr>
          <w:noProof/>
          <w:sz w:val="23"/>
          <w:szCs w:val="23"/>
        </w:rPr>
        <w:tab/>
        <w:t>67</w:t>
      </w:r>
    </w:p>
    <w:p w14:paraId="724B07AF" w14:textId="4372BF9B" w:rsidR="00892F9B" w:rsidRDefault="00892F9B" w:rsidP="00892F9B">
      <w:pPr>
        <w:pStyle w:val="TOC1"/>
        <w:spacing w:line="240" w:lineRule="auto"/>
        <w:rPr>
          <w:noProof/>
          <w:sz w:val="23"/>
          <w:szCs w:val="23"/>
        </w:rPr>
      </w:pPr>
      <w:r w:rsidRPr="008C48CE">
        <w:rPr>
          <w:noProof/>
          <w:sz w:val="23"/>
          <w:szCs w:val="23"/>
        </w:rPr>
        <w:t>Conclusion</w:t>
      </w:r>
      <w:r w:rsidRPr="008C48CE">
        <w:rPr>
          <w:noProof/>
          <w:sz w:val="23"/>
          <w:szCs w:val="23"/>
        </w:rPr>
        <w:tab/>
        <w:t>75</w:t>
      </w:r>
    </w:p>
    <w:p w14:paraId="44B4C87F" w14:textId="77777777" w:rsidR="004C4736" w:rsidRPr="004C4736" w:rsidRDefault="004C4736" w:rsidP="004C4736">
      <w:bookmarkStart w:id="0" w:name="_GoBack"/>
      <w:bookmarkEnd w:id="0"/>
    </w:p>
    <w:p w14:paraId="4573A2C7" w14:textId="756B3629" w:rsidR="008C48CE" w:rsidRDefault="008C48CE" w:rsidP="008C48CE">
      <w:pPr>
        <w:pStyle w:val="TOC1"/>
        <w:jc w:val="center"/>
        <w:rPr>
          <w:noProof/>
          <w:sz w:val="23"/>
          <w:szCs w:val="23"/>
        </w:rPr>
      </w:pPr>
      <w:r>
        <w:rPr>
          <w:noProof/>
          <w:sz w:val="23"/>
          <w:szCs w:val="23"/>
        </w:rPr>
        <w:t>CHAPTER 1V</w:t>
      </w:r>
    </w:p>
    <w:p w14:paraId="7DC99B86" w14:textId="37F6A18D" w:rsidR="00742231" w:rsidRPr="008C48CE" w:rsidRDefault="008C48CE" w:rsidP="00686291">
      <w:pPr>
        <w:pStyle w:val="TOC1"/>
        <w:rPr>
          <w:noProof/>
          <w:sz w:val="23"/>
          <w:szCs w:val="23"/>
        </w:rPr>
      </w:pPr>
      <w:r>
        <w:rPr>
          <w:noProof/>
          <w:sz w:val="23"/>
          <w:szCs w:val="23"/>
        </w:rPr>
        <w:t>THEORETICAL FRAMEWORK FOR BUILDING A CULTURALLY SUSTAINABLE PRESERVATION MODEL</w:t>
      </w:r>
      <w:r w:rsidR="001C4322" w:rsidRPr="008C48CE">
        <w:rPr>
          <w:noProof/>
          <w:sz w:val="23"/>
          <w:szCs w:val="23"/>
        </w:rPr>
        <w:tab/>
        <w:t>77</w:t>
      </w:r>
      <w:r w:rsidR="00742231" w:rsidRPr="008C48CE">
        <w:rPr>
          <w:noProof/>
          <w:sz w:val="23"/>
          <w:szCs w:val="23"/>
        </w:rPr>
        <w:tab/>
      </w:r>
    </w:p>
    <w:p w14:paraId="242D810A" w14:textId="00BC2D69" w:rsidR="00892F9B" w:rsidRPr="008C48CE" w:rsidRDefault="00892F9B" w:rsidP="00892F9B">
      <w:pPr>
        <w:pStyle w:val="TOC1"/>
        <w:spacing w:line="240" w:lineRule="auto"/>
        <w:rPr>
          <w:noProof/>
          <w:sz w:val="23"/>
          <w:szCs w:val="23"/>
        </w:rPr>
      </w:pPr>
      <w:r w:rsidRPr="008C48CE">
        <w:rPr>
          <w:noProof/>
          <w:sz w:val="23"/>
          <w:szCs w:val="23"/>
        </w:rPr>
        <w:t>Where Do We Come From? A Brief History of Preservation in the United States</w:t>
      </w:r>
      <w:r w:rsidRPr="008C48CE">
        <w:rPr>
          <w:noProof/>
          <w:sz w:val="23"/>
          <w:szCs w:val="23"/>
        </w:rPr>
        <w:tab/>
        <w:t>77</w:t>
      </w:r>
    </w:p>
    <w:p w14:paraId="4E26C147" w14:textId="3FD19A1C" w:rsidR="00892F9B" w:rsidRPr="008C48CE" w:rsidRDefault="00892F9B" w:rsidP="00892F9B">
      <w:pPr>
        <w:pStyle w:val="TOC1"/>
        <w:spacing w:line="240" w:lineRule="auto"/>
        <w:rPr>
          <w:noProof/>
          <w:sz w:val="23"/>
          <w:szCs w:val="23"/>
        </w:rPr>
      </w:pPr>
      <w:r w:rsidRPr="008C48CE">
        <w:rPr>
          <w:noProof/>
          <w:sz w:val="23"/>
          <w:szCs w:val="23"/>
        </w:rPr>
        <w:t>Cultural Adaptations in Preservation Theory and Practice</w:t>
      </w:r>
      <w:r w:rsidRPr="008C48CE">
        <w:rPr>
          <w:noProof/>
          <w:sz w:val="23"/>
          <w:szCs w:val="23"/>
        </w:rPr>
        <w:tab/>
        <w:t>81</w:t>
      </w:r>
    </w:p>
    <w:p w14:paraId="6711F6E4" w14:textId="3739770C" w:rsidR="00892F9B" w:rsidRPr="008C48CE" w:rsidRDefault="00892F9B" w:rsidP="00892F9B">
      <w:pPr>
        <w:pStyle w:val="TOC1"/>
        <w:spacing w:line="240" w:lineRule="auto"/>
        <w:rPr>
          <w:noProof/>
          <w:sz w:val="23"/>
          <w:szCs w:val="23"/>
        </w:rPr>
      </w:pPr>
      <w:r w:rsidRPr="008C48CE">
        <w:rPr>
          <w:noProof/>
          <w:sz w:val="23"/>
          <w:szCs w:val="23"/>
        </w:rPr>
        <w:t>Where Can We Go? Shifting Programming to Reflect a Culturally Sustainable Preservation Model</w:t>
      </w:r>
      <w:r w:rsidRPr="008C48CE">
        <w:rPr>
          <w:noProof/>
          <w:sz w:val="23"/>
          <w:szCs w:val="23"/>
        </w:rPr>
        <w:tab/>
        <w:t>90</w:t>
      </w:r>
    </w:p>
    <w:p w14:paraId="3298E89E" w14:textId="2F20C666" w:rsidR="00892F9B" w:rsidRPr="008C48CE" w:rsidRDefault="00892F9B" w:rsidP="00892F9B">
      <w:pPr>
        <w:pStyle w:val="TOC1"/>
        <w:spacing w:line="240" w:lineRule="auto"/>
        <w:rPr>
          <w:noProof/>
          <w:sz w:val="23"/>
          <w:szCs w:val="23"/>
        </w:rPr>
      </w:pPr>
      <w:r w:rsidRPr="008C48CE">
        <w:rPr>
          <w:noProof/>
          <w:sz w:val="23"/>
          <w:szCs w:val="23"/>
        </w:rPr>
        <w:t>Conclusion</w:t>
      </w:r>
      <w:r w:rsidRPr="008C48CE">
        <w:rPr>
          <w:noProof/>
          <w:sz w:val="23"/>
          <w:szCs w:val="23"/>
        </w:rPr>
        <w:tab/>
        <w:t>101</w:t>
      </w:r>
    </w:p>
    <w:p w14:paraId="1767F818" w14:textId="77777777" w:rsidR="00892F9B" w:rsidRPr="008C48CE" w:rsidRDefault="00892F9B" w:rsidP="00686291">
      <w:pPr>
        <w:pStyle w:val="TOC1"/>
        <w:rPr>
          <w:noProof/>
          <w:sz w:val="23"/>
          <w:szCs w:val="23"/>
        </w:rPr>
      </w:pPr>
    </w:p>
    <w:p w14:paraId="22B7D4BE" w14:textId="7A2032B8" w:rsidR="00472023" w:rsidRDefault="00472023" w:rsidP="00472023">
      <w:pPr>
        <w:pStyle w:val="TOC1"/>
        <w:jc w:val="center"/>
        <w:rPr>
          <w:noProof/>
          <w:sz w:val="23"/>
          <w:szCs w:val="23"/>
        </w:rPr>
      </w:pPr>
      <w:r>
        <w:rPr>
          <w:noProof/>
          <w:sz w:val="23"/>
          <w:szCs w:val="23"/>
        </w:rPr>
        <w:t>CHAPTER V</w:t>
      </w:r>
    </w:p>
    <w:p w14:paraId="69B051C4" w14:textId="4BD726C3" w:rsidR="008C48CE" w:rsidRPr="008C48CE" w:rsidRDefault="00472023" w:rsidP="008C48CE">
      <w:pPr>
        <w:pStyle w:val="TOC1"/>
        <w:rPr>
          <w:noProof/>
          <w:sz w:val="23"/>
          <w:szCs w:val="23"/>
        </w:rPr>
      </w:pPr>
      <w:r>
        <w:rPr>
          <w:noProof/>
          <w:sz w:val="23"/>
          <w:szCs w:val="23"/>
        </w:rPr>
        <w:t>CONCLUSIONS AND RECOMMENDATIONS</w:t>
      </w:r>
      <w:r w:rsidR="008C48CE" w:rsidRPr="008C48CE">
        <w:rPr>
          <w:noProof/>
          <w:sz w:val="23"/>
          <w:szCs w:val="23"/>
        </w:rPr>
        <w:tab/>
        <w:t>102</w:t>
      </w:r>
    </w:p>
    <w:p w14:paraId="45DFDA55" w14:textId="432A41BB" w:rsidR="008C48CE" w:rsidRPr="008C48CE" w:rsidRDefault="008C48CE" w:rsidP="008C48CE">
      <w:pPr>
        <w:pStyle w:val="TOC1"/>
        <w:spacing w:line="240" w:lineRule="auto"/>
        <w:rPr>
          <w:noProof/>
          <w:sz w:val="23"/>
          <w:szCs w:val="23"/>
        </w:rPr>
      </w:pPr>
      <w:r w:rsidRPr="008C48CE">
        <w:rPr>
          <w:noProof/>
          <w:sz w:val="23"/>
          <w:szCs w:val="23"/>
        </w:rPr>
        <w:t>Creation and Implementation of a Culturally Sustainable Preservation Model</w:t>
      </w:r>
      <w:r w:rsidRPr="008C48CE">
        <w:rPr>
          <w:noProof/>
          <w:sz w:val="23"/>
          <w:szCs w:val="23"/>
        </w:rPr>
        <w:tab/>
        <w:t>106</w:t>
      </w:r>
    </w:p>
    <w:p w14:paraId="4BBB7958" w14:textId="4D4B8430" w:rsidR="008C48CE" w:rsidRPr="008C48CE" w:rsidRDefault="008C48CE" w:rsidP="008C48CE">
      <w:pPr>
        <w:pStyle w:val="TOC1"/>
        <w:spacing w:line="240" w:lineRule="auto"/>
        <w:rPr>
          <w:noProof/>
          <w:sz w:val="23"/>
          <w:szCs w:val="23"/>
        </w:rPr>
      </w:pPr>
      <w:r w:rsidRPr="008C48CE">
        <w:rPr>
          <w:noProof/>
          <w:sz w:val="23"/>
          <w:szCs w:val="23"/>
        </w:rPr>
        <w:t>Recommendations for the Future</w:t>
      </w:r>
      <w:r w:rsidRPr="008C48CE">
        <w:rPr>
          <w:noProof/>
          <w:sz w:val="23"/>
          <w:szCs w:val="23"/>
        </w:rPr>
        <w:tab/>
        <w:t>110</w:t>
      </w:r>
    </w:p>
    <w:p w14:paraId="7D7BC4F4" w14:textId="6EFF256C" w:rsidR="00892F9B" w:rsidRPr="008C48CE" w:rsidRDefault="008C48CE" w:rsidP="008C48CE">
      <w:pPr>
        <w:pStyle w:val="TOC1"/>
        <w:spacing w:line="240" w:lineRule="auto"/>
        <w:rPr>
          <w:noProof/>
          <w:sz w:val="23"/>
          <w:szCs w:val="23"/>
        </w:rPr>
      </w:pPr>
      <w:r w:rsidRPr="008C48CE">
        <w:rPr>
          <w:noProof/>
          <w:sz w:val="23"/>
          <w:szCs w:val="23"/>
        </w:rPr>
        <w:t>Conclusion</w:t>
      </w:r>
      <w:r w:rsidRPr="008C48CE">
        <w:rPr>
          <w:noProof/>
          <w:sz w:val="23"/>
          <w:szCs w:val="23"/>
        </w:rPr>
        <w:tab/>
        <w:t>111</w:t>
      </w:r>
    </w:p>
    <w:p w14:paraId="70B02802" w14:textId="77777777" w:rsidR="008C48CE" w:rsidRPr="008C48CE" w:rsidRDefault="008C48CE" w:rsidP="008C48CE">
      <w:pPr>
        <w:rPr>
          <w:sz w:val="23"/>
          <w:szCs w:val="23"/>
        </w:rPr>
      </w:pPr>
    </w:p>
    <w:p w14:paraId="7B67BFE3" w14:textId="123D9277" w:rsidR="00A8092E" w:rsidRDefault="00742231" w:rsidP="004A1182">
      <w:pPr>
        <w:spacing w:line="480" w:lineRule="auto"/>
        <w:rPr>
          <w:rFonts w:ascii="Times New Roman" w:eastAsiaTheme="majorEastAsia" w:hAnsi="Times New Roman" w:cs="Times New Roman"/>
          <w:color w:val="000000" w:themeColor="text1"/>
          <w:sz w:val="23"/>
          <w:szCs w:val="23"/>
        </w:rPr>
      </w:pPr>
      <w:r w:rsidRPr="008C48CE">
        <w:rPr>
          <w:rFonts w:ascii="Times New Roman" w:eastAsiaTheme="majorEastAsia" w:hAnsi="Times New Roman" w:cs="Times New Roman"/>
          <w:color w:val="000000" w:themeColor="text1"/>
          <w:sz w:val="23"/>
          <w:szCs w:val="23"/>
        </w:rPr>
        <w:fldChar w:fldCharType="end"/>
      </w:r>
    </w:p>
    <w:p w14:paraId="5F288FA2" w14:textId="77777777" w:rsidR="00A8092E" w:rsidRDefault="00A8092E">
      <w:pPr>
        <w:rPr>
          <w:rFonts w:ascii="Times New Roman" w:eastAsiaTheme="majorEastAsia" w:hAnsi="Times New Roman" w:cs="Times New Roman"/>
          <w:color w:val="000000" w:themeColor="text1"/>
          <w:sz w:val="23"/>
          <w:szCs w:val="23"/>
        </w:rPr>
      </w:pPr>
      <w:r>
        <w:rPr>
          <w:rFonts w:ascii="Times New Roman" w:eastAsiaTheme="majorEastAsia" w:hAnsi="Times New Roman" w:cs="Times New Roman"/>
          <w:color w:val="000000" w:themeColor="text1"/>
          <w:sz w:val="23"/>
          <w:szCs w:val="23"/>
        </w:rPr>
        <w:br w:type="page"/>
      </w:r>
    </w:p>
    <w:p w14:paraId="48E4F2A5" w14:textId="55C36878" w:rsidR="00FF50A7" w:rsidRPr="006E3559" w:rsidRDefault="00A8092E" w:rsidP="00CC4D74">
      <w:pPr>
        <w:spacing w:line="480" w:lineRule="auto"/>
        <w:jc w:val="center"/>
        <w:rPr>
          <w:rFonts w:ascii="Times New Roman" w:eastAsiaTheme="majorEastAsia" w:hAnsi="Times New Roman" w:cs="Times New Roman"/>
          <w:color w:val="000000" w:themeColor="text1"/>
          <w:sz w:val="28"/>
          <w:szCs w:val="28"/>
        </w:rPr>
      </w:pPr>
      <w:r w:rsidRPr="006E3559">
        <w:rPr>
          <w:rFonts w:ascii="Times New Roman" w:eastAsiaTheme="majorEastAsia" w:hAnsi="Times New Roman" w:cs="Times New Roman"/>
          <w:color w:val="000000" w:themeColor="text1"/>
          <w:sz w:val="28"/>
          <w:szCs w:val="28"/>
        </w:rPr>
        <w:lastRenderedPageBreak/>
        <w:t>LIST OF FIGURES</w:t>
      </w:r>
    </w:p>
    <w:p w14:paraId="304FC00D" w14:textId="0FF04846" w:rsidR="006E3559" w:rsidRPr="00CC4D74" w:rsidRDefault="006E3559">
      <w:pPr>
        <w:pStyle w:val="TOC1"/>
        <w:rPr>
          <w:rFonts w:asciiTheme="minorHAnsi" w:eastAsiaTheme="minorEastAsia" w:hAnsiTheme="minorHAnsi" w:cstheme="minorBidi"/>
          <w:bCs w:val="0"/>
          <w:noProof/>
          <w:sz w:val="23"/>
          <w:szCs w:val="23"/>
        </w:rPr>
      </w:pPr>
      <w:r w:rsidRPr="00CC4D74">
        <w:rPr>
          <w:sz w:val="23"/>
          <w:szCs w:val="23"/>
        </w:rPr>
        <w:fldChar w:fldCharType="begin"/>
      </w:r>
      <w:r w:rsidRPr="00CC4D74">
        <w:rPr>
          <w:sz w:val="23"/>
          <w:szCs w:val="23"/>
        </w:rPr>
        <w:instrText xml:space="preserve"> TOC \o "1-1" </w:instrText>
      </w:r>
      <w:r w:rsidRPr="00CC4D74">
        <w:rPr>
          <w:sz w:val="23"/>
          <w:szCs w:val="23"/>
        </w:rPr>
        <w:fldChar w:fldCharType="separate"/>
      </w:r>
      <w:r w:rsidRPr="00CC4D74">
        <w:rPr>
          <w:noProof/>
          <w:color w:val="000000" w:themeColor="text1"/>
          <w:sz w:val="23"/>
          <w:szCs w:val="23"/>
        </w:rPr>
        <w:t>Figure 1: Google Maps image of City of Buffalo showing its position in New York State</w:t>
      </w:r>
      <w:r w:rsidRPr="00CC4D74">
        <w:rPr>
          <w:noProof/>
          <w:sz w:val="23"/>
          <w:szCs w:val="23"/>
        </w:rPr>
        <w:tab/>
        <w:t>50</w:t>
      </w:r>
    </w:p>
    <w:p w14:paraId="7E8778C7" w14:textId="2037AFF0" w:rsidR="006E3559" w:rsidRPr="00CC4D74" w:rsidRDefault="006E3559">
      <w:pPr>
        <w:pStyle w:val="TOC1"/>
        <w:rPr>
          <w:rFonts w:asciiTheme="minorHAnsi" w:eastAsiaTheme="minorEastAsia" w:hAnsiTheme="minorHAnsi" w:cstheme="minorBidi"/>
          <w:bCs w:val="0"/>
          <w:noProof/>
          <w:sz w:val="23"/>
          <w:szCs w:val="23"/>
        </w:rPr>
      </w:pPr>
      <w:r w:rsidRPr="00CC4D74">
        <w:rPr>
          <w:noProof/>
          <w:color w:val="000000" w:themeColor="text1"/>
          <w:sz w:val="23"/>
          <w:szCs w:val="23"/>
        </w:rPr>
        <w:t>Figure 2: Google Maps image of the City of Buffalo showing its boundary lines</w:t>
      </w:r>
      <w:r w:rsidRPr="00CC4D74">
        <w:rPr>
          <w:noProof/>
          <w:color w:val="000000" w:themeColor="text1"/>
          <w:sz w:val="23"/>
          <w:szCs w:val="23"/>
        </w:rPr>
        <w:tab/>
      </w:r>
      <w:r w:rsidRPr="00CC4D74">
        <w:rPr>
          <w:noProof/>
          <w:sz w:val="23"/>
          <w:szCs w:val="23"/>
        </w:rPr>
        <w:t>50</w:t>
      </w:r>
    </w:p>
    <w:p w14:paraId="2E316421" w14:textId="684D8B33" w:rsidR="006E3559" w:rsidRPr="00CC4D74" w:rsidRDefault="006E3559">
      <w:pPr>
        <w:pStyle w:val="TOC1"/>
        <w:rPr>
          <w:rFonts w:asciiTheme="minorHAnsi" w:eastAsiaTheme="minorEastAsia" w:hAnsiTheme="minorHAnsi" w:cstheme="minorBidi"/>
          <w:bCs w:val="0"/>
          <w:noProof/>
          <w:sz w:val="23"/>
          <w:szCs w:val="23"/>
        </w:rPr>
      </w:pPr>
      <w:r w:rsidRPr="00CC4D74">
        <w:rPr>
          <w:noProof/>
          <w:sz w:val="23"/>
          <w:szCs w:val="23"/>
        </w:rPr>
        <w:t>Figure 3: Map of Buffalo neighborhoods from "Green Code: Land Use Plan, City of Buffalo"</w:t>
      </w:r>
      <w:r w:rsidRPr="00CC4D74">
        <w:rPr>
          <w:noProof/>
          <w:sz w:val="23"/>
          <w:szCs w:val="23"/>
        </w:rPr>
        <w:tab/>
      </w:r>
      <w:r w:rsidR="00CC4D74" w:rsidRPr="00CC4D74">
        <w:rPr>
          <w:noProof/>
          <w:sz w:val="23"/>
          <w:szCs w:val="23"/>
        </w:rPr>
        <w:t>68</w:t>
      </w:r>
    </w:p>
    <w:p w14:paraId="7FC65840" w14:textId="34EEF838" w:rsidR="00CC4D74" w:rsidRPr="00CC4D74" w:rsidRDefault="00CC4D74">
      <w:pPr>
        <w:pStyle w:val="TOC1"/>
        <w:rPr>
          <w:noProof/>
          <w:sz w:val="23"/>
          <w:szCs w:val="23"/>
        </w:rPr>
      </w:pPr>
      <w:r w:rsidRPr="00CC4D74">
        <w:rPr>
          <w:noProof/>
          <w:sz w:val="23"/>
          <w:szCs w:val="23"/>
        </w:rPr>
        <w:t>Figure 4: Approximate outline of the Elmwood Historic District boundary</w:t>
      </w:r>
      <w:r w:rsidRPr="00CC4D74">
        <w:rPr>
          <w:noProof/>
          <w:sz w:val="23"/>
          <w:szCs w:val="23"/>
        </w:rPr>
        <w:tab/>
        <w:t>69</w:t>
      </w:r>
    </w:p>
    <w:p w14:paraId="37DB06F4" w14:textId="19D7170D" w:rsidR="006E3559" w:rsidRPr="00CC4D74" w:rsidRDefault="00CC4D74">
      <w:pPr>
        <w:pStyle w:val="TOC1"/>
        <w:rPr>
          <w:rFonts w:asciiTheme="minorHAnsi" w:eastAsiaTheme="minorEastAsia" w:hAnsiTheme="minorHAnsi" w:cstheme="minorBidi"/>
          <w:bCs w:val="0"/>
          <w:noProof/>
          <w:sz w:val="23"/>
          <w:szCs w:val="23"/>
        </w:rPr>
      </w:pPr>
      <w:r w:rsidRPr="00CC4D74">
        <w:rPr>
          <w:noProof/>
          <w:sz w:val="23"/>
          <w:szCs w:val="23"/>
        </w:rPr>
        <w:t>Figure 5: Approximate outline of Fruit Belt neighborhood boundary</w:t>
      </w:r>
      <w:r w:rsidR="006E3559" w:rsidRPr="00CC4D74">
        <w:rPr>
          <w:noProof/>
          <w:sz w:val="23"/>
          <w:szCs w:val="23"/>
        </w:rPr>
        <w:tab/>
      </w:r>
      <w:r w:rsidRPr="00CC4D74">
        <w:rPr>
          <w:noProof/>
          <w:sz w:val="23"/>
          <w:szCs w:val="23"/>
        </w:rPr>
        <w:t>72</w:t>
      </w:r>
    </w:p>
    <w:p w14:paraId="3C9FA5D7" w14:textId="77777777" w:rsidR="002249EC" w:rsidRDefault="006E3559" w:rsidP="002249EC">
      <w:pPr>
        <w:pStyle w:val="TOC1"/>
      </w:pPr>
      <w:r w:rsidRPr="00CC4D74">
        <w:rPr>
          <w:sz w:val="23"/>
          <w:szCs w:val="23"/>
        </w:rPr>
        <w:fldChar w:fldCharType="end"/>
      </w:r>
    </w:p>
    <w:p w14:paraId="0AA57DAC" w14:textId="77777777" w:rsidR="00892F9B" w:rsidRDefault="00892F9B" w:rsidP="004A1182">
      <w:pPr>
        <w:spacing w:line="480" w:lineRule="auto"/>
        <w:rPr>
          <w:rFonts w:ascii="Times New Roman" w:eastAsiaTheme="majorEastAsia" w:hAnsi="Times New Roman" w:cs="Times New Roman"/>
          <w:color w:val="000000" w:themeColor="text1"/>
          <w:sz w:val="23"/>
          <w:szCs w:val="23"/>
        </w:rPr>
      </w:pPr>
    </w:p>
    <w:p w14:paraId="09D2F7DE" w14:textId="77777777" w:rsidR="00892F9B" w:rsidRPr="004A1182" w:rsidRDefault="00892F9B" w:rsidP="004A1182">
      <w:pPr>
        <w:spacing w:line="480" w:lineRule="auto"/>
        <w:rPr>
          <w:rFonts w:ascii="Times New Roman" w:eastAsiaTheme="majorEastAsia" w:hAnsi="Times New Roman" w:cs="Times New Roman"/>
          <w:color w:val="000000" w:themeColor="text1"/>
          <w:sz w:val="23"/>
          <w:szCs w:val="23"/>
        </w:rPr>
        <w:sectPr w:rsidR="00892F9B" w:rsidRPr="004A1182" w:rsidSect="005E1B55">
          <w:headerReference w:type="default" r:id="rId15"/>
          <w:footerReference w:type="default" r:id="rId16"/>
          <w:pgSz w:w="12240" w:h="15840"/>
          <w:pgMar w:top="1440" w:right="1440" w:bottom="1440" w:left="1440" w:header="720" w:footer="720" w:gutter="0"/>
          <w:pgNumType w:fmt="lowerRoman" w:start="1"/>
          <w:cols w:space="720"/>
          <w:docGrid w:linePitch="360"/>
        </w:sectPr>
      </w:pPr>
    </w:p>
    <w:p w14:paraId="25A18902" w14:textId="77777777" w:rsidR="001C3841" w:rsidRDefault="001C3841" w:rsidP="001C4322">
      <w:pPr>
        <w:spacing w:line="480" w:lineRule="auto"/>
        <w:rPr>
          <w:rFonts w:ascii="Times New Roman" w:eastAsiaTheme="majorEastAsia" w:hAnsi="Times New Roman" w:cs="Times New Roman"/>
          <w:color w:val="000000" w:themeColor="text1"/>
          <w:sz w:val="28"/>
          <w:szCs w:val="28"/>
        </w:rPr>
      </w:pPr>
    </w:p>
    <w:p w14:paraId="4E6077FA" w14:textId="2D9FA975" w:rsidR="001C3841" w:rsidRDefault="001C3841" w:rsidP="001C3841">
      <w:pPr>
        <w:pStyle w:val="Heading1"/>
        <w:jc w:val="center"/>
        <w:rPr>
          <w:rFonts w:ascii="Times New Roman" w:hAnsi="Times New Roman" w:cs="Times New Roman"/>
          <w:color w:val="000000" w:themeColor="text1"/>
          <w:sz w:val="28"/>
          <w:szCs w:val="28"/>
        </w:rPr>
      </w:pPr>
      <w:bookmarkStart w:id="1" w:name="_Toc8036821"/>
      <w:bookmarkStart w:id="2" w:name="_Toc8424206"/>
      <w:r>
        <w:rPr>
          <w:rFonts w:ascii="Times New Roman" w:hAnsi="Times New Roman" w:cs="Times New Roman"/>
          <w:color w:val="000000" w:themeColor="text1"/>
          <w:sz w:val="28"/>
          <w:szCs w:val="28"/>
        </w:rPr>
        <w:t>Chapter I</w:t>
      </w:r>
      <w:bookmarkEnd w:id="1"/>
      <w:bookmarkEnd w:id="2"/>
    </w:p>
    <w:p w14:paraId="6E8F5FA6" w14:textId="65E79147" w:rsidR="00C8103C" w:rsidRDefault="00703F46" w:rsidP="00C8103C">
      <w:pPr>
        <w:pStyle w:val="Heading1"/>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bookmarkStart w:id="3" w:name="_Toc8036822"/>
      <w:bookmarkStart w:id="4" w:name="_Toc8424207"/>
      <w:r>
        <w:rPr>
          <w:rFonts w:ascii="Times New Roman" w:hAnsi="Times New Roman" w:cs="Times New Roman"/>
          <w:color w:val="000000" w:themeColor="text1"/>
          <w:sz w:val="28"/>
          <w:szCs w:val="28"/>
        </w:rPr>
        <w:t>Laying the Groundwork</w:t>
      </w:r>
      <w:bookmarkEnd w:id="3"/>
      <w:bookmarkEnd w:id="4"/>
    </w:p>
    <w:p w14:paraId="2BD57FC5" w14:textId="77777777" w:rsidR="00703F46" w:rsidRPr="00703F46" w:rsidRDefault="00703F46" w:rsidP="00703F46"/>
    <w:p w14:paraId="0D5543BE" w14:textId="596EE3A2" w:rsidR="00C8103C" w:rsidRPr="003022F7" w:rsidRDefault="00703F46" w:rsidP="00703F46">
      <w:pPr>
        <w:jc w:val="center"/>
        <w:rPr>
          <w:rFonts w:ascii="Times New Roman" w:hAnsi="Times New Roman" w:cs="Times New Roman"/>
          <w:u w:val="single"/>
        </w:rPr>
      </w:pPr>
      <w:r w:rsidRPr="003022F7">
        <w:rPr>
          <w:rFonts w:ascii="Times New Roman" w:hAnsi="Times New Roman" w:cs="Times New Roman"/>
          <w:u w:val="single"/>
        </w:rPr>
        <w:t>Introduction</w:t>
      </w:r>
    </w:p>
    <w:p w14:paraId="1B147ACF" w14:textId="77777777" w:rsidR="00C8103C" w:rsidRPr="0099236D" w:rsidRDefault="00C8103C" w:rsidP="00C8103C"/>
    <w:p w14:paraId="7BB8262C" w14:textId="0C4E0FEA" w:rsidR="00C8103C" w:rsidRPr="00DE512E" w:rsidRDefault="00C8103C" w:rsidP="00D81B61">
      <w:pPr>
        <w:spacing w:line="480" w:lineRule="auto"/>
        <w:rPr>
          <w:rFonts w:ascii="Times New Roman" w:eastAsia="Times New Roman" w:hAnsi="Times New Roman" w:cs="Times New Roman"/>
        </w:rPr>
      </w:pPr>
      <w:r w:rsidRPr="0013480C">
        <w:rPr>
          <w:rFonts w:ascii="Arial" w:hAnsi="Arial" w:cs="Arial"/>
          <w:color w:val="000000"/>
          <w:sz w:val="22"/>
          <w:szCs w:val="22"/>
        </w:rPr>
        <w:tab/>
      </w:r>
      <w:r w:rsidRPr="0013480C">
        <w:rPr>
          <w:rFonts w:ascii="Times New Roman" w:hAnsi="Times New Roman" w:cs="Times New Roman"/>
          <w:color w:val="000000"/>
        </w:rPr>
        <w:t>Focusing on preserving significant architecture and landscapes by identifying character-defining features and</w:t>
      </w:r>
      <w:r>
        <w:rPr>
          <w:rFonts w:ascii="Times New Roman" w:hAnsi="Times New Roman" w:cs="Times New Roman"/>
          <w:color w:val="000000"/>
        </w:rPr>
        <w:t xml:space="preserve"> the</w:t>
      </w:r>
      <w:r w:rsidRPr="0013480C">
        <w:rPr>
          <w:rFonts w:ascii="Times New Roman" w:hAnsi="Times New Roman" w:cs="Times New Roman"/>
          <w:color w:val="000000"/>
        </w:rPr>
        <w:t xml:space="preserve"> historic</w:t>
      </w:r>
      <w:r>
        <w:rPr>
          <w:rFonts w:ascii="Times New Roman" w:hAnsi="Times New Roman" w:cs="Times New Roman"/>
          <w:color w:val="000000"/>
        </w:rPr>
        <w:t xml:space="preserve"> context of</w:t>
      </w:r>
      <w:r w:rsidRPr="0013480C">
        <w:rPr>
          <w:rFonts w:ascii="Times New Roman" w:hAnsi="Times New Roman" w:cs="Times New Roman"/>
          <w:color w:val="000000"/>
        </w:rPr>
        <w:t xml:space="preserve"> significance has long been</w:t>
      </w:r>
      <w:r>
        <w:rPr>
          <w:rFonts w:ascii="Times New Roman" w:hAnsi="Times New Roman" w:cs="Times New Roman"/>
          <w:color w:val="000000"/>
        </w:rPr>
        <w:t xml:space="preserve"> in</w:t>
      </w:r>
      <w:r w:rsidRPr="0013480C">
        <w:rPr>
          <w:rFonts w:ascii="Times New Roman" w:hAnsi="Times New Roman" w:cs="Times New Roman"/>
          <w:color w:val="000000"/>
        </w:rPr>
        <w:t xml:space="preserve"> the purview of the historic preservation professional. Professionalized by the National Historic Preservation Act of 1966, historic preservation in America </w:t>
      </w:r>
      <w:r w:rsidR="004D3279">
        <w:rPr>
          <w:rFonts w:ascii="Times New Roman" w:hAnsi="Times New Roman" w:cs="Times New Roman"/>
          <w:color w:val="000000"/>
        </w:rPr>
        <w:t>is</w:t>
      </w:r>
      <w:r w:rsidRPr="0013480C">
        <w:rPr>
          <w:rFonts w:ascii="Times New Roman" w:hAnsi="Times New Roman" w:cs="Times New Roman"/>
          <w:color w:val="000000"/>
        </w:rPr>
        <w:t xml:space="preserve"> a vehicle to designate buildings and districts as either National Historic Landmarks or </w:t>
      </w:r>
      <w:r w:rsidR="004D3279">
        <w:rPr>
          <w:rFonts w:ascii="Times New Roman" w:hAnsi="Times New Roman" w:cs="Times New Roman"/>
          <w:color w:val="000000"/>
        </w:rPr>
        <w:t>o</w:t>
      </w:r>
      <w:r w:rsidR="00235A83">
        <w:rPr>
          <w:rFonts w:ascii="Times New Roman" w:hAnsi="Times New Roman" w:cs="Times New Roman"/>
          <w:color w:val="000000"/>
        </w:rPr>
        <w:t>n</w:t>
      </w:r>
      <w:r w:rsidRPr="0013480C">
        <w:rPr>
          <w:rFonts w:ascii="Times New Roman" w:hAnsi="Times New Roman" w:cs="Times New Roman"/>
          <w:color w:val="000000"/>
        </w:rPr>
        <w:t xml:space="preserve"> the National Register of Historic Places. These designation programs offer</w:t>
      </w:r>
      <w:r>
        <w:rPr>
          <w:rFonts w:ascii="Times New Roman" w:hAnsi="Times New Roman" w:cs="Times New Roman"/>
          <w:color w:val="000000"/>
        </w:rPr>
        <w:t xml:space="preserve"> recipient properties</w:t>
      </w:r>
      <w:r w:rsidRPr="0013480C">
        <w:rPr>
          <w:rFonts w:ascii="Times New Roman" w:hAnsi="Times New Roman" w:cs="Times New Roman"/>
          <w:color w:val="000000"/>
        </w:rPr>
        <w:t xml:space="preserve"> honorary recognition, limited protections from </w:t>
      </w:r>
      <w:r>
        <w:rPr>
          <w:rFonts w:ascii="Times New Roman" w:hAnsi="Times New Roman" w:cs="Times New Roman"/>
          <w:color w:val="000000"/>
        </w:rPr>
        <w:t>the negative impacts of</w:t>
      </w:r>
      <w:r w:rsidRPr="0013480C">
        <w:rPr>
          <w:rFonts w:ascii="Times New Roman" w:hAnsi="Times New Roman" w:cs="Times New Roman"/>
          <w:color w:val="000000"/>
        </w:rPr>
        <w:t xml:space="preserve"> Federal government projects, and tax incentives for property owners to maintain the historic character of</w:t>
      </w:r>
      <w:r>
        <w:rPr>
          <w:rFonts w:ascii="Times New Roman" w:hAnsi="Times New Roman" w:cs="Times New Roman"/>
          <w:color w:val="000000"/>
        </w:rPr>
        <w:t xml:space="preserve"> an</w:t>
      </w:r>
      <w:r w:rsidRPr="0013480C">
        <w:rPr>
          <w:rFonts w:ascii="Times New Roman" w:hAnsi="Times New Roman" w:cs="Times New Roman"/>
          <w:color w:val="000000"/>
        </w:rPr>
        <w:t xml:space="preserve"> </w:t>
      </w:r>
      <w:r>
        <w:rPr>
          <w:rFonts w:ascii="Times New Roman" w:hAnsi="Times New Roman" w:cs="Times New Roman"/>
          <w:color w:val="000000"/>
        </w:rPr>
        <w:t>income-producing</w:t>
      </w:r>
      <w:r w:rsidRPr="0013480C">
        <w:rPr>
          <w:rFonts w:ascii="Times New Roman" w:hAnsi="Times New Roman" w:cs="Times New Roman"/>
          <w:color w:val="000000"/>
        </w:rPr>
        <w:t xml:space="preserve"> </w:t>
      </w:r>
      <w:r>
        <w:rPr>
          <w:rFonts w:ascii="Times New Roman" w:hAnsi="Times New Roman" w:cs="Times New Roman"/>
          <w:color w:val="000000"/>
        </w:rPr>
        <w:t>property</w:t>
      </w:r>
      <w:r w:rsidRPr="0013480C">
        <w:rPr>
          <w:rFonts w:ascii="Times New Roman" w:hAnsi="Times New Roman" w:cs="Times New Roman"/>
          <w:color w:val="000000"/>
        </w:rPr>
        <w:t>.</w:t>
      </w:r>
      <w:r>
        <w:rPr>
          <w:rFonts w:ascii="Times New Roman" w:hAnsi="Times New Roman" w:cs="Times New Roman"/>
          <w:color w:val="000000"/>
        </w:rPr>
        <w:t xml:space="preserve"> </w:t>
      </w:r>
      <w:r w:rsidRPr="00DE512E">
        <w:rPr>
          <w:rFonts w:ascii="Times New Roman" w:eastAsia="Times New Roman" w:hAnsi="Times New Roman" w:cs="Times New Roman"/>
          <w:color w:val="000000"/>
        </w:rPr>
        <w:t>Nominations of historic places need to meet one of four criteria for significance, based on the building’s historic association with a significant person or</w:t>
      </w:r>
      <w:r>
        <w:rPr>
          <w:rFonts w:ascii="Times New Roman" w:eastAsia="Times New Roman" w:hAnsi="Times New Roman" w:cs="Times New Roman"/>
          <w:color w:val="000000"/>
        </w:rPr>
        <w:t xml:space="preserve"> historical</w:t>
      </w:r>
      <w:r w:rsidRPr="00DE512E">
        <w:rPr>
          <w:rFonts w:ascii="Times New Roman" w:eastAsia="Times New Roman" w:hAnsi="Times New Roman" w:cs="Times New Roman"/>
          <w:color w:val="00FF00"/>
        </w:rPr>
        <w:t xml:space="preserve"> </w:t>
      </w:r>
      <w:r w:rsidRPr="00DE512E">
        <w:rPr>
          <w:rFonts w:ascii="Times New Roman" w:eastAsia="Times New Roman" w:hAnsi="Times New Roman" w:cs="Times New Roman"/>
          <w:color w:val="000000"/>
        </w:rPr>
        <w:t>event, representation of significant American architecture, or potential to offer historic or prehistoric information.</w:t>
      </w:r>
      <w:r w:rsidR="005C6707">
        <w:rPr>
          <w:rStyle w:val="FootnoteReference"/>
          <w:rFonts w:eastAsia="Times New Roman" w:cs="Times New Roman"/>
          <w:color w:val="000000"/>
        </w:rPr>
        <w:footnoteReference w:id="1"/>
      </w:r>
      <w:r w:rsidRPr="00DE512E">
        <w:rPr>
          <w:rFonts w:ascii="Times New Roman" w:eastAsia="Times New Roman" w:hAnsi="Times New Roman" w:cs="Times New Roman"/>
          <w:color w:val="000000"/>
        </w:rPr>
        <w:t xml:space="preserve"> </w:t>
      </w:r>
      <w:r w:rsidRPr="0013480C">
        <w:rPr>
          <w:rFonts w:ascii="Times New Roman" w:hAnsi="Times New Roman" w:cs="Times New Roman"/>
          <w:color w:val="000000"/>
        </w:rPr>
        <w:t xml:space="preserve">While tens of thousands of properties have been listed </w:t>
      </w:r>
      <w:r w:rsidR="004A3AAF">
        <w:rPr>
          <w:rFonts w:ascii="Times New Roman" w:hAnsi="Times New Roman" w:cs="Times New Roman"/>
          <w:color w:val="000000"/>
        </w:rPr>
        <w:t>o</w:t>
      </w:r>
      <w:r w:rsidR="00D81B61">
        <w:rPr>
          <w:rFonts w:ascii="Times New Roman" w:hAnsi="Times New Roman" w:cs="Times New Roman"/>
          <w:color w:val="000000"/>
        </w:rPr>
        <w:t>n</w:t>
      </w:r>
      <w:r w:rsidRPr="0013480C">
        <w:rPr>
          <w:rFonts w:ascii="Times New Roman" w:hAnsi="Times New Roman" w:cs="Times New Roman"/>
          <w:color w:val="000000"/>
        </w:rPr>
        <w:t xml:space="preserve"> the</w:t>
      </w:r>
      <w:r>
        <w:rPr>
          <w:rFonts w:ascii="Times New Roman" w:hAnsi="Times New Roman" w:cs="Times New Roman"/>
          <w:color w:val="000000"/>
        </w:rPr>
        <w:t xml:space="preserve"> National</w:t>
      </w:r>
      <w:r w:rsidRPr="0013480C">
        <w:rPr>
          <w:rFonts w:ascii="Times New Roman" w:hAnsi="Times New Roman" w:cs="Times New Roman"/>
          <w:color w:val="000000"/>
        </w:rPr>
        <w:t xml:space="preserve"> Register, historic preservation has faced criticism that it has not effectively evolved </w:t>
      </w:r>
      <w:r>
        <w:rPr>
          <w:rFonts w:ascii="Times New Roman" w:hAnsi="Times New Roman" w:cs="Times New Roman"/>
          <w:color w:val="000000"/>
        </w:rPr>
        <w:t xml:space="preserve">its identification and designation tools </w:t>
      </w:r>
      <w:r w:rsidRPr="0013480C">
        <w:rPr>
          <w:rFonts w:ascii="Times New Roman" w:hAnsi="Times New Roman" w:cs="Times New Roman"/>
          <w:color w:val="000000"/>
        </w:rPr>
        <w:t>over the decades to include histories that do not fit neatly into the criteria and rules set in 1966</w:t>
      </w:r>
      <w:r>
        <w:rPr>
          <w:rFonts w:ascii="Times New Roman" w:hAnsi="Times New Roman" w:cs="Times New Roman"/>
          <w:color w:val="000000"/>
        </w:rPr>
        <w:t>.</w:t>
      </w:r>
    </w:p>
    <w:p w14:paraId="629D510E" w14:textId="1DA5BC12" w:rsidR="00C8103C" w:rsidRPr="004231E1" w:rsidRDefault="00C8103C" w:rsidP="00703F46">
      <w:pPr>
        <w:spacing w:line="480" w:lineRule="auto"/>
        <w:rPr>
          <w:rFonts w:ascii="Times New Roman" w:hAnsi="Times New Roman" w:cs="Times New Roman"/>
          <w:color w:val="000000"/>
          <w:shd w:val="clear" w:color="auto" w:fill="FFFF00"/>
        </w:rPr>
      </w:pPr>
      <w:r w:rsidRPr="0013480C">
        <w:rPr>
          <w:rFonts w:ascii="Times New Roman" w:hAnsi="Times New Roman" w:cs="Times New Roman"/>
          <w:color w:val="000000"/>
        </w:rPr>
        <w:tab/>
        <w:t xml:space="preserve">The issues </w:t>
      </w:r>
      <w:r w:rsidR="00D81B61">
        <w:rPr>
          <w:rFonts w:ascii="Times New Roman" w:hAnsi="Times New Roman" w:cs="Times New Roman"/>
          <w:color w:val="000000"/>
        </w:rPr>
        <w:t>this treatise will</w:t>
      </w:r>
      <w:r w:rsidRPr="0013480C">
        <w:rPr>
          <w:rFonts w:ascii="Times New Roman" w:hAnsi="Times New Roman" w:cs="Times New Roman"/>
          <w:color w:val="000000"/>
        </w:rPr>
        <w:t xml:space="preserve"> tackle come from that gap in designation criteria,</w:t>
      </w:r>
      <w:r>
        <w:rPr>
          <w:rFonts w:ascii="Times New Roman" w:hAnsi="Times New Roman" w:cs="Times New Roman"/>
          <w:color w:val="000000"/>
        </w:rPr>
        <w:t xml:space="preserve"> which is</w:t>
      </w:r>
      <w:r w:rsidRPr="0013480C">
        <w:rPr>
          <w:rFonts w:ascii="Times New Roman" w:hAnsi="Times New Roman" w:cs="Times New Roman"/>
          <w:color w:val="000000"/>
        </w:rPr>
        <w:t xml:space="preserve"> often found when defining</w:t>
      </w:r>
      <w:r>
        <w:rPr>
          <w:rFonts w:ascii="Times New Roman" w:hAnsi="Times New Roman" w:cs="Times New Roman"/>
          <w:color w:val="000000"/>
        </w:rPr>
        <w:t xml:space="preserve"> what is considered a historic</w:t>
      </w:r>
      <w:r w:rsidRPr="0013480C">
        <w:rPr>
          <w:rFonts w:ascii="Times New Roman" w:hAnsi="Times New Roman" w:cs="Times New Roman"/>
          <w:color w:val="000000"/>
        </w:rPr>
        <w:t xml:space="preserve"> place and</w:t>
      </w:r>
      <w:r>
        <w:rPr>
          <w:rFonts w:ascii="Times New Roman" w:hAnsi="Times New Roman" w:cs="Times New Roman"/>
          <w:color w:val="000000"/>
        </w:rPr>
        <w:t xml:space="preserve"> what qualifies as historic</w:t>
      </w:r>
      <w:r w:rsidR="00D81B61">
        <w:rPr>
          <w:rFonts w:ascii="Times New Roman" w:hAnsi="Times New Roman" w:cs="Times New Roman"/>
          <w:color w:val="000000"/>
        </w:rPr>
        <w:t xml:space="preserve">ally </w:t>
      </w:r>
      <w:r w:rsidR="00D81B61">
        <w:rPr>
          <w:rFonts w:ascii="Times New Roman" w:hAnsi="Times New Roman" w:cs="Times New Roman"/>
          <w:color w:val="000000"/>
        </w:rPr>
        <w:lastRenderedPageBreak/>
        <w:t>significant</w:t>
      </w:r>
      <w:r w:rsidRPr="0013480C">
        <w:rPr>
          <w:rFonts w:ascii="Times New Roman" w:hAnsi="Times New Roman" w:cs="Times New Roman"/>
          <w:color w:val="000000"/>
        </w:rPr>
        <w:t>.</w:t>
      </w:r>
      <w:r>
        <w:rPr>
          <w:rFonts w:ascii="Times New Roman" w:hAnsi="Times New Roman" w:cs="Times New Roman"/>
          <w:color w:val="000000"/>
        </w:rPr>
        <w:t xml:space="preserve"> Historic significance is defined by the</w:t>
      </w:r>
      <w:r w:rsidR="00D81B61">
        <w:rPr>
          <w:rFonts w:ascii="Times New Roman" w:hAnsi="Times New Roman" w:cs="Times New Roman"/>
          <w:color w:val="000000"/>
        </w:rPr>
        <w:t xml:space="preserve"> National Park Service (NPS)</w:t>
      </w:r>
      <w:r>
        <w:rPr>
          <w:rFonts w:ascii="Times New Roman" w:hAnsi="Times New Roman" w:cs="Times New Roman"/>
          <w:color w:val="000000"/>
        </w:rPr>
        <w:t xml:space="preserve"> as places that fit into one of the four criteria listed above; and while the NPS offers definitions and guidelines for the listing of intangible historic places in the form of Traditional Cultural Properties, there is still much work to be done in</w:t>
      </w:r>
      <w:r w:rsidR="009F7832">
        <w:rPr>
          <w:rFonts w:ascii="Times New Roman" w:hAnsi="Times New Roman" w:cs="Times New Roman"/>
          <w:color w:val="000000"/>
        </w:rPr>
        <w:t xml:space="preserve"> expanding</w:t>
      </w:r>
      <w:r>
        <w:rPr>
          <w:rFonts w:ascii="Times New Roman" w:hAnsi="Times New Roman" w:cs="Times New Roman"/>
          <w:color w:val="000000"/>
        </w:rPr>
        <w:t xml:space="preserve"> the American idea of what defines “place.”</w:t>
      </w:r>
      <w:r w:rsidRPr="0013480C">
        <w:rPr>
          <w:rFonts w:ascii="Times New Roman" w:hAnsi="Times New Roman" w:cs="Times New Roman"/>
          <w:color w:val="000000"/>
        </w:rPr>
        <w:t xml:space="preserve"> These definitions become</w:t>
      </w:r>
      <w:r>
        <w:rPr>
          <w:rFonts w:ascii="Times New Roman" w:hAnsi="Times New Roman" w:cs="Times New Roman"/>
          <w:color w:val="000000"/>
        </w:rPr>
        <w:t xml:space="preserve"> even</w:t>
      </w:r>
      <w:r w:rsidRPr="0013480C">
        <w:rPr>
          <w:rFonts w:ascii="Times New Roman" w:hAnsi="Times New Roman" w:cs="Times New Roman"/>
          <w:color w:val="000000"/>
        </w:rPr>
        <w:t xml:space="preserve"> more important for communities of people </w:t>
      </w:r>
      <w:r w:rsidR="009F7832">
        <w:rPr>
          <w:rFonts w:ascii="Times New Roman" w:hAnsi="Times New Roman" w:cs="Times New Roman"/>
          <w:color w:val="000000"/>
        </w:rPr>
        <w:t>with</w:t>
      </w:r>
      <w:r w:rsidRPr="0013480C">
        <w:rPr>
          <w:rFonts w:ascii="Times New Roman" w:hAnsi="Times New Roman" w:cs="Times New Roman"/>
          <w:color w:val="000000"/>
        </w:rPr>
        <w:t>in neighborhoods in which the residents have traditionally not held power in the municipal decision making happening within their spaces. Examples of these communities</w:t>
      </w:r>
      <w:r>
        <w:rPr>
          <w:rFonts w:ascii="Times New Roman" w:hAnsi="Times New Roman" w:cs="Times New Roman"/>
          <w:color w:val="000000"/>
        </w:rPr>
        <w:t xml:space="preserve"> could</w:t>
      </w:r>
      <w:r w:rsidRPr="0013480C">
        <w:rPr>
          <w:rFonts w:ascii="Times New Roman" w:hAnsi="Times New Roman" w:cs="Times New Roman"/>
          <w:color w:val="000000"/>
        </w:rPr>
        <w:t xml:space="preserve"> include</w:t>
      </w:r>
      <w:r>
        <w:rPr>
          <w:rFonts w:ascii="Times New Roman" w:hAnsi="Times New Roman" w:cs="Times New Roman"/>
          <w:color w:val="000000"/>
        </w:rPr>
        <w:t xml:space="preserve"> renters or home-owners in</w:t>
      </w:r>
      <w:r w:rsidRPr="0013480C">
        <w:rPr>
          <w:rFonts w:ascii="Times New Roman" w:hAnsi="Times New Roman" w:cs="Times New Roman"/>
          <w:color w:val="000000"/>
        </w:rPr>
        <w:t xml:space="preserve"> working-class neighborhoods, low-income neighborhoods, areas predominantly populated by people of color, or neighborhoods predominantly populated by immigrant communities.</w:t>
      </w:r>
      <w:r>
        <w:rPr>
          <w:rFonts w:ascii="Times New Roman" w:hAnsi="Times New Roman" w:cs="Times New Roman"/>
          <w:color w:val="000000"/>
        </w:rPr>
        <w:t xml:space="preserve"> When development pressures are felt in these neighborhoods, the past has shown us that one of two things are likely to occur. </w:t>
      </w:r>
      <w:r w:rsidRPr="0013480C">
        <w:rPr>
          <w:rFonts w:ascii="Times New Roman" w:hAnsi="Times New Roman" w:cs="Times New Roman"/>
          <w:color w:val="000000"/>
        </w:rPr>
        <w:t xml:space="preserve">The demolition of older building stock can happen, </w:t>
      </w:r>
      <w:r>
        <w:rPr>
          <w:rFonts w:ascii="Times New Roman" w:hAnsi="Times New Roman" w:cs="Times New Roman"/>
          <w:color w:val="000000"/>
        </w:rPr>
        <w:t>resulting in the creation of</w:t>
      </w:r>
      <w:r w:rsidRPr="0013480C">
        <w:rPr>
          <w:rFonts w:ascii="Times New Roman" w:hAnsi="Times New Roman" w:cs="Times New Roman"/>
          <w:color w:val="000000"/>
        </w:rPr>
        <w:t xml:space="preserve"> new affordable housing</w:t>
      </w:r>
      <w:r>
        <w:rPr>
          <w:rFonts w:ascii="Times New Roman" w:hAnsi="Times New Roman" w:cs="Times New Roman"/>
          <w:color w:val="000000"/>
        </w:rPr>
        <w:t xml:space="preserve"> for a percentage of existing residents</w:t>
      </w:r>
      <w:r w:rsidRPr="0013480C">
        <w:rPr>
          <w:rFonts w:ascii="Times New Roman" w:hAnsi="Times New Roman" w:cs="Times New Roman"/>
          <w:color w:val="000000"/>
        </w:rPr>
        <w:t xml:space="preserve">, </w:t>
      </w:r>
      <w:r>
        <w:rPr>
          <w:rFonts w:ascii="Times New Roman" w:hAnsi="Times New Roman" w:cs="Times New Roman"/>
          <w:color w:val="000000"/>
        </w:rPr>
        <w:t>while also allowing</w:t>
      </w:r>
      <w:r w:rsidRPr="0013480C">
        <w:rPr>
          <w:rFonts w:ascii="Times New Roman" w:hAnsi="Times New Roman" w:cs="Times New Roman"/>
          <w:color w:val="000000"/>
        </w:rPr>
        <w:t xml:space="preserve"> for construction of new, higher-income housing or commercial real estate. Another possible result is a transition from primarily low-income residents to higher-income residents, which can create a process called gentrification, and lead to displace</w:t>
      </w:r>
      <w:r w:rsidR="002542C3">
        <w:rPr>
          <w:rFonts w:ascii="Times New Roman" w:hAnsi="Times New Roman" w:cs="Times New Roman"/>
          <w:color w:val="000000"/>
        </w:rPr>
        <w:t>ment of original inhabitants. Through a r</w:t>
      </w:r>
      <w:r w:rsidRPr="0013480C">
        <w:rPr>
          <w:rFonts w:ascii="Times New Roman" w:hAnsi="Times New Roman" w:cs="Times New Roman"/>
          <w:color w:val="000000"/>
        </w:rPr>
        <w:t>ethinking</w:t>
      </w:r>
      <w:r w:rsidR="002542C3">
        <w:rPr>
          <w:rFonts w:ascii="Times New Roman" w:hAnsi="Times New Roman" w:cs="Times New Roman"/>
          <w:color w:val="000000"/>
        </w:rPr>
        <w:t xml:space="preserve"> of</w:t>
      </w:r>
      <w:r w:rsidRPr="0013480C">
        <w:rPr>
          <w:rFonts w:ascii="Times New Roman" w:hAnsi="Times New Roman" w:cs="Times New Roman"/>
          <w:color w:val="000000"/>
        </w:rPr>
        <w:t xml:space="preserve"> the definitions of place and significance</w:t>
      </w:r>
      <w:r w:rsidR="00F57440">
        <w:rPr>
          <w:rFonts w:ascii="Times New Roman" w:hAnsi="Times New Roman" w:cs="Times New Roman"/>
          <w:color w:val="000000"/>
        </w:rPr>
        <w:t>,</w:t>
      </w:r>
      <w:r w:rsidR="002542C3">
        <w:rPr>
          <w:rFonts w:ascii="Times New Roman" w:hAnsi="Times New Roman" w:cs="Times New Roman"/>
          <w:color w:val="000000"/>
        </w:rPr>
        <w:t xml:space="preserve"> and an acknowledgment of the importance of neighborhood cultural sites</w:t>
      </w:r>
      <w:r w:rsidRPr="0013480C">
        <w:rPr>
          <w:rFonts w:ascii="Times New Roman" w:hAnsi="Times New Roman" w:cs="Times New Roman"/>
          <w:color w:val="000000"/>
        </w:rPr>
        <w:t xml:space="preserve">, </w:t>
      </w:r>
      <w:r w:rsidR="002542C3">
        <w:rPr>
          <w:rFonts w:ascii="Times New Roman" w:hAnsi="Times New Roman" w:cs="Times New Roman"/>
          <w:color w:val="000000"/>
        </w:rPr>
        <w:t>the utilization of</w:t>
      </w:r>
      <w:r>
        <w:rPr>
          <w:rFonts w:ascii="Times New Roman" w:hAnsi="Times New Roman" w:cs="Times New Roman"/>
          <w:color w:val="000000"/>
        </w:rPr>
        <w:t xml:space="preserve"> </w:t>
      </w:r>
      <w:r w:rsidRPr="0013480C">
        <w:rPr>
          <w:rFonts w:ascii="Times New Roman" w:hAnsi="Times New Roman" w:cs="Times New Roman"/>
          <w:color w:val="000000"/>
        </w:rPr>
        <w:t>historic preservation</w:t>
      </w:r>
      <w:r>
        <w:rPr>
          <w:rFonts w:ascii="Times New Roman" w:hAnsi="Times New Roman" w:cs="Times New Roman"/>
          <w:color w:val="000000"/>
        </w:rPr>
        <w:t xml:space="preserve"> designations and local protection</w:t>
      </w:r>
      <w:r w:rsidR="002542C3">
        <w:rPr>
          <w:rFonts w:ascii="Times New Roman" w:hAnsi="Times New Roman" w:cs="Times New Roman"/>
          <w:color w:val="000000"/>
        </w:rPr>
        <w:t xml:space="preserve"> could mitigate</w:t>
      </w:r>
      <w:r w:rsidRPr="0013480C">
        <w:rPr>
          <w:rFonts w:ascii="Times New Roman" w:hAnsi="Times New Roman" w:cs="Times New Roman"/>
          <w:color w:val="000000"/>
        </w:rPr>
        <w:t xml:space="preserve"> negative effects of new development and gentrification</w:t>
      </w:r>
      <w:r>
        <w:rPr>
          <w:rFonts w:ascii="Times New Roman" w:hAnsi="Times New Roman" w:cs="Times New Roman"/>
          <w:color w:val="000000"/>
        </w:rPr>
        <w:t xml:space="preserve"> </w:t>
      </w:r>
      <w:r w:rsidR="002542C3">
        <w:rPr>
          <w:rFonts w:ascii="Times New Roman" w:hAnsi="Times New Roman" w:cs="Times New Roman"/>
          <w:color w:val="000000"/>
        </w:rPr>
        <w:t xml:space="preserve">in the neighborhood and </w:t>
      </w:r>
      <w:r>
        <w:rPr>
          <w:rFonts w:ascii="Times New Roman" w:hAnsi="Times New Roman" w:cs="Times New Roman"/>
          <w:color w:val="000000"/>
        </w:rPr>
        <w:t>on existing residents</w:t>
      </w:r>
      <w:r w:rsidRPr="0013480C">
        <w:rPr>
          <w:rFonts w:ascii="Times New Roman" w:hAnsi="Times New Roman" w:cs="Times New Roman"/>
          <w:color w:val="000000"/>
        </w:rPr>
        <w:t xml:space="preserve">. </w:t>
      </w:r>
    </w:p>
    <w:p w14:paraId="483B75A7" w14:textId="77777777" w:rsidR="00C8103C" w:rsidRPr="0013480C" w:rsidRDefault="00C8103C" w:rsidP="00703F46">
      <w:pPr>
        <w:spacing w:line="480" w:lineRule="auto"/>
        <w:rPr>
          <w:rFonts w:ascii="-webkit-standard" w:hAnsi="-webkit-standard" w:cs="Times New Roman"/>
          <w:color w:val="000000"/>
        </w:rPr>
      </w:pPr>
      <w:r w:rsidRPr="0013480C">
        <w:rPr>
          <w:rFonts w:ascii="Times New Roman" w:hAnsi="Times New Roman" w:cs="Times New Roman"/>
          <w:color w:val="000000"/>
        </w:rPr>
        <w:tab/>
        <w:t>Defining place, a</w:t>
      </w:r>
      <w:r>
        <w:rPr>
          <w:rFonts w:ascii="Times New Roman" w:hAnsi="Times New Roman" w:cs="Times New Roman"/>
          <w:color w:val="000000"/>
        </w:rPr>
        <w:t>nd what makes place a character-</w:t>
      </w:r>
      <w:r w:rsidRPr="0013480C">
        <w:rPr>
          <w:rFonts w:ascii="Times New Roman" w:hAnsi="Times New Roman" w:cs="Times New Roman"/>
          <w:color w:val="000000"/>
        </w:rPr>
        <w:t>defining cultural element, is imperative in communities that are experiencing encroa</w:t>
      </w:r>
      <w:r>
        <w:rPr>
          <w:rFonts w:ascii="Times New Roman" w:hAnsi="Times New Roman" w:cs="Times New Roman"/>
          <w:color w:val="000000"/>
        </w:rPr>
        <w:t>ching development. If character-</w:t>
      </w:r>
      <w:r w:rsidRPr="0013480C">
        <w:rPr>
          <w:rFonts w:ascii="Times New Roman" w:hAnsi="Times New Roman" w:cs="Times New Roman"/>
          <w:color w:val="000000"/>
        </w:rPr>
        <w:t>defining places are not identified by the</w:t>
      </w:r>
      <w:r>
        <w:rPr>
          <w:rFonts w:ascii="Times New Roman" w:hAnsi="Times New Roman" w:cs="Times New Roman"/>
          <w:color w:val="000000"/>
        </w:rPr>
        <w:t xml:space="preserve"> community</w:t>
      </w:r>
      <w:r w:rsidRPr="0013480C">
        <w:rPr>
          <w:rFonts w:ascii="Times New Roman" w:hAnsi="Times New Roman" w:cs="Times New Roman"/>
          <w:color w:val="000000"/>
        </w:rPr>
        <w:t xml:space="preserve"> group for the </w:t>
      </w:r>
      <w:r>
        <w:rPr>
          <w:rFonts w:ascii="Times New Roman" w:hAnsi="Times New Roman" w:cs="Times New Roman"/>
          <w:color w:val="000000"/>
        </w:rPr>
        <w:t xml:space="preserve">community </w:t>
      </w:r>
      <w:r w:rsidRPr="0013480C">
        <w:rPr>
          <w:rFonts w:ascii="Times New Roman" w:hAnsi="Times New Roman" w:cs="Times New Roman"/>
          <w:color w:val="000000"/>
        </w:rPr>
        <w:t>group</w:t>
      </w:r>
      <w:r>
        <w:rPr>
          <w:rFonts w:ascii="Times New Roman" w:hAnsi="Times New Roman" w:cs="Times New Roman"/>
          <w:color w:val="000000"/>
        </w:rPr>
        <w:t>, and then given validity through local designation and protections</w:t>
      </w:r>
      <w:r w:rsidRPr="0013480C">
        <w:rPr>
          <w:rFonts w:ascii="Times New Roman" w:hAnsi="Times New Roman" w:cs="Times New Roman"/>
          <w:color w:val="000000"/>
        </w:rPr>
        <w:t>, developers</w:t>
      </w:r>
      <w:r>
        <w:rPr>
          <w:rFonts w:ascii="Times New Roman" w:hAnsi="Times New Roman" w:cs="Times New Roman"/>
          <w:color w:val="000000"/>
        </w:rPr>
        <w:t xml:space="preserve"> will</w:t>
      </w:r>
      <w:r w:rsidRPr="0013480C">
        <w:rPr>
          <w:rFonts w:ascii="Times New Roman" w:hAnsi="Times New Roman" w:cs="Times New Roman"/>
          <w:color w:val="000000"/>
        </w:rPr>
        <w:t xml:space="preserve"> have </w:t>
      </w:r>
      <w:r>
        <w:rPr>
          <w:rFonts w:ascii="Times New Roman" w:hAnsi="Times New Roman" w:cs="Times New Roman"/>
          <w:color w:val="000000"/>
        </w:rPr>
        <w:t>more</w:t>
      </w:r>
      <w:r w:rsidRPr="0013480C">
        <w:rPr>
          <w:rFonts w:ascii="Times New Roman" w:hAnsi="Times New Roman" w:cs="Times New Roman"/>
          <w:color w:val="000000"/>
        </w:rPr>
        <w:t xml:space="preserve"> power to </w:t>
      </w:r>
      <w:r>
        <w:rPr>
          <w:rFonts w:ascii="Times New Roman" w:hAnsi="Times New Roman" w:cs="Times New Roman"/>
          <w:color w:val="000000"/>
        </w:rPr>
        <w:t xml:space="preserve">influence local </w:t>
      </w:r>
      <w:r>
        <w:rPr>
          <w:rFonts w:ascii="Times New Roman" w:hAnsi="Times New Roman" w:cs="Times New Roman"/>
          <w:color w:val="000000"/>
        </w:rPr>
        <w:lastRenderedPageBreak/>
        <w:t>government or other decision-makers on</w:t>
      </w:r>
      <w:r w:rsidRPr="0013480C">
        <w:rPr>
          <w:rFonts w:ascii="Times New Roman" w:hAnsi="Times New Roman" w:cs="Times New Roman"/>
          <w:color w:val="000000"/>
        </w:rPr>
        <w:t xml:space="preserve"> </w:t>
      </w:r>
      <w:r>
        <w:rPr>
          <w:rFonts w:ascii="Times New Roman" w:hAnsi="Times New Roman" w:cs="Times New Roman"/>
          <w:color w:val="000000"/>
        </w:rPr>
        <w:t>which</w:t>
      </w:r>
      <w:r w:rsidRPr="0013480C">
        <w:rPr>
          <w:rFonts w:ascii="Times New Roman" w:hAnsi="Times New Roman" w:cs="Times New Roman"/>
          <w:color w:val="000000"/>
        </w:rPr>
        <w:t xml:space="preserve"> places are saved and which are lost based on </w:t>
      </w:r>
      <w:r>
        <w:rPr>
          <w:rFonts w:ascii="Times New Roman" w:hAnsi="Times New Roman" w:cs="Times New Roman"/>
          <w:color w:val="000000"/>
        </w:rPr>
        <w:t>their own</w:t>
      </w:r>
      <w:r w:rsidRPr="0013480C">
        <w:rPr>
          <w:rFonts w:ascii="Times New Roman" w:hAnsi="Times New Roman" w:cs="Times New Roman"/>
          <w:color w:val="000000"/>
        </w:rPr>
        <w:t xml:space="preserve"> </w:t>
      </w:r>
      <w:r>
        <w:rPr>
          <w:rFonts w:ascii="Times New Roman" w:hAnsi="Times New Roman" w:cs="Times New Roman"/>
          <w:color w:val="000000"/>
        </w:rPr>
        <w:t>financial needs. If, through the decisions of outside authorities, character-</w:t>
      </w:r>
      <w:r w:rsidRPr="0013480C">
        <w:rPr>
          <w:rFonts w:ascii="Times New Roman" w:hAnsi="Times New Roman" w:cs="Times New Roman"/>
          <w:color w:val="000000"/>
        </w:rPr>
        <w:t>defining elements are lost</w:t>
      </w:r>
      <w:r>
        <w:rPr>
          <w:rFonts w:ascii="Times New Roman" w:hAnsi="Times New Roman" w:cs="Times New Roman"/>
          <w:color w:val="000000"/>
        </w:rPr>
        <w:t>,</w:t>
      </w:r>
      <w:r w:rsidRPr="0013480C">
        <w:rPr>
          <w:rFonts w:ascii="Times New Roman" w:hAnsi="Times New Roman" w:cs="Times New Roman"/>
          <w:color w:val="000000"/>
        </w:rPr>
        <w:t xml:space="preserve"> cultural identity and power can begin to erode, and the neighborhood’s culture irrevocably changed. When we preserve place, we can also </w:t>
      </w:r>
      <w:r>
        <w:rPr>
          <w:rFonts w:ascii="Times New Roman" w:hAnsi="Times New Roman" w:cs="Times New Roman"/>
          <w:color w:val="000000"/>
        </w:rPr>
        <w:t>sustain</w:t>
      </w:r>
      <w:r w:rsidRPr="0013480C">
        <w:rPr>
          <w:rFonts w:ascii="Times New Roman" w:hAnsi="Times New Roman" w:cs="Times New Roman"/>
          <w:color w:val="000000"/>
        </w:rPr>
        <w:t xml:space="preserve"> cultures. </w:t>
      </w:r>
    </w:p>
    <w:p w14:paraId="2C1D7344" w14:textId="5DC07A9A" w:rsidR="00C8103C" w:rsidRPr="0013480C" w:rsidRDefault="00FD4FD7" w:rsidP="00703F46">
      <w:pPr>
        <w:spacing w:line="480" w:lineRule="auto"/>
        <w:rPr>
          <w:rFonts w:ascii="-webkit-standard" w:hAnsi="-webkit-standard" w:cs="Times New Roman"/>
          <w:color w:val="000000"/>
        </w:rPr>
      </w:pPr>
      <w:r>
        <w:rPr>
          <w:rFonts w:ascii="Times New Roman" w:hAnsi="Times New Roman" w:cs="Times New Roman"/>
          <w:color w:val="000000"/>
        </w:rPr>
        <w:tab/>
        <w:t>The</w:t>
      </w:r>
      <w:r w:rsidR="00C8103C" w:rsidRPr="0013480C">
        <w:rPr>
          <w:rFonts w:ascii="Times New Roman" w:hAnsi="Times New Roman" w:cs="Times New Roman"/>
          <w:color w:val="000000"/>
        </w:rPr>
        <w:t xml:space="preserve"> proposed concept</w:t>
      </w:r>
      <w:r>
        <w:rPr>
          <w:rFonts w:ascii="Times New Roman" w:hAnsi="Times New Roman" w:cs="Times New Roman"/>
          <w:color w:val="000000"/>
        </w:rPr>
        <w:t xml:space="preserve"> of a culturally sustainable preservation model</w:t>
      </w:r>
      <w:r w:rsidR="00C8103C" w:rsidRPr="0013480C">
        <w:rPr>
          <w:rFonts w:ascii="Times New Roman" w:hAnsi="Times New Roman" w:cs="Times New Roman"/>
          <w:color w:val="000000"/>
        </w:rPr>
        <w:t xml:space="preserve"> relies heavily on the ideas around placemaking and sense of place. Placemaking, or recognizing a sense of place, within historic preservation is not a new idea. Placemaking is not only about saving buildings and spaces, it is about preserving the relationships people have in, and with, those buildings and spaces. Artist and activist Roberto Bedoya writes in an op-ed abo</w:t>
      </w:r>
      <w:r w:rsidR="00A42782">
        <w:rPr>
          <w:rFonts w:ascii="Times New Roman" w:hAnsi="Times New Roman" w:cs="Times New Roman"/>
          <w:color w:val="000000"/>
        </w:rPr>
        <w:t>ut the concept of “placekeeping</w:t>
      </w:r>
      <w:r w:rsidR="00744207">
        <w:rPr>
          <w:rFonts w:ascii="Times New Roman" w:hAnsi="Times New Roman" w:cs="Times New Roman"/>
          <w:color w:val="000000"/>
        </w:rPr>
        <w:t>,</w:t>
      </w:r>
      <w:r w:rsidR="00C8103C" w:rsidRPr="0013480C">
        <w:rPr>
          <w:rFonts w:ascii="Times New Roman" w:hAnsi="Times New Roman" w:cs="Times New Roman"/>
          <w:color w:val="000000"/>
        </w:rPr>
        <w:t>”</w:t>
      </w:r>
      <w:r w:rsidR="00744207">
        <w:rPr>
          <w:rFonts w:ascii="Times New Roman" w:hAnsi="Times New Roman" w:cs="Times New Roman"/>
          <w:color w:val="000000"/>
        </w:rPr>
        <w:t xml:space="preserve"> which he describes as “keeping cultural memories associated with a locale alive.”</w:t>
      </w:r>
      <w:r w:rsidR="00C8103C" w:rsidRPr="00F3497A">
        <w:rPr>
          <w:rStyle w:val="FootnoteReference"/>
        </w:rPr>
        <w:footnoteReference w:id="2"/>
      </w:r>
      <w:r w:rsidR="00C8103C" w:rsidRPr="0013480C">
        <w:rPr>
          <w:rFonts w:ascii="Times New Roman" w:hAnsi="Times New Roman" w:cs="Times New Roman"/>
          <w:color w:val="000000"/>
        </w:rPr>
        <w:t xml:space="preserve"> Similarly, in his book, </w:t>
      </w:r>
      <w:r w:rsidR="00C8103C" w:rsidRPr="009334F9">
        <w:rPr>
          <w:rFonts w:ascii="Times New Roman" w:hAnsi="Times New Roman" w:cs="Times New Roman"/>
          <w:i/>
          <w:color w:val="000000"/>
        </w:rPr>
        <w:t>Why Old Places Matter</w:t>
      </w:r>
      <w:r w:rsidR="00C8103C" w:rsidRPr="009334F9">
        <w:rPr>
          <w:rFonts w:ascii="Times New Roman" w:hAnsi="Times New Roman" w:cs="Times New Roman"/>
          <w:color w:val="000000"/>
        </w:rPr>
        <w:t>,</w:t>
      </w:r>
      <w:r w:rsidR="00C8103C" w:rsidRPr="0013480C">
        <w:rPr>
          <w:rFonts w:ascii="Times New Roman" w:hAnsi="Times New Roman" w:cs="Times New Roman"/>
          <w:color w:val="000000"/>
        </w:rPr>
        <w:t xml:space="preserve"> Thompson Mayes calls this</w:t>
      </w:r>
      <w:r w:rsidR="00C8103C">
        <w:rPr>
          <w:rFonts w:ascii="Times New Roman" w:hAnsi="Times New Roman" w:cs="Times New Roman"/>
          <w:color w:val="000000"/>
        </w:rPr>
        <w:t xml:space="preserve"> concept</w:t>
      </w:r>
      <w:r w:rsidR="00C8103C" w:rsidRPr="0013480C">
        <w:rPr>
          <w:rFonts w:ascii="Times New Roman" w:hAnsi="Times New Roman" w:cs="Times New Roman"/>
          <w:color w:val="000000"/>
        </w:rPr>
        <w:t xml:space="preserve"> “place </w:t>
      </w:r>
      <w:r w:rsidR="00C8103C" w:rsidRPr="0013480C">
        <w:rPr>
          <w:rFonts w:ascii="Times New Roman" w:hAnsi="Times New Roman" w:cs="Times New Roman"/>
          <w:i/>
          <w:iCs/>
          <w:color w:val="000000"/>
        </w:rPr>
        <w:t>sustaining</w:t>
      </w:r>
      <w:r w:rsidR="00C8103C" w:rsidRPr="0013480C">
        <w:rPr>
          <w:rFonts w:ascii="Times New Roman" w:hAnsi="Times New Roman" w:cs="Times New Roman"/>
          <w:color w:val="000000"/>
        </w:rPr>
        <w:t xml:space="preserve">,” noting that “...very little attention is given to sustaining existing communities, which have already become </w:t>
      </w:r>
      <w:r w:rsidR="00C8103C" w:rsidRPr="0013480C">
        <w:rPr>
          <w:rFonts w:ascii="Times New Roman" w:hAnsi="Times New Roman" w:cs="Times New Roman"/>
          <w:i/>
          <w:iCs/>
          <w:color w:val="000000"/>
        </w:rPr>
        <w:t>community</w:t>
      </w:r>
      <w:r w:rsidR="00C8103C" w:rsidRPr="0013480C">
        <w:rPr>
          <w:rFonts w:ascii="Times New Roman" w:hAnsi="Times New Roman" w:cs="Times New Roman"/>
          <w:color w:val="000000"/>
        </w:rPr>
        <w:t xml:space="preserve"> through the intertwining of people and place over time.”</w:t>
      </w:r>
      <w:r w:rsidR="00942F37" w:rsidRPr="00F3497A">
        <w:rPr>
          <w:rStyle w:val="FootnoteReference"/>
        </w:rPr>
        <w:footnoteReference w:id="3"/>
      </w:r>
      <w:r w:rsidR="00942F37" w:rsidRPr="0013480C">
        <w:rPr>
          <w:rFonts w:ascii="Times New Roman" w:hAnsi="Times New Roman" w:cs="Times New Roman"/>
          <w:color w:val="000000"/>
        </w:rPr>
        <w:t xml:space="preserve"> </w:t>
      </w:r>
      <w:r w:rsidR="00C8103C" w:rsidRPr="0013480C">
        <w:rPr>
          <w:rFonts w:ascii="Times New Roman" w:hAnsi="Times New Roman" w:cs="Times New Roman"/>
          <w:color w:val="000000"/>
        </w:rPr>
        <w:t xml:space="preserve">Perhaps </w:t>
      </w:r>
      <w:r w:rsidR="00C8103C">
        <w:rPr>
          <w:rFonts w:ascii="Times New Roman" w:hAnsi="Times New Roman" w:cs="Times New Roman"/>
          <w:color w:val="000000"/>
        </w:rPr>
        <w:t>these</w:t>
      </w:r>
      <w:r w:rsidR="00C8103C" w:rsidRPr="0013480C">
        <w:rPr>
          <w:rFonts w:ascii="Times New Roman" w:hAnsi="Times New Roman" w:cs="Times New Roman"/>
          <w:color w:val="000000"/>
        </w:rPr>
        <w:t xml:space="preserve"> </w:t>
      </w:r>
      <w:r w:rsidR="00C8103C">
        <w:rPr>
          <w:rFonts w:ascii="Times New Roman" w:hAnsi="Times New Roman" w:cs="Times New Roman"/>
          <w:color w:val="000000"/>
        </w:rPr>
        <w:t>are</w:t>
      </w:r>
      <w:r w:rsidR="00C8103C" w:rsidRPr="0013480C">
        <w:rPr>
          <w:rFonts w:ascii="Times New Roman" w:hAnsi="Times New Roman" w:cs="Times New Roman"/>
          <w:color w:val="000000"/>
        </w:rPr>
        <w:t xml:space="preserve"> better way</w:t>
      </w:r>
      <w:r w:rsidR="00C8103C">
        <w:rPr>
          <w:rFonts w:ascii="Times New Roman" w:hAnsi="Times New Roman" w:cs="Times New Roman"/>
          <w:color w:val="000000"/>
        </w:rPr>
        <w:t>s</w:t>
      </w:r>
      <w:r w:rsidR="00C8103C" w:rsidRPr="0013480C">
        <w:rPr>
          <w:rFonts w:ascii="Times New Roman" w:hAnsi="Times New Roman" w:cs="Times New Roman"/>
          <w:color w:val="000000"/>
        </w:rPr>
        <w:t xml:space="preserve"> to describe what historic preservation professionals should be looking for when entering a neighborhood—not what needs to be created or recreated through placemaking, but what already exists and can be identified by the residents of the community through placekeeping.  </w:t>
      </w:r>
    </w:p>
    <w:p w14:paraId="00DBCB41" w14:textId="77777777" w:rsidR="00C8103C" w:rsidRPr="006F0A23" w:rsidRDefault="00C8103C" w:rsidP="00703F46">
      <w:pPr>
        <w:spacing w:line="480" w:lineRule="auto"/>
        <w:rPr>
          <w:rFonts w:ascii="Times New Roman" w:hAnsi="Times New Roman" w:cs="Times New Roman"/>
          <w:color w:val="000000"/>
        </w:rPr>
      </w:pPr>
      <w:r w:rsidRPr="0013480C">
        <w:rPr>
          <w:rFonts w:ascii="Times New Roman" w:hAnsi="Times New Roman" w:cs="Times New Roman"/>
          <w:color w:val="000000"/>
        </w:rPr>
        <w:tab/>
        <w:t xml:space="preserve">Additionally, if preservationists are going to practice placekeeping, significance needs some rethinking. As </w:t>
      </w:r>
      <w:r>
        <w:rPr>
          <w:rFonts w:ascii="Times New Roman" w:hAnsi="Times New Roman" w:cs="Times New Roman"/>
          <w:color w:val="000000"/>
        </w:rPr>
        <w:t xml:space="preserve">geographer and urban planner </w:t>
      </w:r>
      <w:r w:rsidRPr="0013480C">
        <w:rPr>
          <w:rFonts w:ascii="Times New Roman" w:hAnsi="Times New Roman" w:cs="Times New Roman"/>
          <w:color w:val="000000"/>
        </w:rPr>
        <w:t xml:space="preserve">Randall Mason tells us, </w:t>
      </w:r>
    </w:p>
    <w:p w14:paraId="0B111E09" w14:textId="01D35DDC" w:rsidR="00C8103C" w:rsidRDefault="00C8103C" w:rsidP="009334F9">
      <w:pPr>
        <w:ind w:left="720" w:right="716"/>
        <w:rPr>
          <w:rFonts w:ascii="Times New Roman" w:hAnsi="Times New Roman" w:cs="Times New Roman"/>
          <w:color w:val="000000"/>
        </w:rPr>
      </w:pPr>
      <w:r w:rsidRPr="0013480C">
        <w:rPr>
          <w:rFonts w:ascii="Times New Roman" w:hAnsi="Times New Roman" w:cs="Times New Roman"/>
          <w:color w:val="000000"/>
        </w:rPr>
        <w:lastRenderedPageBreak/>
        <w:t>In significance, preservationists pack all their theory, ideology and politics—and their wonder at the capacity to use historic fabric to reflect on the past. A ‘statement of significance’ gathers together all the reasons why a building or place should be preserved, why it is meaningful or useful, and what aspects require most urgent protection. Once defined, significance is used as a basis for policy, planning and design decisions.</w:t>
      </w:r>
      <w:r w:rsidR="00942F37" w:rsidRPr="00F3497A">
        <w:rPr>
          <w:rStyle w:val="FootnoteReference"/>
        </w:rPr>
        <w:footnoteReference w:id="4"/>
      </w:r>
    </w:p>
    <w:p w14:paraId="24C46650" w14:textId="77777777" w:rsidR="009334F9" w:rsidRPr="006F0A23" w:rsidRDefault="009334F9" w:rsidP="009334F9">
      <w:pPr>
        <w:ind w:left="720" w:right="716"/>
        <w:rPr>
          <w:rFonts w:ascii="-webkit-standard" w:hAnsi="-webkit-standard" w:cs="Times New Roman"/>
          <w:color w:val="000000"/>
        </w:rPr>
      </w:pPr>
    </w:p>
    <w:p w14:paraId="2AB9F333" w14:textId="77777777" w:rsidR="00C8103C" w:rsidRPr="0013480C" w:rsidRDefault="00C8103C" w:rsidP="00703F46">
      <w:pPr>
        <w:spacing w:line="480" w:lineRule="auto"/>
        <w:ind w:right="-4" w:firstLine="720"/>
        <w:rPr>
          <w:rFonts w:ascii="-webkit-standard" w:hAnsi="-webkit-standard" w:cs="Times New Roman"/>
          <w:color w:val="000000"/>
        </w:rPr>
      </w:pPr>
      <w:r w:rsidRPr="0013480C">
        <w:rPr>
          <w:rFonts w:ascii="Times New Roman" w:hAnsi="Times New Roman" w:cs="Times New Roman"/>
          <w:color w:val="000000"/>
        </w:rPr>
        <w:t xml:space="preserve">Significance is clearly an important concept, and one that preservationists have taken upon themselves to identify and expand on within historic context reports and National Register nominations. Without confirmation and endorsement from the community who resides in or near these significance places, how is the preservationist to have clear knowledge of what or why something is significant? Here again, misidentification of something as consequential as significance has the power to erode cultural and character-defining elements within a community, and create mistrust between the community and those promoting a preservation project. </w:t>
      </w:r>
    </w:p>
    <w:p w14:paraId="3AB3A5C9" w14:textId="3B2689D4" w:rsidR="00C8103C" w:rsidRPr="0013480C" w:rsidRDefault="00C8103C" w:rsidP="00703F46">
      <w:pPr>
        <w:spacing w:line="480" w:lineRule="auto"/>
        <w:ind w:firstLine="720"/>
        <w:rPr>
          <w:rFonts w:ascii="-webkit-standard" w:hAnsi="-webkit-standard" w:cs="Times New Roman"/>
          <w:color w:val="000000"/>
        </w:rPr>
      </w:pPr>
      <w:r w:rsidRPr="0013480C">
        <w:rPr>
          <w:rFonts w:ascii="Times New Roman" w:hAnsi="Times New Roman" w:cs="Times New Roman"/>
          <w:color w:val="000000"/>
        </w:rPr>
        <w:t xml:space="preserve">It is within communities </w:t>
      </w:r>
      <w:r w:rsidR="00D36497">
        <w:rPr>
          <w:rFonts w:ascii="Times New Roman" w:hAnsi="Times New Roman" w:cs="Times New Roman"/>
          <w:color w:val="000000"/>
        </w:rPr>
        <w:t>experiencing the threat of</w:t>
      </w:r>
      <w:r w:rsidR="00847AEA">
        <w:rPr>
          <w:rFonts w:ascii="Times New Roman" w:hAnsi="Times New Roman" w:cs="Times New Roman"/>
          <w:color w:val="000000"/>
        </w:rPr>
        <w:t xml:space="preserve"> cultural gentrification</w:t>
      </w:r>
      <w:r w:rsidR="00847AEA" w:rsidRPr="0013480C">
        <w:rPr>
          <w:rFonts w:ascii="Times New Roman" w:hAnsi="Times New Roman" w:cs="Times New Roman"/>
          <w:color w:val="000000"/>
        </w:rPr>
        <w:t xml:space="preserve"> </w:t>
      </w:r>
      <w:r w:rsidRPr="0013480C">
        <w:rPr>
          <w:rFonts w:ascii="Times New Roman" w:hAnsi="Times New Roman" w:cs="Times New Roman"/>
          <w:color w:val="000000"/>
        </w:rPr>
        <w:t xml:space="preserve">that </w:t>
      </w:r>
      <w:r w:rsidR="00CA797A">
        <w:rPr>
          <w:rFonts w:ascii="Times New Roman" w:hAnsi="Times New Roman" w:cs="Times New Roman"/>
          <w:color w:val="000000"/>
        </w:rPr>
        <w:t>this treatise will focus</w:t>
      </w:r>
      <w:r w:rsidRPr="0013480C">
        <w:rPr>
          <w:rFonts w:ascii="Times New Roman" w:hAnsi="Times New Roman" w:cs="Times New Roman"/>
          <w:color w:val="000000"/>
        </w:rPr>
        <w:t xml:space="preserve">. I </w:t>
      </w:r>
      <w:r>
        <w:rPr>
          <w:rFonts w:ascii="Times New Roman" w:hAnsi="Times New Roman" w:cs="Times New Roman"/>
          <w:color w:val="000000"/>
        </w:rPr>
        <w:t>intend to</w:t>
      </w:r>
      <w:r w:rsidRPr="0013480C">
        <w:rPr>
          <w:rFonts w:ascii="Times New Roman" w:hAnsi="Times New Roman" w:cs="Times New Roman"/>
          <w:color w:val="000000"/>
        </w:rPr>
        <w:t xml:space="preserve"> further narrow my focus to recently deindustrialized American cities, typically called Legacy Cities or Rust Belt cities. I will pull examples from </w:t>
      </w:r>
      <w:r w:rsidR="00CA797A">
        <w:rPr>
          <w:rFonts w:ascii="Times New Roman" w:hAnsi="Times New Roman" w:cs="Times New Roman"/>
          <w:color w:val="000000"/>
        </w:rPr>
        <w:t xml:space="preserve">representative </w:t>
      </w:r>
      <w:r w:rsidRPr="0013480C">
        <w:rPr>
          <w:rFonts w:ascii="Times New Roman" w:hAnsi="Times New Roman" w:cs="Times New Roman"/>
          <w:color w:val="000000"/>
        </w:rPr>
        <w:t>neighborhoods in Buffalo</w:t>
      </w:r>
      <w:r w:rsidR="00CA797A">
        <w:rPr>
          <w:rFonts w:ascii="Times New Roman" w:hAnsi="Times New Roman" w:cs="Times New Roman"/>
          <w:color w:val="000000"/>
        </w:rPr>
        <w:t>, New York,</w:t>
      </w:r>
      <w:r w:rsidRPr="0013480C">
        <w:rPr>
          <w:rFonts w:ascii="Times New Roman" w:hAnsi="Times New Roman" w:cs="Times New Roman"/>
          <w:color w:val="000000"/>
        </w:rPr>
        <w:t xml:space="preserve"> for ideas of what is working and not working</w:t>
      </w:r>
      <w:r>
        <w:rPr>
          <w:rFonts w:ascii="Times New Roman" w:hAnsi="Times New Roman" w:cs="Times New Roman"/>
          <w:color w:val="000000"/>
        </w:rPr>
        <w:t xml:space="preserve"> in the relationship between historic preservation ideals and the neighborhood resident’s perception of what the neighborhood needs to be viable. I will be looking at</w:t>
      </w:r>
      <w:r w:rsidRPr="0013480C">
        <w:rPr>
          <w:rFonts w:ascii="Times New Roman" w:hAnsi="Times New Roman" w:cs="Times New Roman"/>
          <w:color w:val="000000"/>
        </w:rPr>
        <w:t xml:space="preserve"> how historic preservation can be used as a catalyst for positive change</w:t>
      </w:r>
      <w:r>
        <w:rPr>
          <w:rFonts w:ascii="Times New Roman" w:hAnsi="Times New Roman" w:cs="Times New Roman"/>
          <w:color w:val="000000"/>
        </w:rPr>
        <w:t xml:space="preserve"> between the residents and the municipality through the thoughtful acknowledgment, protection, and preservation of the existing community in times of change.</w:t>
      </w:r>
      <w:r w:rsidRPr="0013480C">
        <w:rPr>
          <w:rFonts w:ascii="Times New Roman" w:hAnsi="Times New Roman" w:cs="Times New Roman"/>
          <w:color w:val="000000"/>
        </w:rPr>
        <w:t xml:space="preserve"> These cities are ti</w:t>
      </w:r>
      <w:r>
        <w:rPr>
          <w:rFonts w:ascii="Times New Roman" w:hAnsi="Times New Roman" w:cs="Times New Roman"/>
          <w:color w:val="000000"/>
        </w:rPr>
        <w:t>mely choices because following</w:t>
      </w:r>
      <w:r w:rsidRPr="0013480C">
        <w:rPr>
          <w:rFonts w:ascii="Times New Roman" w:hAnsi="Times New Roman" w:cs="Times New Roman"/>
          <w:color w:val="000000"/>
        </w:rPr>
        <w:t xml:space="preserve"> long period</w:t>
      </w:r>
      <w:r>
        <w:rPr>
          <w:rFonts w:ascii="Times New Roman" w:hAnsi="Times New Roman" w:cs="Times New Roman"/>
          <w:color w:val="000000"/>
        </w:rPr>
        <w:t>s</w:t>
      </w:r>
      <w:r w:rsidRPr="0013480C">
        <w:rPr>
          <w:rFonts w:ascii="Times New Roman" w:hAnsi="Times New Roman" w:cs="Times New Roman"/>
          <w:color w:val="000000"/>
        </w:rPr>
        <w:t xml:space="preserve"> of steady economic </w:t>
      </w:r>
      <w:r w:rsidR="00D111EE" w:rsidRPr="0013480C">
        <w:rPr>
          <w:rFonts w:ascii="Times New Roman" w:hAnsi="Times New Roman" w:cs="Times New Roman"/>
          <w:color w:val="000000"/>
        </w:rPr>
        <w:t xml:space="preserve">decline, </w:t>
      </w:r>
      <w:r w:rsidR="00D111EE">
        <w:rPr>
          <w:rFonts w:ascii="Times New Roman" w:hAnsi="Times New Roman" w:cs="Times New Roman"/>
          <w:color w:val="000000"/>
        </w:rPr>
        <w:t>Legacy</w:t>
      </w:r>
      <w:r w:rsidR="00CA797A">
        <w:rPr>
          <w:rFonts w:ascii="Times New Roman" w:hAnsi="Times New Roman" w:cs="Times New Roman"/>
          <w:color w:val="000000"/>
        </w:rPr>
        <w:t xml:space="preserve"> Cities</w:t>
      </w:r>
      <w:r w:rsidRPr="0013480C">
        <w:rPr>
          <w:rFonts w:ascii="Times New Roman" w:hAnsi="Times New Roman" w:cs="Times New Roman"/>
          <w:color w:val="000000"/>
        </w:rPr>
        <w:t xml:space="preserve"> are </w:t>
      </w:r>
      <w:r>
        <w:rPr>
          <w:rFonts w:ascii="Times New Roman" w:hAnsi="Times New Roman" w:cs="Times New Roman"/>
          <w:color w:val="000000"/>
        </w:rPr>
        <w:t>beginning to see shifts in their economies</w:t>
      </w:r>
      <w:r w:rsidRPr="0013480C">
        <w:rPr>
          <w:rFonts w:ascii="Times New Roman" w:hAnsi="Times New Roman" w:cs="Times New Roman"/>
          <w:color w:val="000000"/>
        </w:rPr>
        <w:t xml:space="preserve"> </w:t>
      </w:r>
      <w:r>
        <w:rPr>
          <w:rFonts w:ascii="Times New Roman" w:hAnsi="Times New Roman" w:cs="Times New Roman"/>
          <w:color w:val="000000"/>
        </w:rPr>
        <w:t>towards</w:t>
      </w:r>
      <w:r w:rsidRPr="0013480C">
        <w:rPr>
          <w:rFonts w:ascii="Times New Roman" w:hAnsi="Times New Roman" w:cs="Times New Roman"/>
          <w:color w:val="000000"/>
        </w:rPr>
        <w:t xml:space="preserve"> the positive. </w:t>
      </w:r>
      <w:r w:rsidRPr="0013480C">
        <w:rPr>
          <w:rFonts w:ascii="Times New Roman" w:hAnsi="Times New Roman" w:cs="Times New Roman"/>
          <w:color w:val="000000"/>
        </w:rPr>
        <w:lastRenderedPageBreak/>
        <w:t>Cons</w:t>
      </w:r>
      <w:r>
        <w:rPr>
          <w:rFonts w:ascii="Times New Roman" w:hAnsi="Times New Roman" w:cs="Times New Roman"/>
          <w:color w:val="000000"/>
        </w:rPr>
        <w:t>equently,</w:t>
      </w:r>
      <w:r w:rsidRPr="0013480C">
        <w:rPr>
          <w:rFonts w:ascii="Times New Roman" w:hAnsi="Times New Roman" w:cs="Times New Roman"/>
          <w:color w:val="000000"/>
        </w:rPr>
        <w:t xml:space="preserve"> as each of these cities need every new development dollar </w:t>
      </w:r>
      <w:r>
        <w:rPr>
          <w:rFonts w:ascii="Times New Roman" w:hAnsi="Times New Roman" w:cs="Times New Roman"/>
          <w:color w:val="000000"/>
        </w:rPr>
        <w:t>they</w:t>
      </w:r>
      <w:r w:rsidRPr="0013480C">
        <w:rPr>
          <w:rFonts w:ascii="Times New Roman" w:hAnsi="Times New Roman" w:cs="Times New Roman"/>
          <w:color w:val="000000"/>
        </w:rPr>
        <w:t xml:space="preserve"> can get, each </w:t>
      </w:r>
      <w:r>
        <w:rPr>
          <w:rFonts w:ascii="Times New Roman" w:hAnsi="Times New Roman" w:cs="Times New Roman"/>
          <w:color w:val="000000"/>
        </w:rPr>
        <w:t>is</w:t>
      </w:r>
      <w:r w:rsidRPr="0013480C">
        <w:rPr>
          <w:rFonts w:ascii="Times New Roman" w:hAnsi="Times New Roman" w:cs="Times New Roman"/>
          <w:color w:val="000000"/>
        </w:rPr>
        <w:t xml:space="preserve"> also struggling with the </w:t>
      </w:r>
      <w:r>
        <w:rPr>
          <w:rFonts w:ascii="Times New Roman" w:hAnsi="Times New Roman" w:cs="Times New Roman"/>
          <w:color w:val="000000"/>
        </w:rPr>
        <w:t xml:space="preserve">resultant </w:t>
      </w:r>
      <w:r w:rsidRPr="0013480C">
        <w:rPr>
          <w:rFonts w:ascii="Times New Roman" w:hAnsi="Times New Roman" w:cs="Times New Roman"/>
          <w:color w:val="000000"/>
        </w:rPr>
        <w:t>effects of gentrification, neighborhood upheaval, and local protest.</w:t>
      </w:r>
      <w:r w:rsidRPr="00F3497A">
        <w:rPr>
          <w:rStyle w:val="FootnoteReference"/>
        </w:rPr>
        <w:footnoteReference w:id="5"/>
      </w:r>
      <w:r w:rsidRPr="0013480C">
        <w:rPr>
          <w:rFonts w:ascii="Times New Roman" w:hAnsi="Times New Roman" w:cs="Times New Roman"/>
          <w:color w:val="FF0000"/>
        </w:rPr>
        <w:t xml:space="preserve"> </w:t>
      </w:r>
      <w:r w:rsidR="00703F46">
        <w:rPr>
          <w:rFonts w:ascii="Times New Roman" w:hAnsi="Times New Roman" w:cs="Times New Roman"/>
          <w:color w:val="000000" w:themeColor="text1"/>
        </w:rPr>
        <w:t>A culturally sustainable preservation model can help local governments and neighborhood advocacy groups find the balance between development and equitable land-use, and build strong, viable urban communities.</w:t>
      </w:r>
    </w:p>
    <w:p w14:paraId="64CC257B" w14:textId="77777777" w:rsidR="002B771A" w:rsidRDefault="002B771A" w:rsidP="00E15062">
      <w:pPr>
        <w:ind w:firstLine="720"/>
        <w:jc w:val="center"/>
        <w:rPr>
          <w:rFonts w:ascii="Times New Roman" w:hAnsi="Times New Roman" w:cs="Times New Roman"/>
          <w:sz w:val="28"/>
          <w:szCs w:val="28"/>
        </w:rPr>
      </w:pPr>
    </w:p>
    <w:p w14:paraId="1B1355E6" w14:textId="619266AA" w:rsidR="00B27FFE" w:rsidRPr="00DE5A54" w:rsidRDefault="002B771A" w:rsidP="0017719A">
      <w:pPr>
        <w:spacing w:line="480" w:lineRule="auto"/>
        <w:ind w:firstLine="720"/>
        <w:jc w:val="center"/>
        <w:rPr>
          <w:rFonts w:ascii="Times New Roman" w:hAnsi="Times New Roman" w:cs="Times New Roman"/>
          <w:u w:val="single"/>
        </w:rPr>
      </w:pPr>
      <w:r w:rsidRPr="00DE5A54">
        <w:rPr>
          <w:rFonts w:ascii="Times New Roman" w:hAnsi="Times New Roman" w:cs="Times New Roman"/>
          <w:u w:val="single"/>
        </w:rPr>
        <w:t xml:space="preserve">Definitions and Literature Research </w:t>
      </w:r>
    </w:p>
    <w:p w14:paraId="103750D1" w14:textId="7CD77FEE" w:rsidR="00B37B38" w:rsidRDefault="00B42709" w:rsidP="00B44CC6">
      <w:pPr>
        <w:spacing w:line="480" w:lineRule="auto"/>
        <w:ind w:firstLine="720"/>
        <w:rPr>
          <w:rFonts w:ascii="Times New Roman" w:hAnsi="Times New Roman" w:cs="Times New Roman"/>
        </w:rPr>
      </w:pPr>
      <w:r w:rsidRPr="00B42709">
        <w:rPr>
          <w:rFonts w:ascii="Times New Roman" w:hAnsi="Times New Roman" w:cs="Times New Roman"/>
        </w:rPr>
        <w:t>By utilizing a cultural</w:t>
      </w:r>
      <w:r w:rsidR="00557D48">
        <w:rPr>
          <w:rFonts w:ascii="Times New Roman" w:hAnsi="Times New Roman" w:cs="Times New Roman"/>
        </w:rPr>
        <w:t>ly sustainable</w:t>
      </w:r>
      <w:r w:rsidRPr="00B42709">
        <w:rPr>
          <w:rFonts w:ascii="Times New Roman" w:hAnsi="Times New Roman" w:cs="Times New Roman"/>
        </w:rPr>
        <w:t xml:space="preserve"> preservation model, historic preservation in Legacy Cities will be more readily accepted by the existing residents in a community, and is therefore more likely to realize positive outcomes for both the community</w:t>
      </w:r>
      <w:r w:rsidR="00A76B89">
        <w:rPr>
          <w:rFonts w:ascii="Times New Roman" w:hAnsi="Times New Roman" w:cs="Times New Roman"/>
        </w:rPr>
        <w:t>,</w:t>
      </w:r>
      <w:r w:rsidRPr="00B42709">
        <w:rPr>
          <w:rFonts w:ascii="Times New Roman" w:hAnsi="Times New Roman" w:cs="Times New Roman"/>
        </w:rPr>
        <w:t xml:space="preserve"> and the tangible and intangible resources which represent the community</w:t>
      </w:r>
      <w:r>
        <w:rPr>
          <w:rFonts w:ascii="Times New Roman" w:hAnsi="Times New Roman" w:cs="Times New Roman"/>
        </w:rPr>
        <w:t xml:space="preserve">’s social and cultural assets. </w:t>
      </w:r>
      <w:r w:rsidR="004749AB">
        <w:rPr>
          <w:rFonts w:ascii="Times New Roman" w:hAnsi="Times New Roman" w:cs="Times New Roman"/>
        </w:rPr>
        <w:t>This study seeks to find techniques to better understand and represent the people and thei</w:t>
      </w:r>
      <w:r w:rsidR="00F26014">
        <w:rPr>
          <w:rFonts w:ascii="Times New Roman" w:hAnsi="Times New Roman" w:cs="Times New Roman"/>
        </w:rPr>
        <w:t>r histories within gentrifying Legacy C</w:t>
      </w:r>
      <w:r w:rsidR="004749AB">
        <w:rPr>
          <w:rFonts w:ascii="Times New Roman" w:hAnsi="Times New Roman" w:cs="Times New Roman"/>
        </w:rPr>
        <w:t>ities</w:t>
      </w:r>
      <w:r w:rsidR="00A76B89">
        <w:rPr>
          <w:rFonts w:ascii="Times New Roman" w:hAnsi="Times New Roman" w:cs="Times New Roman"/>
        </w:rPr>
        <w:t>, using Buffalo, New York</w:t>
      </w:r>
      <w:r w:rsidR="009B2BB1">
        <w:rPr>
          <w:rFonts w:ascii="Times New Roman" w:hAnsi="Times New Roman" w:cs="Times New Roman"/>
        </w:rPr>
        <w:t>,</w:t>
      </w:r>
      <w:r w:rsidR="00A76B89">
        <w:rPr>
          <w:rFonts w:ascii="Times New Roman" w:hAnsi="Times New Roman" w:cs="Times New Roman"/>
        </w:rPr>
        <w:t xml:space="preserve"> as a case study</w:t>
      </w:r>
      <w:r w:rsidR="004749AB">
        <w:rPr>
          <w:rFonts w:ascii="Times New Roman" w:hAnsi="Times New Roman" w:cs="Times New Roman"/>
        </w:rPr>
        <w:t xml:space="preserve">. </w:t>
      </w:r>
      <w:r w:rsidR="0017719A">
        <w:rPr>
          <w:rFonts w:ascii="Times New Roman" w:hAnsi="Times New Roman" w:cs="Times New Roman"/>
        </w:rPr>
        <w:t>However, one cannot begin to research and make recommendations without first setting clear definitions for readers of terms used throughout the study. This</w:t>
      </w:r>
      <w:r w:rsidR="00E8720D">
        <w:rPr>
          <w:rFonts w:ascii="Times New Roman" w:hAnsi="Times New Roman" w:cs="Times New Roman"/>
        </w:rPr>
        <w:t xml:space="preserve"> chapter will introduce the topic of a cultural</w:t>
      </w:r>
      <w:r w:rsidR="004362DC">
        <w:rPr>
          <w:rFonts w:ascii="Times New Roman" w:hAnsi="Times New Roman" w:cs="Times New Roman"/>
        </w:rPr>
        <w:t>ly sustainable</w:t>
      </w:r>
      <w:r w:rsidR="00E8720D">
        <w:rPr>
          <w:rFonts w:ascii="Times New Roman" w:hAnsi="Times New Roman" w:cs="Times New Roman"/>
        </w:rPr>
        <w:t xml:space="preserve"> preservation model through an investigation into</w:t>
      </w:r>
      <w:r w:rsidR="00BD6776">
        <w:rPr>
          <w:rFonts w:ascii="Times New Roman" w:hAnsi="Times New Roman" w:cs="Times New Roman"/>
        </w:rPr>
        <w:t xml:space="preserve"> the factor</w:t>
      </w:r>
      <w:r w:rsidR="000A4B61">
        <w:rPr>
          <w:rFonts w:ascii="Times New Roman" w:hAnsi="Times New Roman" w:cs="Times New Roman"/>
        </w:rPr>
        <w:t>s</w:t>
      </w:r>
      <w:r w:rsidR="00BD6776">
        <w:rPr>
          <w:rFonts w:ascii="Times New Roman" w:hAnsi="Times New Roman" w:cs="Times New Roman"/>
        </w:rPr>
        <w:t xml:space="preserve"> involved </w:t>
      </w:r>
      <w:r w:rsidR="000A4B61">
        <w:rPr>
          <w:rFonts w:ascii="Times New Roman" w:hAnsi="Times New Roman" w:cs="Times New Roman"/>
        </w:rPr>
        <w:t>using</w:t>
      </w:r>
      <w:r w:rsidR="00E8720D">
        <w:rPr>
          <w:rFonts w:ascii="Times New Roman" w:hAnsi="Times New Roman" w:cs="Times New Roman"/>
        </w:rPr>
        <w:t xml:space="preserve"> current definitions and lite</w:t>
      </w:r>
      <w:r w:rsidR="00127059">
        <w:rPr>
          <w:rFonts w:ascii="Times New Roman" w:hAnsi="Times New Roman" w:cs="Times New Roman"/>
        </w:rPr>
        <w:t>rature</w:t>
      </w:r>
      <w:r w:rsidR="003C5CA5">
        <w:rPr>
          <w:rFonts w:ascii="Times New Roman" w:hAnsi="Times New Roman" w:cs="Times New Roman"/>
        </w:rPr>
        <w:t xml:space="preserve"> review</w:t>
      </w:r>
      <w:r w:rsidR="00BD6776">
        <w:rPr>
          <w:rFonts w:ascii="Times New Roman" w:hAnsi="Times New Roman" w:cs="Times New Roman"/>
        </w:rPr>
        <w:t>.</w:t>
      </w:r>
      <w:r w:rsidR="00127059">
        <w:rPr>
          <w:rFonts w:ascii="Times New Roman" w:hAnsi="Times New Roman" w:cs="Times New Roman"/>
        </w:rPr>
        <w:t xml:space="preserve"> </w:t>
      </w:r>
      <w:r w:rsidR="00BD6776">
        <w:rPr>
          <w:rFonts w:ascii="Times New Roman" w:hAnsi="Times New Roman" w:cs="Times New Roman"/>
        </w:rPr>
        <w:t xml:space="preserve">These defining factors will be divided into three </w:t>
      </w:r>
      <w:r w:rsidR="0017719A">
        <w:rPr>
          <w:rFonts w:ascii="Times New Roman" w:hAnsi="Times New Roman" w:cs="Times New Roman"/>
        </w:rPr>
        <w:t>categories:</w:t>
      </w:r>
      <w:r w:rsidR="00A76B89">
        <w:rPr>
          <w:rFonts w:ascii="Times New Roman" w:hAnsi="Times New Roman" w:cs="Times New Roman"/>
        </w:rPr>
        <w:t xml:space="preserve"> the environment</w:t>
      </w:r>
      <w:r w:rsidR="00127059">
        <w:rPr>
          <w:rFonts w:ascii="Times New Roman" w:hAnsi="Times New Roman" w:cs="Times New Roman"/>
        </w:rPr>
        <w:t xml:space="preserve">, </w:t>
      </w:r>
      <w:r w:rsidR="0017719A">
        <w:rPr>
          <w:rFonts w:ascii="Times New Roman" w:hAnsi="Times New Roman" w:cs="Times New Roman"/>
        </w:rPr>
        <w:t xml:space="preserve">the people, </w:t>
      </w:r>
      <w:r w:rsidR="00127059">
        <w:rPr>
          <w:rFonts w:ascii="Times New Roman" w:hAnsi="Times New Roman" w:cs="Times New Roman"/>
        </w:rPr>
        <w:t xml:space="preserve">and current scholarship </w:t>
      </w:r>
      <w:r w:rsidR="00BD6776">
        <w:rPr>
          <w:rFonts w:ascii="Times New Roman" w:hAnsi="Times New Roman" w:cs="Times New Roman"/>
        </w:rPr>
        <w:t>with regards to the intersection of historic preservation and</w:t>
      </w:r>
      <w:r w:rsidR="00127059">
        <w:rPr>
          <w:rFonts w:ascii="Times New Roman" w:hAnsi="Times New Roman" w:cs="Times New Roman"/>
        </w:rPr>
        <w:t xml:space="preserve"> cultural </w:t>
      </w:r>
      <w:r w:rsidR="00BD6776">
        <w:rPr>
          <w:rFonts w:ascii="Times New Roman" w:hAnsi="Times New Roman" w:cs="Times New Roman"/>
        </w:rPr>
        <w:t>sustainability</w:t>
      </w:r>
      <w:r w:rsidR="00127059">
        <w:rPr>
          <w:rFonts w:ascii="Times New Roman" w:hAnsi="Times New Roman" w:cs="Times New Roman"/>
        </w:rPr>
        <w:t xml:space="preserve">. </w:t>
      </w:r>
    </w:p>
    <w:p w14:paraId="7253C951" w14:textId="77777777" w:rsidR="00B44CC6" w:rsidRDefault="00B44CC6" w:rsidP="00B44CC6">
      <w:pPr>
        <w:spacing w:line="480" w:lineRule="auto"/>
        <w:ind w:firstLine="720"/>
        <w:rPr>
          <w:rFonts w:ascii="Times New Roman" w:hAnsi="Times New Roman" w:cs="Times New Roman"/>
        </w:rPr>
      </w:pPr>
    </w:p>
    <w:p w14:paraId="32395D81" w14:textId="5DC4DC0D" w:rsidR="00F5101C" w:rsidRPr="00695A6C" w:rsidRDefault="00BD6776" w:rsidP="009334F9">
      <w:pPr>
        <w:spacing w:line="480" w:lineRule="auto"/>
        <w:jc w:val="center"/>
        <w:rPr>
          <w:rFonts w:ascii="Times New Roman" w:hAnsi="Times New Roman" w:cs="Times New Roman"/>
          <w:u w:val="single"/>
        </w:rPr>
      </w:pPr>
      <w:r w:rsidRPr="00695A6C">
        <w:rPr>
          <w:rFonts w:ascii="Times New Roman" w:hAnsi="Times New Roman" w:cs="Times New Roman"/>
          <w:u w:val="single"/>
        </w:rPr>
        <w:lastRenderedPageBreak/>
        <w:t>Environment</w:t>
      </w:r>
    </w:p>
    <w:p w14:paraId="35A3A505" w14:textId="0E222383" w:rsidR="002C2EAC" w:rsidRDefault="00E8720D" w:rsidP="00F26014">
      <w:pPr>
        <w:spacing w:line="480" w:lineRule="auto"/>
        <w:ind w:firstLine="720"/>
        <w:rPr>
          <w:rFonts w:ascii="Times New Roman" w:hAnsi="Times New Roman" w:cs="Times New Roman"/>
        </w:rPr>
      </w:pPr>
      <w:r>
        <w:rPr>
          <w:rFonts w:ascii="Times New Roman" w:hAnsi="Times New Roman" w:cs="Times New Roman"/>
        </w:rPr>
        <w:t>The</w:t>
      </w:r>
      <w:r w:rsidR="00B42709">
        <w:rPr>
          <w:rFonts w:ascii="Times New Roman" w:hAnsi="Times New Roman" w:cs="Times New Roman"/>
        </w:rPr>
        <w:t xml:space="preserve"> environment into which historic preservation professionals enter </w:t>
      </w:r>
      <w:r w:rsidR="001F7B76">
        <w:rPr>
          <w:rFonts w:ascii="Times New Roman" w:hAnsi="Times New Roman" w:cs="Times New Roman"/>
        </w:rPr>
        <w:t>and do</w:t>
      </w:r>
      <w:r w:rsidR="00B42709">
        <w:rPr>
          <w:rFonts w:ascii="Times New Roman" w:hAnsi="Times New Roman" w:cs="Times New Roman"/>
        </w:rPr>
        <w:t xml:space="preserve"> their work is an imp</w:t>
      </w:r>
      <w:r w:rsidR="002C35EB">
        <w:rPr>
          <w:rFonts w:ascii="Times New Roman" w:hAnsi="Times New Roman" w:cs="Times New Roman"/>
        </w:rPr>
        <w:t>ortant component to consider</w:t>
      </w:r>
      <w:r>
        <w:rPr>
          <w:rFonts w:ascii="Times New Roman" w:hAnsi="Times New Roman" w:cs="Times New Roman"/>
        </w:rPr>
        <w:t>, and</w:t>
      </w:r>
      <w:r w:rsidR="00795325">
        <w:rPr>
          <w:rFonts w:ascii="Times New Roman" w:hAnsi="Times New Roman" w:cs="Times New Roman"/>
        </w:rPr>
        <w:t xml:space="preserve"> understanding</w:t>
      </w:r>
      <w:r w:rsidR="00BD6776">
        <w:rPr>
          <w:rFonts w:ascii="Times New Roman" w:hAnsi="Times New Roman" w:cs="Times New Roman"/>
        </w:rPr>
        <w:t xml:space="preserve"> current and historic</w:t>
      </w:r>
      <w:r>
        <w:rPr>
          <w:rFonts w:ascii="Times New Roman" w:hAnsi="Times New Roman" w:cs="Times New Roman"/>
        </w:rPr>
        <w:t xml:space="preserve"> context</w:t>
      </w:r>
      <w:r w:rsidR="00204E24">
        <w:rPr>
          <w:rFonts w:ascii="Times New Roman" w:hAnsi="Times New Roman" w:cs="Times New Roman"/>
        </w:rPr>
        <w:t>s</w:t>
      </w:r>
      <w:r>
        <w:rPr>
          <w:rFonts w:ascii="Times New Roman" w:hAnsi="Times New Roman" w:cs="Times New Roman"/>
        </w:rPr>
        <w:t xml:space="preserve"> will</w:t>
      </w:r>
      <w:r w:rsidR="002C35EB">
        <w:rPr>
          <w:rFonts w:ascii="Times New Roman" w:hAnsi="Times New Roman" w:cs="Times New Roman"/>
        </w:rPr>
        <w:t xml:space="preserve"> </w:t>
      </w:r>
      <w:r>
        <w:rPr>
          <w:rFonts w:ascii="Times New Roman" w:hAnsi="Times New Roman" w:cs="Times New Roman"/>
        </w:rPr>
        <w:t>ensure</w:t>
      </w:r>
      <w:r w:rsidR="002C35EB">
        <w:rPr>
          <w:rFonts w:ascii="Times New Roman" w:hAnsi="Times New Roman" w:cs="Times New Roman"/>
        </w:rPr>
        <w:t xml:space="preserve"> a more accurate interpretation of the given historic resources</w:t>
      </w:r>
      <w:r>
        <w:rPr>
          <w:rFonts w:ascii="Times New Roman" w:hAnsi="Times New Roman" w:cs="Times New Roman"/>
        </w:rPr>
        <w:t>.</w:t>
      </w:r>
      <w:r w:rsidR="008B3A02">
        <w:rPr>
          <w:rFonts w:ascii="Times New Roman" w:hAnsi="Times New Roman" w:cs="Times New Roman"/>
        </w:rPr>
        <w:t xml:space="preserve"> </w:t>
      </w:r>
      <w:r w:rsidR="00486F40">
        <w:rPr>
          <w:rFonts w:ascii="Times New Roman" w:hAnsi="Times New Roman" w:cs="Times New Roman"/>
        </w:rPr>
        <w:t>Briefly exploring the ideas and definitions tha</w:t>
      </w:r>
      <w:r w:rsidR="00204E24">
        <w:rPr>
          <w:rFonts w:ascii="Times New Roman" w:hAnsi="Times New Roman" w:cs="Times New Roman"/>
        </w:rPr>
        <w:t>t help us understand</w:t>
      </w:r>
      <w:r w:rsidR="00F26014">
        <w:rPr>
          <w:rFonts w:ascii="Times New Roman" w:hAnsi="Times New Roman" w:cs="Times New Roman"/>
        </w:rPr>
        <w:t xml:space="preserve"> terms such as Legacy C</w:t>
      </w:r>
      <w:r w:rsidR="00486F40">
        <w:rPr>
          <w:rFonts w:ascii="Times New Roman" w:hAnsi="Times New Roman" w:cs="Times New Roman"/>
        </w:rPr>
        <w:t>ities; place, sense of place, and placemaking/placekeeping; significance; and the positive and negative outcomes of a culturally sustainable preservation model</w:t>
      </w:r>
      <w:r w:rsidR="00F26014">
        <w:rPr>
          <w:rFonts w:ascii="Times New Roman" w:hAnsi="Times New Roman" w:cs="Times New Roman"/>
        </w:rPr>
        <w:t xml:space="preserve"> all</w:t>
      </w:r>
      <w:r w:rsidR="00486F40">
        <w:rPr>
          <w:rFonts w:ascii="Times New Roman" w:hAnsi="Times New Roman" w:cs="Times New Roman"/>
        </w:rPr>
        <w:t xml:space="preserve"> through the lens of historic</w:t>
      </w:r>
      <w:r w:rsidR="00204E24">
        <w:rPr>
          <w:rFonts w:ascii="Times New Roman" w:hAnsi="Times New Roman" w:cs="Times New Roman"/>
        </w:rPr>
        <w:t xml:space="preserve"> preservation</w:t>
      </w:r>
      <w:r w:rsidR="00486F40">
        <w:rPr>
          <w:rFonts w:ascii="Times New Roman" w:hAnsi="Times New Roman" w:cs="Times New Roman"/>
        </w:rPr>
        <w:t xml:space="preserve"> will</w:t>
      </w:r>
      <w:r w:rsidR="002C2EAC">
        <w:rPr>
          <w:rFonts w:ascii="Times New Roman" w:hAnsi="Times New Roman" w:cs="Times New Roman"/>
        </w:rPr>
        <w:t xml:space="preserve"> allow consistency within the discussion. </w:t>
      </w:r>
    </w:p>
    <w:p w14:paraId="7BFD03D2" w14:textId="77777777" w:rsidR="00595632" w:rsidRDefault="00595632" w:rsidP="00F26014">
      <w:pPr>
        <w:spacing w:line="480" w:lineRule="auto"/>
        <w:ind w:firstLine="720"/>
        <w:rPr>
          <w:rFonts w:ascii="Times New Roman" w:hAnsi="Times New Roman" w:cs="Times New Roman"/>
        </w:rPr>
      </w:pPr>
    </w:p>
    <w:p w14:paraId="49C6873D" w14:textId="1C8007F1" w:rsidR="001D7C35" w:rsidRPr="00B37B38" w:rsidRDefault="00E6214E" w:rsidP="009334F9">
      <w:pPr>
        <w:spacing w:line="480" w:lineRule="auto"/>
        <w:rPr>
          <w:rFonts w:ascii="Times New Roman" w:hAnsi="Times New Roman" w:cs="Times New Roman"/>
          <w:u w:val="single"/>
        </w:rPr>
      </w:pPr>
      <w:r w:rsidRPr="00B37B38">
        <w:rPr>
          <w:rFonts w:ascii="Times New Roman" w:hAnsi="Times New Roman" w:cs="Times New Roman"/>
          <w:u w:val="single"/>
        </w:rPr>
        <w:t>Legacy Cities</w:t>
      </w:r>
    </w:p>
    <w:p w14:paraId="5C4AAEE9" w14:textId="135F0C02" w:rsidR="00F32A94" w:rsidRPr="00A47C38" w:rsidRDefault="0052508D" w:rsidP="00990796">
      <w:pPr>
        <w:spacing w:line="480" w:lineRule="auto"/>
        <w:ind w:firstLine="720"/>
        <w:rPr>
          <w:rFonts w:ascii="Times New Roman" w:hAnsi="Times New Roman" w:cs="Times New Roman"/>
        </w:rPr>
      </w:pPr>
      <w:r w:rsidRPr="00A47C38">
        <w:rPr>
          <w:rFonts w:ascii="Times New Roman" w:hAnsi="Times New Roman" w:cs="Times New Roman"/>
        </w:rPr>
        <w:t>The term</w:t>
      </w:r>
      <w:r w:rsidR="00F26014">
        <w:rPr>
          <w:rFonts w:ascii="Times New Roman" w:hAnsi="Times New Roman" w:cs="Times New Roman"/>
        </w:rPr>
        <w:t xml:space="preserve"> “Legacy C</w:t>
      </w:r>
      <w:r w:rsidR="00FF44F3" w:rsidRPr="00A47C38">
        <w:rPr>
          <w:rFonts w:ascii="Times New Roman" w:hAnsi="Times New Roman" w:cs="Times New Roman"/>
        </w:rPr>
        <w:t>ity</w:t>
      </w:r>
      <w:r w:rsidR="002D30F2">
        <w:rPr>
          <w:rFonts w:ascii="Times New Roman" w:hAnsi="Times New Roman" w:cs="Times New Roman"/>
        </w:rPr>
        <w:t>,</w:t>
      </w:r>
      <w:r w:rsidR="00F26014">
        <w:rPr>
          <w:rFonts w:ascii="Times New Roman" w:hAnsi="Times New Roman" w:cs="Times New Roman"/>
        </w:rPr>
        <w:t>”</w:t>
      </w:r>
      <w:r w:rsidR="002D30F2">
        <w:rPr>
          <w:rFonts w:ascii="Times New Roman" w:hAnsi="Times New Roman" w:cs="Times New Roman"/>
        </w:rPr>
        <w:t xml:space="preserve"> coined by Alan </w:t>
      </w:r>
      <w:proofErr w:type="spellStart"/>
      <w:r w:rsidR="002D30F2">
        <w:rPr>
          <w:rFonts w:ascii="Times New Roman" w:hAnsi="Times New Roman" w:cs="Times New Roman"/>
        </w:rPr>
        <w:t>Mallach</w:t>
      </w:r>
      <w:proofErr w:type="spellEnd"/>
      <w:r w:rsidR="002D30F2">
        <w:rPr>
          <w:rFonts w:ascii="Times New Roman" w:hAnsi="Times New Roman" w:cs="Times New Roman"/>
        </w:rPr>
        <w:t>, Senior Fellow at</w:t>
      </w:r>
      <w:r w:rsidR="00B44CC6">
        <w:rPr>
          <w:rFonts w:ascii="Times New Roman" w:hAnsi="Times New Roman" w:cs="Times New Roman"/>
        </w:rPr>
        <w:t xml:space="preserve"> the</w:t>
      </w:r>
      <w:r w:rsidR="002D30F2">
        <w:rPr>
          <w:rFonts w:ascii="Times New Roman" w:hAnsi="Times New Roman" w:cs="Times New Roman"/>
        </w:rPr>
        <w:t xml:space="preserve"> Center for Community Progress,</w:t>
      </w:r>
      <w:r w:rsidR="00FF44F3" w:rsidRPr="00A47C38">
        <w:rPr>
          <w:rFonts w:ascii="Times New Roman" w:hAnsi="Times New Roman" w:cs="Times New Roman"/>
        </w:rPr>
        <w:t xml:space="preserve"> is </w:t>
      </w:r>
      <w:r w:rsidR="00E202FF" w:rsidRPr="00A47C38">
        <w:rPr>
          <w:rFonts w:ascii="Times New Roman" w:hAnsi="Times New Roman" w:cs="Times New Roman"/>
        </w:rPr>
        <w:t xml:space="preserve">a </w:t>
      </w:r>
      <w:r w:rsidR="005F7EE8" w:rsidRPr="00A47C38">
        <w:rPr>
          <w:rFonts w:ascii="Times New Roman" w:hAnsi="Times New Roman" w:cs="Times New Roman"/>
        </w:rPr>
        <w:t>refinement of what was previously referred to as a Rust Belt City</w:t>
      </w:r>
      <w:r w:rsidR="00B8484A" w:rsidRPr="00A47C38">
        <w:rPr>
          <w:rFonts w:ascii="Times New Roman" w:hAnsi="Times New Roman" w:cs="Times New Roman"/>
        </w:rPr>
        <w:t>;</w:t>
      </w:r>
      <w:r w:rsidR="002C2EAC" w:rsidRPr="00A47C38">
        <w:rPr>
          <w:rFonts w:ascii="Times New Roman" w:hAnsi="Times New Roman" w:cs="Times New Roman"/>
        </w:rPr>
        <w:t xml:space="preserve"> </w:t>
      </w:r>
      <w:r w:rsidR="00B44012" w:rsidRPr="00A47C38">
        <w:rPr>
          <w:rFonts w:ascii="Times New Roman" w:hAnsi="Times New Roman" w:cs="Times New Roman"/>
        </w:rPr>
        <w:t>a formerly booming</w:t>
      </w:r>
      <w:r w:rsidR="002C2EAC" w:rsidRPr="00A47C38">
        <w:rPr>
          <w:rFonts w:ascii="Times New Roman" w:hAnsi="Times New Roman" w:cs="Times New Roman"/>
        </w:rPr>
        <w:t xml:space="preserve"> industrial,</w:t>
      </w:r>
      <w:r w:rsidR="00B44012" w:rsidRPr="00A47C38">
        <w:rPr>
          <w:rFonts w:ascii="Times New Roman" w:hAnsi="Times New Roman" w:cs="Times New Roman"/>
        </w:rPr>
        <w:t xml:space="preserve"> economic</w:t>
      </w:r>
      <w:r w:rsidR="002C2EAC" w:rsidRPr="00A47C38">
        <w:rPr>
          <w:rFonts w:ascii="Times New Roman" w:hAnsi="Times New Roman" w:cs="Times New Roman"/>
        </w:rPr>
        <w:t>,</w:t>
      </w:r>
      <w:r w:rsidR="00B44012" w:rsidRPr="00A47C38">
        <w:rPr>
          <w:rFonts w:ascii="Times New Roman" w:hAnsi="Times New Roman" w:cs="Times New Roman"/>
        </w:rPr>
        <w:t xml:space="preserve"> and population center of the American Midwest</w:t>
      </w:r>
      <w:r w:rsidR="002C2EAC" w:rsidRPr="00A47C38">
        <w:rPr>
          <w:rFonts w:ascii="Times New Roman" w:hAnsi="Times New Roman" w:cs="Times New Roman"/>
        </w:rPr>
        <w:t>, Mid-Atlantic,</w:t>
      </w:r>
      <w:r w:rsidR="00B44012" w:rsidRPr="00A47C38">
        <w:rPr>
          <w:rFonts w:ascii="Times New Roman" w:hAnsi="Times New Roman" w:cs="Times New Roman"/>
        </w:rPr>
        <w:t xml:space="preserve"> and Northeast that, since the latter half of the twentieth century</w:t>
      </w:r>
      <w:r w:rsidR="005D3554" w:rsidRPr="00A47C38">
        <w:rPr>
          <w:rFonts w:ascii="Times New Roman" w:hAnsi="Times New Roman" w:cs="Times New Roman"/>
        </w:rPr>
        <w:t>,</w:t>
      </w:r>
      <w:r w:rsidR="00B44012" w:rsidRPr="00A47C38">
        <w:rPr>
          <w:rFonts w:ascii="Times New Roman" w:hAnsi="Times New Roman" w:cs="Times New Roman"/>
        </w:rPr>
        <w:t xml:space="preserve"> experienced a precipitous decline in its economy, industry, and population. </w:t>
      </w:r>
      <w:r w:rsidR="00F26014">
        <w:rPr>
          <w:rFonts w:ascii="Times New Roman" w:hAnsi="Times New Roman" w:cs="Times New Roman"/>
        </w:rPr>
        <w:t>Recognizable larger Legacy C</w:t>
      </w:r>
      <w:r w:rsidR="00CE488E" w:rsidRPr="00A47C38">
        <w:rPr>
          <w:rFonts w:ascii="Times New Roman" w:hAnsi="Times New Roman" w:cs="Times New Roman"/>
        </w:rPr>
        <w:t>ities like St. Louis</w:t>
      </w:r>
      <w:r w:rsidR="00111B41" w:rsidRPr="00A47C38">
        <w:rPr>
          <w:rFonts w:ascii="Times New Roman" w:hAnsi="Times New Roman" w:cs="Times New Roman"/>
        </w:rPr>
        <w:t>, Baltimore,</w:t>
      </w:r>
      <w:r w:rsidR="00CE488E" w:rsidRPr="00A47C38">
        <w:rPr>
          <w:rFonts w:ascii="Times New Roman" w:hAnsi="Times New Roman" w:cs="Times New Roman"/>
        </w:rPr>
        <w:t xml:space="preserve"> and Detroit ar</w:t>
      </w:r>
      <w:r w:rsidR="002C2EAC" w:rsidRPr="00A47C38">
        <w:rPr>
          <w:rFonts w:ascii="Times New Roman" w:hAnsi="Times New Roman" w:cs="Times New Roman"/>
        </w:rPr>
        <w:t>e classic examples. However, this</w:t>
      </w:r>
      <w:r w:rsidR="00CE488E" w:rsidRPr="00A47C38">
        <w:rPr>
          <w:rFonts w:ascii="Times New Roman" w:hAnsi="Times New Roman" w:cs="Times New Roman"/>
        </w:rPr>
        <w:t xml:space="preserve"> phenomenon occurred in cities of various sizes</w:t>
      </w:r>
      <w:r w:rsidR="00990796">
        <w:rPr>
          <w:rFonts w:ascii="Times New Roman" w:hAnsi="Times New Roman" w:cs="Times New Roman"/>
        </w:rPr>
        <w:t xml:space="preserve"> throughout the Rust Belt,</w:t>
      </w:r>
      <w:r w:rsidR="00CE488E" w:rsidRPr="00A47C38">
        <w:rPr>
          <w:rFonts w:ascii="Times New Roman" w:hAnsi="Times New Roman" w:cs="Times New Roman"/>
        </w:rPr>
        <w:t xml:space="preserve"> including</w:t>
      </w:r>
      <w:r w:rsidR="00B920F9" w:rsidRPr="00A47C38">
        <w:rPr>
          <w:rFonts w:ascii="Times New Roman" w:hAnsi="Times New Roman" w:cs="Times New Roman"/>
        </w:rPr>
        <w:t xml:space="preserve"> those such as</w:t>
      </w:r>
      <w:r w:rsidR="00CE488E" w:rsidRPr="00A47C38">
        <w:rPr>
          <w:rFonts w:ascii="Times New Roman" w:hAnsi="Times New Roman" w:cs="Times New Roman"/>
        </w:rPr>
        <w:t xml:space="preserve"> </w:t>
      </w:r>
      <w:r w:rsidR="00111B41" w:rsidRPr="00A47C38">
        <w:rPr>
          <w:rFonts w:ascii="Times New Roman" w:hAnsi="Times New Roman" w:cs="Times New Roman"/>
        </w:rPr>
        <w:t xml:space="preserve">Youngstown, OH, </w:t>
      </w:r>
      <w:r w:rsidR="00B920F9" w:rsidRPr="00A47C38">
        <w:rPr>
          <w:rFonts w:ascii="Times New Roman" w:hAnsi="Times New Roman" w:cs="Times New Roman"/>
        </w:rPr>
        <w:t>Syracuse</w:t>
      </w:r>
      <w:r w:rsidR="00990796">
        <w:rPr>
          <w:rFonts w:ascii="Times New Roman" w:hAnsi="Times New Roman" w:cs="Times New Roman"/>
        </w:rPr>
        <w:t>,</w:t>
      </w:r>
      <w:r w:rsidR="00B920F9" w:rsidRPr="00A47C38">
        <w:rPr>
          <w:rFonts w:ascii="Times New Roman" w:hAnsi="Times New Roman" w:cs="Times New Roman"/>
        </w:rPr>
        <w:t xml:space="preserve"> NY</w:t>
      </w:r>
      <w:r w:rsidR="00111B41" w:rsidRPr="00A47C38">
        <w:rPr>
          <w:rFonts w:ascii="Times New Roman" w:hAnsi="Times New Roman" w:cs="Times New Roman"/>
        </w:rPr>
        <w:t xml:space="preserve">, and </w:t>
      </w:r>
      <w:r w:rsidR="00B920F9" w:rsidRPr="00A47C38">
        <w:rPr>
          <w:rFonts w:ascii="Times New Roman" w:hAnsi="Times New Roman" w:cs="Times New Roman"/>
        </w:rPr>
        <w:t xml:space="preserve">Flint, MI. </w:t>
      </w:r>
      <w:r w:rsidR="00B8484A" w:rsidRPr="00A47C38">
        <w:rPr>
          <w:rFonts w:ascii="Times New Roman" w:hAnsi="Times New Roman" w:cs="Times New Roman"/>
        </w:rPr>
        <w:t xml:space="preserve">Vacant and neglected homes, </w:t>
      </w:r>
      <w:r w:rsidR="002D30F2">
        <w:rPr>
          <w:rFonts w:ascii="Times New Roman" w:hAnsi="Times New Roman" w:cs="Times New Roman"/>
        </w:rPr>
        <w:t>abandoned</w:t>
      </w:r>
      <w:r w:rsidR="00B8484A" w:rsidRPr="00A47C38">
        <w:rPr>
          <w:rFonts w:ascii="Times New Roman" w:hAnsi="Times New Roman" w:cs="Times New Roman"/>
        </w:rPr>
        <w:t xml:space="preserve"> industrial sites, and a </w:t>
      </w:r>
      <w:r w:rsidR="002D30F2">
        <w:rPr>
          <w:rFonts w:ascii="Times New Roman" w:hAnsi="Times New Roman" w:cs="Times New Roman"/>
        </w:rPr>
        <w:t>local</w:t>
      </w:r>
      <w:r w:rsidR="00E17C33">
        <w:rPr>
          <w:rFonts w:ascii="Times New Roman" w:hAnsi="Times New Roman" w:cs="Times New Roman"/>
        </w:rPr>
        <w:t xml:space="preserve"> government</w:t>
      </w:r>
      <w:r w:rsidR="00B8484A" w:rsidRPr="00A47C38">
        <w:rPr>
          <w:rFonts w:ascii="Times New Roman" w:hAnsi="Times New Roman" w:cs="Times New Roman"/>
        </w:rPr>
        <w:t xml:space="preserve"> </w:t>
      </w:r>
      <w:r w:rsidR="00E17C33">
        <w:rPr>
          <w:rFonts w:ascii="Times New Roman" w:hAnsi="Times New Roman" w:cs="Times New Roman"/>
        </w:rPr>
        <w:t>left with few fiscal</w:t>
      </w:r>
      <w:r w:rsidR="00B8484A" w:rsidRPr="00A47C38">
        <w:rPr>
          <w:rFonts w:ascii="Times New Roman" w:hAnsi="Times New Roman" w:cs="Times New Roman"/>
        </w:rPr>
        <w:t xml:space="preserve"> resources to deal with the ramifications of decline on the city’s remaining population</w:t>
      </w:r>
      <w:r w:rsidR="00E17C33">
        <w:rPr>
          <w:rFonts w:ascii="Times New Roman" w:hAnsi="Times New Roman" w:cs="Times New Roman"/>
        </w:rPr>
        <w:t xml:space="preserve"> and infrastructure</w:t>
      </w:r>
      <w:r w:rsidR="002D30F2">
        <w:rPr>
          <w:rFonts w:ascii="Times New Roman" w:hAnsi="Times New Roman" w:cs="Times New Roman"/>
        </w:rPr>
        <w:t xml:space="preserve"> </w:t>
      </w:r>
      <w:r w:rsidR="00E17C33">
        <w:rPr>
          <w:rFonts w:ascii="Times New Roman" w:hAnsi="Times New Roman" w:cs="Times New Roman"/>
        </w:rPr>
        <w:t>characterize</w:t>
      </w:r>
      <w:r w:rsidR="00990796">
        <w:rPr>
          <w:rFonts w:ascii="Times New Roman" w:hAnsi="Times New Roman" w:cs="Times New Roman"/>
        </w:rPr>
        <w:t xml:space="preserve"> the environment of the Legacy C</w:t>
      </w:r>
      <w:r w:rsidR="00B8484A" w:rsidRPr="00A47C38">
        <w:rPr>
          <w:rFonts w:ascii="Times New Roman" w:hAnsi="Times New Roman" w:cs="Times New Roman"/>
        </w:rPr>
        <w:t xml:space="preserve">ity. </w:t>
      </w:r>
      <w:r w:rsidR="00306A60" w:rsidRPr="00A47C38">
        <w:rPr>
          <w:rFonts w:ascii="Times New Roman" w:hAnsi="Times New Roman" w:cs="Times New Roman"/>
        </w:rPr>
        <w:t xml:space="preserve">Disinvestment and suburban flight </w:t>
      </w:r>
      <w:r w:rsidR="00E17C33">
        <w:rPr>
          <w:rFonts w:ascii="Times New Roman" w:hAnsi="Times New Roman" w:cs="Times New Roman"/>
        </w:rPr>
        <w:t>exemplify</w:t>
      </w:r>
      <w:r w:rsidR="00306A60" w:rsidRPr="00A47C38">
        <w:rPr>
          <w:rFonts w:ascii="Times New Roman" w:hAnsi="Times New Roman" w:cs="Times New Roman"/>
        </w:rPr>
        <w:t xml:space="preserve"> what happened in these cities, and the subsequent population loss is the crux of the preservationist’</w:t>
      </w:r>
      <w:r w:rsidR="00F10634" w:rsidRPr="00A47C38">
        <w:rPr>
          <w:rFonts w:ascii="Times New Roman" w:hAnsi="Times New Roman" w:cs="Times New Roman"/>
        </w:rPr>
        <w:t>s problem</w:t>
      </w:r>
      <w:r w:rsidR="00306A60" w:rsidRPr="00A47C38">
        <w:rPr>
          <w:rFonts w:ascii="Times New Roman" w:hAnsi="Times New Roman" w:cs="Times New Roman"/>
        </w:rPr>
        <w:t xml:space="preserve">. Alan </w:t>
      </w:r>
      <w:proofErr w:type="spellStart"/>
      <w:r w:rsidR="00306A60" w:rsidRPr="00A47C38">
        <w:rPr>
          <w:rFonts w:ascii="Times New Roman" w:hAnsi="Times New Roman" w:cs="Times New Roman"/>
        </w:rPr>
        <w:t>Mallach</w:t>
      </w:r>
      <w:proofErr w:type="spellEnd"/>
      <w:r w:rsidR="00306A60" w:rsidRPr="00A47C38">
        <w:rPr>
          <w:rFonts w:ascii="Times New Roman" w:hAnsi="Times New Roman" w:cs="Times New Roman"/>
        </w:rPr>
        <w:t xml:space="preserve"> </w:t>
      </w:r>
      <w:r w:rsidR="00A47C38">
        <w:rPr>
          <w:rFonts w:ascii="Times New Roman" w:hAnsi="Times New Roman" w:cs="Times New Roman"/>
        </w:rPr>
        <w:t>expands on the issue</w:t>
      </w:r>
      <w:r w:rsidR="00990796">
        <w:rPr>
          <w:rFonts w:ascii="Times New Roman" w:hAnsi="Times New Roman" w:cs="Times New Roman"/>
        </w:rPr>
        <w:t>s faced by Legacy C</w:t>
      </w:r>
      <w:r w:rsidR="00744811">
        <w:rPr>
          <w:rFonts w:ascii="Times New Roman" w:hAnsi="Times New Roman" w:cs="Times New Roman"/>
        </w:rPr>
        <w:t>ities</w:t>
      </w:r>
      <w:r w:rsidR="00C9602F" w:rsidRPr="00A47C38">
        <w:rPr>
          <w:rFonts w:ascii="Times New Roman" w:hAnsi="Times New Roman" w:cs="Times New Roman"/>
        </w:rPr>
        <w:t xml:space="preserve"> </w:t>
      </w:r>
      <w:r w:rsidR="00306A60" w:rsidRPr="00A47C38">
        <w:rPr>
          <w:rFonts w:ascii="Times New Roman" w:hAnsi="Times New Roman" w:cs="Times New Roman"/>
        </w:rPr>
        <w:t xml:space="preserve">in </w:t>
      </w:r>
      <w:r w:rsidR="00306A60" w:rsidRPr="0026318B">
        <w:rPr>
          <w:rFonts w:ascii="Times New Roman" w:hAnsi="Times New Roman" w:cs="Times New Roman"/>
          <w:i/>
        </w:rPr>
        <w:t>Rebuilding America’s Legacy Cities</w:t>
      </w:r>
      <w:r w:rsidR="00744811" w:rsidRPr="0026318B">
        <w:rPr>
          <w:rFonts w:ascii="Times New Roman" w:hAnsi="Times New Roman" w:cs="Times New Roman"/>
        </w:rPr>
        <w:t>:</w:t>
      </w:r>
      <w:r w:rsidR="00F10634" w:rsidRPr="00A47C38">
        <w:rPr>
          <w:rFonts w:ascii="Times New Roman" w:hAnsi="Times New Roman" w:cs="Times New Roman"/>
        </w:rPr>
        <w:t xml:space="preserve"> </w:t>
      </w:r>
    </w:p>
    <w:p w14:paraId="65546F56" w14:textId="16D27284" w:rsidR="005D3554" w:rsidRDefault="00F32A94" w:rsidP="009334F9">
      <w:pPr>
        <w:pStyle w:val="NormalWeb"/>
        <w:ind w:left="720" w:right="720"/>
      </w:pPr>
      <w:r>
        <w:lastRenderedPageBreak/>
        <w:t xml:space="preserve">How they </w:t>
      </w:r>
      <w:r w:rsidR="00F10634" w:rsidRPr="00F10634">
        <w:t xml:space="preserve">reconfigure their physical environment and repurpose their surplus buildings and vacant land, how they stabilize their economies and utilize their human capital, and how they capitalize on their man-made and natural assets may determine whether their future will be one of continued decline or that of regained vitality </w:t>
      </w:r>
      <w:r w:rsidR="00C56B8E">
        <w:t>as smaller but stronger cities.</w:t>
      </w:r>
      <w:r w:rsidR="00C56B8E" w:rsidRPr="00F3497A">
        <w:rPr>
          <w:rStyle w:val="FootnoteReference"/>
        </w:rPr>
        <w:footnoteReference w:id="6"/>
      </w:r>
    </w:p>
    <w:p w14:paraId="227FF072" w14:textId="0BCC0A2E" w:rsidR="005D3554" w:rsidRDefault="006F454B" w:rsidP="00990796">
      <w:pPr>
        <w:pStyle w:val="NormalWeb"/>
        <w:spacing w:line="480" w:lineRule="auto"/>
        <w:ind w:firstLine="720"/>
        <w:contextualSpacing/>
      </w:pPr>
      <w:r>
        <w:t xml:space="preserve">By accepting the population loss which has already occurred, decision-makers and stakeholders are freed to focus future work on </w:t>
      </w:r>
      <w:r w:rsidR="00990796">
        <w:t>bolstering existing populations</w:t>
      </w:r>
      <w:r>
        <w:t xml:space="preserve"> and responding to current needs within the community. </w:t>
      </w:r>
      <w:r w:rsidR="005D3554">
        <w:t>Preservation professionals can facilitate appropriate reuse or demolition of surplus building stock in a Legacy City</w:t>
      </w:r>
      <w:r>
        <w:t>,</w:t>
      </w:r>
      <w:r w:rsidR="005D3554">
        <w:t xml:space="preserve"> working toward </w:t>
      </w:r>
      <w:r w:rsidR="000806CA">
        <w:t>pla</w:t>
      </w:r>
      <w:r>
        <w:t>nning for a future within the city that serves the existing and historic cultural groups</w:t>
      </w:r>
      <w:r w:rsidR="000806CA">
        <w:t xml:space="preserve">. </w:t>
      </w:r>
      <w:r w:rsidR="00F90AFA">
        <w:t>The shift from being a</w:t>
      </w:r>
      <w:r w:rsidR="00990796">
        <w:t xml:space="preserve"> failing</w:t>
      </w:r>
      <w:r w:rsidR="00F90AFA">
        <w:t xml:space="preserve"> city </w:t>
      </w:r>
      <w:r w:rsidR="00990796">
        <w:t>of</w:t>
      </w:r>
      <w:r w:rsidR="00F90AFA">
        <w:t xml:space="preserve"> the American Rust Belt to a</w:t>
      </w:r>
      <w:r w:rsidR="00990796">
        <w:t xml:space="preserve"> stabilized</w:t>
      </w:r>
      <w:r w:rsidR="00F90AFA">
        <w:t xml:space="preserve"> Legacy City is</w:t>
      </w:r>
      <w:r w:rsidR="00990796">
        <w:t xml:space="preserve"> successful when both city government and residents</w:t>
      </w:r>
      <w:r w:rsidR="00F90AFA">
        <w:t xml:space="preserve"> </w:t>
      </w:r>
      <w:r w:rsidR="00990796">
        <w:t>recognize and understand</w:t>
      </w:r>
      <w:r w:rsidR="00E6214E">
        <w:t xml:space="preserve"> its defining characteristics,</w:t>
      </w:r>
      <w:r w:rsidR="00F90AFA">
        <w:t xml:space="preserve"> both currently and historically.</w:t>
      </w:r>
      <w:r w:rsidR="00F9489A">
        <w:t xml:space="preserve"> </w:t>
      </w:r>
      <w:r w:rsidR="00F37013">
        <w:t>The next chapter will dive deeper into the defining characteristics of Legacy Cities, and why they are still such an important part of the American cultural landscape.</w:t>
      </w:r>
    </w:p>
    <w:p w14:paraId="34889137" w14:textId="77777777" w:rsidR="00595632" w:rsidRDefault="00595632" w:rsidP="00990796">
      <w:pPr>
        <w:pStyle w:val="NormalWeb"/>
        <w:spacing w:line="480" w:lineRule="auto"/>
        <w:ind w:firstLine="720"/>
        <w:contextualSpacing/>
      </w:pPr>
    </w:p>
    <w:p w14:paraId="5DBED954" w14:textId="190FE8FE" w:rsidR="00E6214E" w:rsidRPr="00F949A9" w:rsidRDefault="00E6214E" w:rsidP="00595632">
      <w:pPr>
        <w:pStyle w:val="NormalWeb"/>
        <w:spacing w:line="480" w:lineRule="auto"/>
        <w:contextualSpacing/>
        <w:rPr>
          <w:u w:val="single"/>
        </w:rPr>
      </w:pPr>
      <w:r w:rsidRPr="00F949A9">
        <w:rPr>
          <w:u w:val="single"/>
        </w:rPr>
        <w:t>Place, Sense of Place, and Placemaking/Placekeeping</w:t>
      </w:r>
    </w:p>
    <w:p w14:paraId="1475C718" w14:textId="6189CDCD" w:rsidR="00F37072" w:rsidRDefault="00751B11" w:rsidP="008559AB">
      <w:pPr>
        <w:pStyle w:val="NormalWeb"/>
        <w:spacing w:line="480" w:lineRule="auto"/>
        <w:ind w:firstLine="720"/>
        <w:contextualSpacing/>
      </w:pPr>
      <w:r>
        <w:t>“</w:t>
      </w:r>
      <w:r w:rsidR="00F5246F">
        <w:t>Place</w:t>
      </w:r>
      <w:r>
        <w:t>”</w:t>
      </w:r>
      <w:r w:rsidR="00F5246F">
        <w:t xml:space="preserve"> </w:t>
      </w:r>
      <w:r w:rsidR="008559AB">
        <w:t>is a term</w:t>
      </w:r>
      <w:r w:rsidR="00840925">
        <w:t xml:space="preserve"> used liberally when speaking of the revitalization of an urban </w:t>
      </w:r>
      <w:r w:rsidR="00F37072">
        <w:t xml:space="preserve">area. </w:t>
      </w:r>
      <w:r w:rsidR="003A6839">
        <w:t xml:space="preserve">Place—and its elements, boundaries, meanings, and significance—varies greatly from person to person, group to group. </w:t>
      </w:r>
      <w:r w:rsidR="000E306F">
        <w:t>Decisions which irrevocably change and shape places get made at the federal, state, and local level, but there is not one definition for place.</w:t>
      </w:r>
    </w:p>
    <w:p w14:paraId="52A59612" w14:textId="09071871" w:rsidR="00A25894" w:rsidRDefault="00C21766" w:rsidP="008559AB">
      <w:pPr>
        <w:pStyle w:val="NormalWeb"/>
        <w:spacing w:line="480" w:lineRule="auto"/>
        <w:ind w:firstLine="720"/>
        <w:contextualSpacing/>
      </w:pPr>
      <w:r>
        <w:t xml:space="preserve"> Geographer Yi-Fu Tuan, a</w:t>
      </w:r>
      <w:r w:rsidR="000F1608">
        <w:t xml:space="preserve">n early thought leader in the concept and meaning of </w:t>
      </w:r>
      <w:r w:rsidR="005B1A10">
        <w:t xml:space="preserve">place, </w:t>
      </w:r>
      <w:r w:rsidR="009C3DD5">
        <w:t>acknowledged</w:t>
      </w:r>
      <w:r w:rsidR="0009523C">
        <w:t xml:space="preserve"> place as both a “unit within a hierarchy of units in space,” and as a “center of </w:t>
      </w:r>
      <w:r w:rsidR="0009523C">
        <w:lastRenderedPageBreak/>
        <w:t>meaning constructed by experience.”</w:t>
      </w:r>
      <w:r w:rsidR="0009523C" w:rsidRPr="00F3497A">
        <w:rPr>
          <w:rStyle w:val="FootnoteReference"/>
        </w:rPr>
        <w:footnoteReference w:id="7"/>
      </w:r>
      <w:r>
        <w:t xml:space="preserve"> Tony Hiss</w:t>
      </w:r>
      <w:r w:rsidR="004E1DDD">
        <w:t>, researcher and writer on the science of place</w:t>
      </w:r>
      <w:r w:rsidR="00EB6B25">
        <w:t>,</w:t>
      </w:r>
      <w:r w:rsidR="004E1DDD">
        <w:t xml:space="preserve"> writes that </w:t>
      </w:r>
      <w:r w:rsidR="00EB6B25">
        <w:t xml:space="preserve">when people try to </w:t>
      </w:r>
      <w:r w:rsidR="008F5FC1">
        <w:t>express</w:t>
      </w:r>
      <w:r w:rsidR="00EB6B25">
        <w:t xml:space="preserve"> their definitions of place they use words that “will most likely be an attempt to convey some specific component of an experience.”</w:t>
      </w:r>
      <w:r w:rsidR="00887C1A" w:rsidRPr="00F3497A">
        <w:rPr>
          <w:rStyle w:val="FootnoteReference"/>
        </w:rPr>
        <w:footnoteReference w:id="8"/>
      </w:r>
      <w:r w:rsidR="006B193D">
        <w:t xml:space="preserve"> </w:t>
      </w:r>
      <w:r w:rsidR="0054733C">
        <w:t xml:space="preserve">Author </w:t>
      </w:r>
      <w:r w:rsidR="008F5FC1">
        <w:t>Ned Kaufman’</w:t>
      </w:r>
      <w:r w:rsidR="0054733C">
        <w:t>s ideas expand further on people’s differing experiences of</w:t>
      </w:r>
      <w:r w:rsidR="00053EBF">
        <w:t xml:space="preserve"> </w:t>
      </w:r>
      <w:r w:rsidR="0054733C">
        <w:t xml:space="preserve">place when he states, “the difference lies in what each brings to the encounter…the place doesn’t stand alone, even if a man has </w:t>
      </w:r>
      <w:r w:rsidR="0054733C" w:rsidRPr="0054733C">
        <w:rPr>
          <w:i/>
        </w:rPr>
        <w:t>never</w:t>
      </w:r>
      <w:r w:rsidR="0054733C">
        <w:t xml:space="preserve"> been there.”</w:t>
      </w:r>
      <w:r w:rsidR="0054733C" w:rsidRPr="00F3497A">
        <w:rPr>
          <w:rStyle w:val="FootnoteReference"/>
        </w:rPr>
        <w:footnoteReference w:id="9"/>
      </w:r>
    </w:p>
    <w:p w14:paraId="6CA1DE44" w14:textId="3D0AEDD6" w:rsidR="000F1608" w:rsidRDefault="00A25894" w:rsidP="0083104A">
      <w:pPr>
        <w:pStyle w:val="NormalWeb"/>
        <w:spacing w:line="480" w:lineRule="auto"/>
        <w:ind w:firstLine="720"/>
        <w:contextualSpacing/>
      </w:pPr>
      <w:r>
        <w:t xml:space="preserve"> </w:t>
      </w:r>
      <w:r w:rsidR="00A47859">
        <w:t>The concept of place</w:t>
      </w:r>
      <w:r>
        <w:t xml:space="preserve"> clearly has a strong foundation within the human experience. Understanding that memory and emotion, both good and bad, imprint experiences within our minds, we can conceive that a place can be tangible—easily described by its delineating boundaries</w:t>
      </w:r>
      <w:r w:rsidR="00566EF4">
        <w:t>;</w:t>
      </w:r>
      <w:r>
        <w:t xml:space="preserve"> or intangible—something only known or understood by those who share an experience. Once place is i</w:t>
      </w:r>
      <w:r w:rsidR="00117B60">
        <w:t>dentified, the question becomes:</w:t>
      </w:r>
      <w:r>
        <w:t xml:space="preserve"> who con</w:t>
      </w:r>
      <w:r w:rsidR="00117B60">
        <w:t xml:space="preserve">trols that </w:t>
      </w:r>
      <w:r>
        <w:t xml:space="preserve">place? </w:t>
      </w:r>
      <w:r w:rsidR="00117B60">
        <w:t xml:space="preserve">And are all the stakeholders of a place being consulted in the decision-making process for the place? This is unlikely, and this study will later delve further into </w:t>
      </w:r>
      <w:r w:rsidR="007B5E72">
        <w:t xml:space="preserve">these ideas. </w:t>
      </w:r>
    </w:p>
    <w:p w14:paraId="4B72BCE2" w14:textId="32A7930F" w:rsidR="007D4355" w:rsidRDefault="000221FF" w:rsidP="000D445E">
      <w:pPr>
        <w:pStyle w:val="NormalWeb"/>
        <w:spacing w:line="480" w:lineRule="auto"/>
        <w:ind w:firstLine="720"/>
        <w:contextualSpacing/>
      </w:pPr>
      <w:r>
        <w:t>If pla</w:t>
      </w:r>
      <w:r w:rsidR="005B213D">
        <w:t>ce is defined by the experience</w:t>
      </w:r>
      <w:r>
        <w:t xml:space="preserve"> </w:t>
      </w:r>
      <w:r w:rsidR="005B213D">
        <w:t>one</w:t>
      </w:r>
      <w:r>
        <w:t xml:space="preserve"> </w:t>
      </w:r>
      <w:r w:rsidR="005B213D">
        <w:t>has</w:t>
      </w:r>
      <w:r>
        <w:t xml:space="preserve"> in </w:t>
      </w:r>
      <w:r w:rsidR="005B213D">
        <w:t>a</w:t>
      </w:r>
      <w:r>
        <w:t xml:space="preserve"> locale, </w:t>
      </w:r>
      <w:r w:rsidR="005B213D">
        <w:t xml:space="preserve">then sense of place </w:t>
      </w:r>
      <w:r w:rsidR="00672E6D">
        <w:t>is</w:t>
      </w:r>
      <w:r w:rsidR="005B213D">
        <w:t xml:space="preserve"> the</w:t>
      </w:r>
      <w:r w:rsidR="008645A6">
        <w:t xml:space="preserve"> elements that make possible the</w:t>
      </w:r>
      <w:r w:rsidR="005B213D">
        <w:t xml:space="preserve"> layer</w:t>
      </w:r>
      <w:r w:rsidR="008645A6">
        <w:t>s</w:t>
      </w:r>
      <w:r w:rsidR="005B213D">
        <w:t xml:space="preserve"> of interaction </w:t>
      </w:r>
      <w:r w:rsidR="008645A6">
        <w:t>experienced. Without getting bogged down in the nuances of another broadly defined term, think of what makes human interaction possible with a place.</w:t>
      </w:r>
      <w:r w:rsidR="00B15B8F">
        <w:t xml:space="preserve"> Architectural scholars Mina </w:t>
      </w:r>
      <w:proofErr w:type="spellStart"/>
      <w:r w:rsidR="00B15B8F">
        <w:t>Najafi</w:t>
      </w:r>
      <w:proofErr w:type="spellEnd"/>
      <w:r w:rsidR="00B15B8F">
        <w:t xml:space="preserve"> and Mus</w:t>
      </w:r>
      <w:r w:rsidR="008D4452">
        <w:t xml:space="preserve">tafa Kamal Bin </w:t>
      </w:r>
      <w:proofErr w:type="spellStart"/>
      <w:r w:rsidR="008D4452">
        <w:t>Mohd</w:t>
      </w:r>
      <w:proofErr w:type="spellEnd"/>
      <w:r w:rsidR="008D4452">
        <w:t xml:space="preserve"> </w:t>
      </w:r>
      <w:proofErr w:type="spellStart"/>
      <w:r w:rsidR="008D4452">
        <w:t>Shariff</w:t>
      </w:r>
      <w:proofErr w:type="spellEnd"/>
      <w:r w:rsidR="008D4452">
        <w:t xml:space="preserve"> defined sense of place as “an emotional relationship between people and places,” which is influenced by </w:t>
      </w:r>
      <w:r w:rsidR="008D4452">
        <w:lastRenderedPageBreak/>
        <w:t>people’s past experiences, culture, and knowledge.</w:t>
      </w:r>
      <w:r w:rsidR="00971BAC" w:rsidRPr="00F3497A">
        <w:rPr>
          <w:rStyle w:val="FootnoteReference"/>
        </w:rPr>
        <w:footnoteReference w:id="10"/>
      </w:r>
      <w:r w:rsidR="008645A6">
        <w:t xml:space="preserve"> For instance, an urban public square often has identifiable characteristics such as green space, perhaps a gazebo or a fountain, and often a monument or plaque to a local celebrity or veterans. We know how we feel about the</w:t>
      </w:r>
      <w:r w:rsidR="00A65E36">
        <w:t xml:space="preserve"> place by how we interact with the elements of the</w:t>
      </w:r>
      <w:r w:rsidR="008645A6">
        <w:t xml:space="preserve"> place</w:t>
      </w:r>
      <w:r w:rsidR="007D4355">
        <w:t>, and our experiences and memories surrounding the place</w:t>
      </w:r>
      <w:r w:rsidR="008645A6">
        <w:t xml:space="preserve">. </w:t>
      </w:r>
    </w:p>
    <w:p w14:paraId="3A6C79CD" w14:textId="4643F71F" w:rsidR="000E67BC" w:rsidRDefault="008B39EB" w:rsidP="009334F9">
      <w:pPr>
        <w:pStyle w:val="NormalWeb"/>
        <w:spacing w:line="480" w:lineRule="auto"/>
        <w:ind w:firstLine="720"/>
        <w:contextualSpacing/>
      </w:pPr>
      <w:r>
        <w:t xml:space="preserve">However, geographer </w:t>
      </w:r>
      <w:r w:rsidR="007D4355">
        <w:t>Yi-Fu Tuan characterizes the sense of place in two ways, both of which pertain to how people know about the world. The first is visual—places have a visual impact. But the second way we know about a place is through our other senses—hearing, taste, smell, and touch. As Tuan writes:</w:t>
      </w:r>
    </w:p>
    <w:p w14:paraId="6E8977F3" w14:textId="7F2F2BBA" w:rsidR="000E67BC" w:rsidRDefault="007D4355" w:rsidP="009334F9">
      <w:pPr>
        <w:pStyle w:val="NormalWeb"/>
        <w:ind w:left="720" w:right="720"/>
        <w:contextualSpacing/>
      </w:pPr>
      <w:r>
        <w:t xml:space="preserve">These senses, unlike the visual, require close contact and long association with the environment. It is possible to appreciate the visual qualities of a town in an afternoon’s tour, but to know the town’s characteristic </w:t>
      </w:r>
      <w:proofErr w:type="spellStart"/>
      <w:r>
        <w:t>odours</w:t>
      </w:r>
      <w:proofErr w:type="spellEnd"/>
      <w:r>
        <w:t xml:space="preserve"> and sounds, the textures of its pavements and walls, requires a far longer period of contact.</w:t>
      </w:r>
      <w:r w:rsidRPr="00F3497A">
        <w:rPr>
          <w:rStyle w:val="FootnoteReference"/>
        </w:rPr>
        <w:footnoteReference w:id="11"/>
      </w:r>
      <w:r>
        <w:t xml:space="preserve"> </w:t>
      </w:r>
    </w:p>
    <w:p w14:paraId="2D848C05" w14:textId="77777777" w:rsidR="009334F9" w:rsidRDefault="009334F9" w:rsidP="009334F9">
      <w:pPr>
        <w:pStyle w:val="NormalWeb"/>
        <w:ind w:left="720" w:right="720"/>
        <w:contextualSpacing/>
      </w:pPr>
    </w:p>
    <w:p w14:paraId="3D171AD0" w14:textId="34AB0069" w:rsidR="000E67BC" w:rsidRDefault="008645A6" w:rsidP="009334F9">
      <w:pPr>
        <w:pStyle w:val="NormalWeb"/>
        <w:spacing w:line="480" w:lineRule="auto"/>
        <w:ind w:firstLine="720"/>
        <w:contextualSpacing/>
      </w:pPr>
      <w:r>
        <w:t xml:space="preserve">This is a sense of place. </w:t>
      </w:r>
      <w:r w:rsidR="008B39EB">
        <w:t>It is as impo</w:t>
      </w:r>
      <w:r w:rsidR="00024AAB">
        <w:t>rtant as historic significance—maybe more so—</w:t>
      </w:r>
      <w:r w:rsidR="008B39EB">
        <w:t xml:space="preserve">because sense of place carries the weight of human significance. It is created through lived experience, and is </w:t>
      </w:r>
      <w:proofErr w:type="gramStart"/>
      <w:r w:rsidR="008B39EB">
        <w:t>particular to</w:t>
      </w:r>
      <w:proofErr w:type="gramEnd"/>
      <w:r w:rsidR="008B39EB">
        <w:t xml:space="preserve"> a person or group of people in a place. </w:t>
      </w:r>
      <w:r w:rsidR="000D445E">
        <w:t>Sense of place is an intangible cultural resource attached by people to a place.</w:t>
      </w:r>
    </w:p>
    <w:p w14:paraId="217D924E" w14:textId="47171D05" w:rsidR="004B6773" w:rsidRDefault="000E67BC" w:rsidP="00FB3A70">
      <w:pPr>
        <w:pStyle w:val="NormalWeb"/>
        <w:spacing w:line="480" w:lineRule="auto"/>
        <w:ind w:firstLine="720"/>
        <w:contextualSpacing/>
      </w:pPr>
      <w:r>
        <w:t xml:space="preserve">Sense of place is what placemaking and creative placemaking is trying to reproduce. </w:t>
      </w:r>
      <w:r w:rsidR="008645A6" w:rsidRPr="00C6564F">
        <w:t>Often, over the course of time, sense of place changes. What was once a well-used downtown shopping district can lose its appeal</w:t>
      </w:r>
      <w:r w:rsidR="00CF09DF">
        <w:t xml:space="preserve"> as the tastes of shoppers change</w:t>
      </w:r>
      <w:r w:rsidR="008645A6" w:rsidRPr="00C6564F">
        <w:t xml:space="preserve">, or </w:t>
      </w:r>
      <w:r w:rsidR="00FB582F" w:rsidRPr="00C6564F">
        <w:t xml:space="preserve">the public square becomes </w:t>
      </w:r>
      <w:r w:rsidR="00D934F9" w:rsidRPr="00C6564F">
        <w:t>a place less enjoyed and more neglected</w:t>
      </w:r>
      <w:r w:rsidR="00FE1E91">
        <w:t xml:space="preserve"> as the demographic of the neighborhood shifts</w:t>
      </w:r>
      <w:r w:rsidR="00D934F9" w:rsidRPr="00C6564F">
        <w:t xml:space="preserve">. </w:t>
      </w:r>
      <w:r w:rsidR="00D934F9" w:rsidRPr="00C6564F">
        <w:lastRenderedPageBreak/>
        <w:t xml:space="preserve">When historic preservation works to create a positive environment ready for economic or cultural revitalization, the idea of placemaking is often used to describe the process. </w:t>
      </w:r>
      <w:r w:rsidR="00455BAB" w:rsidRPr="00C6564F">
        <w:t>The Project for Public Sp</w:t>
      </w:r>
      <w:r w:rsidR="0019270A" w:rsidRPr="00C6564F">
        <w:t>aces defines placemaking as a “collaborative process by which we can shape our public realm in order to maximize shared value.”</w:t>
      </w:r>
      <w:r w:rsidR="0019270A" w:rsidRPr="00F3497A">
        <w:rPr>
          <w:rStyle w:val="FootnoteReference"/>
        </w:rPr>
        <w:footnoteReference w:id="12"/>
      </w:r>
      <w:r w:rsidR="00970A68" w:rsidRPr="00C6564F">
        <w:t xml:space="preserve"> The Center for Community Progress states place making is the “intentional process of activating new or existing public spaces to create that emotional connection.”</w:t>
      </w:r>
      <w:r w:rsidR="00970A68" w:rsidRPr="00F3497A">
        <w:rPr>
          <w:rStyle w:val="FootnoteReference"/>
        </w:rPr>
        <w:footnoteReference w:id="13"/>
      </w:r>
      <w:r w:rsidR="00352913" w:rsidRPr="00C6564F">
        <w:t xml:space="preserve"> The National Endowment for the Arts also has a lot to say regarding placemaking, namely in the form of creative placemaking, which they describe as “partners from public, private, non-profit, and community sectors strategically </w:t>
      </w:r>
      <w:proofErr w:type="spellStart"/>
      <w:r w:rsidR="00352913" w:rsidRPr="00C6564F">
        <w:t>shap</w:t>
      </w:r>
      <w:proofErr w:type="spellEnd"/>
      <w:r w:rsidR="00352913" w:rsidRPr="00C6564F">
        <w:t>[</w:t>
      </w:r>
      <w:proofErr w:type="spellStart"/>
      <w:r w:rsidR="00352913" w:rsidRPr="00C6564F">
        <w:t>ing</w:t>
      </w:r>
      <w:proofErr w:type="spellEnd"/>
      <w:r w:rsidR="00352913" w:rsidRPr="00C6564F">
        <w:t>] the physical and social character of a neighborhood, town, city, or region around arts and cultural activities.”</w:t>
      </w:r>
      <w:r w:rsidR="00352913" w:rsidRPr="00F3497A">
        <w:rPr>
          <w:rStyle w:val="FootnoteReference"/>
        </w:rPr>
        <w:footnoteReference w:id="14"/>
      </w:r>
      <w:r w:rsidR="00A82926">
        <w:t xml:space="preserve"> </w:t>
      </w:r>
    </w:p>
    <w:p w14:paraId="08C7E952" w14:textId="6F7574AE" w:rsidR="00972431" w:rsidRDefault="00822D50" w:rsidP="00DE5D55">
      <w:pPr>
        <w:pStyle w:val="NormalWeb"/>
        <w:spacing w:line="480" w:lineRule="auto"/>
        <w:ind w:firstLine="720"/>
        <w:contextualSpacing/>
      </w:pPr>
      <w:r>
        <w:t>Pla</w:t>
      </w:r>
      <w:r w:rsidR="00315D47">
        <w:t xml:space="preserve">cemaking and sense of place are common themes </w:t>
      </w:r>
      <w:r w:rsidR="009D4994">
        <w:t>at</w:t>
      </w:r>
      <w:r w:rsidR="009C0EB7">
        <w:t xml:space="preserve"> the intersection of</w:t>
      </w:r>
      <w:r w:rsidR="00315D47">
        <w:t xml:space="preserve"> urban revitalization and historic preservation.</w:t>
      </w:r>
      <w:r w:rsidR="004B6773">
        <w:t xml:space="preserve"> </w:t>
      </w:r>
      <w:r w:rsidR="005C4E0D">
        <w:t xml:space="preserve">However, a </w:t>
      </w:r>
      <w:r w:rsidR="004B6773">
        <w:t>culturally sustainable preservation model will advocate for place</w:t>
      </w:r>
      <w:r w:rsidR="004B6773" w:rsidRPr="004B6773">
        <w:rPr>
          <w:i/>
        </w:rPr>
        <w:t>keeping</w:t>
      </w:r>
      <w:r w:rsidR="004B6773">
        <w:t xml:space="preserve"> rather than place</w:t>
      </w:r>
      <w:r w:rsidR="004B6773" w:rsidRPr="004B6773">
        <w:rPr>
          <w:i/>
        </w:rPr>
        <w:t>making</w:t>
      </w:r>
      <w:r w:rsidR="004B6773">
        <w:t xml:space="preserve">. </w:t>
      </w:r>
      <w:r w:rsidR="00F0117F">
        <w:t xml:space="preserve">The subtle difference between the two </w:t>
      </w:r>
      <w:r w:rsidR="008E190A">
        <w:t>ideas</w:t>
      </w:r>
      <w:r w:rsidR="00F0117F">
        <w:t xml:space="preserve"> signals a </w:t>
      </w:r>
      <w:r w:rsidR="00D647CA">
        <w:t>profound</w:t>
      </w:r>
      <w:r w:rsidR="00EF7295">
        <w:t xml:space="preserve"> </w:t>
      </w:r>
      <w:r w:rsidR="008E190A">
        <w:t xml:space="preserve">reworking and transformation of how </w:t>
      </w:r>
      <w:r w:rsidR="00DE5D55">
        <w:t>professionals</w:t>
      </w:r>
      <w:r w:rsidR="008E190A">
        <w:t>, such as preservation</w:t>
      </w:r>
      <w:r w:rsidR="00DE5D55">
        <w:t>ists</w:t>
      </w:r>
      <w:r w:rsidR="008E190A">
        <w:t xml:space="preserve">, work in and with the </w:t>
      </w:r>
      <w:r w:rsidR="00C7126E">
        <w:t xml:space="preserve">people of the </w:t>
      </w:r>
      <w:r w:rsidR="008E190A">
        <w:t>nei</w:t>
      </w:r>
      <w:r w:rsidR="00DE5D55">
        <w:t xml:space="preserve">ghborhoods or districts they </w:t>
      </w:r>
      <w:r w:rsidR="008E190A">
        <w:t xml:space="preserve">serve. </w:t>
      </w:r>
      <w:r w:rsidR="00D647CA">
        <w:t xml:space="preserve">Placekeeping is </w:t>
      </w:r>
      <w:r w:rsidR="009C2BB0">
        <w:t xml:space="preserve">a practice originally recognized and written about by cultural activists Jenny Lee and Robert Bedoya. </w:t>
      </w:r>
      <w:r w:rsidR="00BA4635">
        <w:t xml:space="preserve">Placekeeping </w:t>
      </w:r>
      <w:r w:rsidR="009440D6">
        <w:t>is “not just preserving the façade of the building but also keeping cultural memories associated with a locale alive…”</w:t>
      </w:r>
      <w:r w:rsidR="009440D6" w:rsidRPr="00F3497A">
        <w:rPr>
          <w:rStyle w:val="FootnoteReference"/>
        </w:rPr>
        <w:footnoteReference w:id="15"/>
      </w:r>
      <w:r w:rsidR="006E65A4">
        <w:t xml:space="preserve"> The work of placekeeping within </w:t>
      </w:r>
      <w:r w:rsidR="006E65A4">
        <w:lastRenderedPageBreak/>
        <w:t xml:space="preserve">the preservation field should focus on representative experiences in both the present and the past, </w:t>
      </w:r>
      <w:r w:rsidR="000D445E">
        <w:t xml:space="preserve">utilizing sense of place to identify significance, and </w:t>
      </w:r>
      <w:r w:rsidR="006E65A4">
        <w:t xml:space="preserve">cultivating a </w:t>
      </w:r>
      <w:r w:rsidR="003261FC">
        <w:t xml:space="preserve">multidimensional </w:t>
      </w:r>
      <w:r w:rsidR="00F97C7B">
        <w:t>picture of the people using the place</w:t>
      </w:r>
      <w:r w:rsidR="003A2D11">
        <w:t>.</w:t>
      </w:r>
      <w:r w:rsidR="00921FBE">
        <w:t xml:space="preserve"> </w:t>
      </w:r>
    </w:p>
    <w:p w14:paraId="0DAAFB20" w14:textId="77777777" w:rsidR="005456A8" w:rsidRDefault="005456A8" w:rsidP="00DE5D55">
      <w:pPr>
        <w:pStyle w:val="NormalWeb"/>
        <w:spacing w:line="480" w:lineRule="auto"/>
        <w:ind w:firstLine="720"/>
        <w:contextualSpacing/>
      </w:pPr>
    </w:p>
    <w:p w14:paraId="63F05EE2" w14:textId="71176B99" w:rsidR="009C3A43" w:rsidRPr="005456A8" w:rsidRDefault="00FC5E3C" w:rsidP="005456A8">
      <w:pPr>
        <w:pStyle w:val="NormalWeb"/>
        <w:spacing w:line="480" w:lineRule="auto"/>
        <w:contextualSpacing/>
        <w:rPr>
          <w:u w:val="single"/>
        </w:rPr>
      </w:pPr>
      <w:r w:rsidRPr="005456A8">
        <w:rPr>
          <w:u w:val="single"/>
        </w:rPr>
        <w:t>Significance</w:t>
      </w:r>
    </w:p>
    <w:p w14:paraId="14310A31" w14:textId="5204B7AD" w:rsidR="009A3FB6" w:rsidRDefault="00C20663" w:rsidP="00DE5D55">
      <w:pPr>
        <w:pStyle w:val="NormalWeb"/>
        <w:spacing w:line="480" w:lineRule="auto"/>
        <w:ind w:firstLine="720"/>
        <w:contextualSpacing/>
      </w:pPr>
      <w:r>
        <w:t>Rising out of the</w:t>
      </w:r>
      <w:r w:rsidR="00F8391B">
        <w:t xml:space="preserve"> federally mandated</w:t>
      </w:r>
      <w:r>
        <w:t xml:space="preserve"> framework </w:t>
      </w:r>
      <w:r w:rsidR="00F8391B">
        <w:t>for designation in the</w:t>
      </w:r>
      <w:r>
        <w:t xml:space="preserve"> National Register of Historic Places,</w:t>
      </w:r>
      <w:r w:rsidR="00DE5D55">
        <w:t xml:space="preserve"> significance—</w:t>
      </w:r>
      <w:r w:rsidR="003059D6">
        <w:t>and the c</w:t>
      </w:r>
      <w:r w:rsidR="00DE5D55">
        <w:t>riteria by which it is defined—</w:t>
      </w:r>
      <w:r w:rsidR="003059D6">
        <w:t>carries great weight for the professional preservationist. In his 2004 article “Fixing Historic Preservation” Randall Mason explained its importance.</w:t>
      </w:r>
      <w:r>
        <w:t xml:space="preserve"> </w:t>
      </w:r>
      <w:r w:rsidR="003059D6">
        <w:t xml:space="preserve">“A </w:t>
      </w:r>
      <w:r w:rsidR="00343907">
        <w:t>‘</w:t>
      </w:r>
      <w:r w:rsidR="003059D6" w:rsidRPr="00343907">
        <w:t>Statement of</w:t>
      </w:r>
      <w:r w:rsidR="003059D6" w:rsidRPr="003059D6">
        <w:rPr>
          <w:i/>
        </w:rPr>
        <w:t xml:space="preserve"> </w:t>
      </w:r>
      <w:r w:rsidR="003059D6" w:rsidRPr="00343907">
        <w:t>Significance</w:t>
      </w:r>
      <w:r w:rsidR="00343907">
        <w:t>’</w:t>
      </w:r>
      <w:r w:rsidR="003059D6">
        <w:rPr>
          <w:i/>
        </w:rPr>
        <w:t xml:space="preserve"> </w:t>
      </w:r>
      <w:r w:rsidR="003059D6">
        <w:t>gathers together all the reasons why a building or place should be preserved…[o]</w:t>
      </w:r>
      <w:proofErr w:type="spellStart"/>
      <w:r w:rsidR="003059D6">
        <w:t>nce</w:t>
      </w:r>
      <w:proofErr w:type="spellEnd"/>
      <w:r w:rsidR="003059D6">
        <w:t xml:space="preserve"> defined, significance is used as a basis for policy, planning, and design decisions.”</w:t>
      </w:r>
      <w:r w:rsidR="003059D6" w:rsidRPr="00F3497A">
        <w:rPr>
          <w:rStyle w:val="FootnoteReference"/>
        </w:rPr>
        <w:footnoteReference w:id="16"/>
      </w:r>
      <w:r w:rsidR="000225FD">
        <w:t xml:space="preserve"> </w:t>
      </w:r>
      <w:r w:rsidR="00EB4492">
        <w:t xml:space="preserve">In creating a culturally sustainable preservation model, </w:t>
      </w:r>
      <w:r w:rsidR="00731716">
        <w:t xml:space="preserve">how one finds and </w:t>
      </w:r>
      <w:r w:rsidR="00CB7610">
        <w:t>interprets</w:t>
      </w:r>
      <w:r w:rsidR="00731716">
        <w:t xml:space="preserve"> the significance of a place becomes critically important. </w:t>
      </w:r>
      <w:r w:rsidR="00CB7610">
        <w:t xml:space="preserve">Because the preservation of a place should tell the story of human interaction with that place, then significance inherently ascribes meaning to a place. </w:t>
      </w:r>
    </w:p>
    <w:p w14:paraId="1E10B35B" w14:textId="6CA6D265" w:rsidR="001D5315" w:rsidRDefault="00E02FA9" w:rsidP="009149C3">
      <w:pPr>
        <w:pStyle w:val="NormalWeb"/>
        <w:spacing w:line="480" w:lineRule="auto"/>
        <w:ind w:firstLine="720"/>
        <w:contextualSpacing/>
      </w:pPr>
      <w:r>
        <w:t xml:space="preserve">Although the National Register framework for identifying significance is meant to help practitioners quantify their approach, the process can be rife with controversy. Two potential problems come to mind when </w:t>
      </w:r>
      <w:r w:rsidR="009A3FB6">
        <w:t>adapting for</w:t>
      </w:r>
      <w:r>
        <w:t xml:space="preserve"> a culturally sustainable preservation model:</w:t>
      </w:r>
      <w:r w:rsidR="001002BB">
        <w:t xml:space="preserve"> first, who is assigning significance, and for whom do they claim to speak? As </w:t>
      </w:r>
      <w:proofErr w:type="spellStart"/>
      <w:r w:rsidR="001002BB">
        <w:t>Tainter</w:t>
      </w:r>
      <w:proofErr w:type="spellEnd"/>
      <w:r w:rsidR="001002BB">
        <w:t xml:space="preserve"> and Lucas wrote in “Epistemology of the Significance Concept,” significance is assigned “to a cultural resource based on the theoretical framework within which we happen to be thinking.”</w:t>
      </w:r>
      <w:r w:rsidR="001002BB" w:rsidRPr="00F3497A">
        <w:rPr>
          <w:rStyle w:val="FootnoteReference"/>
        </w:rPr>
        <w:footnoteReference w:id="17"/>
      </w:r>
      <w:r w:rsidR="009A3FB6">
        <w:t xml:space="preserve"> Second is</w:t>
      </w:r>
      <w:r w:rsidR="00F13DB9">
        <w:t xml:space="preserve"> the </w:t>
      </w:r>
      <w:r w:rsidR="00F13DB9">
        <w:lastRenderedPageBreak/>
        <w:t>belief that “significance is an [invariable] characteristic inherent in cultural resources.”</w:t>
      </w:r>
      <w:r w:rsidR="00F13DB9" w:rsidRPr="00F3497A">
        <w:rPr>
          <w:rStyle w:val="FootnoteReference"/>
        </w:rPr>
        <w:footnoteReference w:id="18"/>
      </w:r>
      <w:r w:rsidR="00F13DB9">
        <w:t xml:space="preserve">  T</w:t>
      </w:r>
      <w:r>
        <w:t xml:space="preserve">he National Register framework is relatively static in its </w:t>
      </w:r>
      <w:r w:rsidR="00CF7BD7">
        <w:t>application. Once decided upon, significant</w:t>
      </w:r>
      <w:r w:rsidR="00C97A1A">
        <w:t xml:space="preserve"> physical</w:t>
      </w:r>
      <w:r w:rsidR="00CF7BD7">
        <w:t xml:space="preserve"> characteristics </w:t>
      </w:r>
      <w:r w:rsidR="00F13DB9">
        <w:t xml:space="preserve">are not allowed to fluctuate even if a site’s </w:t>
      </w:r>
      <w:r w:rsidR="00C97A1A">
        <w:t>current cultural value or historical understanding</w:t>
      </w:r>
      <w:r w:rsidR="00F13DB9">
        <w:t xml:space="preserve"> changes.</w:t>
      </w:r>
      <w:r w:rsidR="00520B89">
        <w:t xml:space="preserve"> </w:t>
      </w:r>
      <w:r w:rsidR="001D5315">
        <w:t>Neither of these issues is ideal when seeking to build a culturally sustainable model.</w:t>
      </w:r>
    </w:p>
    <w:p w14:paraId="146FEAE7" w14:textId="482CA47B" w:rsidR="00E02FA9" w:rsidRDefault="00520B89" w:rsidP="009149C3">
      <w:pPr>
        <w:pStyle w:val="NormalWeb"/>
        <w:spacing w:line="480" w:lineRule="auto"/>
        <w:ind w:firstLine="720"/>
        <w:contextualSpacing/>
      </w:pPr>
      <w:r>
        <w:t xml:space="preserve">In a culturally sustainable preservation model, </w:t>
      </w:r>
      <w:r w:rsidR="00EE097D">
        <w:t>identification of significance should be done in collab</w:t>
      </w:r>
      <w:r w:rsidR="00ED619D">
        <w:t>oration with the public</w:t>
      </w:r>
      <w:r w:rsidR="00EE097D">
        <w:t>. When a site</w:t>
      </w:r>
      <w:r w:rsidR="00C97A1A">
        <w:t xml:space="preserve"> of significant cultural value or history</w:t>
      </w:r>
      <w:r w:rsidR="00EE097D">
        <w:t xml:space="preserve"> is identified, there </w:t>
      </w:r>
      <w:r w:rsidR="00785DF7">
        <w:t>must</w:t>
      </w:r>
      <w:r w:rsidR="00EE097D">
        <w:t xml:space="preserve"> be an affirmation on the part of the residents</w:t>
      </w:r>
      <w:r w:rsidR="00ED619D">
        <w:t xml:space="preserve"> or visitors to</w:t>
      </w:r>
      <w:r w:rsidR="00EE097D">
        <w:t xml:space="preserve"> the site</w:t>
      </w:r>
      <w:r w:rsidR="00ED619D">
        <w:t xml:space="preserve"> that</w:t>
      </w:r>
      <w:r w:rsidR="00EE097D">
        <w:t xml:space="preserve"> its</w:t>
      </w:r>
      <w:r w:rsidR="001D5315">
        <w:t xml:space="preserve"> tangible and intangible</w:t>
      </w:r>
      <w:r w:rsidR="00EE097D">
        <w:t xml:space="preserve"> characteristics are correctly represented. Additionally,</w:t>
      </w:r>
      <w:r w:rsidR="001D5315">
        <w:t xml:space="preserve"> a culturally sustainable preservation model </w:t>
      </w:r>
      <w:r w:rsidR="00EE097D">
        <w:t xml:space="preserve">should </w:t>
      </w:r>
      <w:r w:rsidR="00ED619D">
        <w:t>allow</w:t>
      </w:r>
      <w:r w:rsidR="00024484">
        <w:t xml:space="preserve"> flexibility</w:t>
      </w:r>
      <w:r w:rsidR="00ED619D">
        <w:t xml:space="preserve"> in significance</w:t>
      </w:r>
      <w:r w:rsidR="00024484">
        <w:t xml:space="preserve">, </w:t>
      </w:r>
      <w:r w:rsidR="001D5315">
        <w:t>assuring</w:t>
      </w:r>
      <w:r w:rsidR="00024484">
        <w:t xml:space="preserve"> if the physical site changes </w:t>
      </w:r>
      <w:r w:rsidR="001D5315">
        <w:t>and</w:t>
      </w:r>
      <w:r w:rsidR="00024484">
        <w:t xml:space="preserve"> the significance remains, </w:t>
      </w:r>
      <w:r w:rsidR="001D5315">
        <w:t>the site does not lose</w:t>
      </w:r>
      <w:r w:rsidR="00ED619D">
        <w:t xml:space="preserve"> its</w:t>
      </w:r>
      <w:r w:rsidR="001D5315">
        <w:t xml:space="preserve"> designation</w:t>
      </w:r>
      <w:r w:rsidR="00ED619D">
        <w:t xml:space="preserve"> of significance</w:t>
      </w:r>
      <w:r w:rsidR="001D5315">
        <w:t>. S</w:t>
      </w:r>
      <w:r w:rsidR="00C97A1A">
        <w:t>tatements of s</w:t>
      </w:r>
      <w:r w:rsidR="00A744C3">
        <w:t>ignificance should periodically be revisited to affirm that if</w:t>
      </w:r>
      <w:r w:rsidR="00ED619D">
        <w:t xml:space="preserve"> significance</w:t>
      </w:r>
      <w:r w:rsidR="00A744C3">
        <w:t xml:space="preserve"> has shifted from its original iteration</w:t>
      </w:r>
      <w:r w:rsidR="00ED619D">
        <w:t xml:space="preserve"> or meaning</w:t>
      </w:r>
      <w:r w:rsidR="00A744C3">
        <w:t xml:space="preserve">, new significance can be recorded. </w:t>
      </w:r>
      <w:r w:rsidR="009149C3">
        <w:t>By acknowledging that</w:t>
      </w:r>
      <w:r w:rsidR="000E50BB">
        <w:t xml:space="preserve"> significance reflects the importance of the relationship of humans with a place, </w:t>
      </w:r>
      <w:r w:rsidR="009149C3">
        <w:t xml:space="preserve">an </w:t>
      </w:r>
      <w:r w:rsidR="000E50BB">
        <w:t>amount of change</w:t>
      </w:r>
      <w:r w:rsidR="009149C3">
        <w:t xml:space="preserve"> should be expected</w:t>
      </w:r>
      <w:r w:rsidR="000E50BB">
        <w:t xml:space="preserve"> in the perception of significance over time.</w:t>
      </w:r>
    </w:p>
    <w:p w14:paraId="7370AC99" w14:textId="77777777" w:rsidR="005456A8" w:rsidRDefault="005456A8" w:rsidP="009149C3">
      <w:pPr>
        <w:pStyle w:val="NormalWeb"/>
        <w:spacing w:line="480" w:lineRule="auto"/>
        <w:ind w:firstLine="720"/>
        <w:contextualSpacing/>
      </w:pPr>
    </w:p>
    <w:p w14:paraId="6B3B1F9E" w14:textId="43291CEF" w:rsidR="00056BBD" w:rsidRPr="005456A8" w:rsidRDefault="00A8193A" w:rsidP="009334F9">
      <w:pPr>
        <w:pStyle w:val="NormalWeb"/>
        <w:spacing w:line="480" w:lineRule="auto"/>
        <w:contextualSpacing/>
        <w:rPr>
          <w:u w:val="single"/>
        </w:rPr>
      </w:pPr>
      <w:r w:rsidRPr="005456A8">
        <w:rPr>
          <w:u w:val="single"/>
        </w:rPr>
        <w:t xml:space="preserve">Successful and Unsuccessful Outcomes for </w:t>
      </w:r>
      <w:r w:rsidR="00350EE2" w:rsidRPr="005456A8">
        <w:rPr>
          <w:u w:val="single"/>
        </w:rPr>
        <w:t>Culturally Sustainable Historic Preservation</w:t>
      </w:r>
    </w:p>
    <w:p w14:paraId="143B1270" w14:textId="2D6BA02F" w:rsidR="00930FB7" w:rsidRDefault="00C12A16" w:rsidP="00FA07DE">
      <w:pPr>
        <w:pStyle w:val="NormalWeb"/>
        <w:spacing w:line="480" w:lineRule="auto"/>
        <w:ind w:firstLine="720"/>
        <w:contextualSpacing/>
      </w:pPr>
      <w:r>
        <w:t xml:space="preserve">This thesis seeks to </w:t>
      </w:r>
      <w:r w:rsidR="00785DF7">
        <w:t>explore</w:t>
      </w:r>
      <w:r>
        <w:t xml:space="preserve"> culturally sust</w:t>
      </w:r>
      <w:r w:rsidR="000F3B2C">
        <w:t>ainable preservation model</w:t>
      </w:r>
      <w:r w:rsidR="00785DF7">
        <w:t>s</w:t>
      </w:r>
      <w:r w:rsidR="000F3B2C">
        <w:t xml:space="preserve"> for Legacy C</w:t>
      </w:r>
      <w:r>
        <w:t xml:space="preserve">ities that will result in more successful outcomes for historic preservation. </w:t>
      </w:r>
      <w:r w:rsidR="00F932DC">
        <w:t xml:space="preserve">Previously, successful historic preservation could be measured in the number of buildings saved from demolition or neglect, </w:t>
      </w:r>
      <w:r w:rsidR="00F01AAD">
        <w:t>and the amount of economic revitalization created through preservation projects</w:t>
      </w:r>
      <w:r w:rsidR="00F932DC">
        <w:t>.</w:t>
      </w:r>
      <w:r w:rsidR="0006047A">
        <w:t xml:space="preserve"> For instance, </w:t>
      </w:r>
      <w:r w:rsidR="00B30EB3">
        <w:t>in its first</w:t>
      </w:r>
      <w:r w:rsidR="0006047A">
        <w:t xml:space="preserve"> thirty-five years</w:t>
      </w:r>
      <w:r w:rsidR="00F00764">
        <w:t xml:space="preserve">, </w:t>
      </w:r>
      <w:r w:rsidR="00B30EB3">
        <w:t>t</w:t>
      </w:r>
      <w:r w:rsidR="00F00764">
        <w:t>he federal</w:t>
      </w:r>
      <w:r w:rsidR="00A71739">
        <w:t xml:space="preserve"> historic tax credit counts its achievements</w:t>
      </w:r>
      <w:r w:rsidR="003272C4">
        <w:t xml:space="preserve"> as</w:t>
      </w:r>
      <w:r w:rsidR="00A71739">
        <w:t xml:space="preserve"> the </w:t>
      </w:r>
      <w:r w:rsidR="00A71739">
        <w:lastRenderedPageBreak/>
        <w:t>generation of over $66 billion in private investment</w:t>
      </w:r>
      <w:r w:rsidR="00F00764">
        <w:t xml:space="preserve"> </w:t>
      </w:r>
      <w:r w:rsidR="00A71739">
        <w:t>in the rehabilitation of historic buildings.</w:t>
      </w:r>
      <w:r w:rsidR="00A71739" w:rsidRPr="00F3497A">
        <w:rPr>
          <w:rStyle w:val="FootnoteReference"/>
        </w:rPr>
        <w:footnoteReference w:id="19"/>
      </w:r>
      <w:r w:rsidR="00F932DC">
        <w:t xml:space="preserve"> </w:t>
      </w:r>
      <w:r w:rsidR="00000ECD">
        <w:t xml:space="preserve">This is successful historic preservation. </w:t>
      </w:r>
      <w:r w:rsidR="00930FB7">
        <w:t>However, David J. Brown of the National Trust for Historic Preservation writes</w:t>
      </w:r>
      <w:r w:rsidR="009B0CDF">
        <w:t xml:space="preserve"> that</w:t>
      </w:r>
      <w:r w:rsidR="00930FB7">
        <w:t xml:space="preserve"> </w:t>
      </w:r>
      <w:r w:rsidR="00583B08">
        <w:t>“[s]</w:t>
      </w:r>
      <w:proofErr w:type="spellStart"/>
      <w:r w:rsidR="00583B08">
        <w:t>urveys</w:t>
      </w:r>
      <w:proofErr w:type="spellEnd"/>
      <w:r w:rsidR="00583B08">
        <w:t xml:space="preserve"> by the National Trust find some fifteen million Americans who share preservation values but do not identify as preservationists.”</w:t>
      </w:r>
      <w:r w:rsidR="00583B08" w:rsidRPr="00F3497A">
        <w:rPr>
          <w:rStyle w:val="FootnoteReference"/>
        </w:rPr>
        <w:footnoteReference w:id="20"/>
      </w:r>
      <w:r w:rsidR="00583B08">
        <w:t xml:space="preserve"> Brown further goes on to suggest that preservation professionals have become too dependent on their tools, and have lost sight of what might come after those preservation tools have been </w:t>
      </w:r>
      <w:r w:rsidR="00350EE2">
        <w:t>administered</w:t>
      </w:r>
      <w:r w:rsidR="00583B08">
        <w:t>.</w:t>
      </w:r>
      <w:r w:rsidR="00583B08" w:rsidRPr="00F3497A">
        <w:rPr>
          <w:rStyle w:val="FootnoteReference"/>
        </w:rPr>
        <w:footnoteReference w:id="21"/>
      </w:r>
    </w:p>
    <w:p w14:paraId="5B4334A3" w14:textId="623FB609" w:rsidR="004F71B1" w:rsidRDefault="00000ECD" w:rsidP="00133A19">
      <w:pPr>
        <w:pStyle w:val="NormalWeb"/>
        <w:spacing w:line="480" w:lineRule="auto"/>
        <w:ind w:firstLine="720"/>
        <w:contextualSpacing/>
      </w:pPr>
      <w:r>
        <w:t xml:space="preserve">Successful culturally sustainable preservation will have a different measuring stick. </w:t>
      </w:r>
      <w:r w:rsidR="004100AF">
        <w:t xml:space="preserve">Rather than success determined by the number of buildings saved or the amount of economic revitalization dollars created, a culturally sustainable preservation model will determine its success in the people positively affected by its implementation. </w:t>
      </w:r>
      <w:r w:rsidR="00AC0B62">
        <w:t>These impacts</w:t>
      </w:r>
      <w:r w:rsidR="004F71B1">
        <w:t xml:space="preserve"> </w:t>
      </w:r>
      <w:r w:rsidR="00AC0B62">
        <w:t xml:space="preserve">could be exemplified by outcomes such as a neighborhood </w:t>
      </w:r>
      <w:r w:rsidR="00C92A65">
        <w:t xml:space="preserve">in which the resident cultural group has an authorized authority over decision-making; </w:t>
      </w:r>
      <w:r w:rsidR="00AC0B62">
        <w:t>education for residents on how to determine significance, and how to use that</w:t>
      </w:r>
      <w:r w:rsidR="00C91096">
        <w:t xml:space="preserve"> identification process</w:t>
      </w:r>
      <w:r w:rsidR="00AC0B62">
        <w:t xml:space="preserve"> to create documentation for the future; local </w:t>
      </w:r>
      <w:r w:rsidR="005D4CE0">
        <w:t>control</w:t>
      </w:r>
      <w:r w:rsidR="00AC0B62">
        <w:t xml:space="preserve"> of histori</w:t>
      </w:r>
      <w:r w:rsidR="006B18BF">
        <w:t>c representation; collaborative efforts between</w:t>
      </w:r>
      <w:r w:rsidR="005D4CE0">
        <w:t xml:space="preserve"> local</w:t>
      </w:r>
      <w:r w:rsidR="006B18BF">
        <w:t xml:space="preserve"> stakeholders and professional practitioners within planning, zon</w:t>
      </w:r>
      <w:r w:rsidR="0070173D">
        <w:t>ing, preservation, and the arts;</w:t>
      </w:r>
      <w:r w:rsidR="00AC0B62">
        <w:t xml:space="preserve"> </w:t>
      </w:r>
      <w:r w:rsidR="00E95D38">
        <w:t xml:space="preserve">and increased </w:t>
      </w:r>
      <w:r w:rsidR="008F3BDA">
        <w:t>accessibility</w:t>
      </w:r>
      <w:r w:rsidR="00E95D38">
        <w:t xml:space="preserve"> of property ownership and maintenance on the part of local, private stakeholders. </w:t>
      </w:r>
      <w:r w:rsidR="00201009">
        <w:lastRenderedPageBreak/>
        <w:t xml:space="preserve">These outcomes could be measured </w:t>
      </w:r>
      <w:r w:rsidR="00133A19">
        <w:t>by the</w:t>
      </w:r>
      <w:r w:rsidR="00201009">
        <w:t xml:space="preserve"> increased engagement </w:t>
      </w:r>
      <w:r w:rsidR="00133A19">
        <w:t>of</w:t>
      </w:r>
      <w:r w:rsidR="00201009">
        <w:t xml:space="preserve"> a broad representation of community members. </w:t>
      </w:r>
      <w:r w:rsidR="00133A19">
        <w:t>A greater engagement of community members</w:t>
      </w:r>
      <w:r w:rsidR="00DB4B61">
        <w:t xml:space="preserve"> may not</w:t>
      </w:r>
      <w:r w:rsidR="00B5665C">
        <w:t xml:space="preserve"> always</w:t>
      </w:r>
      <w:r w:rsidR="00DB4B61">
        <w:t xml:space="preserve"> save buildings or create a more robust economy, but those who reside in the spaces within which a culturally sustainable preservation model is realized will have ownership over what occurs in the place they live. </w:t>
      </w:r>
    </w:p>
    <w:p w14:paraId="72F9F145" w14:textId="77777777" w:rsidR="00DB4B61" w:rsidRDefault="00DB4B61" w:rsidP="00E15062">
      <w:pPr>
        <w:pStyle w:val="NormalWeb"/>
        <w:ind w:firstLine="720"/>
        <w:contextualSpacing/>
      </w:pPr>
    </w:p>
    <w:p w14:paraId="643AD5C8" w14:textId="40284B8C" w:rsidR="00F5101C" w:rsidRPr="005456A8" w:rsidRDefault="00F5101C" w:rsidP="00BD4D22">
      <w:pPr>
        <w:pStyle w:val="NormalWeb"/>
        <w:spacing w:line="480" w:lineRule="auto"/>
        <w:ind w:firstLine="720"/>
        <w:contextualSpacing/>
        <w:jc w:val="center"/>
        <w:rPr>
          <w:u w:val="single"/>
        </w:rPr>
      </w:pPr>
      <w:r w:rsidRPr="005456A8">
        <w:rPr>
          <w:u w:val="single"/>
        </w:rPr>
        <w:t>People</w:t>
      </w:r>
    </w:p>
    <w:p w14:paraId="64E7174B" w14:textId="5CEBC32B" w:rsidR="00F5101C" w:rsidRDefault="000B04A6" w:rsidP="00BD4D22">
      <w:pPr>
        <w:pStyle w:val="NormalWeb"/>
        <w:spacing w:line="480" w:lineRule="auto"/>
        <w:ind w:firstLine="720"/>
        <w:contextualSpacing/>
      </w:pPr>
      <w:r>
        <w:t>People are at the heart of the preservation movement</w:t>
      </w:r>
      <w:r w:rsidR="0001383C">
        <w:t>. The potential</w:t>
      </w:r>
      <w:r w:rsidR="00BE2C29">
        <w:t xml:space="preserve"> threat of the</w:t>
      </w:r>
      <w:r w:rsidR="0001383C">
        <w:t xml:space="preserve"> loss of places that are important to people drive</w:t>
      </w:r>
      <w:r w:rsidR="008C75D0">
        <w:t>s</w:t>
      </w:r>
      <w:r w:rsidR="00573E4F">
        <w:t xml:space="preserve"> many to become involved</w:t>
      </w:r>
      <w:r w:rsidR="00BE49BD">
        <w:t xml:space="preserve"> in looking for new tools to protect historic sites</w:t>
      </w:r>
      <w:r w:rsidR="00573E4F">
        <w:t>.</w:t>
      </w:r>
      <w:r w:rsidR="0001383C">
        <w:t xml:space="preserve"> </w:t>
      </w:r>
      <w:r w:rsidR="008E4D08">
        <w:t>Conversely, some</w:t>
      </w:r>
      <w:r w:rsidR="00573E4F">
        <w:t xml:space="preserve"> </w:t>
      </w:r>
      <w:r w:rsidR="00F5101C">
        <w:t>people experience the</w:t>
      </w:r>
      <w:r w:rsidR="008E4D08">
        <w:t xml:space="preserve"> negative</w:t>
      </w:r>
      <w:r w:rsidR="00F5101C">
        <w:t xml:space="preserve"> effects of </w:t>
      </w:r>
      <w:r w:rsidR="001A1645">
        <w:t>historic preservation and other</w:t>
      </w:r>
      <w:r w:rsidR="000E3F0E">
        <w:t xml:space="preserve"> </w:t>
      </w:r>
      <w:r w:rsidR="003E6FF0">
        <w:t>municipal</w:t>
      </w:r>
      <w:r w:rsidR="001A1645">
        <w:t xml:space="preserve"> regulatory actions</w:t>
      </w:r>
      <w:r w:rsidR="008E4D08">
        <w:t xml:space="preserve"> when </w:t>
      </w:r>
      <w:r w:rsidR="00856615">
        <w:t>their cultural needs</w:t>
      </w:r>
      <w:r w:rsidR="001A1645">
        <w:t xml:space="preserve"> are not taken into consideration</w:t>
      </w:r>
      <w:r w:rsidR="00573E4F">
        <w:t xml:space="preserve"> in a decision-making process</w:t>
      </w:r>
      <w:r w:rsidR="001A1645">
        <w:t>.</w:t>
      </w:r>
      <w:r w:rsidR="00B85441">
        <w:t xml:space="preserve"> In those situations, there is</w:t>
      </w:r>
      <w:r w:rsidR="00573E4F">
        <w:t xml:space="preserve"> a disconnect between the</w:t>
      </w:r>
      <w:r w:rsidR="00B85441">
        <w:t xml:space="preserve"> cultural</w:t>
      </w:r>
      <w:r w:rsidR="00585D21">
        <w:t xml:space="preserve"> meaning of a place</w:t>
      </w:r>
      <w:r w:rsidR="00573E4F">
        <w:t xml:space="preserve"> and the regulatory efforts involved in its preservation.</w:t>
      </w:r>
      <w:r w:rsidR="001A1645">
        <w:t xml:space="preserve"> </w:t>
      </w:r>
      <w:r w:rsidR="003E6FF0">
        <w:t xml:space="preserve">In a culturally sustainable preservation model, </w:t>
      </w:r>
      <w:r w:rsidR="00133A19">
        <w:t>the action shifts away from conventional</w:t>
      </w:r>
      <w:r w:rsidR="003E6FF0">
        <w:t xml:space="preserve"> historic preservation of buildings to preserving quality of life for the people within a community.</w:t>
      </w:r>
      <w:r w:rsidR="00911404">
        <w:t xml:space="preserve"> Preserving the quality of life </w:t>
      </w:r>
      <w:r w:rsidR="0011793A">
        <w:t>also</w:t>
      </w:r>
      <w:r w:rsidR="00911404">
        <w:t xml:space="preserve"> include</w:t>
      </w:r>
      <w:r w:rsidR="0011793A">
        <w:t>s</w:t>
      </w:r>
      <w:r w:rsidR="00911404">
        <w:t xml:space="preserve"> preserving the open transfer of culture—representative traditions and practices—of the residents. </w:t>
      </w:r>
      <w:r w:rsidR="001D2B45">
        <w:t>This section will explore</w:t>
      </w:r>
      <w:r w:rsidR="00781018">
        <w:t xml:space="preserve"> and </w:t>
      </w:r>
      <w:r w:rsidR="009038F3">
        <w:t xml:space="preserve">identify </w:t>
      </w:r>
      <w:r w:rsidR="001D2B45">
        <w:t>which</w:t>
      </w:r>
      <w:r w:rsidR="005A77A3">
        <w:t xml:space="preserve"> people </w:t>
      </w:r>
      <w:r w:rsidR="001D2B45">
        <w:t xml:space="preserve">are </w:t>
      </w:r>
      <w:r w:rsidR="005A77A3">
        <w:t>served by a culturally sustainable preservation model,</w:t>
      </w:r>
      <w:r w:rsidR="001D2B45">
        <w:t xml:space="preserve"> what is meant by a cultural group,</w:t>
      </w:r>
      <w:r w:rsidR="005A77A3">
        <w:t xml:space="preserve"> and </w:t>
      </w:r>
      <w:r w:rsidR="001D2B45">
        <w:t>how the</w:t>
      </w:r>
      <w:r w:rsidR="005A77A3">
        <w:t xml:space="preserve"> processes</w:t>
      </w:r>
      <w:r w:rsidR="001D2B45">
        <w:t xml:space="preserve"> of gentrification and displacement</w:t>
      </w:r>
      <w:r w:rsidR="005A77A3">
        <w:t xml:space="preserve"> </w:t>
      </w:r>
      <w:r w:rsidR="001D2B45">
        <w:t xml:space="preserve">may </w:t>
      </w:r>
      <w:r w:rsidR="005A77A3">
        <w:t>affect quality of</w:t>
      </w:r>
      <w:r w:rsidR="001D2B45">
        <w:t xml:space="preserve"> life within the neighborhood.</w:t>
      </w:r>
      <w:r w:rsidR="005A77A3">
        <w:t xml:space="preserve"> </w:t>
      </w:r>
    </w:p>
    <w:p w14:paraId="3258B78A" w14:textId="77777777" w:rsidR="009334F9" w:rsidRDefault="009334F9" w:rsidP="005456A8">
      <w:pPr>
        <w:pStyle w:val="NormalWeb"/>
        <w:spacing w:line="480" w:lineRule="auto"/>
        <w:contextualSpacing/>
      </w:pPr>
    </w:p>
    <w:p w14:paraId="39CF3600" w14:textId="77777777" w:rsidR="006D4F48" w:rsidRPr="005456A8" w:rsidRDefault="006D4F48" w:rsidP="005456A8">
      <w:pPr>
        <w:pStyle w:val="NormalWeb"/>
        <w:spacing w:line="480" w:lineRule="auto"/>
        <w:contextualSpacing/>
        <w:rPr>
          <w:u w:val="single"/>
        </w:rPr>
      </w:pPr>
      <w:r w:rsidRPr="005456A8">
        <w:rPr>
          <w:u w:val="single"/>
        </w:rPr>
        <w:t>Culture and Cultural Group</w:t>
      </w:r>
    </w:p>
    <w:p w14:paraId="5D577B22" w14:textId="46700078" w:rsidR="006D4F48" w:rsidRDefault="006D4F48" w:rsidP="009039FD">
      <w:pPr>
        <w:pStyle w:val="NormalWeb"/>
        <w:spacing w:line="480" w:lineRule="auto"/>
        <w:ind w:firstLine="720"/>
        <w:contextualSpacing/>
      </w:pPr>
      <w:r>
        <w:t xml:space="preserve">Culture is another </w:t>
      </w:r>
      <w:r w:rsidR="00427F95">
        <w:t xml:space="preserve">term that is </w:t>
      </w:r>
      <w:r>
        <w:t xml:space="preserve">difficult to define. </w:t>
      </w:r>
      <w:r w:rsidR="00756562">
        <w:t>Author Jo</w:t>
      </w:r>
      <w:r>
        <w:t>n Hawkes proposes two interrelated definitions for culture:</w:t>
      </w:r>
    </w:p>
    <w:p w14:paraId="001BBF17" w14:textId="77777777" w:rsidR="006D4F48" w:rsidRDefault="006D4F48" w:rsidP="009039FD">
      <w:pPr>
        <w:pStyle w:val="NormalWeb"/>
        <w:numPr>
          <w:ilvl w:val="0"/>
          <w:numId w:val="2"/>
        </w:numPr>
        <w:spacing w:line="480" w:lineRule="auto"/>
        <w:contextualSpacing/>
      </w:pPr>
      <w:r>
        <w:lastRenderedPageBreak/>
        <w:t>The social production and transmission of identities, meanings, knowledge, beliefs, values, aspirations, memories, purposes, attitudes, and understanding</w:t>
      </w:r>
    </w:p>
    <w:p w14:paraId="437E92DF" w14:textId="77777777" w:rsidR="006D4F48" w:rsidRDefault="006D4F48" w:rsidP="009039FD">
      <w:pPr>
        <w:pStyle w:val="NormalWeb"/>
        <w:numPr>
          <w:ilvl w:val="0"/>
          <w:numId w:val="2"/>
        </w:numPr>
        <w:spacing w:line="480" w:lineRule="auto"/>
        <w:contextualSpacing/>
      </w:pPr>
      <w:r>
        <w:t xml:space="preserve">The ‘way of life’ of a </w:t>
      </w:r>
      <w:proofErr w:type="gramStart"/>
      <w:r>
        <w:t>particular set</w:t>
      </w:r>
      <w:proofErr w:type="gramEnd"/>
      <w:r>
        <w:t xml:space="preserve"> of humans: customs, faiths, and conventions; codes of manners, dress, cuisine, language, arts, science, technology, religion, and rituals; norms and regulations of behavior, traditions and institutions.</w:t>
      </w:r>
      <w:r w:rsidRPr="00F3497A">
        <w:rPr>
          <w:rStyle w:val="FootnoteReference"/>
        </w:rPr>
        <w:footnoteReference w:id="22"/>
      </w:r>
    </w:p>
    <w:p w14:paraId="69D553B8" w14:textId="6654483A" w:rsidR="006D4F48" w:rsidRDefault="006D4F48" w:rsidP="004D7C04">
      <w:pPr>
        <w:pStyle w:val="NormalWeb"/>
        <w:spacing w:line="480" w:lineRule="auto"/>
        <w:ind w:firstLine="720"/>
        <w:contextualSpacing/>
      </w:pPr>
      <w:r>
        <w:t>By using these definitions, culture can be understood to have both intrinsic and extrinsic expressions. Hawkes further state</w:t>
      </w:r>
      <w:r w:rsidR="00653ED5">
        <w:t>s</w:t>
      </w:r>
      <w:r>
        <w:t xml:space="preserve"> that when culture is put into action, society can better “make sense of our existence and the environment we inhabit, find common expressions of our values and needs, and meet the challenges presented by our continued stewardship of the planet.”</w:t>
      </w:r>
      <w:r w:rsidR="00250345" w:rsidRPr="00F3497A">
        <w:rPr>
          <w:rStyle w:val="FootnoteReference"/>
        </w:rPr>
        <w:footnoteReference w:id="23"/>
      </w:r>
    </w:p>
    <w:p w14:paraId="37F9B8D9" w14:textId="3604DBD7" w:rsidR="006D4F48" w:rsidRDefault="006D4F48" w:rsidP="004D7C04">
      <w:pPr>
        <w:pStyle w:val="NormalWeb"/>
        <w:spacing w:line="480" w:lineRule="auto"/>
        <w:ind w:firstLine="720"/>
        <w:contextualSpacing/>
      </w:pPr>
      <w:r>
        <w:t>The cultural group is d</w:t>
      </w:r>
      <w:r w:rsidR="00F66BD2">
        <w:t xml:space="preserve">efined by the ties that bind its members </w:t>
      </w:r>
      <w:r>
        <w:t xml:space="preserve">together. The common bonds found between people who share or are of the same family, religion, gender, socio-economic status, ethnicity or place of origin, education level, place of residence and so on are those ideals and beliefs that humans use to connect or interrelate. Cultural groups are layered and flexible, and they often overlap—more like a Venn diagram than one box into which many people fit. At the neighborhood level, it is this type of connectedness that the urban infrastructure needs to support. Through a culturally sustainable preservation model, the interrelationship between people and the places become the significant cultural resource identified by the resident cultural group. </w:t>
      </w:r>
    </w:p>
    <w:p w14:paraId="7DD13749" w14:textId="77777777" w:rsidR="009334F9" w:rsidRDefault="009334F9" w:rsidP="005456A8">
      <w:pPr>
        <w:pStyle w:val="NormalWeb"/>
        <w:spacing w:line="480" w:lineRule="auto"/>
        <w:contextualSpacing/>
      </w:pPr>
    </w:p>
    <w:p w14:paraId="1F3B9310" w14:textId="77777777" w:rsidR="00024AAB" w:rsidRDefault="00024AAB" w:rsidP="005456A8">
      <w:pPr>
        <w:pStyle w:val="NormalWeb"/>
        <w:spacing w:line="480" w:lineRule="auto"/>
        <w:contextualSpacing/>
      </w:pPr>
    </w:p>
    <w:p w14:paraId="4B859B43" w14:textId="77777777" w:rsidR="00024AAB" w:rsidRDefault="00024AAB" w:rsidP="005456A8">
      <w:pPr>
        <w:pStyle w:val="NormalWeb"/>
        <w:spacing w:line="480" w:lineRule="auto"/>
        <w:contextualSpacing/>
      </w:pPr>
    </w:p>
    <w:p w14:paraId="79A9D2E2" w14:textId="05227707" w:rsidR="00DB4B61" w:rsidRPr="005456A8" w:rsidRDefault="00FD6573" w:rsidP="005456A8">
      <w:pPr>
        <w:pStyle w:val="NormalWeb"/>
        <w:spacing w:line="480" w:lineRule="auto"/>
        <w:contextualSpacing/>
        <w:rPr>
          <w:u w:val="single"/>
        </w:rPr>
      </w:pPr>
      <w:r w:rsidRPr="005456A8">
        <w:rPr>
          <w:u w:val="single"/>
        </w:rPr>
        <w:lastRenderedPageBreak/>
        <w:t>Residents</w:t>
      </w:r>
    </w:p>
    <w:p w14:paraId="4962F25C" w14:textId="334817DE" w:rsidR="00846B03" w:rsidRDefault="001846C0" w:rsidP="009D2B5F">
      <w:pPr>
        <w:pStyle w:val="NormalWeb"/>
        <w:spacing w:line="480" w:lineRule="auto"/>
        <w:ind w:firstLine="720"/>
        <w:contextualSpacing/>
      </w:pPr>
      <w:r>
        <w:t>When referencing the</w:t>
      </w:r>
      <w:r w:rsidR="00FD6573">
        <w:t xml:space="preserve"> residents of a place </w:t>
      </w:r>
      <w:r>
        <w:t>several different things can be meant</w:t>
      </w:r>
      <w:r w:rsidR="006C60B2">
        <w:t>.</w:t>
      </w:r>
      <w:r w:rsidR="00846B03">
        <w:t xml:space="preserve"> As we will see, the determination of who is, and who is not, a resident is variable based on the community in question. The nature of a culturally sustainable preservation model is </w:t>
      </w:r>
      <w:r w:rsidR="00AA2DDF">
        <w:t>to be as inclusive and representative of the impacted community as possible.</w:t>
      </w:r>
      <w:r w:rsidR="006C60B2">
        <w:t xml:space="preserve"> As a broad definition</w:t>
      </w:r>
      <w:r w:rsidR="00E153D8">
        <w:t xml:space="preserve"> for this paper, </w:t>
      </w:r>
      <w:r w:rsidR="006C60B2">
        <w:t>residents are considered</w:t>
      </w:r>
      <w:r w:rsidR="00225540">
        <w:t xml:space="preserve"> local stakeholders</w:t>
      </w:r>
      <w:r w:rsidR="00674927">
        <w:t xml:space="preserve"> within a defined boundary, such as a neighborhood</w:t>
      </w:r>
      <w:r w:rsidR="00846B03">
        <w:t>.</w:t>
      </w:r>
    </w:p>
    <w:p w14:paraId="1C8A1E3E" w14:textId="6E4DF713" w:rsidR="00FD6573" w:rsidRDefault="00225540" w:rsidP="009D2B5F">
      <w:pPr>
        <w:pStyle w:val="NormalWeb"/>
        <w:spacing w:line="480" w:lineRule="auto"/>
        <w:ind w:firstLine="720"/>
        <w:contextualSpacing/>
      </w:pPr>
      <w:r>
        <w:t>This</w:t>
      </w:r>
      <w:r w:rsidR="00AA2DDF">
        <w:t xml:space="preserve"> definition</w:t>
      </w:r>
      <w:r>
        <w:t xml:space="preserve"> includes homeowners and renters</w:t>
      </w:r>
      <w:r w:rsidR="00674927">
        <w:t>, as well as</w:t>
      </w:r>
      <w:r w:rsidR="00FA6DD7">
        <w:t xml:space="preserve"> small</w:t>
      </w:r>
      <w:r w:rsidR="00674927">
        <w:t xml:space="preserve"> businesses which serve the neighborhood.</w:t>
      </w:r>
      <w:r w:rsidR="00777E34">
        <w:t xml:space="preserve"> Property owners not residing within the neighborhood would likely not be included as a local stakeholder in this context because of the emphasis on local culture when creating a culturally sustainable preservation model.</w:t>
      </w:r>
      <w:r w:rsidR="00477818">
        <w:t xml:space="preserve"> An exception to this exclusion could be in the case of non-resident property owners who are maintaining property in a neighborhood with which they formerly had a connection. In this example, property owners who are not living in the neighborhood, but are considered by residents as part of the community are still local stakeholders.</w:t>
      </w:r>
      <w:r w:rsidR="005E6DB6">
        <w:t xml:space="preserve"> Franchised</w:t>
      </w:r>
      <w:r w:rsidR="00FA6DD7">
        <w:t xml:space="preserve"> businesses would</w:t>
      </w:r>
      <w:r w:rsidR="005E6DB6">
        <w:t xml:space="preserve"> also generally</w:t>
      </w:r>
      <w:r w:rsidR="00FA6DD7">
        <w:t xml:space="preserve"> not be included as a resident. Even though the business, such as a McDonald’s or CVS, serves the community in which it is located, it is not likely to be contributing to the defining cultural characteristics of the neighborhood.</w:t>
      </w:r>
      <w:r w:rsidR="003767E6">
        <w:t xml:space="preserve"> However, </w:t>
      </w:r>
      <w:r w:rsidR="002C7F08">
        <w:t>like community connected</w:t>
      </w:r>
      <w:r w:rsidR="003767E6">
        <w:t xml:space="preserve"> non-residential property owners</w:t>
      </w:r>
      <w:r w:rsidR="002C7F08">
        <w:t>,</w:t>
      </w:r>
      <w:r w:rsidR="003767E6">
        <w:t xml:space="preserve"> franchised businesses would be considered residents if </w:t>
      </w:r>
      <w:r w:rsidR="00BF01D0">
        <w:t xml:space="preserve">the </w:t>
      </w:r>
      <w:r w:rsidR="003767E6">
        <w:t xml:space="preserve">community saw them as contributing to local culture. </w:t>
      </w:r>
    </w:p>
    <w:p w14:paraId="1465BD0F" w14:textId="4C649027" w:rsidR="00FA6DD7" w:rsidRDefault="00FA6DD7" w:rsidP="009D2B5F">
      <w:pPr>
        <w:pStyle w:val="NormalWeb"/>
        <w:spacing w:line="480" w:lineRule="auto"/>
        <w:ind w:firstLine="720"/>
        <w:contextualSpacing/>
      </w:pPr>
      <w:r>
        <w:t xml:space="preserve">A potential conflict among residents can occur when a neighborhood is experiencing an influx of new </w:t>
      </w:r>
      <w:r w:rsidR="00B50981">
        <w:t>residents</w:t>
      </w:r>
      <w:r>
        <w:t xml:space="preserve"> that </w:t>
      </w:r>
      <w:r w:rsidR="00B50981">
        <w:t>are</w:t>
      </w:r>
      <w:r>
        <w:t xml:space="preserve"> considered</w:t>
      </w:r>
      <w:r w:rsidR="00B50981">
        <w:t xml:space="preserve"> the</w:t>
      </w:r>
      <w:r>
        <w:t xml:space="preserve"> </w:t>
      </w:r>
      <w:r w:rsidR="00A57507">
        <w:t>“outside</w:t>
      </w:r>
      <w:r w:rsidR="00B50981">
        <w:t>r</w:t>
      </w:r>
      <w:r>
        <w:t>”</w:t>
      </w:r>
      <w:r w:rsidR="00B50981">
        <w:t xml:space="preserve"> to</w:t>
      </w:r>
      <w:r w:rsidR="00A57507">
        <w:t xml:space="preserve"> </w:t>
      </w:r>
      <w:r>
        <w:t>long-standing members of the community. This conflict will be addressed in later chapters, but for the sake of de</w:t>
      </w:r>
      <w:r w:rsidR="0011019E">
        <w:t>finition, both new and old inhabitants in the community are residents.</w:t>
      </w:r>
      <w:r w:rsidR="00A620CD">
        <w:t xml:space="preserve"> Another point </w:t>
      </w:r>
      <w:r w:rsidR="00B830E7">
        <w:t>to consider</w:t>
      </w:r>
      <w:r w:rsidR="00A620CD">
        <w:t xml:space="preserve"> when </w:t>
      </w:r>
      <w:r w:rsidR="00B830E7">
        <w:lastRenderedPageBreak/>
        <w:t>determining</w:t>
      </w:r>
      <w:r w:rsidR="00A620CD">
        <w:t xml:space="preserve"> who is, and who is not, a resident is the local stakeholder who </w:t>
      </w:r>
      <w:r w:rsidR="00E153D8">
        <w:t>does not live in the community</w:t>
      </w:r>
      <w:r w:rsidR="00A620CD">
        <w:t xml:space="preserve">, but </w:t>
      </w:r>
      <w:r w:rsidR="00B50981">
        <w:t>comes into the community to contribute</w:t>
      </w:r>
      <w:r w:rsidR="00A620CD">
        <w:t xml:space="preserve"> to local culture. An example could be former residents who have been displaced, but still return to neighborhood locations that represent their cultural identity such as churches, cultural centers, or street markets. As the term resident has been defined above, people in this situation would be considered residents because they are local stakeholders in the cultural stability of the neighborhood. </w:t>
      </w:r>
    </w:p>
    <w:p w14:paraId="4D9AE87A" w14:textId="77777777" w:rsidR="005456A8" w:rsidRDefault="005456A8" w:rsidP="009D2B5F">
      <w:pPr>
        <w:pStyle w:val="NormalWeb"/>
        <w:spacing w:line="480" w:lineRule="auto"/>
        <w:ind w:firstLine="720"/>
        <w:contextualSpacing/>
      </w:pPr>
    </w:p>
    <w:p w14:paraId="18BF3ED7" w14:textId="7BDA85BC" w:rsidR="00CF3364" w:rsidRPr="005456A8" w:rsidRDefault="00CF3364" w:rsidP="0025074F">
      <w:pPr>
        <w:pStyle w:val="NormalWeb"/>
        <w:spacing w:line="480" w:lineRule="auto"/>
        <w:contextualSpacing/>
        <w:rPr>
          <w:u w:val="single"/>
        </w:rPr>
      </w:pPr>
      <w:r w:rsidRPr="005456A8">
        <w:rPr>
          <w:u w:val="single"/>
        </w:rPr>
        <w:t>Gentrification and Displacement</w:t>
      </w:r>
    </w:p>
    <w:p w14:paraId="2B549DCF" w14:textId="2FD78A12" w:rsidR="00682AEE" w:rsidRDefault="0054040E" w:rsidP="0030022A">
      <w:pPr>
        <w:pStyle w:val="NormalWeb"/>
        <w:spacing w:line="480" w:lineRule="auto"/>
        <w:ind w:firstLine="720"/>
        <w:contextualSpacing/>
      </w:pPr>
      <w:r>
        <w:t>Gentrification</w:t>
      </w:r>
      <w:r w:rsidR="002523B4">
        <w:t xml:space="preserve"> is a much-discussed issue in circles</w:t>
      </w:r>
      <w:r w:rsidR="00E04E55">
        <w:t xml:space="preserve"> of people</w:t>
      </w:r>
      <w:r w:rsidR="002523B4">
        <w:t xml:space="preserve"> working within the urban landscape.</w:t>
      </w:r>
      <w:r w:rsidR="00DE79F8">
        <w:t xml:space="preserve"> </w:t>
      </w:r>
      <w:r w:rsidR="00B071B3">
        <w:t>The</w:t>
      </w:r>
      <w:r w:rsidR="00DE79F8">
        <w:t xml:space="preserve"> term</w:t>
      </w:r>
      <w:r w:rsidR="00B071B3">
        <w:t>,</w:t>
      </w:r>
      <w:r w:rsidR="00DE79F8">
        <w:t xml:space="preserve"> first coined by</w:t>
      </w:r>
      <w:r w:rsidR="00CD5F10">
        <w:t xml:space="preserve"> sociologist</w:t>
      </w:r>
      <w:r w:rsidR="00DE79F8">
        <w:t xml:space="preserve"> Ruth Glass </w:t>
      </w:r>
      <w:r w:rsidR="0083334D">
        <w:t>in the 1960s</w:t>
      </w:r>
      <w:r w:rsidR="00C23C05">
        <w:t xml:space="preserve">, </w:t>
      </w:r>
      <w:r w:rsidR="002523B4">
        <w:t>refers to the influx of new</w:t>
      </w:r>
      <w:r w:rsidR="00E04E55">
        <w:t>, wealthier</w:t>
      </w:r>
      <w:r w:rsidR="002523B4">
        <w:t xml:space="preserve"> residents into a</w:t>
      </w:r>
      <w:r w:rsidR="00E04E55">
        <w:t xml:space="preserve"> lower-income neighborhood</w:t>
      </w:r>
      <w:r w:rsidR="002523B4">
        <w:t>.</w:t>
      </w:r>
      <w:r w:rsidR="00E04E55">
        <w:t xml:space="preserve"> </w:t>
      </w:r>
      <w:r w:rsidR="002523B4">
        <w:t>The new inhabitants are often of a higher socioeconomic status than those currently residing in the neighborhood, and the phenome</w:t>
      </w:r>
      <w:r w:rsidR="002078AF">
        <w:t>non is often accompanied with a steep</w:t>
      </w:r>
      <w:r w:rsidR="002523B4">
        <w:t xml:space="preserve"> increase in house values and rents.</w:t>
      </w:r>
      <w:r w:rsidR="002D4151" w:rsidRPr="00F3497A">
        <w:rPr>
          <w:rStyle w:val="FootnoteReference"/>
        </w:rPr>
        <w:footnoteReference w:id="24"/>
      </w:r>
      <w:r w:rsidR="00E1605C">
        <w:t xml:space="preserve"> </w:t>
      </w:r>
      <w:r w:rsidR="002078AF">
        <w:t>Racial overtones also accompany the impact of neighborhood change, as urban areas in the industrial Midwest and Mid-Atlantic tend to have high levels of segregation between white and black residents.</w:t>
      </w:r>
      <w:r w:rsidR="002078AF" w:rsidRPr="00F3497A">
        <w:rPr>
          <w:rStyle w:val="FootnoteReference"/>
        </w:rPr>
        <w:footnoteReference w:id="25"/>
      </w:r>
      <w:r w:rsidR="002078AF">
        <w:t xml:space="preserve"> </w:t>
      </w:r>
      <w:r w:rsidR="00E1605C">
        <w:t>The debate lies in whether gentrification has a positive or negative impact on</w:t>
      </w:r>
      <w:r w:rsidR="00B071B3">
        <w:t xml:space="preserve"> original</w:t>
      </w:r>
      <w:r w:rsidR="00E1605C">
        <w:t xml:space="preserve"> residents</w:t>
      </w:r>
      <w:r w:rsidR="008637C4">
        <w:t>, and whether</w:t>
      </w:r>
      <w:r w:rsidR="002078AF">
        <w:t xml:space="preserve"> gentrification results in</w:t>
      </w:r>
      <w:r w:rsidR="008637C4">
        <w:t xml:space="preserve"> </w:t>
      </w:r>
      <w:r w:rsidR="00C23C05">
        <w:t>displacement</w:t>
      </w:r>
      <w:r w:rsidR="008637C4">
        <w:t xml:space="preserve"> </w:t>
      </w:r>
      <w:r w:rsidR="002078AF">
        <w:t>of original community members.</w:t>
      </w:r>
      <w:r w:rsidR="00E1605C">
        <w:t xml:space="preserve"> </w:t>
      </w:r>
    </w:p>
    <w:p w14:paraId="61B95CF2" w14:textId="7D6AF5DE" w:rsidR="00870517" w:rsidRDefault="002427F4" w:rsidP="0030022A">
      <w:pPr>
        <w:pStyle w:val="NormalWeb"/>
        <w:spacing w:line="480" w:lineRule="auto"/>
        <w:ind w:firstLine="720"/>
        <w:contextualSpacing/>
      </w:pPr>
      <w:r>
        <w:t xml:space="preserve">The </w:t>
      </w:r>
      <w:r w:rsidR="000751E1">
        <w:t>discussion rega</w:t>
      </w:r>
      <w:r w:rsidR="0030022A">
        <w:t>rding gentrification becomes even more difficult to parse because the</w:t>
      </w:r>
      <w:r w:rsidR="00870517">
        <w:t xml:space="preserve"> </w:t>
      </w:r>
      <w:r w:rsidR="004A68D5">
        <w:t>professional and academic</w:t>
      </w:r>
      <w:r w:rsidR="00870517">
        <w:t xml:space="preserve"> community</w:t>
      </w:r>
      <w:r w:rsidR="0030022A">
        <w:t>’s</w:t>
      </w:r>
      <w:r w:rsidR="00F9613F">
        <w:t xml:space="preserve"> </w:t>
      </w:r>
      <w:r w:rsidR="0030022A">
        <w:t>publications</w:t>
      </w:r>
      <w:r w:rsidR="00F9613F">
        <w:t xml:space="preserve"> </w:t>
      </w:r>
      <w:r w:rsidR="0030022A">
        <w:t>regarding</w:t>
      </w:r>
      <w:r w:rsidR="009475E2">
        <w:t xml:space="preserve"> impacts of gentrification </w:t>
      </w:r>
      <w:r w:rsidR="00870517">
        <w:t>and the</w:t>
      </w:r>
      <w:r w:rsidR="00F9613F">
        <w:t xml:space="preserve"> media</w:t>
      </w:r>
      <w:r w:rsidR="0030022A">
        <w:t>’s</w:t>
      </w:r>
      <w:r w:rsidR="00F9613F">
        <w:t xml:space="preserve"> reported</w:t>
      </w:r>
      <w:r w:rsidR="00870517">
        <w:t xml:space="preserve"> experiences of residents within these neighborhoods </w:t>
      </w:r>
      <w:r w:rsidR="00F9613F">
        <w:t>are</w:t>
      </w:r>
      <w:r w:rsidR="009475E2">
        <w:t xml:space="preserve"> often very</w:t>
      </w:r>
      <w:r w:rsidR="00870517">
        <w:t xml:space="preserve"> different. </w:t>
      </w:r>
      <w:r w:rsidR="002B771A">
        <w:lastRenderedPageBreak/>
        <w:t>S</w:t>
      </w:r>
      <w:r w:rsidR="005B7727">
        <w:t xml:space="preserve">cholar Chase Billingham argues that </w:t>
      </w:r>
      <w:r w:rsidR="003168B0">
        <w:t>there is a level</w:t>
      </w:r>
      <w:r w:rsidR="005B7727">
        <w:t xml:space="preserve"> of </w:t>
      </w:r>
      <w:r w:rsidR="003168B0">
        <w:t>unacknowledged</w:t>
      </w:r>
      <w:r w:rsidR="00677EF3">
        <w:t>, forcible</w:t>
      </w:r>
      <w:r w:rsidR="003168B0">
        <w:t xml:space="preserve"> </w:t>
      </w:r>
      <w:r w:rsidR="005B7727">
        <w:t>displacement</w:t>
      </w:r>
      <w:r w:rsidR="003168B0">
        <w:t xml:space="preserve"> which</w:t>
      </w:r>
      <w:r w:rsidR="005B7727">
        <w:t xml:space="preserve"> occurs before</w:t>
      </w:r>
      <w:r w:rsidR="002D4AB5">
        <w:t>, rather than after,</w:t>
      </w:r>
      <w:r w:rsidR="005B7727">
        <w:t xml:space="preserve"> a neighborhood experiences gentrification</w:t>
      </w:r>
      <w:r w:rsidR="00677EF3">
        <w:t xml:space="preserve"> </w:t>
      </w:r>
      <w:r w:rsidR="005B7727">
        <w:t>as a way of clearing space for potential development.</w:t>
      </w:r>
      <w:r w:rsidR="003168B0" w:rsidRPr="00F3497A">
        <w:rPr>
          <w:rStyle w:val="FootnoteReference"/>
        </w:rPr>
        <w:footnoteReference w:id="26"/>
      </w:r>
      <w:r w:rsidR="00E23962">
        <w:t xml:space="preserve"> Lei D</w:t>
      </w:r>
      <w:r w:rsidR="00264807">
        <w:t xml:space="preserve">ing and </w:t>
      </w:r>
      <w:proofErr w:type="spellStart"/>
      <w:r w:rsidR="00264807">
        <w:t>Jackelyn</w:t>
      </w:r>
      <w:proofErr w:type="spellEnd"/>
      <w:r w:rsidR="00264807">
        <w:t xml:space="preserve"> Hwang used the consumer credit data base to show that gentrification increases the credit scores of</w:t>
      </w:r>
      <w:r w:rsidR="007F131B">
        <w:t xml:space="preserve"> original</w:t>
      </w:r>
      <w:r w:rsidR="00264807">
        <w:t xml:space="preserve"> residents who stay in a gentrifying neighborhood, while the credit scores of residents who move to lower-income neighborhoods show a decrease in number.</w:t>
      </w:r>
      <w:r w:rsidR="00264807" w:rsidRPr="00F3497A">
        <w:rPr>
          <w:rStyle w:val="FootnoteReference"/>
        </w:rPr>
        <w:footnoteReference w:id="27"/>
      </w:r>
      <w:r w:rsidR="005111D3">
        <w:t xml:space="preserve"> Urban planners and scholars Lance Freeman and Frank </w:t>
      </w:r>
      <w:proofErr w:type="spellStart"/>
      <w:r w:rsidR="005111D3">
        <w:t>Braconi</w:t>
      </w:r>
      <w:proofErr w:type="spellEnd"/>
      <w:r w:rsidR="005111D3">
        <w:t xml:space="preserve"> wrote a </w:t>
      </w:r>
      <w:r w:rsidR="0013559B">
        <w:t>well-respected article in 2004 which showed no evidence</w:t>
      </w:r>
      <w:r w:rsidR="0045584F">
        <w:t xml:space="preserve"> in 1990s New York City</w:t>
      </w:r>
      <w:r w:rsidR="0013559B">
        <w:t xml:space="preserve"> of a direct relationship between gentrification and displacement.</w:t>
      </w:r>
      <w:r w:rsidR="0013559B" w:rsidRPr="00F3497A">
        <w:rPr>
          <w:rStyle w:val="FootnoteReference"/>
        </w:rPr>
        <w:footnoteReference w:id="28"/>
      </w:r>
    </w:p>
    <w:p w14:paraId="4E0798A6" w14:textId="4820B9C1" w:rsidR="00960AAA" w:rsidRDefault="00960AAA" w:rsidP="00C419AD">
      <w:pPr>
        <w:pStyle w:val="NormalWeb"/>
        <w:spacing w:line="480" w:lineRule="auto"/>
        <w:ind w:firstLine="720"/>
        <w:contextualSpacing/>
      </w:pPr>
      <w:r>
        <w:t xml:space="preserve">However, </w:t>
      </w:r>
      <w:r w:rsidR="00C419AD">
        <w:t xml:space="preserve">within Legacy City </w:t>
      </w:r>
      <w:r>
        <w:t>neighborhoods</w:t>
      </w:r>
      <w:r w:rsidR="00C419AD">
        <w:t>, the media</w:t>
      </w:r>
      <w:r>
        <w:t xml:space="preserve"> </w:t>
      </w:r>
      <w:r w:rsidR="00C419AD">
        <w:t>is</w:t>
      </w:r>
      <w:r>
        <w:t xml:space="preserve"> reporting a different </w:t>
      </w:r>
      <w:r w:rsidR="00C419AD">
        <w:t>experience</w:t>
      </w:r>
      <w:r>
        <w:t xml:space="preserve"> of the gentrification issue. Buffalo, NY’s </w:t>
      </w:r>
      <w:r w:rsidR="00800F4B">
        <w:t>Fruit Belt</w:t>
      </w:r>
      <w:r>
        <w:t xml:space="preserve"> neighborhood is seeing major development resulting from the expansion of</w:t>
      </w:r>
      <w:r w:rsidR="00800F4B">
        <w:t xml:space="preserve"> the Buffalo Niagara M</w:t>
      </w:r>
      <w:r w:rsidR="0030022A">
        <w:t>edical Center campus. Some r</w:t>
      </w:r>
      <w:r w:rsidR="000062CC">
        <w:t xml:space="preserve">esidents, </w:t>
      </w:r>
      <w:r w:rsidR="00800F4B">
        <w:t>experiencing rent increase</w:t>
      </w:r>
      <w:r w:rsidR="000062CC">
        <w:t>s</w:t>
      </w:r>
      <w:r w:rsidR="00800F4B">
        <w:t xml:space="preserve"> two to three times the previou</w:t>
      </w:r>
      <w:r w:rsidR="000062CC">
        <w:t xml:space="preserve">s market rate, have created a land trust </w:t>
      </w:r>
      <w:r w:rsidR="00466812">
        <w:t>to</w:t>
      </w:r>
      <w:r w:rsidR="000062CC">
        <w:t xml:space="preserve"> stem the </w:t>
      </w:r>
      <w:r w:rsidR="0030022A">
        <w:t>loss of affordable housing for current residents. The land trust is allowing more residents to stay in the community, while also offering residents local control over development.</w:t>
      </w:r>
      <w:r w:rsidR="000062CC" w:rsidRPr="00F3497A">
        <w:rPr>
          <w:rStyle w:val="FootnoteReference"/>
        </w:rPr>
        <w:footnoteReference w:id="29"/>
      </w:r>
      <w:r w:rsidR="00294090">
        <w:t xml:space="preserve"> </w:t>
      </w:r>
      <w:r w:rsidR="00313115">
        <w:t xml:space="preserve">In the East Liberty neighborhood of Pittsburgh, PA, controversy developed in early 2018 when an artist installed a billboard sign above a </w:t>
      </w:r>
      <w:r w:rsidR="00C419AD">
        <w:t>local commercial</w:t>
      </w:r>
      <w:r w:rsidR="00313115">
        <w:t xml:space="preserve"> building which read “There are black people in the future.” The billboard was a response to changes in the </w:t>
      </w:r>
      <w:r w:rsidR="00313115">
        <w:lastRenderedPageBreak/>
        <w:t xml:space="preserve">community resulting from the </w:t>
      </w:r>
      <w:r w:rsidR="007A5925">
        <w:t>demolition</w:t>
      </w:r>
      <w:r w:rsidR="00313115">
        <w:t xml:space="preserve"> of several</w:t>
      </w:r>
      <w:r w:rsidR="00634684">
        <w:t xml:space="preserve"> federally-subsidized</w:t>
      </w:r>
      <w:r w:rsidR="00313115">
        <w:t xml:space="preserve"> </w:t>
      </w:r>
      <w:r w:rsidR="00000091">
        <w:t xml:space="preserve">housing complexes and the displacement of </w:t>
      </w:r>
      <w:r w:rsidR="00634684">
        <w:t>hundreds</w:t>
      </w:r>
      <w:r w:rsidR="009E1C7B">
        <w:t xml:space="preserve"> of residents.</w:t>
      </w:r>
      <w:r w:rsidR="009E1C7B" w:rsidRPr="00F3497A">
        <w:rPr>
          <w:rStyle w:val="FootnoteReference"/>
        </w:rPr>
        <w:footnoteReference w:id="30"/>
      </w:r>
      <w:r w:rsidR="0067615A">
        <w:t xml:space="preserve"> </w:t>
      </w:r>
      <w:r w:rsidR="00634684">
        <w:t>Many displaced residents were low-income African Americans, and adequate numbers of subsidized housing was not made available to those who choose to stay in the East Liberty neighborhood.</w:t>
      </w:r>
      <w:r w:rsidR="005B4A8E" w:rsidRPr="00F3497A">
        <w:rPr>
          <w:rStyle w:val="FootnoteReference"/>
        </w:rPr>
        <w:footnoteReference w:id="31"/>
      </w:r>
      <w:r w:rsidR="00634684">
        <w:t xml:space="preserve"> </w:t>
      </w:r>
      <w:r w:rsidR="0067615A">
        <w:t xml:space="preserve">While these are just two examples, they represent many more neighborhoods experiencing gentrification, and show that the phenomenon is troubling in many ways. </w:t>
      </w:r>
    </w:p>
    <w:p w14:paraId="12CC1E73" w14:textId="77777777" w:rsidR="0025074F" w:rsidRDefault="0025074F" w:rsidP="00C419AD">
      <w:pPr>
        <w:pStyle w:val="NormalWeb"/>
        <w:spacing w:line="480" w:lineRule="auto"/>
        <w:ind w:firstLine="720"/>
        <w:contextualSpacing/>
      </w:pPr>
    </w:p>
    <w:p w14:paraId="1213D842" w14:textId="303BB14F" w:rsidR="00FA6DD7" w:rsidRPr="0025074F" w:rsidRDefault="00E46DAC" w:rsidP="0063681C">
      <w:pPr>
        <w:pStyle w:val="NormalWeb"/>
        <w:spacing w:line="480" w:lineRule="auto"/>
        <w:ind w:firstLine="720"/>
        <w:contextualSpacing/>
        <w:jc w:val="center"/>
        <w:rPr>
          <w:u w:val="single"/>
        </w:rPr>
      </w:pPr>
      <w:r w:rsidRPr="0025074F">
        <w:rPr>
          <w:u w:val="single"/>
        </w:rPr>
        <w:t>Current Scholarship</w:t>
      </w:r>
    </w:p>
    <w:p w14:paraId="7D0DE2DC" w14:textId="0AC0B48A" w:rsidR="00E46DAC" w:rsidRDefault="00E46DAC" w:rsidP="0063681C">
      <w:pPr>
        <w:pStyle w:val="NormalWeb"/>
        <w:spacing w:line="480" w:lineRule="auto"/>
        <w:ind w:firstLine="720"/>
        <w:contextualSpacing/>
      </w:pPr>
      <w:r>
        <w:t>A culturally sustainable preservation model i</w:t>
      </w:r>
      <w:r w:rsidR="006C583D">
        <w:t>s a people-oriented undertaking</w:t>
      </w:r>
      <w:r w:rsidR="00471C13">
        <w:t xml:space="preserve"> that incorporates the tangible (built environment) with the intangible (representations of cultural </w:t>
      </w:r>
      <w:r w:rsidR="008502B5">
        <w:t>heritage</w:t>
      </w:r>
      <w:r w:rsidR="00471C13">
        <w:t>)</w:t>
      </w:r>
      <w:r w:rsidR="006C583D">
        <w:t>.</w:t>
      </w:r>
      <w:r w:rsidR="00A71623">
        <w:t xml:space="preserve"> </w:t>
      </w:r>
      <w:r w:rsidR="00723784">
        <w:t>Intended</w:t>
      </w:r>
      <w:r w:rsidR="006C583D">
        <w:t xml:space="preserve"> to be a historic preservation planning tool, it</w:t>
      </w:r>
      <w:r w:rsidR="00723784">
        <w:t xml:space="preserve"> will draw</w:t>
      </w:r>
      <w:r w:rsidR="006C583D">
        <w:t xml:space="preserve"> heavily from both municipal and urban planning</w:t>
      </w:r>
      <w:r w:rsidR="00471C13">
        <w:t xml:space="preserve"> (tangible)</w:t>
      </w:r>
      <w:r w:rsidR="006C583D">
        <w:t>, and cultural sustainability</w:t>
      </w:r>
      <w:r w:rsidR="00471C13">
        <w:t xml:space="preserve"> (intangible)</w:t>
      </w:r>
      <w:r w:rsidR="006C583D">
        <w:t xml:space="preserve"> theories. </w:t>
      </w:r>
      <w:r w:rsidR="00300572">
        <w:t>Because of the inclusive and expansive nature of the work, and because historic preservationists should not be the sole authority on cultural resources, preparing this type of</w:t>
      </w:r>
      <w:r w:rsidR="00976184">
        <w:t xml:space="preserve"> preservation</w:t>
      </w:r>
      <w:r w:rsidR="00300572">
        <w:t xml:space="preserve"> plan</w:t>
      </w:r>
      <w:r w:rsidR="00564489">
        <w:t xml:space="preserve"> will also require the collaboration of</w:t>
      </w:r>
      <w:r w:rsidR="006512C2">
        <w:t xml:space="preserve"> historic</w:t>
      </w:r>
      <w:r w:rsidR="00564489">
        <w:t xml:space="preserve"> preservation</w:t>
      </w:r>
      <w:r w:rsidR="006512C2">
        <w:t xml:space="preserve"> professionals</w:t>
      </w:r>
      <w:r w:rsidR="00564489">
        <w:t xml:space="preserve"> </w:t>
      </w:r>
      <w:r w:rsidR="00C67B60">
        <w:t>with</w:t>
      </w:r>
      <w:r w:rsidR="000659E2">
        <w:t xml:space="preserve"> other cultural and land use experts such as</w:t>
      </w:r>
      <w:r w:rsidR="00C67B60">
        <w:t xml:space="preserve"> </w:t>
      </w:r>
      <w:r w:rsidR="000659E2">
        <w:t>environmentalists, folklorists, anthropologists, and artists.</w:t>
      </w:r>
      <w:r>
        <w:t xml:space="preserve"> In the last decade, many different professional groups have moved toward</w:t>
      </w:r>
      <w:r w:rsidR="00976184">
        <w:t xml:space="preserve"> planning</w:t>
      </w:r>
      <w:r>
        <w:t xml:space="preserve"> models that </w:t>
      </w:r>
      <w:r w:rsidR="00976184">
        <w:t>substantively consider</w:t>
      </w:r>
      <w:r>
        <w:t xml:space="preserve"> the ways </w:t>
      </w:r>
      <w:r w:rsidR="006512C2">
        <w:t>people</w:t>
      </w:r>
      <w:r>
        <w:t xml:space="preserve"> interact</w:t>
      </w:r>
      <w:r w:rsidR="008E3FB0">
        <w:t xml:space="preserve"> with,</w:t>
      </w:r>
      <w:r>
        <w:t xml:space="preserve"> and </w:t>
      </w:r>
      <w:r w:rsidR="00976184">
        <w:t>are</w:t>
      </w:r>
      <w:r>
        <w:t xml:space="preserve"> impacted by</w:t>
      </w:r>
      <w:r w:rsidR="008E3FB0">
        <w:t>,</w:t>
      </w:r>
      <w:r>
        <w:t xml:space="preserve"> </w:t>
      </w:r>
      <w:r w:rsidR="006512C2">
        <w:t xml:space="preserve">the </w:t>
      </w:r>
      <w:r>
        <w:t>outcomes</w:t>
      </w:r>
      <w:r w:rsidR="006512C2">
        <w:t xml:space="preserve"> of implemented plans</w:t>
      </w:r>
      <w:r>
        <w:t xml:space="preserve">. </w:t>
      </w:r>
      <w:r w:rsidR="000616C7">
        <w:t xml:space="preserve">Each </w:t>
      </w:r>
      <w:r w:rsidR="0010795B">
        <w:t>profession</w:t>
      </w:r>
      <w:r w:rsidR="000616C7">
        <w:t xml:space="preserve"> comes at the issue from a different direction, and brings a different level of knowledge and expertise to the table. By </w:t>
      </w:r>
      <w:r w:rsidR="00032D7F">
        <w:t>examining a sampling of</w:t>
      </w:r>
      <w:r w:rsidR="0010795B">
        <w:t xml:space="preserve"> current </w:t>
      </w:r>
      <w:r w:rsidR="00BE6B3C">
        <w:lastRenderedPageBreak/>
        <w:t>theories</w:t>
      </w:r>
      <w:r w:rsidR="002A2EBD">
        <w:t xml:space="preserve"> in the three main </w:t>
      </w:r>
      <w:r w:rsidR="003C0FFE">
        <w:t xml:space="preserve">contributing </w:t>
      </w:r>
      <w:r w:rsidR="00BE6B3C">
        <w:t>fields</w:t>
      </w:r>
      <w:r w:rsidR="00976184">
        <w:t xml:space="preserve"> of historic preservation, planning, and cultural sustainability</w:t>
      </w:r>
      <w:r w:rsidR="003C0FFE">
        <w:t xml:space="preserve">, </w:t>
      </w:r>
      <w:r w:rsidR="000616C7">
        <w:t>we will hav</w:t>
      </w:r>
      <w:r w:rsidR="003C0FFE">
        <w:t>e a better understanding of</w:t>
      </w:r>
      <w:r w:rsidR="00C27F33">
        <w:t xml:space="preserve"> how</w:t>
      </w:r>
      <w:r w:rsidR="003C0FFE">
        <w:t xml:space="preserve"> </w:t>
      </w:r>
      <w:r w:rsidR="00976184">
        <w:t>they can</w:t>
      </w:r>
      <w:r w:rsidR="00D26E1E">
        <w:t xml:space="preserve"> come together to create </w:t>
      </w:r>
      <w:r w:rsidR="00FA1975">
        <w:t>a different sort of</w:t>
      </w:r>
      <w:r w:rsidR="0063681C">
        <w:t xml:space="preserve"> cultural</w:t>
      </w:r>
      <w:r w:rsidR="00FA1975">
        <w:t xml:space="preserve"> preservation plan</w:t>
      </w:r>
      <w:r w:rsidR="000616C7">
        <w:t xml:space="preserve">. </w:t>
      </w:r>
    </w:p>
    <w:p w14:paraId="3BB8E3DD" w14:textId="77777777" w:rsidR="0025074F" w:rsidRDefault="0025074F" w:rsidP="0025074F">
      <w:pPr>
        <w:pStyle w:val="NormalWeb"/>
        <w:spacing w:line="480" w:lineRule="auto"/>
        <w:ind w:firstLine="720"/>
        <w:contextualSpacing/>
      </w:pPr>
    </w:p>
    <w:p w14:paraId="5FC2CA52" w14:textId="4ED8A5FF" w:rsidR="00DD2674" w:rsidRPr="0025074F" w:rsidRDefault="00DD2674" w:rsidP="0025074F">
      <w:pPr>
        <w:pStyle w:val="NormalWeb"/>
        <w:spacing w:line="480" w:lineRule="auto"/>
        <w:contextualSpacing/>
        <w:rPr>
          <w:u w:val="single"/>
        </w:rPr>
      </w:pPr>
      <w:r w:rsidRPr="0025074F">
        <w:rPr>
          <w:u w:val="single"/>
        </w:rPr>
        <w:t>Historic Preservation</w:t>
      </w:r>
    </w:p>
    <w:p w14:paraId="1E5C0B42" w14:textId="5B80FFDD" w:rsidR="00FA6DD7" w:rsidRDefault="001F0488" w:rsidP="0025074F">
      <w:pPr>
        <w:pStyle w:val="NormalWeb"/>
        <w:spacing w:line="480" w:lineRule="auto"/>
        <w:ind w:firstLine="720"/>
        <w:contextualSpacing/>
      </w:pPr>
      <w:r>
        <w:t xml:space="preserve">Historic preservation has </w:t>
      </w:r>
      <w:r w:rsidR="003D181D">
        <w:t xml:space="preserve">made the recent shift away from the traditional preservation of the built environment toward a more contextual story of what the environment represents. </w:t>
      </w:r>
      <w:r w:rsidR="00412D30">
        <w:t xml:space="preserve">Erica </w:t>
      </w:r>
      <w:proofErr w:type="spellStart"/>
      <w:r w:rsidR="00412D30">
        <w:t>Avrami</w:t>
      </w:r>
      <w:proofErr w:type="spellEnd"/>
      <w:r w:rsidR="00412D30">
        <w:t xml:space="preserve"> addresses</w:t>
      </w:r>
      <w:r w:rsidR="00094C70">
        <w:t xml:space="preserve"> </w:t>
      </w:r>
      <w:r w:rsidR="00AB395A">
        <w:t xml:space="preserve">historic preservation’s </w:t>
      </w:r>
      <w:r w:rsidR="00412D30">
        <w:t xml:space="preserve">ability to make change in the built environment through environmental, economic, and social sustainability. The author observes that there is a gap between preservation policy and practice, and outcomes in social sustainability. </w:t>
      </w:r>
      <w:r w:rsidR="0050394F">
        <w:t xml:space="preserve">She </w:t>
      </w:r>
      <w:r w:rsidR="00096C04">
        <w:t>states</w:t>
      </w:r>
      <w:r w:rsidR="0063681C">
        <w:t xml:space="preserve"> that</w:t>
      </w:r>
      <w:r w:rsidR="00096C04">
        <w:t xml:space="preserve"> although</w:t>
      </w:r>
      <w:r w:rsidR="0050394F">
        <w:t xml:space="preserve"> “preservation is fundamentally a socially driven process…there is surprisingly little research about the social goals and intended outcomes of historic preservation, let alone their connection to sustainability.”</w:t>
      </w:r>
      <w:r w:rsidR="0050394F" w:rsidRPr="00F3497A">
        <w:rPr>
          <w:rStyle w:val="FootnoteReference"/>
        </w:rPr>
        <w:footnoteReference w:id="32"/>
      </w:r>
      <w:r w:rsidR="0050394F">
        <w:t xml:space="preserve"> This lack of outcome driven research has created a “tension between sustainability goals and preservation practice.”</w:t>
      </w:r>
      <w:r w:rsidR="00DB213A" w:rsidRPr="00F3497A">
        <w:rPr>
          <w:rStyle w:val="FootnoteReference"/>
        </w:rPr>
        <w:footnoteReference w:id="33"/>
      </w:r>
    </w:p>
    <w:p w14:paraId="4C28AE0E" w14:textId="0C5AE7CC" w:rsidR="00FA6DD7" w:rsidRDefault="00D832FE" w:rsidP="00E33E2A">
      <w:pPr>
        <w:pStyle w:val="NormalWeb"/>
        <w:spacing w:line="480" w:lineRule="auto"/>
        <w:ind w:firstLine="720"/>
        <w:contextualSpacing/>
      </w:pPr>
      <w:r>
        <w:t xml:space="preserve">The National Trust for Historic Preservation took on the task of changing preservation practice to meet new goals for a more inclusive and representative future in their 2017 report “Preservation for People: A Vision for the Future.” Its goals for future preservation efforts are encompassed by three key concepts which </w:t>
      </w:r>
      <w:r w:rsidR="00096C04">
        <w:t>“…</w:t>
      </w:r>
      <w:r>
        <w:t>hears, understands, and honors the full diversity of th</w:t>
      </w:r>
      <w:r w:rsidR="00096C04">
        <w:t xml:space="preserve">e ever-evolving American story[;]… creates and nurtures more equitable, healthy, resilient, vibrant, and sustainable communities[;]…[ and] collaborates with new and existing partners to </w:t>
      </w:r>
      <w:r w:rsidR="00096C04">
        <w:lastRenderedPageBreak/>
        <w:t>address fundamental social issues…”</w:t>
      </w:r>
      <w:r w:rsidR="00096C04" w:rsidRPr="00F3497A">
        <w:rPr>
          <w:rStyle w:val="FootnoteReference"/>
        </w:rPr>
        <w:footnoteReference w:id="34"/>
      </w:r>
      <w:r w:rsidR="002A0DE8">
        <w:t xml:space="preserve"> The report does offer</w:t>
      </w:r>
      <w:r w:rsidR="002A1725">
        <w:t xml:space="preserve"> many</w:t>
      </w:r>
      <w:r w:rsidR="002A0DE8">
        <w:t xml:space="preserve"> examples of how these goals can be activated and utilized within communities, however</w:t>
      </w:r>
      <w:r w:rsidR="002E59B0">
        <w:t xml:space="preserve"> it</w:t>
      </w:r>
      <w:r w:rsidR="002A0DE8">
        <w:t xml:space="preserve"> does not have concrete examples of current use. </w:t>
      </w:r>
    </w:p>
    <w:p w14:paraId="4FAA2913" w14:textId="0C875212" w:rsidR="00FA6DD7" w:rsidRDefault="009251DE" w:rsidP="00FA5560">
      <w:pPr>
        <w:pStyle w:val="NormalWeb"/>
        <w:spacing w:line="480" w:lineRule="auto"/>
        <w:ind w:firstLine="720"/>
        <w:contextualSpacing/>
      </w:pPr>
      <w:r>
        <w:t xml:space="preserve">The most recent addition to historic preservation scholarship in this subject is Jeremy C. Wells and Barry L. </w:t>
      </w:r>
      <w:proofErr w:type="spellStart"/>
      <w:r>
        <w:t>Stiefel’s</w:t>
      </w:r>
      <w:proofErr w:type="spellEnd"/>
      <w:r w:rsidR="008C64C3">
        <w:t xml:space="preserve"> (eds.)</w:t>
      </w:r>
      <w:r>
        <w:t xml:space="preserve"> </w:t>
      </w:r>
      <w:r w:rsidRPr="00024BCA">
        <w:rPr>
          <w:i/>
        </w:rPr>
        <w:t>Human-Centered Built Environment Heritage Preservation.</w:t>
      </w:r>
      <w:r>
        <w:t xml:space="preserve"> </w:t>
      </w:r>
      <w:r w:rsidR="004A6C69">
        <w:t xml:space="preserve">The editors and contributors seek to use this publication to push the next shift of preservation practice away from one of only expert interpretation to one which is collaborative with the people interacting daily with historic places. Wells writes, “The act of preserving, conserving, or </w:t>
      </w:r>
      <w:r w:rsidR="00D05044">
        <w:t>rehabilitating</w:t>
      </w:r>
      <w:r w:rsidR="004A6C69">
        <w:t xml:space="preserve"> the historic built env</w:t>
      </w:r>
      <w:r w:rsidR="00D05044">
        <w:t>ironment and other material objects is a secondary agenda in order to reinforce the primary of human social or communal needs.”</w:t>
      </w:r>
      <w:r w:rsidR="00D05044" w:rsidRPr="00F3497A">
        <w:rPr>
          <w:rStyle w:val="FootnoteReference"/>
        </w:rPr>
        <w:footnoteReference w:id="35"/>
      </w:r>
      <w:r w:rsidR="00D05044">
        <w:t xml:space="preserve"> Other topics covered are </w:t>
      </w:r>
      <w:r w:rsidR="00384297">
        <w:t xml:space="preserve">ways to use ethnographic research methods to gather evidence, how to use that </w:t>
      </w:r>
      <w:r w:rsidR="00B05528">
        <w:t>evidence to bring about</w:t>
      </w:r>
      <w:r w:rsidR="00FA5560">
        <w:t xml:space="preserve"> policy</w:t>
      </w:r>
      <w:r w:rsidR="00B05528">
        <w:t xml:space="preserve"> change, and methods </w:t>
      </w:r>
      <w:r w:rsidR="00DD2674">
        <w:t>for changing the fundamental procedures which limit the ability for  historic preservation to work in a grass-roots or bottom-up fashion to enhance quality of life for people.</w:t>
      </w:r>
    </w:p>
    <w:p w14:paraId="3F0A7711" w14:textId="77777777" w:rsidR="0025074F" w:rsidRDefault="0025074F" w:rsidP="00FA5560">
      <w:pPr>
        <w:pStyle w:val="NormalWeb"/>
        <w:spacing w:line="480" w:lineRule="auto"/>
        <w:ind w:firstLine="720"/>
        <w:contextualSpacing/>
      </w:pPr>
    </w:p>
    <w:p w14:paraId="6067D152" w14:textId="09D617AD" w:rsidR="003711E1" w:rsidRPr="0025074F" w:rsidRDefault="003711E1" w:rsidP="0025074F">
      <w:pPr>
        <w:pStyle w:val="NormalWeb"/>
        <w:spacing w:line="480" w:lineRule="auto"/>
        <w:contextualSpacing/>
        <w:rPr>
          <w:u w:val="single"/>
        </w:rPr>
      </w:pPr>
      <w:r w:rsidRPr="0025074F">
        <w:rPr>
          <w:u w:val="single"/>
        </w:rPr>
        <w:t>Planning</w:t>
      </w:r>
    </w:p>
    <w:p w14:paraId="3555DC18" w14:textId="015D8752" w:rsidR="003A280D" w:rsidRDefault="00DD2674" w:rsidP="008855AF">
      <w:pPr>
        <w:pStyle w:val="NormalWeb"/>
        <w:spacing w:line="480" w:lineRule="auto"/>
        <w:ind w:firstLine="720"/>
        <w:contextualSpacing/>
      </w:pPr>
      <w:r>
        <w:t xml:space="preserve">The planning </w:t>
      </w:r>
      <w:r w:rsidR="00265925">
        <w:t>field</w:t>
      </w:r>
      <w:r>
        <w:t xml:space="preserve"> has long been working on changing its image from its ea</w:t>
      </w:r>
      <w:r w:rsidR="00AD2DFE">
        <w:t>rly, and negatively impactful, Urban R</w:t>
      </w:r>
      <w:r>
        <w:t xml:space="preserve">enewal phase </w:t>
      </w:r>
      <w:r w:rsidR="00AD2DFE">
        <w:t xml:space="preserve">of the 1960s and 70s </w:t>
      </w:r>
      <w:r>
        <w:t xml:space="preserve">to a model of planning that </w:t>
      </w:r>
      <w:r w:rsidR="00AD2DFE">
        <w:t xml:space="preserve">more readily </w:t>
      </w:r>
      <w:r>
        <w:t>takes people’s needs</w:t>
      </w:r>
      <w:r w:rsidR="00AD2DFE">
        <w:t xml:space="preserve"> at the local level</w:t>
      </w:r>
      <w:r>
        <w:t xml:space="preserve"> into consideration. </w:t>
      </w:r>
      <w:r w:rsidR="00AD2DFE">
        <w:t xml:space="preserve">Most famously, Andres </w:t>
      </w:r>
      <w:proofErr w:type="spellStart"/>
      <w:r w:rsidR="00AD2DFE">
        <w:t>Duany’s</w:t>
      </w:r>
      <w:proofErr w:type="spellEnd"/>
      <w:r w:rsidR="00AD2DFE">
        <w:t xml:space="preserve"> New Urbanism movement introduced Form-Based Code to create “place” in </w:t>
      </w:r>
      <w:r w:rsidR="00AD2DFE">
        <w:lastRenderedPageBreak/>
        <w:t xml:space="preserve">neighborhoods </w:t>
      </w:r>
      <w:r w:rsidR="0033046B">
        <w:t>by loosening strict adherence to separate zoning regions within a city to allow a mix of residential and commercial to recreate urban vibrancy</w:t>
      </w:r>
      <w:r w:rsidR="00AD2DFE">
        <w:t>. Now thirty years old, and still a popular land-use method, New Urbanism</w:t>
      </w:r>
      <w:r w:rsidR="003711E1">
        <w:t xml:space="preserve">’s prescriptive use of mixed-use buildings and walkable streets were a welcome relief from the automobile-centric, “slash-and-burn” nature of Urban Renewal. </w:t>
      </w:r>
    </w:p>
    <w:p w14:paraId="7556F600" w14:textId="5A2A01AA" w:rsidR="003711E1" w:rsidRDefault="00F97B9A" w:rsidP="008855AF">
      <w:pPr>
        <w:pStyle w:val="NormalWeb"/>
        <w:spacing w:line="480" w:lineRule="auto"/>
        <w:ind w:firstLine="720"/>
        <w:contextualSpacing/>
      </w:pPr>
      <w:r>
        <w:t xml:space="preserve">A criticism of New Urbanism </w:t>
      </w:r>
      <w:r w:rsidR="008855AF">
        <w:t>is</w:t>
      </w:r>
      <w:r>
        <w:t xml:space="preserve"> its contribution to, or willful ignorance of, the growing divide between people who are, and are not, experiencing poverty in the city. </w:t>
      </w:r>
      <w:r w:rsidR="007E0306">
        <w:t xml:space="preserve">Particularly within legacy cities, which struggle with vacant buildings, absentee property owners, </w:t>
      </w:r>
      <w:r w:rsidR="005F1F9E">
        <w:t xml:space="preserve">a shrinking population, </w:t>
      </w:r>
      <w:r w:rsidR="007E0306">
        <w:t xml:space="preserve">and </w:t>
      </w:r>
      <w:r w:rsidR="005F1F9E">
        <w:t xml:space="preserve">persistent, concentrated, inter-generational poverty, form-based code is not enough to help neighborhoods change direction. </w:t>
      </w:r>
      <w:r w:rsidR="00AB677A">
        <w:t xml:space="preserve">Alan </w:t>
      </w:r>
      <w:proofErr w:type="spellStart"/>
      <w:r w:rsidR="00AB677A">
        <w:t>Mallach’s</w:t>
      </w:r>
      <w:proofErr w:type="spellEnd"/>
      <w:r w:rsidR="00AB677A">
        <w:t xml:space="preserve"> </w:t>
      </w:r>
      <w:r w:rsidR="00AB677A" w:rsidRPr="00024BCA">
        <w:rPr>
          <w:i/>
        </w:rPr>
        <w:t>The Divided City</w:t>
      </w:r>
      <w:r w:rsidR="00AB677A">
        <w:t xml:space="preserve"> tackles the history of the rise and fall of the American industrial city.</w:t>
      </w:r>
      <w:r w:rsidR="008855AF" w:rsidRPr="00F3497A">
        <w:rPr>
          <w:rStyle w:val="FootnoteReference"/>
        </w:rPr>
        <w:footnoteReference w:id="36"/>
      </w:r>
      <w:r w:rsidR="005F1F9E">
        <w:t xml:space="preserve"> </w:t>
      </w:r>
      <w:proofErr w:type="spellStart"/>
      <w:r w:rsidR="00064189">
        <w:t>Mallach</w:t>
      </w:r>
      <w:proofErr w:type="spellEnd"/>
      <w:r w:rsidR="00064189">
        <w:t xml:space="preserve"> encourages a greater and comprehensive understanding of the many forces at play in industrial cities, and how, even as policies were put in place to maintain and support</w:t>
      </w:r>
      <w:r w:rsidR="008855AF">
        <w:t xml:space="preserve"> the urban landscape</w:t>
      </w:r>
      <w:r w:rsidR="00064189">
        <w:t xml:space="preserve">, inequitable practices created a growing wealth divide that hollowed out many historic, downtown city cores. </w:t>
      </w:r>
    </w:p>
    <w:p w14:paraId="38E6E7EC" w14:textId="2FD64E57" w:rsidR="00064189" w:rsidRDefault="00064189" w:rsidP="008855AF">
      <w:pPr>
        <w:pStyle w:val="NormalWeb"/>
        <w:spacing w:line="480" w:lineRule="auto"/>
        <w:ind w:firstLine="720"/>
        <w:contextualSpacing/>
      </w:pPr>
      <w:r>
        <w:t>Out of inequitable planning practices has come a push toward equitable community development.</w:t>
      </w:r>
      <w:r w:rsidR="0059368D">
        <w:t xml:space="preserve"> </w:t>
      </w:r>
      <w:r w:rsidR="00B820F6">
        <w:t xml:space="preserve">Kathleen McCormick wrote </w:t>
      </w:r>
      <w:r w:rsidR="001C6251">
        <w:t>an</w:t>
      </w:r>
      <w:r w:rsidR="00B820F6">
        <w:t xml:space="preserve"> article</w:t>
      </w:r>
      <w:r w:rsidR="001C6251">
        <w:t xml:space="preserve"> titled</w:t>
      </w:r>
      <w:r w:rsidR="00B820F6">
        <w:t xml:space="preserve"> “Planning for Social Equity” for the Lincoln Institute of Land Policy acknowledging that many municipal planning directors are “examining their old policies and writing new ones to achieve a fairer, more balanced distribution of public resources in the built environment.”</w:t>
      </w:r>
      <w:r w:rsidR="00B820F6" w:rsidRPr="00F3497A">
        <w:rPr>
          <w:rStyle w:val="FootnoteReference"/>
        </w:rPr>
        <w:footnoteReference w:id="37"/>
      </w:r>
      <w:r w:rsidR="00182702">
        <w:t xml:space="preserve"> Pittsburgh, hoping to </w:t>
      </w:r>
      <w:r w:rsidR="00C73AD4">
        <w:t xml:space="preserve">use the momentum of its growing economic resurgence, has also created an equitable development plan, </w:t>
      </w:r>
      <w:r w:rsidR="00C73AD4">
        <w:lastRenderedPageBreak/>
        <w:t xml:space="preserve">“Equitable Development: The Path to an All-In Pittsburgh.” </w:t>
      </w:r>
      <w:r w:rsidR="00247EF3">
        <w:t xml:space="preserve">The plan, written using information gathered through interviews and conversations with Pittsburgh leaders and national best practices, outlines a five-point agenda with sixteen specific recommendations to create equitable development. The five-points exemplify the equitable community development movement: </w:t>
      </w:r>
    </w:p>
    <w:p w14:paraId="5DD89C88" w14:textId="7BB59C60" w:rsidR="00247EF3" w:rsidRDefault="00247EF3" w:rsidP="008855AF">
      <w:pPr>
        <w:pStyle w:val="NormalWeb"/>
        <w:numPr>
          <w:ilvl w:val="0"/>
          <w:numId w:val="3"/>
        </w:numPr>
        <w:spacing w:line="480" w:lineRule="auto"/>
        <w:contextualSpacing/>
      </w:pPr>
      <w:r>
        <w:t>Raise the bar for new development that benefits and does not displace longtime lower-income residents</w:t>
      </w:r>
    </w:p>
    <w:p w14:paraId="4A1AA841" w14:textId="206C6D83" w:rsidR="00247EF3" w:rsidRDefault="00247EF3" w:rsidP="008855AF">
      <w:pPr>
        <w:pStyle w:val="NormalWeb"/>
        <w:numPr>
          <w:ilvl w:val="0"/>
          <w:numId w:val="3"/>
        </w:numPr>
        <w:spacing w:line="480" w:lineRule="auto"/>
        <w:contextualSpacing/>
      </w:pPr>
      <w:r>
        <w:t>Make neighborhoods healthy communities of opportunity for housing affordability and stability</w:t>
      </w:r>
    </w:p>
    <w:p w14:paraId="013D1C1E" w14:textId="7C9A54F0" w:rsidR="00247EF3" w:rsidRDefault="00247EF3" w:rsidP="008855AF">
      <w:pPr>
        <w:pStyle w:val="NormalWeb"/>
        <w:numPr>
          <w:ilvl w:val="0"/>
          <w:numId w:val="3"/>
        </w:numPr>
        <w:spacing w:line="480" w:lineRule="auto"/>
        <w:contextualSpacing/>
      </w:pPr>
      <w:r>
        <w:t>Expand employment and ownership opportunities by connecting residents to family-sustaining jobs which contribute to the region’s resurgence</w:t>
      </w:r>
    </w:p>
    <w:p w14:paraId="08ECB9A3" w14:textId="6A7AA8CD" w:rsidR="00247EF3" w:rsidRDefault="00247EF3" w:rsidP="008855AF">
      <w:pPr>
        <w:pStyle w:val="NormalWeb"/>
        <w:numPr>
          <w:ilvl w:val="0"/>
          <w:numId w:val="3"/>
        </w:numPr>
        <w:spacing w:line="480" w:lineRule="auto"/>
        <w:contextualSpacing/>
      </w:pPr>
      <w:r>
        <w:t xml:space="preserve">Embed racial equity throughout Pittsburgh’s institutions and businesses </w:t>
      </w:r>
    </w:p>
    <w:p w14:paraId="57261183" w14:textId="79F7E0B4" w:rsidR="00247EF3" w:rsidRPr="0059368D" w:rsidRDefault="00247EF3" w:rsidP="008855AF">
      <w:pPr>
        <w:pStyle w:val="NormalWeb"/>
        <w:numPr>
          <w:ilvl w:val="0"/>
          <w:numId w:val="3"/>
        </w:numPr>
        <w:spacing w:line="480" w:lineRule="auto"/>
        <w:contextualSpacing/>
      </w:pPr>
      <w:r>
        <w:t>Build community power, voice, and capacity through community-rooted organizations and multiracial, multisector coalitions which advance equitable development policies and practices in the long term</w:t>
      </w:r>
      <w:r w:rsidR="001C6251" w:rsidRPr="00F3497A">
        <w:rPr>
          <w:rStyle w:val="FootnoteReference"/>
        </w:rPr>
        <w:footnoteReference w:id="38"/>
      </w:r>
    </w:p>
    <w:p w14:paraId="2E111538" w14:textId="479AF8FD" w:rsidR="003711E1" w:rsidRDefault="00557C78" w:rsidP="008855AF">
      <w:pPr>
        <w:pStyle w:val="NormalWeb"/>
        <w:spacing w:line="480" w:lineRule="auto"/>
        <w:ind w:firstLine="720"/>
        <w:contextualSpacing/>
      </w:pPr>
      <w:r>
        <w:t xml:space="preserve">Equitable community development is a relatively new way of looking at planning practice. It is not prescriptive in its nature because it would be virtually impossible to create one model that fit </w:t>
      </w:r>
      <w:proofErr w:type="gramStart"/>
      <w:r>
        <w:t>all of</w:t>
      </w:r>
      <w:proofErr w:type="gramEnd"/>
      <w:r>
        <w:t xml:space="preserve"> a municipality’s contingencies, but it offers insight into how preservation plans can make the shift to its equivalent— a culturally sustainable preservation model. </w:t>
      </w:r>
    </w:p>
    <w:p w14:paraId="0F86A297" w14:textId="77777777" w:rsidR="0025074F" w:rsidRDefault="0025074F" w:rsidP="008855AF">
      <w:pPr>
        <w:pStyle w:val="NormalWeb"/>
        <w:spacing w:line="480" w:lineRule="auto"/>
        <w:ind w:firstLine="720"/>
        <w:contextualSpacing/>
      </w:pPr>
    </w:p>
    <w:p w14:paraId="53107C45" w14:textId="4E445EE8" w:rsidR="00557C78" w:rsidRPr="0025074F" w:rsidRDefault="00557C78" w:rsidP="0025074F">
      <w:pPr>
        <w:pStyle w:val="NormalWeb"/>
        <w:spacing w:line="480" w:lineRule="auto"/>
        <w:contextualSpacing/>
        <w:rPr>
          <w:u w:val="single"/>
        </w:rPr>
      </w:pPr>
      <w:r w:rsidRPr="0025074F">
        <w:rPr>
          <w:u w:val="single"/>
        </w:rPr>
        <w:t>Cultural Sustainability</w:t>
      </w:r>
    </w:p>
    <w:p w14:paraId="7F1F3124" w14:textId="51409108" w:rsidR="00157F32" w:rsidRDefault="00E86469" w:rsidP="00A301C6">
      <w:pPr>
        <w:pStyle w:val="NormalWeb"/>
        <w:spacing w:line="480" w:lineRule="auto"/>
        <w:ind w:firstLine="720"/>
        <w:contextualSpacing/>
      </w:pPr>
      <w:r>
        <w:t>Cultural sustainability is wide-ranging in its scholarship because of its expansive and inclusive nature. Focusing</w:t>
      </w:r>
      <w:r w:rsidR="00A87B98">
        <w:t>,</w:t>
      </w:r>
      <w:r>
        <w:t xml:space="preserve"> then</w:t>
      </w:r>
      <w:r w:rsidR="00A87B98">
        <w:t>,</w:t>
      </w:r>
      <w:r>
        <w:t xml:space="preserve"> on articles that approach the practice of cultural sustainability </w:t>
      </w:r>
      <w:r>
        <w:lastRenderedPageBreak/>
        <w:t>w</w:t>
      </w:r>
      <w:r w:rsidR="008855AF">
        <w:t>ithin the built environment, Jo</w:t>
      </w:r>
      <w:r>
        <w:t>n Hawkes</w:t>
      </w:r>
      <w:r w:rsidR="008855AF">
        <w:t>’</w:t>
      </w:r>
      <w:r>
        <w:t xml:space="preserve"> “The Fourth Pillar of Sustainability” is a good place to start.</w:t>
      </w:r>
      <w:r w:rsidR="004E4B61">
        <w:t xml:space="preserve"> Haw</w:t>
      </w:r>
      <w:r w:rsidR="00EF0BC7">
        <w:t>k</w:t>
      </w:r>
      <w:r w:rsidR="004E4B61">
        <w:t>es</w:t>
      </w:r>
      <w:r w:rsidR="00EF0BC7">
        <w:t xml:space="preserve"> was an early thought leader in the </w:t>
      </w:r>
      <w:r w:rsidR="008855AF">
        <w:t>concept of incorporating cultural sustainability</w:t>
      </w:r>
      <w:r w:rsidR="00A374D0">
        <w:t>, along with economic, environmental, and social sustainability, into policy</w:t>
      </w:r>
      <w:r w:rsidR="00EF0BC7">
        <w:t>making</w:t>
      </w:r>
      <w:r w:rsidR="008855AF">
        <w:t xml:space="preserve"> as </w:t>
      </w:r>
      <w:r w:rsidR="00A374D0">
        <w:t>the</w:t>
      </w:r>
      <w:r w:rsidR="008855AF">
        <w:t xml:space="preserve"> fourth pillar of sustainability</w:t>
      </w:r>
      <w:r w:rsidR="00AC1654">
        <w:t>. By utilizing his fourth pillar, planning documents can</w:t>
      </w:r>
      <w:r w:rsidR="00A374D0">
        <w:t xml:space="preserve"> better</w:t>
      </w:r>
      <w:r w:rsidR="00EF0BC7">
        <w:t xml:space="preserve"> fulfill the aspirations of the citizens being served.</w:t>
      </w:r>
      <w:r w:rsidR="007D0954">
        <w:t xml:space="preserve"> He argued that within the concept of public planning “carefully planned cultural action is essential for the achievement of sustainability and wellbeing, the development of a cultural framework through which al</w:t>
      </w:r>
      <w:r w:rsidR="00A87B98">
        <w:t>l</w:t>
      </w:r>
      <w:r w:rsidR="007D0954">
        <w:t xml:space="preserve"> public planning can be evaluated is an essential step, and active community participation in arts practice is an essential component of a healthy and sustainable society.”</w:t>
      </w:r>
      <w:r w:rsidR="007D0954" w:rsidRPr="00F3497A">
        <w:rPr>
          <w:rStyle w:val="FootnoteReference"/>
        </w:rPr>
        <w:footnoteReference w:id="39"/>
      </w:r>
      <w:r w:rsidR="00865E78">
        <w:t xml:space="preserve"> </w:t>
      </w:r>
      <w:r w:rsidR="00157F32">
        <w:t>A more recent articl</w:t>
      </w:r>
      <w:r w:rsidR="00A374D0">
        <w:t>e continues to build on Hawkes’</w:t>
      </w:r>
      <w:r w:rsidR="00EE7DD9">
        <w:t xml:space="preserve"> </w:t>
      </w:r>
      <w:r w:rsidR="00157F32">
        <w:t xml:space="preserve">concept. Alex </w:t>
      </w:r>
      <w:proofErr w:type="spellStart"/>
      <w:r w:rsidR="00157F32">
        <w:t>Opoku</w:t>
      </w:r>
      <w:proofErr w:type="spellEnd"/>
      <w:r w:rsidR="00157F32">
        <w:t xml:space="preserve"> writes in “The Role of Culture in a Sustainable Built Environment” that “[c]</w:t>
      </w:r>
      <w:proofErr w:type="spellStart"/>
      <w:r w:rsidR="00157F32">
        <w:t>ulture</w:t>
      </w:r>
      <w:proofErr w:type="spellEnd"/>
      <w:r w:rsidR="00157F32">
        <w:t xml:space="preserve"> indeed has a role to play towards achieving a sustainable built environment because culture is the key concept of sustainable development as it frames people’s relationships and attitudes towards both th</w:t>
      </w:r>
      <w:r w:rsidR="00865E78">
        <w:t>e built and natural environment.”</w:t>
      </w:r>
      <w:r w:rsidR="000B39FC" w:rsidRPr="00F3497A">
        <w:rPr>
          <w:rStyle w:val="FootnoteReference"/>
        </w:rPr>
        <w:footnoteReference w:id="40"/>
      </w:r>
    </w:p>
    <w:p w14:paraId="3B184569" w14:textId="77777777" w:rsidR="0025074F" w:rsidRDefault="0025074F" w:rsidP="00A301C6">
      <w:pPr>
        <w:pStyle w:val="NormalWeb"/>
        <w:spacing w:line="480" w:lineRule="auto"/>
        <w:ind w:firstLine="720"/>
        <w:contextualSpacing/>
      </w:pPr>
    </w:p>
    <w:p w14:paraId="2D2B9CB8" w14:textId="7D2814EF" w:rsidR="0025074F" w:rsidRPr="0025074F" w:rsidRDefault="0025074F" w:rsidP="0025074F">
      <w:pPr>
        <w:pStyle w:val="NormalWeb"/>
        <w:spacing w:line="480" w:lineRule="auto"/>
        <w:ind w:firstLine="720"/>
        <w:contextualSpacing/>
        <w:jc w:val="center"/>
        <w:rPr>
          <w:u w:val="single"/>
        </w:rPr>
      </w:pPr>
      <w:r w:rsidRPr="0025074F">
        <w:rPr>
          <w:u w:val="single"/>
        </w:rPr>
        <w:t>Conclusion</w:t>
      </w:r>
    </w:p>
    <w:p w14:paraId="41CC8A10" w14:textId="1CB89953" w:rsidR="005D458C" w:rsidRDefault="000B39FC" w:rsidP="00A301C6">
      <w:pPr>
        <w:pStyle w:val="NormalWeb"/>
        <w:spacing w:line="480" w:lineRule="auto"/>
        <w:ind w:firstLine="720"/>
        <w:contextualSpacing/>
      </w:pPr>
      <w:r>
        <w:t xml:space="preserve">It is clear when we look at how each discipline is framing the concept of using culture within new frameworks for planning practice that similar outcomes are desired. The preservation, planning, cultural sustainability specialties, as well as those involved in other fields such as environmental studies, ethnography and folklore, and the arts, are seeking the input of a </w:t>
      </w:r>
      <w:r>
        <w:lastRenderedPageBreak/>
        <w:t xml:space="preserve">wider range of stakeholders. The erroneous and absent histories of the past </w:t>
      </w:r>
      <w:r w:rsidR="00F44217">
        <w:t xml:space="preserve">warrant </w:t>
      </w:r>
      <w:r w:rsidR="004B2D40">
        <w:t>adjustments in the field</w:t>
      </w:r>
      <w:r w:rsidR="00EE7DD9">
        <w:t xml:space="preserve"> to repair previous damage done</w:t>
      </w:r>
      <w:r w:rsidR="004B2D40">
        <w:t xml:space="preserve"> and stop furthe</w:t>
      </w:r>
      <w:r w:rsidR="00371099">
        <w:t>r loss of culture and heritage.</w:t>
      </w:r>
    </w:p>
    <w:p w14:paraId="46236AB1" w14:textId="57C0EB6E" w:rsidR="007B366A" w:rsidRDefault="007B366A">
      <w:pPr>
        <w:rPr>
          <w:rFonts w:ascii="Times New Roman" w:hAnsi="Times New Roman" w:cs="Times New Roman"/>
        </w:rPr>
      </w:pPr>
      <w:r>
        <w:br w:type="page"/>
      </w:r>
    </w:p>
    <w:p w14:paraId="1C09E15A" w14:textId="77777777" w:rsidR="007B366A" w:rsidRDefault="007B366A" w:rsidP="007B366A">
      <w:pPr>
        <w:pStyle w:val="NormalWeb"/>
        <w:spacing w:line="480" w:lineRule="auto"/>
        <w:contextualSpacing/>
        <w:jc w:val="center"/>
        <w:outlineLvl w:val="0"/>
        <w:rPr>
          <w:sz w:val="28"/>
          <w:szCs w:val="28"/>
        </w:rPr>
      </w:pPr>
      <w:r>
        <w:rPr>
          <w:sz w:val="28"/>
          <w:szCs w:val="28"/>
        </w:rPr>
        <w:lastRenderedPageBreak/>
        <w:t>Chapter II</w:t>
      </w:r>
    </w:p>
    <w:p w14:paraId="4216FAA9" w14:textId="77777777" w:rsidR="007B366A" w:rsidRDefault="007B366A" w:rsidP="007B366A">
      <w:pPr>
        <w:pStyle w:val="NormalWeb"/>
        <w:spacing w:line="480" w:lineRule="auto"/>
        <w:contextualSpacing/>
        <w:jc w:val="center"/>
        <w:outlineLvl w:val="0"/>
        <w:rPr>
          <w:sz w:val="28"/>
          <w:szCs w:val="28"/>
        </w:rPr>
      </w:pPr>
      <w:r>
        <w:rPr>
          <w:sz w:val="28"/>
          <w:szCs w:val="28"/>
        </w:rPr>
        <w:t>American Industrial Cities, Legacy Cities, and Gentrification</w:t>
      </w:r>
    </w:p>
    <w:p w14:paraId="069AEB62" w14:textId="77777777" w:rsidR="007B366A" w:rsidRPr="00BE5438" w:rsidRDefault="007B366A" w:rsidP="007B366A">
      <w:pPr>
        <w:pStyle w:val="NormalWeb"/>
        <w:spacing w:line="480" w:lineRule="auto"/>
        <w:contextualSpacing/>
        <w:jc w:val="center"/>
        <w:rPr>
          <w:sz w:val="28"/>
          <w:szCs w:val="28"/>
        </w:rPr>
      </w:pPr>
    </w:p>
    <w:p w14:paraId="0044B4BF" w14:textId="77777777" w:rsidR="007B366A" w:rsidRDefault="007B366A" w:rsidP="007B366A">
      <w:pPr>
        <w:pStyle w:val="NormalWeb"/>
        <w:spacing w:line="480" w:lineRule="auto"/>
        <w:ind w:firstLine="720"/>
        <w:contextualSpacing/>
      </w:pPr>
      <w:r>
        <w:t>The premise of this thesis is that building a culturally sustainable preservation model for residents of neighborhoods within Legacy Cities will produce more successful historic preservation projects.</w:t>
      </w:r>
      <w:r w:rsidRPr="006B04C3">
        <w:t xml:space="preserve"> </w:t>
      </w:r>
      <w:r>
        <w:t>Historically, Legacy Cities played a vital role in the economic and industrial growth of America. However, following a period of precipitous population loss and persistent, concentrated poverty, Legacy Cities across the country are currently reinventing themselves by leveraging their individually unique characteristics to create enticing hubs for business, and residential destinations for young professionals, families, and retirees, sometimes referred to as “</w:t>
      </w:r>
      <w:proofErr w:type="spellStart"/>
      <w:r>
        <w:t>boomerangers</w:t>
      </w:r>
      <w:proofErr w:type="spellEnd"/>
      <w:r>
        <w:t>.”</w:t>
      </w:r>
      <w:r w:rsidRPr="00F3497A">
        <w:rPr>
          <w:rStyle w:val="FootnoteReference"/>
        </w:rPr>
        <w:footnoteReference w:id="41"/>
      </w:r>
      <w:r>
        <w:t xml:space="preserve"> This return migration and reinvention of the urban space may come at a cost to those people who did not, or could not, leave their community during the economic downturn. Rightfully, those who have built a multigenerational legacy within their city are not keen to see their culture erased by the encroachment of development dollars, while at the same time realizing their city needs access to basic amenities and services. This chapter will look at the historic context for neighborhood and cultural change in American industrial cities, will clearly define the Legacy City and its characteristics, and explore the human and economic impacts of gentrification, both positive and negative, within Legacy Cities.</w:t>
      </w:r>
    </w:p>
    <w:p w14:paraId="66D6A1F5" w14:textId="77777777" w:rsidR="007B366A" w:rsidRDefault="007B366A" w:rsidP="007B366A">
      <w:pPr>
        <w:pStyle w:val="NormalWeb"/>
        <w:ind w:firstLine="720"/>
        <w:contextualSpacing/>
      </w:pPr>
    </w:p>
    <w:p w14:paraId="5310120A" w14:textId="77777777" w:rsidR="007B366A" w:rsidRPr="006654D6" w:rsidRDefault="007B366A" w:rsidP="007B366A">
      <w:pPr>
        <w:pStyle w:val="NormalWeb"/>
        <w:spacing w:line="480" w:lineRule="auto"/>
        <w:ind w:firstLine="720"/>
        <w:contextualSpacing/>
        <w:jc w:val="center"/>
        <w:outlineLvl w:val="0"/>
        <w:rPr>
          <w:u w:val="single"/>
        </w:rPr>
      </w:pPr>
      <w:r w:rsidRPr="006654D6">
        <w:rPr>
          <w:u w:val="single"/>
        </w:rPr>
        <w:t>History of Ethnic and Economic Change in American Industrial Cities</w:t>
      </w:r>
    </w:p>
    <w:p w14:paraId="2A90F049" w14:textId="77777777" w:rsidR="007B366A" w:rsidRDefault="007B366A" w:rsidP="007B366A">
      <w:pPr>
        <w:pStyle w:val="NormalWeb"/>
        <w:spacing w:line="480" w:lineRule="auto"/>
        <w:ind w:firstLine="720"/>
        <w:contextualSpacing/>
      </w:pPr>
      <w:r>
        <w:t xml:space="preserve">Early American industrial cities were molded by the types of manufacturing done within their boundaries. That, and the evolving human and economic changes which occurred over </w:t>
      </w:r>
      <w:r>
        <w:lastRenderedPageBreak/>
        <w:t>generations, has had a lasting impact on cultural identity within these cities. The early- to mid-1800s saw the growth of the first of America’s major urban areas. Technological advances allowed large-scale production methods, that when combined with transportation innovations in the steamboat and railroad, made it possible to house large manufacturing plants in one geographic location and ship products over long distances. By the late 1800s, cities of the Northeast, upper Midwest, and Great Lakes regions became more accessible than ever via railroad and river transportation, allowing vast growth of cities previously inhibited by their location. Without land-use regulations, which would not come into popular use until the 1920s, growing manufacturing sites within the city located themselves along those convenient transportation lines—beside the canals or rivers, and along the railway lines. Downtowns were typically occupied by retail and office space, and housing and neighborhoods were often pushed to the outskirts of downtown.</w:t>
      </w:r>
      <w:r w:rsidRPr="00F3497A">
        <w:rPr>
          <w:rStyle w:val="FootnoteReference"/>
        </w:rPr>
        <w:footnoteReference w:id="42"/>
      </w:r>
      <w:r>
        <w:t xml:space="preserve"> </w:t>
      </w:r>
    </w:p>
    <w:p w14:paraId="155EF484" w14:textId="18B0A0DA" w:rsidR="007B366A" w:rsidRDefault="007B366A" w:rsidP="007B366A">
      <w:pPr>
        <w:pStyle w:val="NormalWeb"/>
        <w:spacing w:line="480" w:lineRule="auto"/>
        <w:ind w:firstLine="720"/>
        <w:contextualSpacing/>
      </w:pPr>
      <w:r>
        <w:t>The American Industrial Revolution (1880-1920) was also a time of massive population increases and demographic shifts through immigration and urbanization. From 1880 to 1920, the population of foreign-born residents increased from 7 million to nearly 14 million people. By 1920, over one-third of America’s 105 million residents were considered part of the immigrant community—either first or second generation Americans.</w:t>
      </w:r>
      <w:r w:rsidRPr="00F3497A">
        <w:rPr>
          <w:rStyle w:val="FootnoteReference"/>
        </w:rPr>
        <w:footnoteReference w:id="43"/>
      </w:r>
      <w:r>
        <w:t xml:space="preserve"> Additionally, there was a rise in the number of native-born migrants moving from their Southern rural homes to Northern urban areas during this time. Because World War I closed European immigration to America, between 1916 </w:t>
      </w:r>
      <w:r>
        <w:lastRenderedPageBreak/>
        <w:t xml:space="preserve">and 1919 the Great Migration brought an estimated 500,000 African Americans from small </w:t>
      </w:r>
      <w:r w:rsidR="00CF57FE">
        <w:t>towns</w:t>
      </w:r>
      <w:r>
        <w:t xml:space="preserve"> and farms in the South to Northern industrial cities. Originally enticed by recruiters from Northern railroads hoping to fill the wartime labor shortage, “Northern fever” soon inundated the South. Word of higher wages and better treatment drew African Americans to any Northern city where jobs were found. More than one million African Americans followed throughout the 1920s.</w:t>
      </w:r>
      <w:r w:rsidRPr="00F3497A">
        <w:rPr>
          <w:rStyle w:val="FootnoteReference"/>
        </w:rPr>
        <w:footnoteReference w:id="44"/>
      </w:r>
      <w:r>
        <w:t xml:space="preserve"> </w:t>
      </w:r>
    </w:p>
    <w:p w14:paraId="76D7372E" w14:textId="77777777" w:rsidR="007B366A" w:rsidRDefault="007B366A" w:rsidP="007B366A">
      <w:pPr>
        <w:pStyle w:val="NormalWeb"/>
        <w:spacing w:line="480" w:lineRule="auto"/>
        <w:ind w:firstLine="720"/>
        <w:contextualSpacing/>
      </w:pPr>
      <w:r>
        <w:t>This type of rapid growth in population and manufacturing production would continue, with many industrial cities reaching what would turn out to be their peak of population in the mid 1900s. But following World War II, manufacturing industries increasingly began to relocate their production sites to the South and West, where war mobilization had necessitated the building of new centers of shipbuilding and aircraft fabrication. Consequently, cities in the Northeast and Midwest began to experience decreased economic activity and subsequent population losses. Additionally, soldiers returning from World War II were entitled to a subsidized mortgage loan by the Veteran’s Administration under the Servicemen’s Readjustment Act of 1944, better known as the GI Bill.</w:t>
      </w:r>
      <w:r w:rsidRPr="00F3497A">
        <w:rPr>
          <w:rStyle w:val="FootnoteReference"/>
        </w:rPr>
        <w:footnoteReference w:id="45"/>
      </w:r>
      <w:r>
        <w:t xml:space="preserve"> The GI Bill helped millions of working and middle-class residents leave urban areas for newly created suburbs, which offered affordable single family homes located away from the city center.</w:t>
      </w:r>
      <w:r w:rsidRPr="00F3497A">
        <w:rPr>
          <w:rStyle w:val="FootnoteReference"/>
        </w:rPr>
        <w:footnoteReference w:id="46"/>
      </w:r>
      <w:r>
        <w:t xml:space="preserve"> Unfortunately, in the postwar period federal agencies such as the Veteran’s Administration, the Federal Home Loan Bank Board, the </w:t>
      </w:r>
      <w:r>
        <w:lastRenderedPageBreak/>
        <w:t>Homeowners’ Loan Corporation, and the Federal Housing Administration either blatantly endorsed racial segregation, or acquiesced to local racially exclusionary practices.</w:t>
      </w:r>
      <w:r w:rsidRPr="00F3497A">
        <w:rPr>
          <w:rStyle w:val="FootnoteReference"/>
        </w:rPr>
        <w:footnoteReference w:id="47"/>
      </w:r>
      <w:r>
        <w:t xml:space="preserve"> These practices created a disproportionate racial population demographic with African Americans stuck in the city’s core, white Americans moving to the suburbs, and a new term to explain the phenomenon—“white flight.” The overall population shrinkage of the urban core reduced municipal tax revenues, and neighborhoods began to experience distressed conditions associated with the growth of blight and slums. </w:t>
      </w:r>
    </w:p>
    <w:p w14:paraId="396CC7A3" w14:textId="3EB08CB8" w:rsidR="007B366A" w:rsidRDefault="007B366A" w:rsidP="007B366A">
      <w:pPr>
        <w:pStyle w:val="NormalWeb"/>
        <w:spacing w:line="480" w:lineRule="auto"/>
        <w:ind w:firstLine="720"/>
        <w:contextualSpacing/>
      </w:pPr>
      <w:r>
        <w:t xml:space="preserve">However, these post-war economic and population declines were gradual. Although many scholars agree that in hindsight, the loss was evident by the late 1940s, </w:t>
      </w:r>
      <w:r w:rsidR="00690663">
        <w:t>manufacturers</w:t>
      </w:r>
      <w:r>
        <w:t xml:space="preserve"> in industrial cities of the upper Midwest and Northeast seemed to bounce back quickly from World War II by retooling their factories for domestic markets. Steelmaking and factory jobs in cities like Milwaukee, St. Louis, Akron, Detroit, and Buffalo were fewer than during their World War II levels, but there were still more people working in 1958 than in 1939</w:t>
      </w:r>
      <w:r>
        <w:rPr>
          <w:rFonts w:asciiTheme="minorHAnsi" w:hAnsiTheme="minorHAnsi" w:cstheme="minorBidi"/>
        </w:rPr>
        <w:t>.</w:t>
      </w:r>
      <w:r w:rsidRPr="00F3497A">
        <w:rPr>
          <w:rStyle w:val="FootnoteReference"/>
        </w:rPr>
        <w:footnoteReference w:id="48"/>
      </w:r>
      <w:r>
        <w:t xml:space="preserve"> The reality of industrial city shrinkage was concealed by a backdrop of national growth. As the population shifted from urban to suburban, and from the Northeast/Midwest to the Sunbelt, the United States continued to grow in population and economic might. However, shadowed by the nation’s remarkable overall expansion during the second half of the twentieth century, formerly powerful industrial central cities became much less dominant. </w:t>
      </w:r>
    </w:p>
    <w:p w14:paraId="1D338FA9" w14:textId="2A1C7BEA" w:rsidR="007B366A" w:rsidRDefault="007B366A" w:rsidP="007B366A">
      <w:pPr>
        <w:pStyle w:val="NormalWeb"/>
        <w:spacing w:line="480" w:lineRule="auto"/>
        <w:ind w:firstLine="720"/>
        <w:contextualSpacing/>
      </w:pPr>
      <w:r>
        <w:t xml:space="preserve">In reaction to this slow deterioration, a two-pronged approach from the federal government was developed in the 1950s to arrest the losses. First, an urban renewal program awarded large grants for cities to acquire and demolish “blighted” properties—in some cases </w:t>
      </w:r>
      <w:r>
        <w:lastRenderedPageBreak/>
        <w:t>entire neighborhoods or downtowns, displacing many thousands of residents—and offer the land to developers to construct new homes, office buildings, or commercial centers.</w:t>
      </w:r>
      <w:r w:rsidRPr="00F3497A">
        <w:rPr>
          <w:rStyle w:val="FootnoteReference"/>
        </w:rPr>
        <w:footnoteReference w:id="49"/>
      </w:r>
      <w:r>
        <w:t xml:space="preserve"> The new developments were intended to modernize the city and improve the previous uneven growth of infrastructure, which was incompatible with changes necessary to accommodate the country’s growing automobile culture. As a result, streets were widened to allow for faster moving traffic, and parking garages were deemed necessary for workers commuting in from the suburbs. </w:t>
      </w:r>
    </w:p>
    <w:p w14:paraId="5E1AF8E5" w14:textId="77777777" w:rsidR="007B366A" w:rsidRDefault="007B366A" w:rsidP="007B366A">
      <w:pPr>
        <w:pStyle w:val="NormalWeb"/>
        <w:spacing w:line="480" w:lineRule="auto"/>
        <w:ind w:firstLine="720"/>
        <w:contextualSpacing/>
      </w:pPr>
      <w:r>
        <w:t>The second federal program, even more damaging to residents and urban structures than the first, was the Federal-Aid Highway Acts of the 1950s. In an effort to curtail traffic congestion within cities, create jobs in manufacturing and construction, and expand and defend the country, the government created a system of development that would change the face of the country in positive and negative ways.</w:t>
      </w:r>
      <w:r w:rsidRPr="00F3497A">
        <w:rPr>
          <w:rStyle w:val="FootnoteReference"/>
        </w:rPr>
        <w:footnoteReference w:id="50"/>
      </w:r>
      <w:r>
        <w:t xml:space="preserve"> For many older, established cities, highway construction funded under this Act effectively cut through the center, destroying everything in its path and leaving remaining neighborhoods and downtowns handicapped by impenetrable concrete barriers. Hundreds of thousands of families, often African American, were displaced, disrupting long-standing neighborhoods, and instilling a legacy of residual resentment toward the government among the residents.</w:t>
      </w:r>
      <w:r w:rsidRPr="00F3497A">
        <w:rPr>
          <w:rStyle w:val="FootnoteReference"/>
        </w:rPr>
        <w:footnoteReference w:id="51"/>
      </w:r>
      <w:r>
        <w:t xml:space="preserve"> </w:t>
      </w:r>
    </w:p>
    <w:p w14:paraId="4BCB535D" w14:textId="7B9485A4" w:rsidR="007B366A" w:rsidRDefault="007B366A" w:rsidP="007B366A">
      <w:pPr>
        <w:pStyle w:val="NormalWeb"/>
        <w:spacing w:line="480" w:lineRule="auto"/>
        <w:ind w:firstLine="720"/>
        <w:contextualSpacing/>
      </w:pPr>
      <w:r>
        <w:t xml:space="preserve">Throughout the 1960s and </w:t>
      </w:r>
      <w:r w:rsidR="005549BE">
        <w:t>19</w:t>
      </w:r>
      <w:r>
        <w:t xml:space="preserve">70s, industrial cities continued to experience precipitous declines in manufacturing and population. Conversely, federal urban initiatives and ensuing spending increased. For example, the years 1965 to 1977 saw the beginning of the Model Cities </w:t>
      </w:r>
      <w:r>
        <w:lastRenderedPageBreak/>
        <w:t>program, Urban Development Block Grants, Community Development Block Grants, housing programs Section 235, Section 236, and Section 8, expansion of health and welfare benefits, as well as increased spending for concurrent urban issues such as job training, transportation, and education. While federal spending in cities was at an all-time high, urban history recognizes that during these years the phrase “urban crisis” came into the American vernacular.</w:t>
      </w:r>
      <w:r w:rsidRPr="00F3497A">
        <w:rPr>
          <w:rStyle w:val="FootnoteReference"/>
        </w:rPr>
        <w:footnoteReference w:id="52"/>
      </w:r>
      <w:r>
        <w:t xml:space="preserve"> The strength of the industrial city was diminishing.</w:t>
      </w:r>
    </w:p>
    <w:p w14:paraId="5249FF62" w14:textId="77777777" w:rsidR="007B366A" w:rsidRDefault="007B366A" w:rsidP="007B366A">
      <w:pPr>
        <w:pStyle w:val="NormalWeb"/>
        <w:spacing w:line="480" w:lineRule="auto"/>
        <w:ind w:firstLine="720"/>
        <w:contextualSpacing/>
      </w:pPr>
      <w:r>
        <w:t>The late 1970s through the 1980s was the final gasp for this iteration of northern industrial city. The end of the 1970s saw manufacturing industries cutting back in the U.S., either because their products or means of production were becoming obsolete, or through global expansion and competition. This contraction of industry left cities with only ten percent of their factory jobs remaining. While there was some transition of workers to the retail trades and service industries, cities built on a strong, blue-collar middle class lost not only their economic base, but their cultural identity, tied as it was to their occupations.</w:t>
      </w:r>
      <w:r w:rsidRPr="00F3497A">
        <w:rPr>
          <w:rStyle w:val="FootnoteReference"/>
        </w:rPr>
        <w:footnoteReference w:id="53"/>
      </w:r>
    </w:p>
    <w:p w14:paraId="7BD74251" w14:textId="77777777" w:rsidR="007B366A" w:rsidRDefault="007B366A" w:rsidP="007B366A">
      <w:pPr>
        <w:pStyle w:val="NormalWeb"/>
        <w:spacing w:line="480" w:lineRule="auto"/>
        <w:ind w:firstLine="720"/>
        <w:contextualSpacing/>
      </w:pPr>
      <w:r>
        <w:t xml:space="preserve">During 1980s into the 1990s the term “postindustrial city” became how these shelled out cities in the Northeast and Midwest were described. The federal government dropped or reduced most of its urban policies, and municipal governments and local leaders realized they would have to carry on without a federal safety net. One solution would be seen again and again in many different communities. For those cities where it was possible, a common undertaking was using public resources for the construction of large entertainment projects. By levying various combinations of local tax incentives and revenue bonds for private developers, urban downtowns were the recipients of new sports stadiums, convention centers, pedestrian malls, public </w:t>
      </w:r>
      <w:r>
        <w:lastRenderedPageBreak/>
        <w:t xml:space="preserve">waterfront developments, museums, and other proposed public amenities. But as </w:t>
      </w:r>
      <w:proofErr w:type="spellStart"/>
      <w:r>
        <w:t>Mallach</w:t>
      </w:r>
      <w:proofErr w:type="spellEnd"/>
      <w:r>
        <w:t xml:space="preserve"> points out, these downtown building booms disguised the fact that “little had fundamentally changed to justify the boom in either social or economic terms.”</w:t>
      </w:r>
      <w:r w:rsidRPr="00F3497A">
        <w:rPr>
          <w:rStyle w:val="FootnoteReference"/>
        </w:rPr>
        <w:footnoteReference w:id="54"/>
      </w:r>
      <w:r>
        <w:t xml:space="preserve"> Very often the revitalization benefits promised to the community through these municipal projects were never fully realized, but their sizable footprint and necessary infrastructure changes altered the face of many cities, even as they were still declining.</w:t>
      </w:r>
    </w:p>
    <w:p w14:paraId="0C1816F7" w14:textId="5FE26EED" w:rsidR="007B366A" w:rsidRDefault="007B366A" w:rsidP="007B366A">
      <w:pPr>
        <w:pStyle w:val="NormalWeb"/>
        <w:spacing w:line="480" w:lineRule="auto"/>
        <w:ind w:firstLine="720"/>
        <w:contextualSpacing/>
      </w:pPr>
      <w:r>
        <w:t>The end of the 1990s into the 2000s was the beginning of incremental economic changes for many Legacy Cities. A fundamental economic shift in the entire country occurred in the sudden upsurge in technology advances. Many factory jobs became obsolete as automation and technology facilitated improvements in productivity. While manufacturing still occurs in the United States, employment in manufacturing has remained stagnate. Approximately eighty-eight percent of job losses in manufacturing between 2000 and 2010 are attributable to productivity growth.</w:t>
      </w:r>
      <w:r w:rsidRPr="00F3497A">
        <w:rPr>
          <w:rStyle w:val="FootnoteReference"/>
        </w:rPr>
        <w:footnoteReference w:id="55"/>
      </w:r>
      <w:r>
        <w:t xml:space="preserve"> Instead of factories, the new industries that now support much of the nation’s economy are higher education and health care. </w:t>
      </w:r>
      <w:r w:rsidR="009D2BDE">
        <w:t>“</w:t>
      </w:r>
      <w:proofErr w:type="spellStart"/>
      <w:r>
        <w:t>Eds</w:t>
      </w:r>
      <w:proofErr w:type="spellEnd"/>
      <w:r>
        <w:t xml:space="preserve"> and meds,</w:t>
      </w:r>
      <w:r w:rsidR="009D2BDE">
        <w:t>”</w:t>
      </w:r>
      <w:r>
        <w:t xml:space="preserve"> as they are often referred, were formed out of the seeds of institutions that go back to the height of the industrial city. However, they are now known as mega-institutions or “anchor institutions” because of the</w:t>
      </w:r>
      <w:r w:rsidR="009D2BDE">
        <w:t xml:space="preserve"> concentrated</w:t>
      </w:r>
      <w:r>
        <w:t xml:space="preserve"> wealth they have accumulated within the lagging economies of dying factory towns.</w:t>
      </w:r>
      <w:r w:rsidRPr="00F3497A">
        <w:rPr>
          <w:rStyle w:val="FootnoteReference"/>
        </w:rPr>
        <w:footnoteReference w:id="56"/>
      </w:r>
      <w:r>
        <w:t xml:space="preserve"> Not only do anchor institutions attract faculty, researchers, and students, they are also the largest employers in many Rust Belt cities. Approximately one in eight colleges and universities, and one in fifteen of the </w:t>
      </w:r>
      <w:r>
        <w:lastRenderedPageBreak/>
        <w:t>largest hospitals, are based in inner cities. Further, anchor institutions are the largest employer in sixty-six percent of U.S. cities.</w:t>
      </w:r>
      <w:r w:rsidRPr="00F3497A">
        <w:rPr>
          <w:rStyle w:val="FootnoteReference"/>
        </w:rPr>
        <w:footnoteReference w:id="57"/>
      </w:r>
      <w:r>
        <w:t xml:space="preserve"> </w:t>
      </w:r>
    </w:p>
    <w:p w14:paraId="1335A6D3" w14:textId="77777777" w:rsidR="007B366A" w:rsidRDefault="007B366A" w:rsidP="007B366A">
      <w:pPr>
        <w:pStyle w:val="NormalWeb"/>
        <w:spacing w:line="480" w:lineRule="auto"/>
        <w:ind w:firstLine="720"/>
        <w:contextualSpacing/>
      </w:pPr>
      <w:r>
        <w:t>At the same time, the coming-of-age of a large generation of Americans who are looking to live in more dense, urban areas are driving a demographic transformation in Legacy Cities. Now, as the country moves into the end of the first quarter of the century, Legacy Cities are again in a unique position to attract, build, and retain a middle-class citizenry. Now is the time for municipalities to use thoughtful and intentional policy to guide potential growth in a way that avoids the negative human consequences of past mistakes.</w:t>
      </w:r>
    </w:p>
    <w:p w14:paraId="0C4D9CC3" w14:textId="77777777" w:rsidR="007B366A" w:rsidRDefault="007B366A" w:rsidP="007B366A">
      <w:pPr>
        <w:pStyle w:val="NormalWeb"/>
        <w:spacing w:line="480" w:lineRule="auto"/>
        <w:ind w:firstLine="720"/>
        <w:contextualSpacing/>
      </w:pPr>
    </w:p>
    <w:p w14:paraId="1883897C" w14:textId="77777777" w:rsidR="007B366A" w:rsidRPr="006654D6" w:rsidRDefault="007B366A" w:rsidP="007B366A">
      <w:pPr>
        <w:pStyle w:val="NormalWeb"/>
        <w:spacing w:line="480" w:lineRule="auto"/>
        <w:contextualSpacing/>
        <w:outlineLvl w:val="0"/>
        <w:rPr>
          <w:u w:val="single"/>
        </w:rPr>
      </w:pPr>
      <w:r w:rsidRPr="006654D6">
        <w:rPr>
          <w:u w:val="single"/>
        </w:rPr>
        <w:t>Impact on Built Environment</w:t>
      </w:r>
    </w:p>
    <w:p w14:paraId="093E06B5" w14:textId="77777777" w:rsidR="007B366A" w:rsidRDefault="007B366A" w:rsidP="007B366A">
      <w:pPr>
        <w:pStyle w:val="NormalWeb"/>
        <w:spacing w:line="480" w:lineRule="auto"/>
        <w:ind w:firstLine="720"/>
        <w:contextualSpacing/>
      </w:pPr>
      <w:r>
        <w:t>The built environment of the Legacy City bears the scars of its past. Rapid growth of both industrial sites and residential neighborhoods, followed by population loss, disinvestment, neglect, and demolition are defining physical characteristics of a Legacy City. Postindustrial urban cities have a predictable pattern of development common for cities of the nineteenth and twentieth centuries. Growth was continuous with highest densities in the city center, gradually decreasing as growth radiated out from the center. Cities varied and responded to changes in topography, but followed a typically urban form with housing set closely together and major streets and retail within walking distance of residential areas. As depopulation occurred in shrinking cities,</w:t>
      </w:r>
      <w:r w:rsidRPr="007860C5">
        <w:t xml:space="preserve"> </w:t>
      </w:r>
      <w:r>
        <w:t xml:space="preserve">rather than the remaining residents converging on the urban core, the population </w:t>
      </w:r>
      <w:r>
        <w:lastRenderedPageBreak/>
        <w:t>moved out of the city center, hollowing out the densest parts of the urban landscape.</w:t>
      </w:r>
      <w:r w:rsidRPr="00F3497A">
        <w:rPr>
          <w:rStyle w:val="FootnoteReference"/>
        </w:rPr>
        <w:footnoteReference w:id="58"/>
      </w:r>
      <w:r>
        <w:t xml:space="preserve"> For most cities, the greatest land use was made up of housing, and the quality of that housing had a direct impact on the quality of life and stability of a neighborhood. In Northeast/Midwest industrial cities, </w:t>
      </w:r>
      <w:proofErr w:type="gramStart"/>
      <w:r>
        <w:t>the majority of</w:t>
      </w:r>
      <w:proofErr w:type="gramEnd"/>
      <w:r>
        <w:t xml:space="preserve"> housing was built before 1939, and a significant portion of historic housing units now consist of either vacant lots where houses were demolished, vacant or abandoned houses, or absentee-owned occupied houses.</w:t>
      </w:r>
      <w:r w:rsidRPr="00F3497A">
        <w:rPr>
          <w:rStyle w:val="FootnoteReference"/>
        </w:rPr>
        <w:footnoteReference w:id="59"/>
      </w:r>
      <w:r>
        <w:t xml:space="preserve"> This disinvestment of the densest parts of the city unraveled the network of walkable, interconnected residential and commercial neighborhoods. How a Legacy City responds to its current physical situation speaks volumes of how it envisions itself moving into the future. </w:t>
      </w:r>
    </w:p>
    <w:p w14:paraId="2B940B1F" w14:textId="77777777" w:rsidR="007B366A" w:rsidRDefault="007B366A" w:rsidP="007B366A">
      <w:pPr>
        <w:pStyle w:val="NormalWeb"/>
        <w:ind w:firstLine="720"/>
        <w:contextualSpacing/>
      </w:pPr>
    </w:p>
    <w:p w14:paraId="697B7508" w14:textId="77777777" w:rsidR="007B366A" w:rsidRPr="006654D6" w:rsidRDefault="007B366A" w:rsidP="007B366A">
      <w:pPr>
        <w:pStyle w:val="NormalWeb"/>
        <w:spacing w:line="480" w:lineRule="auto"/>
        <w:ind w:firstLine="720"/>
        <w:contextualSpacing/>
        <w:jc w:val="center"/>
        <w:outlineLvl w:val="0"/>
        <w:rPr>
          <w:u w:val="single"/>
        </w:rPr>
      </w:pPr>
      <w:r w:rsidRPr="006654D6">
        <w:rPr>
          <w:u w:val="single"/>
        </w:rPr>
        <w:t>What is a Legacy City?</w:t>
      </w:r>
    </w:p>
    <w:p w14:paraId="4045ACC4" w14:textId="5850D100" w:rsidR="007B366A" w:rsidRDefault="007B366A" w:rsidP="007B366A">
      <w:pPr>
        <w:pStyle w:val="NormalWeb"/>
        <w:spacing w:line="480" w:lineRule="auto"/>
        <w:ind w:firstLine="720"/>
        <w:contextualSpacing/>
      </w:pPr>
      <w:r>
        <w:t xml:space="preserve">In the context of the </w:t>
      </w:r>
      <w:proofErr w:type="spellStart"/>
      <w:r>
        <w:t>postindustrialized</w:t>
      </w:r>
      <w:proofErr w:type="spellEnd"/>
      <w:r>
        <w:t xml:space="preserve"> city fighting to maintain its population and development dollars, what exactly are the current defining characteristics of a Legacy City, and why are Legacy Cities still an important part of American culture? The term Legacy City is a refinement of what was previously called a Rust Belt city, often in contrast to Sun Belt cities; those cities in the South and West where much of the late twentieth century manufacturing relocated. In 2011, a group of policy makers, practitioners, and scholars brought together by the public policy institute The American Assembly coined the name Legacy City to identify shrinking industrial cities of the Midwest, Northeast, and Mid-Atlantic region of the country. The term “legacy” was chosen to “acknowledge the cultural reverence, historic assets, and economic </w:t>
      </w:r>
      <w:r>
        <w:lastRenderedPageBreak/>
        <w:t>importance of these cities.”</w:t>
      </w:r>
      <w:r w:rsidR="00B97459">
        <w:rPr>
          <w:rStyle w:val="FootnoteReference"/>
        </w:rPr>
        <w:footnoteReference w:id="60"/>
      </w:r>
      <w:r>
        <w:t xml:space="preserve"> A Legacy City is also defined by its population. It is a city larger than 50,000 people having experienced the loss of greater than twenty percent of its inhabitants since the time of its peak population, although many, including Buffalo, have lost more than half of their population.</w:t>
      </w:r>
      <w:r w:rsidRPr="00F3497A">
        <w:rPr>
          <w:rStyle w:val="FootnoteReference"/>
        </w:rPr>
        <w:footnoteReference w:id="61"/>
      </w:r>
      <w:r>
        <w:t xml:space="preserve"> </w:t>
      </w:r>
    </w:p>
    <w:p w14:paraId="4C01B484" w14:textId="77777777" w:rsidR="007B366A" w:rsidRDefault="007B366A" w:rsidP="007B366A">
      <w:pPr>
        <w:pStyle w:val="NormalWeb"/>
        <w:spacing w:line="480" w:lineRule="auto"/>
        <w:ind w:firstLine="720"/>
        <w:contextualSpacing/>
      </w:pPr>
      <w:r>
        <w:t>The historic trajectory of Legacy Cities follows that of the decline of industrialism in the North and East of the country. As Donald K. Carter, director of the Remaking Cities Institute, wrote of the pathology of American postindustrial cities:</w:t>
      </w:r>
    </w:p>
    <w:p w14:paraId="78771992" w14:textId="718BEB99" w:rsidR="007B366A" w:rsidRDefault="007B366A" w:rsidP="00B97459">
      <w:pPr>
        <w:pStyle w:val="NormalWeb"/>
        <w:ind w:left="720"/>
        <w:contextualSpacing/>
      </w:pPr>
      <w:r>
        <w:t>The symptoms are well-known and follow a documented pattern: loss of industrial jobs; subsequent loss of support and multiplier jobs; out-migration and population loss; lack of private investment; tax-base decline; neglect and disinvestment in infrastructure and public services; abandoned factories; brownfields; vacant houses; vacant land; declining real estate values; loss of family equity; increased poverty; and, finally, loss of hope and psychological depression.</w:t>
      </w:r>
      <w:r w:rsidRPr="00F3497A">
        <w:rPr>
          <w:rStyle w:val="FootnoteReference"/>
        </w:rPr>
        <w:footnoteReference w:id="62"/>
      </w:r>
    </w:p>
    <w:p w14:paraId="1FDA2F44" w14:textId="77777777" w:rsidR="00B97459" w:rsidRDefault="00B97459" w:rsidP="00B97459">
      <w:pPr>
        <w:pStyle w:val="NormalWeb"/>
        <w:ind w:left="720"/>
        <w:contextualSpacing/>
      </w:pPr>
    </w:p>
    <w:p w14:paraId="0C1CEC48" w14:textId="77777777" w:rsidR="007B366A" w:rsidRDefault="007B366A" w:rsidP="007B366A">
      <w:pPr>
        <w:pStyle w:val="NormalWeb"/>
        <w:spacing w:line="480" w:lineRule="auto"/>
        <w:ind w:firstLine="720"/>
        <w:contextualSpacing/>
      </w:pPr>
      <w:r>
        <w:t xml:space="preserve">However, all was not lost in Legacy Cities when the bottom dropped out of the economy. Legacy Cities were left with attributes that will carry them into the future in a way the cities of the Sun Belt can never hope to attain. Legacy Cities, even while still trying to stop the population loss, have in place all the best features of “smart growth,” including walkability, affordable housing costs, local cultural amenities, and at least a portion of their historic downtown often remains. Legacy Cities very often have strong anchor development in their enduring universities and hospitals. Additionally, the municipality has available to it unused infrastructure capacity, </w:t>
      </w:r>
      <w:r>
        <w:lastRenderedPageBreak/>
        <w:t>development density sufficient to economically support a public transit system, and, because most twentieth century factories needed it, water is abundant. For these reasons, Legacy Cities are positioned to reclaim their place in urban America.</w:t>
      </w:r>
      <w:r w:rsidRPr="00F3497A">
        <w:rPr>
          <w:rStyle w:val="FootnoteReference"/>
        </w:rPr>
        <w:footnoteReference w:id="63"/>
      </w:r>
      <w:r>
        <w:t xml:space="preserve"> </w:t>
      </w:r>
    </w:p>
    <w:p w14:paraId="4CA12B8C" w14:textId="77777777" w:rsidR="007B366A" w:rsidRDefault="007B366A" w:rsidP="007B366A">
      <w:pPr>
        <w:pStyle w:val="NormalWeb"/>
        <w:spacing w:line="480" w:lineRule="auto"/>
        <w:ind w:firstLine="720"/>
        <w:contextualSpacing/>
      </w:pPr>
      <w:r>
        <w:t>Legacy Cities can also take advantage of their losses. They are afforded the space to grow into their vacant or underutilized land, which other cities lack. Their abandoned factories and public buildings are adaptable to many uses, and the roads and utilities are in place to service new businesses or housing. The strong institutional resources found in universities can be used to train a skilled and diverse workforce. Most importantly, because of the persistent strength and resilience of the people who did not leave, Legacy Cities are places of authenticity and heritage. It is through seeing the potential in what remains that Legacy Cities can lead the country into its next economic iteration.</w:t>
      </w:r>
      <w:r w:rsidRPr="00F3497A">
        <w:rPr>
          <w:rStyle w:val="FootnoteReference"/>
        </w:rPr>
        <w:footnoteReference w:id="64"/>
      </w:r>
    </w:p>
    <w:p w14:paraId="5E1065D6" w14:textId="77777777" w:rsidR="007B366A" w:rsidRDefault="007B366A" w:rsidP="007B366A">
      <w:pPr>
        <w:pStyle w:val="NormalWeb"/>
        <w:ind w:firstLine="720"/>
        <w:contextualSpacing/>
        <w:jc w:val="center"/>
        <w:outlineLvl w:val="0"/>
        <w:rPr>
          <w:i/>
          <w:sz w:val="28"/>
          <w:szCs w:val="28"/>
        </w:rPr>
      </w:pPr>
    </w:p>
    <w:p w14:paraId="361FA3A0" w14:textId="77777777" w:rsidR="007B366A" w:rsidRPr="006654D6" w:rsidRDefault="007B366A" w:rsidP="007B366A">
      <w:pPr>
        <w:pStyle w:val="NormalWeb"/>
        <w:spacing w:line="480" w:lineRule="auto"/>
        <w:ind w:firstLine="720"/>
        <w:contextualSpacing/>
        <w:jc w:val="center"/>
        <w:outlineLvl w:val="0"/>
        <w:rPr>
          <w:u w:val="single"/>
        </w:rPr>
      </w:pPr>
      <w:r w:rsidRPr="006654D6">
        <w:rPr>
          <w:u w:val="single"/>
        </w:rPr>
        <w:t>Analysis of Gentrification and How it has Changed Over Time</w:t>
      </w:r>
    </w:p>
    <w:p w14:paraId="76D505A4" w14:textId="77777777" w:rsidR="007B366A" w:rsidRDefault="007B366A" w:rsidP="007B366A">
      <w:pPr>
        <w:pStyle w:val="NormalWeb"/>
        <w:spacing w:line="480" w:lineRule="auto"/>
        <w:contextualSpacing/>
      </w:pPr>
      <w:r>
        <w:tab/>
        <w:t>It is into the disinvested industrial city that gentrification comes into play. Not a new phenomenon, the term “gentrification” was introduced by urban sociologist Ruth Glass in 1964, and was used by Glass to refer to the demographic shifts which occur within urban communities. Glass was particularly referencing the working-class quarter of London being overtaken by wealthier residents, creating a changing housing market that shifted the socioeconomic status and character of the district.</w:t>
      </w:r>
      <w:r w:rsidRPr="00F3497A">
        <w:rPr>
          <w:rStyle w:val="FootnoteReference"/>
        </w:rPr>
        <w:footnoteReference w:id="65"/>
      </w:r>
      <w:r>
        <w:t xml:space="preserve"> Glass’s defining of this occurrence generated fifty-five years of study on the causes and impacts of gentrification. The American iteration of the phenomenon has much </w:t>
      </w:r>
      <w:r>
        <w:lastRenderedPageBreak/>
        <w:t>to do with the displacement of people based on their race, lack of wealth, and lack of agency. Through comprehension of the ways gentrification has been used by developers within neighborhoods, and responded to by the residents experiencing its impact, we can gain deeper insights into how and why gentrification in Legacy Cities is different than in other cities, and how it can be capitalized on by the existing population.</w:t>
      </w:r>
    </w:p>
    <w:p w14:paraId="65466095" w14:textId="77777777" w:rsidR="007B366A" w:rsidRDefault="007B366A" w:rsidP="007B366A">
      <w:pPr>
        <w:pStyle w:val="NormalWeb"/>
        <w:contextualSpacing/>
      </w:pPr>
    </w:p>
    <w:p w14:paraId="57F425A5" w14:textId="77777777" w:rsidR="007B366A" w:rsidRPr="006654D6" w:rsidRDefault="007B366A" w:rsidP="007B366A">
      <w:pPr>
        <w:pStyle w:val="NormalWeb"/>
        <w:spacing w:line="480" w:lineRule="auto"/>
        <w:contextualSpacing/>
        <w:outlineLvl w:val="0"/>
        <w:rPr>
          <w:u w:val="single"/>
        </w:rPr>
      </w:pPr>
      <w:r w:rsidRPr="006654D6">
        <w:rPr>
          <w:u w:val="single"/>
        </w:rPr>
        <w:t>Twentieth Century History and Impacts of Gentrification</w:t>
      </w:r>
    </w:p>
    <w:p w14:paraId="4C550BE6" w14:textId="77777777" w:rsidR="007B366A" w:rsidRDefault="007B366A" w:rsidP="007B366A">
      <w:pPr>
        <w:pStyle w:val="NormalWeb"/>
        <w:spacing w:line="480" w:lineRule="auto"/>
        <w:ind w:firstLine="720"/>
        <w:contextualSpacing/>
      </w:pPr>
      <w:r>
        <w:t>During the 1970s and 80s, researchers noticed that a handful of U.S. cities saw reversals in the decline of urban socioeconomic statuses, pointing to the demographic shift now typically recognized as gentrification. This process was slow, isolated to downtowns in the largest cities, with populations over 1 million, and occurred in historically white or racially mixed neighborhoods.</w:t>
      </w:r>
      <w:r w:rsidRPr="00F3497A">
        <w:rPr>
          <w:rStyle w:val="FootnoteReference"/>
        </w:rPr>
        <w:footnoteReference w:id="66"/>
      </w:r>
      <w:r>
        <w:t xml:space="preserve"> Despite these few exceptions, decreasing socioeconomic status continued to be the trend in most U.S. downtowns. The larger cultural shift appeared at the turn of the millennium, and since 2000 there has been growing interest in residing and doing business in center-cities or downtown neighborhoods.</w:t>
      </w:r>
      <w:r w:rsidRPr="00DB05DF">
        <w:t xml:space="preserve"> </w:t>
      </w:r>
      <w:r>
        <w:t xml:space="preserve">The statistics bear this out. In a recent article of </w:t>
      </w:r>
      <w:r w:rsidRPr="00DB05DF">
        <w:rPr>
          <w:i/>
        </w:rPr>
        <w:t>Cityscape</w:t>
      </w:r>
      <w:r>
        <w:rPr>
          <w:i/>
        </w:rPr>
        <w:t>,</w:t>
      </w:r>
      <w:r>
        <w:t xml:space="preserve"> a journal of the U.S. Department of Housing and Urban Development (HUD), sociologist </w:t>
      </w:r>
      <w:proofErr w:type="spellStart"/>
      <w:r>
        <w:t>Jackelyn</w:t>
      </w:r>
      <w:proofErr w:type="spellEnd"/>
      <w:r>
        <w:t xml:space="preserve"> Hwang and economist Jeffrey Lin researched causes of recent gentrification using increases in socioeconomic status as the measurement of change in neighborhoods. In 1970, just 1.1 percent of downtowns in large cities experienced a significant increase in socioeconomic status. By 2010 however, that had grown to 7.7 percent.</w:t>
      </w:r>
      <w:r w:rsidRPr="00F3497A">
        <w:rPr>
          <w:rStyle w:val="FootnoteReference"/>
        </w:rPr>
        <w:footnoteReference w:id="67"/>
      </w:r>
    </w:p>
    <w:p w14:paraId="75B6520A" w14:textId="77777777" w:rsidR="007B366A" w:rsidRDefault="007B366A" w:rsidP="007B366A">
      <w:pPr>
        <w:pStyle w:val="NormalWeb"/>
        <w:spacing w:line="480" w:lineRule="auto"/>
        <w:ind w:firstLine="720"/>
        <w:contextualSpacing/>
      </w:pPr>
      <w:r>
        <w:lastRenderedPageBreak/>
        <w:t xml:space="preserve">This increase could point to why there is a growing public awareness of gentrification. In 1970, only twenty-five percent of large cities, and nearly no small cities, saw shifts in socioeconomic demographic. In 2010, more than fifty percent of large cities and fifteen percent of smaller metropolitan areas had noted those demographic shifts within their urban areas. In those changing neighborhoods, the composition of households—not the population of the neighborhood—is what characterized changes. Family units choosing downtown residences became predominately </w:t>
      </w:r>
      <w:proofErr w:type="gramStart"/>
      <w:r>
        <w:t>more white</w:t>
      </w:r>
      <w:proofErr w:type="gramEnd"/>
      <w:r>
        <w:t>, of younger age, and with higher rates of college education compared with earlier periods. This phenomenon is also shown to be very spatially dependent on historic neighborhood patterns, and generally remains within three kilometers of the city center, not reaching into second ring suburbs.</w:t>
      </w:r>
      <w:r w:rsidRPr="00F3497A">
        <w:rPr>
          <w:rStyle w:val="FootnoteReference"/>
        </w:rPr>
        <w:footnoteReference w:id="68"/>
      </w:r>
      <w:r>
        <w:t xml:space="preserve"> But the steady rise of neighborhoods experiencing gentrification explains why the trend became one for discussion and debate for residents, city leaders, developers, the media, and scholars.</w:t>
      </w:r>
    </w:p>
    <w:p w14:paraId="6E764184" w14:textId="77777777" w:rsidR="007B366A" w:rsidRDefault="007B366A" w:rsidP="007B366A">
      <w:pPr>
        <w:pStyle w:val="NormalWeb"/>
        <w:spacing w:line="480" w:lineRule="auto"/>
        <w:ind w:firstLine="720"/>
        <w:contextualSpacing/>
      </w:pPr>
    </w:p>
    <w:p w14:paraId="49BC56C5" w14:textId="77777777" w:rsidR="007B366A" w:rsidRPr="006654D6" w:rsidRDefault="007B366A" w:rsidP="007B366A">
      <w:pPr>
        <w:pStyle w:val="NormalWeb"/>
        <w:spacing w:line="480" w:lineRule="auto"/>
        <w:contextualSpacing/>
        <w:outlineLvl w:val="0"/>
        <w:rPr>
          <w:u w:val="single"/>
        </w:rPr>
      </w:pPr>
      <w:r w:rsidRPr="006654D6">
        <w:rPr>
          <w:u w:val="single"/>
        </w:rPr>
        <w:t>Causes</w:t>
      </w:r>
      <w:r>
        <w:rPr>
          <w:u w:val="single"/>
        </w:rPr>
        <w:t xml:space="preserve"> of Gentrification</w:t>
      </w:r>
    </w:p>
    <w:p w14:paraId="59599A1B" w14:textId="77777777" w:rsidR="007B366A" w:rsidRDefault="007B366A" w:rsidP="007B366A">
      <w:pPr>
        <w:pStyle w:val="NormalWeb"/>
        <w:spacing w:line="480" w:lineRule="auto"/>
        <w:ind w:firstLine="720"/>
        <w:contextualSpacing/>
      </w:pPr>
      <w:r>
        <w:t>The causes of gentrification are many and overlapping. At its origin, gentrification is economic. As the economy shifts, neighborhood populations and wealth within a city shift</w:t>
      </w:r>
      <w:r>
        <w:softHyphen/>
        <w:t xml:space="preserve">—some changing upward, some downward. While gentrification may not be inevitable, the fluctuation of market forces is. However, gentrification has taken on greater meaning in the context of twenty-first century urban revival. It touches on issues far more sensitive socially and politically, such as who has the power to enact change, who is affected, and to whom a </w:t>
      </w:r>
      <w:r>
        <w:lastRenderedPageBreak/>
        <w:t>neighborhood belongs. Gentrification fits into a larger picture of what is happening in American cities.</w:t>
      </w:r>
      <w:r w:rsidRPr="00F3497A">
        <w:rPr>
          <w:rStyle w:val="FootnoteReference"/>
        </w:rPr>
        <w:footnoteReference w:id="69"/>
      </w:r>
    </w:p>
    <w:p w14:paraId="5D79F624" w14:textId="77777777" w:rsidR="007B366A" w:rsidRDefault="007B366A" w:rsidP="007B366A">
      <w:pPr>
        <w:pStyle w:val="NormalWeb"/>
        <w:spacing w:line="480" w:lineRule="auto"/>
        <w:ind w:firstLine="720"/>
        <w:contextualSpacing/>
      </w:pPr>
      <w:r>
        <w:t>Urban and social science researchers argue that one cause of gentrification occurs when municipal policy-making changes from models based in direct intervention to those that rely on the free-market. This promotes the introduction of business-friendly, public/private partnerships into locations that previously depended on public funding, such as low-income housing voucher programs, which allows for the commoditization and marketing of neighborhoods in distress. Other scholars link gentrification to the redevelopment efforts of HUD’s HOPE VI program because it targets neighborhoods that are likely to have the greatest return on market-rate housing; those that are often in or near low-income neighborhoods inhabited by people of color.</w:t>
      </w:r>
      <w:r w:rsidRPr="00F3497A">
        <w:rPr>
          <w:rStyle w:val="FootnoteReference"/>
        </w:rPr>
        <w:footnoteReference w:id="70"/>
      </w:r>
    </w:p>
    <w:p w14:paraId="2AE4B858" w14:textId="093F3449" w:rsidR="007B366A" w:rsidRDefault="007B366A" w:rsidP="007B366A">
      <w:pPr>
        <w:pStyle w:val="NormalWeb"/>
        <w:spacing w:line="480" w:lineRule="auto"/>
        <w:ind w:firstLine="720"/>
        <w:contextualSpacing/>
      </w:pPr>
      <w:r>
        <w:t>However, research shows that advancing market-driven policies to try to improve neighborhoods in decline does not reduce the concentrated poverty seen in many large cities and metropolitan areas because the reinvestment rarely occurs in the poorest, majority minority neighborhoods.</w:t>
      </w:r>
      <w:r w:rsidRPr="00F3497A">
        <w:rPr>
          <w:rStyle w:val="FootnoteReference"/>
        </w:rPr>
        <w:footnoteReference w:id="71"/>
      </w:r>
      <w:r>
        <w:t xml:space="preserve"> As Richard Rothstein explains in </w:t>
      </w:r>
      <w:r w:rsidRPr="007B366A">
        <w:rPr>
          <w:i/>
        </w:rPr>
        <w:t>The Color of Law,</w:t>
      </w:r>
      <w:r>
        <w:t xml:space="preserve"> federal, state, and local programs reinforced residential segregation in the past through exclusionary zoning and restrictive covenants, and those same entities continue those practices today. Through programs such as federal subsidies for low-income housing, non-white families are limited to renting in minority areas lacking in economic </w:t>
      </w:r>
      <w:r w:rsidR="00AF743E">
        <w:t>opportunity. Or developers use</w:t>
      </w:r>
      <w:r>
        <w:t xml:space="preserve"> federal tax credits to </w:t>
      </w:r>
      <w:r>
        <w:lastRenderedPageBreak/>
        <w:t>construct low-income housing in already-segregated neighborhoods.</w:t>
      </w:r>
      <w:r w:rsidRPr="00F3497A">
        <w:rPr>
          <w:rStyle w:val="FootnoteReference"/>
        </w:rPr>
        <w:footnoteReference w:id="72"/>
      </w:r>
      <w:r>
        <w:t xml:space="preserve"> There is rarely gentrification in neighborhoods experiencing the effects of persistent, concentrated, multi-generational poverty.</w:t>
      </w:r>
    </w:p>
    <w:p w14:paraId="2380C5B6" w14:textId="77777777" w:rsidR="007B366A" w:rsidRDefault="007B366A" w:rsidP="007B366A">
      <w:pPr>
        <w:pStyle w:val="NormalWeb"/>
        <w:spacing w:line="480" w:lineRule="auto"/>
        <w:ind w:firstLine="720"/>
        <w:contextualSpacing/>
      </w:pPr>
      <w:r>
        <w:t>In fact, neighborhoods that tend to gentrify are whiter, and offer the existing residents the opportunity to receive many of the benefits of gentrification.</w:t>
      </w:r>
      <w:r w:rsidRPr="00F3497A">
        <w:rPr>
          <w:rStyle w:val="FootnoteReference"/>
        </w:rPr>
        <w:footnoteReference w:id="73"/>
      </w:r>
      <w:r>
        <w:t xml:space="preserve"> Those benefits can include factors such as a positive increase in the credit scores of original residents who stay in gentrifying neighborhoods. In 2016, researchers found that residents in Philadelphia who did not move away from gentrifying neighborhoods saw an average increase of 11.3 points on their Equifax credit scores over three years, indicating an improvement to their overall financial health.</w:t>
      </w:r>
      <w:r w:rsidRPr="00F3497A">
        <w:rPr>
          <w:rStyle w:val="FootnoteReference"/>
        </w:rPr>
        <w:footnoteReference w:id="74"/>
      </w:r>
      <w:r>
        <w:t xml:space="preserve"> Conversely, those living in poorer neighborhoods populated by non-white residents nearby tend to experience persistent isolation from improvements through revitalization efforts, and areas that do show signs of gentrification, such as improved socioeconomic status in their population, have weaker reinvestment and renewal when compared with their whiter counterparts. Using gentrification as a market-based intervention increases racial inequality, and suppresses opportunities for systemic improvements in the most disadvantaged neighborhoods.</w:t>
      </w:r>
      <w:r w:rsidRPr="00F3497A">
        <w:rPr>
          <w:rStyle w:val="FootnoteReference"/>
        </w:rPr>
        <w:footnoteReference w:id="75"/>
      </w:r>
    </w:p>
    <w:p w14:paraId="1E2DA45F" w14:textId="77777777" w:rsidR="007B366A" w:rsidRDefault="007B366A" w:rsidP="007B366A">
      <w:pPr>
        <w:pStyle w:val="NormalWeb"/>
        <w:ind w:firstLine="720"/>
        <w:contextualSpacing/>
      </w:pPr>
    </w:p>
    <w:p w14:paraId="58078E67" w14:textId="77777777" w:rsidR="007B366A" w:rsidRPr="006654D6" w:rsidRDefault="007B366A" w:rsidP="007B366A">
      <w:pPr>
        <w:pStyle w:val="NormalWeb"/>
        <w:spacing w:line="480" w:lineRule="auto"/>
        <w:contextualSpacing/>
        <w:outlineLvl w:val="0"/>
        <w:rPr>
          <w:u w:val="single"/>
        </w:rPr>
      </w:pPr>
      <w:r w:rsidRPr="006654D6">
        <w:rPr>
          <w:u w:val="single"/>
        </w:rPr>
        <w:t>Characteristics and Criticisms of Gentrification</w:t>
      </w:r>
    </w:p>
    <w:p w14:paraId="34EEE09B" w14:textId="1E6EC331" w:rsidR="007B366A" w:rsidRDefault="007B366A" w:rsidP="007B366A">
      <w:pPr>
        <w:pStyle w:val="NormalWeb"/>
        <w:spacing w:line="480" w:lineRule="auto"/>
        <w:ind w:firstLine="720"/>
        <w:contextualSpacing/>
      </w:pPr>
      <w:r>
        <w:t xml:space="preserve">While there may be difficulty in finding one singular cause for gentrification, revitalizing neighborhoods do tend to have some distinguishing features that may be used as predictors of </w:t>
      </w:r>
      <w:r>
        <w:lastRenderedPageBreak/>
        <w:t xml:space="preserve">gentrification’s occurrence. Neighborhood revitalization incrementally moves outward from stronger areas of activity, such as anchor developments like medical centers or university campuses. These changes often utilize nearby neighborhoods that have a robust and intact urban fabric of houses, apartment buildings, and storefronts. Historic preservation efforts </w:t>
      </w:r>
      <w:proofErr w:type="gramStart"/>
      <w:r>
        <w:t>can be seen as</w:t>
      </w:r>
      <w:proofErr w:type="gramEnd"/>
      <w:r>
        <w:t xml:space="preserve"> precursor</w:t>
      </w:r>
      <w:r w:rsidR="00B0797B">
        <w:t>s</w:t>
      </w:r>
      <w:r>
        <w:t xml:space="preserve"> to gentrification because neighborhoods built in the early twentieth century often meet all the needs of a city or developer’s revitalization effort</w:t>
      </w:r>
      <w:r w:rsidR="00100F24">
        <w:t>, such as existing infrastructure and proximity to population centers</w:t>
      </w:r>
      <w:r>
        <w:t>. These structures do not have to be architecturally significant, but enough density to encourage walkability is considered a benefit. Consequently, gentrification does not usually occur in the most distressed neighborhoods in a city, especially if demolition has weakened the urban fabric. Additionally, research shows that neighborhoods with residents that are predominantly people of color are less likely to experience gentrification than neighborhoods with predominantly white residents.</w:t>
      </w:r>
      <w:r w:rsidRPr="00F3497A">
        <w:rPr>
          <w:rStyle w:val="FootnoteReference"/>
        </w:rPr>
        <w:footnoteReference w:id="76"/>
      </w:r>
    </w:p>
    <w:p w14:paraId="4B2B7652" w14:textId="77777777" w:rsidR="007B366A" w:rsidRDefault="007B366A" w:rsidP="007B366A">
      <w:pPr>
        <w:pStyle w:val="NormalWeb"/>
        <w:spacing w:line="480" w:lineRule="auto"/>
        <w:ind w:firstLine="720"/>
        <w:contextualSpacing/>
      </w:pPr>
      <w:r>
        <w:t xml:space="preserve">The criticism of gentrification often manifests in three identified forms of harm; namely displacement of residents, loss of affordable housing, and cultural deterioration. While there is evidence to show that all three of these occur in neighborhoods experiencing gentrification, it happens in varying degrees and with varying impacts depending on local economic and cultural factors. Legacy Cities do not tend to see the same intensity of impact as cities like San Francisco, New York City, or Washington D.C. Because </w:t>
      </w:r>
      <w:proofErr w:type="gramStart"/>
      <w:r>
        <w:t>the majority of</w:t>
      </w:r>
      <w:proofErr w:type="gramEnd"/>
      <w:r>
        <w:t xml:space="preserve"> media coverage of gentrification comes out of those large cities experiencing a frenzy of economic and cultural transition, the true impact of gentrification in Legacy Cities is often misunderstood.</w:t>
      </w:r>
      <w:r w:rsidRPr="00F3497A">
        <w:rPr>
          <w:rStyle w:val="FootnoteReference"/>
        </w:rPr>
        <w:footnoteReference w:id="77"/>
      </w:r>
    </w:p>
    <w:p w14:paraId="5D6703B9" w14:textId="145FF11A" w:rsidR="007B366A" w:rsidRDefault="007B366A" w:rsidP="007B366A">
      <w:pPr>
        <w:pStyle w:val="NormalWeb"/>
        <w:spacing w:line="480" w:lineRule="auto"/>
        <w:ind w:firstLine="720"/>
        <w:contextualSpacing/>
      </w:pPr>
      <w:r>
        <w:lastRenderedPageBreak/>
        <w:t>Displacement of lower-income inhabitants for wealthier residents does occur, but at a far lower rate than media</w:t>
      </w:r>
      <w:r w:rsidR="00997C90">
        <w:t xml:space="preserve"> coverage</w:t>
      </w:r>
      <w:r>
        <w:t xml:space="preserve"> would indicate. Displacement is a complex issue, and happens for many reasons that have nothing to do with gentrification. For urban renters, turnover is particularly high. This rate is higher still for those living at poverty levels. The median stay for urban renters is just short of two years. That seemingly quick turnover may be voluntary, but often has more to do with the housing insecurity of the poor, and the difficulty of living in poverty in America. As previously stated, the poorest neighborhoods are much less likely to be targeted for up-scale development and gentrification. For homeowners, the problems of gentrification could be the potential forcing out of original inhabitants through a steady rise in property taxes, but there is little research to reinforce this claim.</w:t>
      </w:r>
      <w:r w:rsidRPr="00F3497A">
        <w:rPr>
          <w:rStyle w:val="FootnoteReference"/>
        </w:rPr>
        <w:footnoteReference w:id="78"/>
      </w:r>
      <w:r>
        <w:t xml:space="preserve"> However, an increase in property value may bring voluntary displacement as homeowners sell for a profit. Common sense would suggest many might stay and reap the benefits of living in a mixed-income neighborhood. It would seem from much of the research done, that unlike large magnet cites like Washington D.C. and San Francisco, gentrification is not a major source of physical displacement in Legacy Cities.</w:t>
      </w:r>
    </w:p>
    <w:p w14:paraId="5406CB8A" w14:textId="77777777" w:rsidR="007B366A" w:rsidRDefault="007B366A" w:rsidP="007B366A">
      <w:pPr>
        <w:pStyle w:val="NormalWeb"/>
        <w:spacing w:line="480" w:lineRule="auto"/>
        <w:ind w:firstLine="720"/>
        <w:contextualSpacing/>
      </w:pPr>
      <w:r>
        <w:t xml:space="preserve">Limited access to affordable housing is another common critique of gentrification. </w:t>
      </w:r>
      <w:proofErr w:type="spellStart"/>
      <w:r>
        <w:t>Mallach</w:t>
      </w:r>
      <w:proofErr w:type="spellEnd"/>
      <w:r>
        <w:t xml:space="preserve"> contends that, while affordable housing is an issue in the United States, gentrification is not the root cause of the problem. He further asserts this </w:t>
      </w:r>
      <w:proofErr w:type="gramStart"/>
      <w:r>
        <w:t>has to</w:t>
      </w:r>
      <w:proofErr w:type="gramEnd"/>
      <w:r>
        <w:t xml:space="preserve"> do with the process of replacement, rather than displacement. In a low-income neighborhood, when a tenant leaves their current home, whether it is by choice or involuntarily, that resident will be replaced by another tenant of similar financial means. In a neighborhood seeing the influx of wealth through the in-migration of higher-income residents, a lower-income resident will be replaced by the higher-</w:t>
      </w:r>
      <w:r>
        <w:lastRenderedPageBreak/>
        <w:t xml:space="preserve">income resident. Over the course of several turnovers, there is a shift in the overall income of the neighborhood. </w:t>
      </w:r>
    </w:p>
    <w:p w14:paraId="23BB4639" w14:textId="77777777" w:rsidR="007B366A" w:rsidRDefault="007B366A" w:rsidP="007B366A">
      <w:pPr>
        <w:pStyle w:val="NormalWeb"/>
        <w:spacing w:line="480" w:lineRule="auto"/>
        <w:ind w:firstLine="720"/>
        <w:contextualSpacing/>
      </w:pPr>
      <w:r>
        <w:t xml:space="preserve">Deciding how harmful replacement is to a neighborhood </w:t>
      </w:r>
      <w:proofErr w:type="gramStart"/>
      <w:r>
        <w:t>has to</w:t>
      </w:r>
      <w:proofErr w:type="gramEnd"/>
      <w:r>
        <w:t xml:space="preserve"> do with two issues: first, whether there is nearby housing as affordable as a tenant’s previous residence, and second, the way this turnover of socioeconomic status changes the neighborhood and affects original residents.</w:t>
      </w:r>
      <w:r w:rsidRPr="00F3497A">
        <w:rPr>
          <w:rStyle w:val="FootnoteReference"/>
        </w:rPr>
        <w:footnoteReference w:id="79"/>
      </w:r>
      <w:r>
        <w:t xml:space="preserve"> The first issue of nearby affordable housing is, again, going to be a much different matter in a city like New York versus a typical Legacy City. In a Legacy City, a family may need to go no farther than a few blocks to find a home no more expensive than the one they left. However, if the family is living at the poverty level, they may not find decent affordable housing nearby without a government issued housing voucher or a local high-quality housing project. Nevertheless, it is unclear that the difficulty of finding quality affordable housing is the result of the phenomenon of gentrification.</w:t>
      </w:r>
      <w:r w:rsidRPr="00F3497A">
        <w:rPr>
          <w:rStyle w:val="FootnoteReference"/>
        </w:rPr>
        <w:footnoteReference w:id="80"/>
      </w:r>
    </w:p>
    <w:p w14:paraId="6281D16C" w14:textId="77777777" w:rsidR="007B366A" w:rsidRPr="009E4371" w:rsidRDefault="007B366A" w:rsidP="007B366A">
      <w:pPr>
        <w:pStyle w:val="NormalWeb"/>
        <w:spacing w:line="480" w:lineRule="auto"/>
        <w:ind w:firstLine="720"/>
        <w:contextualSpacing/>
        <w:rPr>
          <w:vertAlign w:val="subscript"/>
        </w:rPr>
      </w:pPr>
      <w:r>
        <w:t xml:space="preserve">The second, and more concerning, issue regarding replacement is the change in people’s lives and neighborhood caused by the influx of people from a new socioeconomic group. With this replacement, triggered by the gentrification of the neighborhood, comes a neighborhood population that is increasingly heterogeneous. This creates a situation where a neighborhood that original residents thought of as their own begins to change along with the newcomers and their different ethnicities, ages, income levels, values, and tastes. The subsequent sense of loss of the culture of the old neighborhood is real, and </w:t>
      </w:r>
      <w:r w:rsidRPr="0063379C">
        <w:rPr>
          <w:i/>
        </w:rPr>
        <w:t>is</w:t>
      </w:r>
      <w:r>
        <w:t xml:space="preserve"> caused by gentrification.</w:t>
      </w:r>
      <w:r w:rsidRPr="00F3497A">
        <w:rPr>
          <w:rStyle w:val="FootnoteReference"/>
        </w:rPr>
        <w:footnoteReference w:id="81"/>
      </w:r>
    </w:p>
    <w:p w14:paraId="294BF879" w14:textId="08D7EE1E" w:rsidR="007B366A" w:rsidRDefault="007B366A" w:rsidP="007B366A">
      <w:pPr>
        <w:pStyle w:val="NormalWeb"/>
        <w:spacing w:line="480" w:lineRule="auto"/>
        <w:ind w:firstLine="720"/>
        <w:contextualSpacing/>
      </w:pPr>
      <w:r>
        <w:lastRenderedPageBreak/>
        <w:t xml:space="preserve">In trying to get to the heart of the cause and impact of gentrification in a neighborhood, there has been a lot of time spent refuting the idea of the inherent evil of gentrification. We have seen research and data which shows that instances of displacement by force and loss of wealth for original residents are isolated to very large cities experiencing rapid economic transformations. However, one cannot dispute the strong reaction people express brought on by the possibility of gentrification in their neighborhood. Gentrification has evolved into an evocative code word that represents a reality that for the poor and nonwhite in America, there is little to no power over where </w:t>
      </w:r>
      <w:r w:rsidR="00997C90">
        <w:t>one is</w:t>
      </w:r>
      <w:r>
        <w:t xml:space="preserve"> permitted to live. The growing economic divide, especially in the hardest hit Legacy Cities, breeds economic polarization and a power inequality, which is further exacerbated by the racialized ways power is distributed within a city. Gentrification is the nemesis of those who justly feel marginalized within their own neighborhood by the city’s economic transformation.</w:t>
      </w:r>
      <w:r w:rsidRPr="00F3497A">
        <w:rPr>
          <w:rStyle w:val="FootnoteReference"/>
        </w:rPr>
        <w:footnoteReference w:id="82"/>
      </w:r>
      <w:r>
        <w:t xml:space="preserve"> While change within neighborhoods is not new, and will not stop, addressing the sense that with change the original residents not only lose power over their neighborhood, but also the place that represents their cultural identity, is why a culturally sustainable preservation model is vitally necessary.</w:t>
      </w:r>
    </w:p>
    <w:p w14:paraId="6288046F" w14:textId="77777777" w:rsidR="007B366A" w:rsidRDefault="007B366A" w:rsidP="007B366A">
      <w:pPr>
        <w:pStyle w:val="NormalWeb"/>
        <w:spacing w:line="480" w:lineRule="auto"/>
        <w:ind w:firstLine="720"/>
        <w:contextualSpacing/>
      </w:pPr>
    </w:p>
    <w:p w14:paraId="171F054C" w14:textId="77777777" w:rsidR="007B366A" w:rsidRPr="008A6474" w:rsidRDefault="007B366A" w:rsidP="007B366A">
      <w:pPr>
        <w:pStyle w:val="NormalWeb"/>
        <w:spacing w:line="480" w:lineRule="auto"/>
        <w:contextualSpacing/>
        <w:outlineLvl w:val="0"/>
        <w:rPr>
          <w:u w:val="single"/>
        </w:rPr>
      </w:pPr>
      <w:r w:rsidRPr="008A6474">
        <w:rPr>
          <w:u w:val="single"/>
        </w:rPr>
        <w:t>Recent Iterations of and Reactions to Gentrification</w:t>
      </w:r>
    </w:p>
    <w:p w14:paraId="1C1AE876" w14:textId="7E3BCED1" w:rsidR="007B366A" w:rsidRDefault="007B366A" w:rsidP="007B366A">
      <w:pPr>
        <w:pStyle w:val="NormalWeb"/>
        <w:spacing w:line="480" w:lineRule="auto"/>
        <w:ind w:firstLine="720"/>
        <w:contextualSpacing/>
      </w:pPr>
      <w:r>
        <w:t>Now that gentrification has become part of the American urban vernacular language, researchers are finding variations</w:t>
      </w:r>
      <w:r w:rsidR="00117496">
        <w:t xml:space="preserve"> of it</w:t>
      </w:r>
      <w:r>
        <w:t xml:space="preserve">, and citizens are reworking the term in a typically American fashion. For instance, in 2003, geographer Loretta Lees formally introduced the term </w:t>
      </w:r>
      <w:proofErr w:type="spellStart"/>
      <w:r w:rsidRPr="00E4260F">
        <w:rPr>
          <w:i/>
        </w:rPr>
        <w:t>super</w:t>
      </w:r>
      <w:r w:rsidRPr="00E4260F">
        <w:t>gentrification</w:t>
      </w:r>
      <w:proofErr w:type="spellEnd"/>
      <w:r>
        <w:t xml:space="preserve"> </w:t>
      </w:r>
      <w:proofErr w:type="gramStart"/>
      <w:r>
        <w:t>in reference to</w:t>
      </w:r>
      <w:proofErr w:type="gramEnd"/>
      <w:r>
        <w:t xml:space="preserve"> Brooklyn Heights, New York City. This term defines the transformation of a previously gentrified, and now solidly upper-middle-class, neighborhood into </w:t>
      </w:r>
      <w:r>
        <w:lastRenderedPageBreak/>
        <w:t>an even more expensive investment project for super-rich “</w:t>
      </w:r>
      <w:proofErr w:type="spellStart"/>
      <w:r>
        <w:t>financifiers</w:t>
      </w:r>
      <w:proofErr w:type="spellEnd"/>
      <w:r>
        <w:t xml:space="preserve">.” Lees notes that others have dubbed the phenomenon “third-wave” gentrification, and this author has heard it referred to as </w:t>
      </w:r>
      <w:proofErr w:type="spellStart"/>
      <w:r>
        <w:rPr>
          <w:i/>
        </w:rPr>
        <w:t>re</w:t>
      </w:r>
      <w:r>
        <w:t>gentrification</w:t>
      </w:r>
      <w:proofErr w:type="spellEnd"/>
      <w:r>
        <w:t>.</w:t>
      </w:r>
      <w:r w:rsidRPr="00F3497A">
        <w:rPr>
          <w:rStyle w:val="FootnoteReference"/>
        </w:rPr>
        <w:footnoteReference w:id="83"/>
      </w:r>
      <w:r>
        <w:t xml:space="preserve"> Whatever it is called, it still comes with many of the same tensions felt between old and new residents found in “first-wave” gentrification.</w:t>
      </w:r>
    </w:p>
    <w:p w14:paraId="4F54C504" w14:textId="77777777" w:rsidR="007B366A" w:rsidRDefault="007B366A" w:rsidP="007B366A">
      <w:pPr>
        <w:pStyle w:val="NormalWeb"/>
        <w:spacing w:line="480" w:lineRule="auto"/>
        <w:ind w:firstLine="720"/>
        <w:contextualSpacing/>
      </w:pPr>
      <w:r>
        <w:t xml:space="preserve">Conversely, in the predominantly Latino neighborhood of Boyle Heights in East Los Angeles, Guillermo Uribe, Mexican-American owner of the wine bar </w:t>
      </w:r>
      <w:proofErr w:type="spellStart"/>
      <w:r>
        <w:t>EastSide</w:t>
      </w:r>
      <w:proofErr w:type="spellEnd"/>
      <w:r>
        <w:t xml:space="preserve"> Luv, coined the term “gentefication” in 2007, from the Spanish word </w:t>
      </w:r>
      <w:proofErr w:type="spellStart"/>
      <w:r>
        <w:rPr>
          <w:i/>
        </w:rPr>
        <w:t>g</w:t>
      </w:r>
      <w:r w:rsidRPr="00D614F9">
        <w:rPr>
          <w:i/>
        </w:rPr>
        <w:t>ente</w:t>
      </w:r>
      <w:proofErr w:type="spellEnd"/>
      <w:r>
        <w:rPr>
          <w:i/>
        </w:rPr>
        <w:t>,</w:t>
      </w:r>
      <w:r>
        <w:t xml:space="preserve"> meaning people. He states, “If gentrification is happening, it might as well be from people who care about the existing culture. In the case of Boyle Heights, it would be best if the </w:t>
      </w:r>
      <w:proofErr w:type="spellStart"/>
      <w:r w:rsidRPr="00F7238F">
        <w:rPr>
          <w:i/>
        </w:rPr>
        <w:t>gente</w:t>
      </w:r>
      <w:proofErr w:type="spellEnd"/>
      <w:r>
        <w:rPr>
          <w:i/>
        </w:rPr>
        <w:t xml:space="preserve"> </w:t>
      </w:r>
      <w:r>
        <w:t>decide to invest in improvements because they are more likely to preserve its integrity.”</w:t>
      </w:r>
      <w:r w:rsidRPr="00F3497A">
        <w:rPr>
          <w:rStyle w:val="FootnoteReference"/>
        </w:rPr>
        <w:footnoteReference w:id="84"/>
      </w:r>
      <w:r>
        <w:t xml:space="preserve"> The phenomenon is not limited to Los Angeles or Latino residents. Neighborhoods in the Bronx, New York, have imported the tactic and altered its singularly Latino form to fit their needs. Bronx-style gentefication is a movement representative of a neighborhood’s renaissance being locally inspired and locally controlled by those living in the community. Echoing the sentiments of Uribe, Amanda </w:t>
      </w:r>
      <w:proofErr w:type="spellStart"/>
      <w:r>
        <w:t>Celestino</w:t>
      </w:r>
      <w:proofErr w:type="spellEnd"/>
      <w:r>
        <w:t>, editor of Edible Bronx magazine says, “It’s a reaction, partly, to the idea that if someone’s going to do this, it should be us.”</w:t>
      </w:r>
      <w:r w:rsidRPr="00F3497A">
        <w:rPr>
          <w:rStyle w:val="FootnoteReference"/>
        </w:rPr>
        <w:footnoteReference w:id="85"/>
      </w:r>
    </w:p>
    <w:p w14:paraId="0217159B" w14:textId="77777777" w:rsidR="007B366A" w:rsidRPr="00F7238F" w:rsidRDefault="007B366A" w:rsidP="007B366A">
      <w:pPr>
        <w:pStyle w:val="NormalWeb"/>
        <w:spacing w:line="480" w:lineRule="auto"/>
        <w:ind w:firstLine="720"/>
        <w:contextualSpacing/>
      </w:pPr>
      <w:r>
        <w:t xml:space="preserve">Another response to the harms caused by gentrification is seen in the way people who are considered the </w:t>
      </w:r>
      <w:proofErr w:type="spellStart"/>
      <w:r>
        <w:t>gentrifiers</w:t>
      </w:r>
      <w:proofErr w:type="spellEnd"/>
      <w:r>
        <w:t xml:space="preserve"> choose to wield their inherent power within their new neighborhood. </w:t>
      </w:r>
      <w:r>
        <w:lastRenderedPageBreak/>
        <w:t>One iteration of this phenomenon is identified by urban scholar Japonica Brown-</w:t>
      </w:r>
      <w:proofErr w:type="spellStart"/>
      <w:r>
        <w:t>Saracino</w:t>
      </w:r>
      <w:proofErr w:type="spellEnd"/>
      <w:r>
        <w:t xml:space="preserve"> as the “social preservationist,” and by Next City journalist John Joe </w:t>
      </w:r>
      <w:proofErr w:type="spellStart"/>
      <w:r>
        <w:t>Schlichtman</w:t>
      </w:r>
      <w:proofErr w:type="spellEnd"/>
      <w:r>
        <w:t xml:space="preserve"> as the “curator.”</w:t>
      </w:r>
      <w:r w:rsidRPr="00F3497A">
        <w:rPr>
          <w:rStyle w:val="FootnoteReference"/>
        </w:rPr>
        <w:footnoteReference w:id="86"/>
      </w:r>
      <w:r>
        <w:t xml:space="preserve"> This group of people is defined by the culturally motivated choice to live in low-income urban neighborhoods because of a perception of authenticity embodied by the presence of original inhabitants. Social preservationists’ values demand the presence of what Brown-</w:t>
      </w:r>
      <w:proofErr w:type="spellStart"/>
      <w:r>
        <w:t>Saracino</w:t>
      </w:r>
      <w:proofErr w:type="spellEnd"/>
      <w:r>
        <w:t xml:space="preserve"> called “old-timers” to substantiate their experience as authentic, going so far as to engage in efforts to prevent issues of displacement, while acknowledging their participation in gentrification through their own in-migration. Ideologically, social preservationists diverge from conventional gentrification in that they choose to invest in past and present forms of a neighborhood’s economic, political, and cultural resources.</w:t>
      </w:r>
      <w:r w:rsidRPr="00F3497A">
        <w:rPr>
          <w:rStyle w:val="FootnoteReference"/>
        </w:rPr>
        <w:footnoteReference w:id="87"/>
      </w:r>
    </w:p>
    <w:p w14:paraId="4AA4850B" w14:textId="77777777" w:rsidR="007B366A" w:rsidRDefault="007B366A" w:rsidP="007B366A">
      <w:pPr>
        <w:pStyle w:val="NormalWeb"/>
        <w:spacing w:line="480" w:lineRule="auto"/>
        <w:ind w:firstLine="720"/>
        <w:contextualSpacing/>
      </w:pPr>
      <w:r>
        <w:t>Social preservation sounds like an improvement to gentrification, especially in that it strives for more than just architectural and landscape preservation, as often happens in gentrification. Rather, social preservationists attempt to preserve the presence and culture of the neighborhood’s old-timers. However, in their zeal to protect the authenticity of a neighborhood through its original residents, not all the people qualify as an old-timer. Brown-</w:t>
      </w:r>
      <w:proofErr w:type="spellStart"/>
      <w:r>
        <w:t>Saracino</w:t>
      </w:r>
      <w:proofErr w:type="spellEnd"/>
      <w:r>
        <w:t xml:space="preserve"> noted that the social preservationist’s classification system often attaches significance to racial or ethnic identity, or elevates certain businesses and trades that is often the job of an old-timer as evidence of authenticity. Additionally, social preservationists can conflate ethnicity with occupation out of their unfamiliarity with a neighborhood’s culture. And often, old-timers are sorted by their economic classes, and there can be a tendency on the part of the social </w:t>
      </w:r>
      <w:r>
        <w:lastRenderedPageBreak/>
        <w:t>preservationist to glamorize an old-timer’s financial struggles.</w:t>
      </w:r>
      <w:r w:rsidRPr="00F3497A">
        <w:rPr>
          <w:rStyle w:val="FootnoteReference"/>
        </w:rPr>
        <w:footnoteReference w:id="88"/>
      </w:r>
      <w:r>
        <w:t xml:space="preserve"> All this to say, that while there may be a more noble motivation behind the social preservationist’s ideology, there are inherent flaws in a system that allows one group of people to classify and define another group of people. Just as the </w:t>
      </w:r>
      <w:proofErr w:type="spellStart"/>
      <w:r>
        <w:t>gentrifier</w:t>
      </w:r>
      <w:proofErr w:type="spellEnd"/>
      <w:r>
        <w:t xml:space="preserve"> should not freeze the physical attributes of a neighborhood in a never-changing, inflexible ideal of their own making, social preservationists should not come into a neighborhood of people and attribute defining characteristics to a select few old-timers of their own choosing. Both concepts are inauthentic and unsustainable at their core. </w:t>
      </w:r>
    </w:p>
    <w:p w14:paraId="2490D782" w14:textId="1EA09D35" w:rsidR="007B366A" w:rsidRDefault="007B366A" w:rsidP="007B366A">
      <w:pPr>
        <w:pStyle w:val="NormalWeb"/>
        <w:spacing w:line="480" w:lineRule="auto"/>
        <w:ind w:firstLine="720"/>
        <w:contextualSpacing/>
      </w:pPr>
      <w:r>
        <w:t>Gentrification is a phenomenon that will continue to be explored, and its virtues or evils debated. There are some benefits, such as the potential increase in property values for property owners in gentrifying neighborhoods. There are also some harms, such as the threat of the displacement of established cultural groups. Gentrification is happening in Legacy Cities, although it is happening differently than in larger</w:t>
      </w:r>
      <w:r w:rsidR="00E35B80">
        <w:t xml:space="preserve"> cities throughout the country.</w:t>
      </w:r>
      <w:r>
        <w:t xml:space="preserve"> Because the perception</w:t>
      </w:r>
      <w:r w:rsidR="00E35B80">
        <w:t xml:space="preserve"> of gentrification</w:t>
      </w:r>
      <w:r>
        <w:t xml:space="preserve"> is the reality</w:t>
      </w:r>
      <w:r w:rsidR="00C17D7E">
        <w:t xml:space="preserve"> for the resident</w:t>
      </w:r>
      <w:r>
        <w:t>, understanding and acknowledging resident’s fears over the threat of gentrification must be part of the conversation when attempting to create a culturally sustainable preservation model.</w:t>
      </w:r>
    </w:p>
    <w:p w14:paraId="63A85EE8" w14:textId="77777777" w:rsidR="007B366A" w:rsidRDefault="007B366A" w:rsidP="007B366A">
      <w:pPr>
        <w:pStyle w:val="NormalWeb"/>
        <w:contextualSpacing/>
      </w:pPr>
    </w:p>
    <w:p w14:paraId="4D4DCB76" w14:textId="77777777" w:rsidR="007B366A" w:rsidRDefault="007B366A" w:rsidP="007B366A">
      <w:pPr>
        <w:pStyle w:val="NormalWeb"/>
        <w:ind w:firstLine="720"/>
        <w:contextualSpacing/>
        <w:jc w:val="center"/>
        <w:outlineLvl w:val="0"/>
        <w:rPr>
          <w:u w:val="single"/>
        </w:rPr>
      </w:pPr>
      <w:r w:rsidRPr="008A6474">
        <w:rPr>
          <w:u w:val="single"/>
        </w:rPr>
        <w:t>Conclusion</w:t>
      </w:r>
    </w:p>
    <w:p w14:paraId="339CE7BE" w14:textId="77777777" w:rsidR="007B366A" w:rsidRPr="008A6474" w:rsidRDefault="007B366A" w:rsidP="007B366A">
      <w:pPr>
        <w:pStyle w:val="NormalWeb"/>
        <w:ind w:firstLine="720"/>
        <w:contextualSpacing/>
        <w:jc w:val="center"/>
        <w:outlineLvl w:val="0"/>
        <w:rPr>
          <w:u w:val="single"/>
        </w:rPr>
      </w:pPr>
    </w:p>
    <w:p w14:paraId="3C835E43" w14:textId="696C5363" w:rsidR="007B366A" w:rsidRDefault="007B366A" w:rsidP="007B366A">
      <w:pPr>
        <w:pStyle w:val="NormalWeb"/>
        <w:spacing w:line="480" w:lineRule="auto"/>
        <w:ind w:firstLine="720"/>
        <w:contextualSpacing/>
      </w:pPr>
      <w:r>
        <w:t>We have established that there currently is a great potential within Legacy Cities to attract and serve the next generation of urban residents. It is also because of this great potential that that decision-makers need to be intentional in how they choose to grow. It is imperative that growth does not happen without the participation of the people who have persevered through the declines, who stayed and had families and businesses, and b</w:t>
      </w:r>
      <w:r w:rsidR="00186CF8">
        <w:t>uilt a life despite the losses.</w:t>
      </w:r>
      <w:r>
        <w:t xml:space="preserve"> Their </w:t>
      </w:r>
      <w:r>
        <w:lastRenderedPageBreak/>
        <w:t xml:space="preserve">persistence is now as much a part of their cultural identity as ethnicity, age, or vocation. By listening for stakeholders to identify how their city represents them, significant tangible and intangible resources can intentionally become part of the imminent stabilization, and potential growth, of Legacy Cities. </w:t>
      </w:r>
      <w:r w:rsidR="00186CF8">
        <w:t>Because</w:t>
      </w:r>
      <w:r>
        <w:t xml:space="preserve"> the field of historic preservation is becoming more skilled at identifying both tangible and intangible representations of heritage, the profession is in a unique position to work with stakeholders to facilitate a process of revitalization within Legacy Cities. A culturally sustainable preservation model will acknowledge that while all Legacy Cities experienced a similar decline, not all Legacy Cities have the same cultural resources because of their varied, but highly influential, economic and demographic backgrounds. It is the defining characteristics unique to each Legacy City that can be the catalyst for positive change for its residents.</w:t>
      </w:r>
    </w:p>
    <w:p w14:paraId="1F14C0B7" w14:textId="7CDE6E5C" w:rsidR="001F1BB7" w:rsidRDefault="001F1BB7">
      <w:pPr>
        <w:rPr>
          <w:rFonts w:ascii="Times New Roman" w:hAnsi="Times New Roman" w:cs="Times New Roman"/>
        </w:rPr>
      </w:pPr>
      <w:r>
        <w:br w:type="page"/>
      </w:r>
    </w:p>
    <w:p w14:paraId="45DEC3FC" w14:textId="6947FD0B" w:rsidR="001F1BB7" w:rsidRDefault="001F1BB7" w:rsidP="001F1BB7">
      <w:pPr>
        <w:spacing w:line="480" w:lineRule="auto"/>
        <w:jc w:val="center"/>
        <w:outlineLvl w:val="0"/>
        <w:rPr>
          <w:rFonts w:ascii="Times New Roman" w:hAnsi="Times New Roman" w:cs="Times New Roman"/>
          <w:sz w:val="28"/>
          <w:szCs w:val="28"/>
        </w:rPr>
      </w:pPr>
      <w:r>
        <w:rPr>
          <w:rFonts w:ascii="Times New Roman" w:hAnsi="Times New Roman" w:cs="Times New Roman"/>
          <w:sz w:val="28"/>
          <w:szCs w:val="28"/>
        </w:rPr>
        <w:lastRenderedPageBreak/>
        <w:t xml:space="preserve">Chapter </w:t>
      </w:r>
      <w:r w:rsidR="00112754">
        <w:rPr>
          <w:rFonts w:ascii="Times New Roman" w:hAnsi="Times New Roman" w:cs="Times New Roman"/>
          <w:sz w:val="28"/>
          <w:szCs w:val="28"/>
        </w:rPr>
        <w:t>III</w:t>
      </w:r>
    </w:p>
    <w:p w14:paraId="0E11779C" w14:textId="77777777" w:rsidR="001F1BB7" w:rsidRDefault="001F1BB7" w:rsidP="001F1BB7">
      <w:pPr>
        <w:spacing w:line="480" w:lineRule="auto"/>
        <w:jc w:val="center"/>
        <w:rPr>
          <w:rFonts w:ascii="Times New Roman" w:hAnsi="Times New Roman" w:cs="Times New Roman"/>
          <w:sz w:val="28"/>
          <w:szCs w:val="28"/>
        </w:rPr>
      </w:pPr>
      <w:r>
        <w:rPr>
          <w:rFonts w:ascii="Times New Roman" w:hAnsi="Times New Roman" w:cs="Times New Roman"/>
          <w:sz w:val="28"/>
          <w:szCs w:val="28"/>
        </w:rPr>
        <w:t xml:space="preserve">Analysis of Buffalo, NY: History, Preservation, and Neighborhood Change </w:t>
      </w:r>
    </w:p>
    <w:p w14:paraId="4F266613" w14:textId="77777777" w:rsidR="001F1BB7" w:rsidRDefault="001F1BB7" w:rsidP="001F1BB7">
      <w:pPr>
        <w:spacing w:line="480" w:lineRule="auto"/>
        <w:jc w:val="center"/>
        <w:rPr>
          <w:rFonts w:ascii="Times New Roman" w:hAnsi="Times New Roman" w:cs="Times New Roman"/>
          <w:sz w:val="28"/>
          <w:szCs w:val="28"/>
        </w:rPr>
      </w:pPr>
    </w:p>
    <w:p w14:paraId="0F26CEE8" w14:textId="77777777" w:rsidR="001F1BB7" w:rsidRDefault="001F1BB7" w:rsidP="001F1BB7">
      <w:pPr>
        <w:spacing w:line="480" w:lineRule="auto"/>
        <w:rPr>
          <w:rFonts w:ascii="Times New Roman" w:hAnsi="Times New Roman" w:cs="Times New Roman"/>
        </w:rPr>
      </w:pPr>
      <w:r>
        <w:rPr>
          <w:rFonts w:ascii="Times New Roman" w:hAnsi="Times New Roman" w:cs="Times New Roman"/>
        </w:rPr>
        <w:tab/>
        <w:t>For the Legacy Cities of the Great Lakes/Mid-Atlantic region, the previously detailed cycle of rapid economic and population growth, economic collapse, disinvestment, and population loss is the reality of their pasts. Today many of these cities are experiencing slow stabilization or growth of their economies and population, and are dealing with the fall-out of previous urban renewal efforts, the Great Recession, and a complete shift in their economic base. Despite everything going against these cities, many are making a slow, steady comeback. For Legacy Cities, change at times seems a laborious process. However, this measured pace allows time to be deliberate in the decision-making and planning process, as well. A culturally sustainable preservation plan requires intentionality and time to develop a plan that engages neighborhoods in the process of their own revitalization. Legacy Cities have their own challenges and strengths which require acknowledgement and thoughtful response. This chapter will look deeper into one of these cities, Buffalo, New York, to find how it is managing revitalization, and how it could utilize a model of preservation that focuses first on the people most directly impacted.</w:t>
      </w:r>
    </w:p>
    <w:p w14:paraId="5EDC5240" w14:textId="77777777" w:rsidR="001F1BB7" w:rsidRDefault="001F1BB7" w:rsidP="001F1BB7">
      <w:pPr>
        <w:spacing w:line="480" w:lineRule="auto"/>
        <w:rPr>
          <w:rFonts w:ascii="Times New Roman" w:hAnsi="Times New Roman" w:cs="Times New Roman"/>
        </w:rPr>
      </w:pPr>
    </w:p>
    <w:p w14:paraId="454C5564" w14:textId="77777777" w:rsidR="001F1BB7" w:rsidRPr="00724C44" w:rsidRDefault="001F1BB7" w:rsidP="001F1BB7">
      <w:pPr>
        <w:spacing w:line="480" w:lineRule="auto"/>
        <w:jc w:val="center"/>
        <w:outlineLvl w:val="0"/>
        <w:rPr>
          <w:rFonts w:ascii="Times New Roman" w:hAnsi="Times New Roman" w:cs="Times New Roman"/>
          <w:u w:val="single"/>
        </w:rPr>
      </w:pPr>
      <w:r w:rsidRPr="00724C44">
        <w:rPr>
          <w:rFonts w:ascii="Times New Roman" w:hAnsi="Times New Roman" w:cs="Times New Roman"/>
          <w:u w:val="single"/>
        </w:rPr>
        <w:t>Buffalo, New York</w:t>
      </w:r>
    </w:p>
    <w:p w14:paraId="1C74A5A3" w14:textId="173E72D4" w:rsidR="001F1BB7" w:rsidRDefault="001F1BB7" w:rsidP="001F1BB7">
      <w:pPr>
        <w:spacing w:line="480" w:lineRule="auto"/>
        <w:ind w:firstLine="720"/>
        <w:outlineLvl w:val="0"/>
        <w:rPr>
          <w:rFonts w:ascii="Times New Roman" w:hAnsi="Times New Roman" w:cs="Times New Roman"/>
        </w:rPr>
      </w:pPr>
      <w:r>
        <w:rPr>
          <w:rFonts w:ascii="Times New Roman" w:hAnsi="Times New Roman" w:cs="Times New Roman"/>
        </w:rPr>
        <w:t xml:space="preserve">Buffalo, New York, is a Legacy City that exemplifies the massive changes that have occurred in the American economy and population in the last 150 years. Despite its incredible rise to a position of great importance within the industrial economy, and its precipitous fall into deindustrialization, depopulation, and disinvestment, Buffalo is currently experiencing a </w:t>
      </w:r>
      <w:r>
        <w:rPr>
          <w:rFonts w:ascii="Times New Roman" w:hAnsi="Times New Roman" w:cs="Times New Roman"/>
        </w:rPr>
        <w:lastRenderedPageBreak/>
        <w:t>renaissance. Through an infusion of investment dollars from the State of New York, progressive programming on the part of the city government, and</w:t>
      </w:r>
      <w:r w:rsidR="00710746">
        <w:rPr>
          <w:rFonts w:ascii="Times New Roman" w:hAnsi="Times New Roman" w:cs="Times New Roman"/>
        </w:rPr>
        <w:t xml:space="preserve"> most importantly,</w:t>
      </w:r>
      <w:r>
        <w:rPr>
          <w:rFonts w:ascii="Times New Roman" w:hAnsi="Times New Roman" w:cs="Times New Roman"/>
        </w:rPr>
        <w:t xml:space="preserve"> the tenacious persistence of its people and citizen advocacy groups, the City of Buffalo is reinventing itself for the twenty-</w:t>
      </w:r>
      <w:r w:rsidR="00A03645">
        <w:rPr>
          <w:noProof/>
        </w:rPr>
        <mc:AlternateContent>
          <mc:Choice Requires="wps">
            <w:drawing>
              <wp:anchor distT="0" distB="0" distL="114300" distR="114300" simplePos="0" relativeHeight="251662336" behindDoc="0" locked="0" layoutInCell="1" allowOverlap="1" wp14:anchorId="1D8019D2" wp14:editId="51686438">
                <wp:simplePos x="0" y="0"/>
                <wp:positionH relativeFrom="margin">
                  <wp:posOffset>3042920</wp:posOffset>
                </wp:positionH>
                <wp:positionV relativeFrom="paragraph">
                  <wp:posOffset>4227195</wp:posOffset>
                </wp:positionV>
                <wp:extent cx="2926080" cy="389890"/>
                <wp:effectExtent l="0" t="0" r="0" b="635"/>
                <wp:wrapTight wrapText="bothSides">
                  <wp:wrapPolygon edited="0">
                    <wp:start x="0" y="0"/>
                    <wp:lineTo x="0" y="20282"/>
                    <wp:lineTo x="21375" y="20282"/>
                    <wp:lineTo x="21375" y="0"/>
                    <wp:lineTo x="0" y="0"/>
                  </wp:wrapPolygon>
                </wp:wrapTight>
                <wp:docPr id="4" name="Text Box 4"/>
                <wp:cNvGraphicFramePr/>
                <a:graphic xmlns:a="http://schemas.openxmlformats.org/drawingml/2006/main">
                  <a:graphicData uri="http://schemas.microsoft.com/office/word/2010/wordprocessingShape">
                    <wps:wsp>
                      <wps:cNvSpPr txBox="1"/>
                      <wps:spPr>
                        <a:xfrm>
                          <a:off x="0" y="0"/>
                          <a:ext cx="2926080" cy="389890"/>
                        </a:xfrm>
                        <a:prstGeom prst="rect">
                          <a:avLst/>
                        </a:prstGeom>
                        <a:solidFill>
                          <a:prstClr val="white"/>
                        </a:solidFill>
                        <a:ln>
                          <a:noFill/>
                        </a:ln>
                        <a:effectLst/>
                      </wps:spPr>
                      <wps:txbx>
                        <w:txbxContent>
                          <w:p w14:paraId="27833540" w14:textId="77777777" w:rsidR="000C0771" w:rsidRPr="00347F95" w:rsidRDefault="000C0771" w:rsidP="001F1BB7">
                            <w:pPr>
                              <w:pStyle w:val="Caption"/>
                              <w:rPr>
                                <w:rFonts w:ascii="Times New Roman" w:hAnsi="Times New Roman" w:cs="Times New Roman"/>
                                <w:color w:val="000000" w:themeColor="text1"/>
                              </w:rPr>
                            </w:pPr>
                            <w:bookmarkStart w:id="5" w:name="_Toc8423829"/>
                            <w:r w:rsidRPr="00347F95">
                              <w:rPr>
                                <w:rFonts w:ascii="Times New Roman" w:hAnsi="Times New Roman" w:cs="Times New Roman"/>
                                <w:color w:val="000000" w:themeColor="text1"/>
                              </w:rPr>
                              <w:t>Figure 2</w:t>
                            </w:r>
                            <w:r w:rsidRPr="00347F95">
                              <w:rPr>
                                <w:rFonts w:ascii="Times New Roman" w:hAnsi="Times New Roman" w:cs="Times New Roman"/>
                                <w:noProof/>
                                <w:color w:val="000000" w:themeColor="text1"/>
                              </w:rPr>
                              <w:t>: Google Maps image of the City of Buffalo showing its boundary lines</w:t>
                            </w:r>
                            <w:bookmarkEnd w:id="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D8019D2" id="_x0000_t202" coordsize="21600,21600" o:spt="202" path="m0,0l0,21600,21600,21600,21600,0xe">
                <v:stroke joinstyle="miter"/>
                <v:path gradientshapeok="t" o:connecttype="rect"/>
              </v:shapetype>
              <v:shape id="Text Box 4" o:spid="_x0000_s1026" type="#_x0000_t202" style="position:absolute;left:0;text-align:left;margin-left:239.6pt;margin-top:332.85pt;width:230.4pt;height:30.7pt;z-index:25166233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" stroked="f">
                <v:textbox style="mso-fit-shape-to-text:t" inset="0,0,0,0">
                  <w:txbxContent>
                    <w:p w14:paraId="27833540" w14:textId="77777777" w:rsidR="000C0771" w:rsidRPr="00347F95" w:rsidRDefault="000C0771" w:rsidP="001F1BB7">
                      <w:pPr>
                        <w:pStyle w:val="Caption"/>
                        <w:rPr>
                          <w:rFonts w:ascii="Times New Roman" w:hAnsi="Times New Roman" w:cs="Times New Roman"/>
                          <w:color w:val="000000" w:themeColor="text1"/>
                        </w:rPr>
                      </w:pPr>
                      <w:bookmarkStart w:id="6" w:name="_Toc8423829"/>
                      <w:r w:rsidRPr="00347F95">
                        <w:rPr>
                          <w:rFonts w:ascii="Times New Roman" w:hAnsi="Times New Roman" w:cs="Times New Roman"/>
                          <w:color w:val="000000" w:themeColor="text1"/>
                        </w:rPr>
                        <w:t>Figure 2</w:t>
                      </w:r>
                      <w:r w:rsidRPr="00347F95">
                        <w:rPr>
                          <w:rFonts w:ascii="Times New Roman" w:hAnsi="Times New Roman" w:cs="Times New Roman"/>
                          <w:noProof/>
                          <w:color w:val="000000" w:themeColor="text1"/>
                        </w:rPr>
                        <w:t>: Google Maps image of the City of Buffalo showing its boundary lines</w:t>
                      </w:r>
                      <w:bookmarkEnd w:id="6"/>
                    </w:p>
                  </w:txbxContent>
                </v:textbox>
                <w10:wrap type="tight" anchorx="margin"/>
              </v:shape>
            </w:pict>
          </mc:Fallback>
        </mc:AlternateContent>
      </w:r>
      <w:r w:rsidR="00A03645">
        <w:rPr>
          <w:noProof/>
        </w:rPr>
        <mc:AlternateContent>
          <mc:Choice Requires="wps">
            <w:drawing>
              <wp:anchor distT="0" distB="0" distL="114300" distR="114300" simplePos="0" relativeHeight="251661312" behindDoc="0" locked="0" layoutInCell="1" allowOverlap="1" wp14:anchorId="53CDB636" wp14:editId="51C7F692">
                <wp:simplePos x="0" y="0"/>
                <wp:positionH relativeFrom="margin">
                  <wp:posOffset>76200</wp:posOffset>
                </wp:positionH>
                <wp:positionV relativeFrom="paragraph">
                  <wp:posOffset>4228465</wp:posOffset>
                </wp:positionV>
                <wp:extent cx="2865755" cy="389890"/>
                <wp:effectExtent l="0" t="0" r="4445" b="635"/>
                <wp:wrapTight wrapText="bothSides">
                  <wp:wrapPolygon edited="0">
                    <wp:start x="0" y="0"/>
                    <wp:lineTo x="0" y="20282"/>
                    <wp:lineTo x="21442" y="20282"/>
                    <wp:lineTo x="21442" y="0"/>
                    <wp:lineTo x="0" y="0"/>
                  </wp:wrapPolygon>
                </wp:wrapTight>
                <wp:docPr id="3" name="Text Box 3"/>
                <wp:cNvGraphicFramePr/>
                <a:graphic xmlns:a="http://schemas.openxmlformats.org/drawingml/2006/main">
                  <a:graphicData uri="http://schemas.microsoft.com/office/word/2010/wordprocessingShape">
                    <wps:wsp>
                      <wps:cNvSpPr txBox="1"/>
                      <wps:spPr>
                        <a:xfrm>
                          <a:off x="0" y="0"/>
                          <a:ext cx="2865755" cy="389890"/>
                        </a:xfrm>
                        <a:prstGeom prst="rect">
                          <a:avLst/>
                        </a:prstGeom>
                        <a:solidFill>
                          <a:prstClr val="white"/>
                        </a:solidFill>
                        <a:ln>
                          <a:noFill/>
                        </a:ln>
                        <a:effectLst/>
                      </wps:spPr>
                      <wps:txbx>
                        <w:txbxContent>
                          <w:p w14:paraId="33BBC9B4" w14:textId="77777777" w:rsidR="000C0771" w:rsidRPr="00347F95" w:rsidRDefault="000C0771" w:rsidP="001F1BB7">
                            <w:pPr>
                              <w:pStyle w:val="Caption"/>
                              <w:rPr>
                                <w:rFonts w:ascii="Times New Roman" w:hAnsi="Times New Roman" w:cs="Times New Roman"/>
                                <w:color w:val="000000" w:themeColor="text1"/>
                              </w:rPr>
                            </w:pPr>
                            <w:bookmarkStart w:id="7" w:name="_Toc8418143"/>
                            <w:bookmarkStart w:id="8" w:name="_Toc8423830"/>
                            <w:r w:rsidRPr="00347F95">
                              <w:rPr>
                                <w:rFonts w:ascii="Times New Roman" w:hAnsi="Times New Roman" w:cs="Times New Roman"/>
                                <w:color w:val="000000" w:themeColor="text1"/>
                              </w:rPr>
                              <w:t xml:space="preserve">Figure </w:t>
                            </w:r>
                            <w:r w:rsidRPr="00347F95">
                              <w:rPr>
                                <w:rFonts w:ascii="Times New Roman" w:hAnsi="Times New Roman" w:cs="Times New Roman"/>
                                <w:color w:val="000000" w:themeColor="text1"/>
                              </w:rPr>
                              <w:fldChar w:fldCharType="begin"/>
                            </w:r>
                            <w:r w:rsidRPr="00347F95">
                              <w:rPr>
                                <w:rFonts w:ascii="Times New Roman" w:hAnsi="Times New Roman" w:cs="Times New Roman"/>
                                <w:color w:val="000000" w:themeColor="text1"/>
                              </w:rPr>
                              <w:instrText xml:space="preserve"> SEQ Figure \* ARABIC </w:instrText>
                            </w:r>
                            <w:r w:rsidRPr="00347F95">
                              <w:rPr>
                                <w:rFonts w:ascii="Times New Roman" w:hAnsi="Times New Roman" w:cs="Times New Roman"/>
                                <w:color w:val="000000" w:themeColor="text1"/>
                              </w:rPr>
                              <w:fldChar w:fldCharType="separate"/>
                            </w:r>
                            <w:r w:rsidRPr="00347F95">
                              <w:rPr>
                                <w:rFonts w:ascii="Times New Roman" w:hAnsi="Times New Roman" w:cs="Times New Roman"/>
                                <w:noProof/>
                                <w:color w:val="000000" w:themeColor="text1"/>
                              </w:rPr>
                              <w:t>1</w:t>
                            </w:r>
                            <w:r w:rsidRPr="00347F95">
                              <w:rPr>
                                <w:rFonts w:ascii="Times New Roman" w:hAnsi="Times New Roman" w:cs="Times New Roman"/>
                                <w:noProof/>
                                <w:color w:val="000000" w:themeColor="text1"/>
                              </w:rPr>
                              <w:fldChar w:fldCharType="end"/>
                            </w:r>
                            <w:r w:rsidRPr="00347F95">
                              <w:rPr>
                                <w:rFonts w:ascii="Times New Roman" w:hAnsi="Times New Roman" w:cs="Times New Roman"/>
                                <w:color w:val="000000" w:themeColor="text1"/>
                              </w:rPr>
                              <w:t>: Google Maps image of City of Buffalo showing its position within New York State</w:t>
                            </w:r>
                            <w:bookmarkEnd w:id="7"/>
                            <w:bookmarkEnd w:id="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3CDB636" id="Text Box 3" o:spid="_x0000_s1027" type="#_x0000_t202" style="position:absolute;left:0;text-align:left;margin-left:6pt;margin-top:332.95pt;width:225.65pt;height:30.7pt;z-index:25166131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" stroked="f">
                <v:textbox style="mso-fit-shape-to-text:t" inset="0,0,0,0">
                  <w:txbxContent>
                    <w:p w14:paraId="33BBC9B4" w14:textId="77777777" w:rsidR="000C0771" w:rsidRPr="00347F95" w:rsidRDefault="000C0771" w:rsidP="001F1BB7">
                      <w:pPr>
                        <w:pStyle w:val="Caption"/>
                        <w:rPr>
                          <w:rFonts w:ascii="Times New Roman" w:hAnsi="Times New Roman" w:cs="Times New Roman"/>
                          <w:color w:val="000000" w:themeColor="text1"/>
                        </w:rPr>
                      </w:pPr>
                      <w:bookmarkStart w:id="9" w:name="_Toc8418143"/>
                      <w:bookmarkStart w:id="10" w:name="_Toc8423830"/>
                      <w:r w:rsidRPr="00347F95">
                        <w:rPr>
                          <w:rFonts w:ascii="Times New Roman" w:hAnsi="Times New Roman" w:cs="Times New Roman"/>
                          <w:color w:val="000000" w:themeColor="text1"/>
                        </w:rPr>
                        <w:t xml:space="preserve">Figure </w:t>
                      </w:r>
                      <w:r w:rsidRPr="00347F95">
                        <w:rPr>
                          <w:rFonts w:ascii="Times New Roman" w:hAnsi="Times New Roman" w:cs="Times New Roman"/>
                          <w:color w:val="000000" w:themeColor="text1"/>
                        </w:rPr>
                        <w:fldChar w:fldCharType="begin"/>
                      </w:r>
                      <w:r w:rsidRPr="00347F95">
                        <w:rPr>
                          <w:rFonts w:ascii="Times New Roman" w:hAnsi="Times New Roman" w:cs="Times New Roman"/>
                          <w:color w:val="000000" w:themeColor="text1"/>
                        </w:rPr>
                        <w:instrText xml:space="preserve"> SEQ Figure \* ARABIC </w:instrText>
                      </w:r>
                      <w:r w:rsidRPr="00347F95">
                        <w:rPr>
                          <w:rFonts w:ascii="Times New Roman" w:hAnsi="Times New Roman" w:cs="Times New Roman"/>
                          <w:color w:val="000000" w:themeColor="text1"/>
                        </w:rPr>
                        <w:fldChar w:fldCharType="separate"/>
                      </w:r>
                      <w:r w:rsidRPr="00347F95">
                        <w:rPr>
                          <w:rFonts w:ascii="Times New Roman" w:hAnsi="Times New Roman" w:cs="Times New Roman"/>
                          <w:noProof/>
                          <w:color w:val="000000" w:themeColor="text1"/>
                        </w:rPr>
                        <w:t>1</w:t>
                      </w:r>
                      <w:r w:rsidRPr="00347F95">
                        <w:rPr>
                          <w:rFonts w:ascii="Times New Roman" w:hAnsi="Times New Roman" w:cs="Times New Roman"/>
                          <w:noProof/>
                          <w:color w:val="000000" w:themeColor="text1"/>
                        </w:rPr>
                        <w:fldChar w:fldCharType="end"/>
                      </w:r>
                      <w:r w:rsidRPr="00347F95">
                        <w:rPr>
                          <w:rFonts w:ascii="Times New Roman" w:hAnsi="Times New Roman" w:cs="Times New Roman"/>
                          <w:color w:val="000000" w:themeColor="text1"/>
                        </w:rPr>
                        <w:t>: Google Maps image of City of Buffalo showing its position within New York State</w:t>
                      </w:r>
                      <w:bookmarkEnd w:id="9"/>
                      <w:bookmarkEnd w:id="10"/>
                    </w:p>
                  </w:txbxContent>
                </v:textbox>
                <w10:wrap type="tight" anchorx="margin"/>
              </v:shape>
            </w:pict>
          </mc:Fallback>
        </mc:AlternateContent>
      </w:r>
      <w:r w:rsidR="00A03645">
        <w:rPr>
          <w:rFonts w:ascii="Times New Roman" w:hAnsi="Times New Roman" w:cs="Times New Roman"/>
          <w:noProof/>
        </w:rPr>
        <w:drawing>
          <wp:anchor distT="0" distB="0" distL="114300" distR="114300" simplePos="0" relativeHeight="251660288" behindDoc="0" locked="0" layoutInCell="1" allowOverlap="1" wp14:anchorId="6CE26263" wp14:editId="59B45AF6">
            <wp:simplePos x="0" y="0"/>
            <wp:positionH relativeFrom="margin">
              <wp:align>right</wp:align>
            </wp:positionH>
            <wp:positionV relativeFrom="paragraph">
              <wp:posOffset>1373505</wp:posOffset>
            </wp:positionV>
            <wp:extent cx="2926080" cy="2720340"/>
            <wp:effectExtent l="25400" t="25400" r="20320" b="22860"/>
            <wp:wrapTight wrapText="bothSides">
              <wp:wrapPolygon edited="0">
                <wp:start x="-188" y="-202"/>
                <wp:lineTo x="-188" y="21580"/>
                <wp:lineTo x="21563" y="21580"/>
                <wp:lineTo x="21563" y="-202"/>
                <wp:lineTo x="-188" y="-202"/>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9-04-22 at 10.36.49 AM.png"/>
                    <pic:cNvPicPr/>
                  </pic:nvPicPr>
                  <pic:blipFill rotWithShape="1">
                    <a:blip r:embed="rId17" cstate="print">
                      <a:extLst>
                        <a:ext uri="{28A0092B-C50C-407E-A947-70E740481C1C}">
                          <a14:useLocalDpi xmlns:a14="http://schemas.microsoft.com/office/drawing/2010/main" val="0"/>
                        </a:ext>
                      </a:extLst>
                    </a:blip>
                    <a:srcRect l="6493" r="-499" b="1945"/>
                    <a:stretch/>
                  </pic:blipFill>
                  <pic:spPr bwMode="auto">
                    <a:xfrm>
                      <a:off x="0" y="0"/>
                      <a:ext cx="2926080" cy="2720340"/>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03645">
        <w:rPr>
          <w:rFonts w:ascii="Times New Roman" w:hAnsi="Times New Roman" w:cs="Times New Roman"/>
          <w:noProof/>
        </w:rPr>
        <w:drawing>
          <wp:anchor distT="0" distB="0" distL="114300" distR="114300" simplePos="0" relativeHeight="251659264" behindDoc="0" locked="0" layoutInCell="1" allowOverlap="1" wp14:anchorId="067289E0" wp14:editId="2B0F24EF">
            <wp:simplePos x="0" y="0"/>
            <wp:positionH relativeFrom="margin">
              <wp:align>left</wp:align>
            </wp:positionH>
            <wp:positionV relativeFrom="paragraph">
              <wp:posOffset>1370330</wp:posOffset>
            </wp:positionV>
            <wp:extent cx="2865755" cy="2724785"/>
            <wp:effectExtent l="25400" t="25400" r="29845" b="18415"/>
            <wp:wrapTight wrapText="bothSides">
              <wp:wrapPolygon edited="0">
                <wp:start x="-191" y="-201"/>
                <wp:lineTo x="-191" y="21545"/>
                <wp:lineTo x="21634" y="21545"/>
                <wp:lineTo x="21634" y="-201"/>
                <wp:lineTo x="-191" y="-201"/>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9-04-22 at 10.35.59 AM.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865755" cy="2724785"/>
                    </a:xfrm>
                    <a:prstGeom prst="rect">
                      <a:avLst/>
                    </a:prstGeom>
                    <a:ln w="9525">
                      <a:solidFill>
                        <a:schemeClr val="tx1"/>
                      </a:solid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rPr>
        <w:t>first century.</w:t>
      </w:r>
    </w:p>
    <w:p w14:paraId="42031C8E" w14:textId="2A3FEF74" w:rsidR="001F1BB7" w:rsidRDefault="001F1BB7" w:rsidP="001F1BB7">
      <w:pPr>
        <w:ind w:firstLine="720"/>
        <w:outlineLvl w:val="0"/>
        <w:rPr>
          <w:rFonts w:ascii="Times New Roman" w:hAnsi="Times New Roman" w:cs="Times New Roman"/>
          <w:sz w:val="28"/>
          <w:szCs w:val="28"/>
        </w:rPr>
      </w:pPr>
    </w:p>
    <w:p w14:paraId="0C6B5239" w14:textId="0C56D3AC" w:rsidR="001F1BB7" w:rsidRPr="00724C44" w:rsidRDefault="00347F95" w:rsidP="001F1BB7">
      <w:pPr>
        <w:spacing w:line="480" w:lineRule="auto"/>
        <w:outlineLvl w:val="0"/>
        <w:rPr>
          <w:rFonts w:ascii="Times New Roman" w:hAnsi="Times New Roman" w:cs="Times New Roman"/>
          <w:u w:val="single"/>
        </w:rPr>
      </w:pPr>
      <w:r>
        <w:rPr>
          <w:rFonts w:ascii="Times New Roman" w:hAnsi="Times New Roman" w:cs="Times New Roman"/>
          <w:u w:val="single"/>
        </w:rPr>
        <w:t>History of Growth, Decline, and S</w:t>
      </w:r>
      <w:r w:rsidR="001F1BB7" w:rsidRPr="00724C44">
        <w:rPr>
          <w:rFonts w:ascii="Times New Roman" w:hAnsi="Times New Roman" w:cs="Times New Roman"/>
          <w:u w:val="single"/>
        </w:rPr>
        <w:t>tabilization</w:t>
      </w:r>
    </w:p>
    <w:p w14:paraId="0C3E17FF" w14:textId="2CD9A3F1" w:rsidR="001F1BB7" w:rsidRDefault="001F1BB7" w:rsidP="001F1BB7">
      <w:pPr>
        <w:spacing w:line="480" w:lineRule="auto"/>
        <w:rPr>
          <w:rFonts w:ascii="Times New Roman" w:hAnsi="Times New Roman" w:cs="Times New Roman"/>
        </w:rPr>
      </w:pPr>
      <w:r>
        <w:rPr>
          <w:rFonts w:ascii="Times New Roman" w:hAnsi="Times New Roman" w:cs="Times New Roman"/>
          <w:i/>
        </w:rPr>
        <w:tab/>
      </w:r>
      <w:r>
        <w:rPr>
          <w:rFonts w:ascii="Times New Roman" w:hAnsi="Times New Roman" w:cs="Times New Roman"/>
        </w:rPr>
        <w:t>The city of Buffalo, situated at the northeastern-most tip of Lake Erie</w:t>
      </w:r>
      <w:r w:rsidR="00112754">
        <w:rPr>
          <w:rFonts w:ascii="Times New Roman" w:hAnsi="Times New Roman" w:cs="Times New Roman"/>
        </w:rPr>
        <w:t xml:space="preserve"> (Fig</w:t>
      </w:r>
      <w:r w:rsidR="00A03645">
        <w:rPr>
          <w:rFonts w:ascii="Times New Roman" w:hAnsi="Times New Roman" w:cs="Times New Roman"/>
        </w:rPr>
        <w:t>s</w:t>
      </w:r>
      <w:r w:rsidR="00112754">
        <w:rPr>
          <w:rFonts w:ascii="Times New Roman" w:hAnsi="Times New Roman" w:cs="Times New Roman"/>
        </w:rPr>
        <w:t>. 1 and 2)</w:t>
      </w:r>
      <w:r>
        <w:rPr>
          <w:rFonts w:ascii="Times New Roman" w:hAnsi="Times New Roman" w:cs="Times New Roman"/>
        </w:rPr>
        <w:t xml:space="preserve">, began as a trading post along the banks of Buffalo Creek. Over years of subsequent growth, burgeoning Buffalo Village received its first formal plat in 1804 when Joseph Ellicott developed his iconic radial plan, loosely based on Pierre L’Enfant’s plan for Washington D.C. Less than twenty years later, Buffalo leaders saw huge commercial opportunity in New York State’s Erie Canal plan, which began construction in 1817. To gain the advantage over other local villages to become the western terminus for the canal, city residents dug a more navigable harbor into </w:t>
      </w:r>
      <w:r>
        <w:rPr>
          <w:rFonts w:ascii="Times New Roman" w:hAnsi="Times New Roman" w:cs="Times New Roman"/>
        </w:rPr>
        <w:lastRenderedPageBreak/>
        <w:t>Buffalo Creek, giving their waterways a competitive edge. The canal was completed at Buffalo in 1825, and the town’s economic viability was solidified.</w:t>
      </w:r>
      <w:r w:rsidRPr="00F3497A">
        <w:rPr>
          <w:rStyle w:val="FootnoteReference"/>
        </w:rPr>
        <w:footnoteReference w:id="89"/>
      </w:r>
      <w:r>
        <w:rPr>
          <w:rFonts w:ascii="Times New Roman" w:hAnsi="Times New Roman" w:cs="Times New Roman"/>
        </w:rPr>
        <w:t xml:space="preserve"> </w:t>
      </w:r>
    </w:p>
    <w:p w14:paraId="452B4975" w14:textId="77777777" w:rsidR="001F1BB7" w:rsidRDefault="001F1BB7" w:rsidP="001F1BB7">
      <w:pPr>
        <w:spacing w:line="480" w:lineRule="auto"/>
        <w:rPr>
          <w:rFonts w:ascii="Times New Roman" w:hAnsi="Times New Roman" w:cs="Times New Roman"/>
        </w:rPr>
      </w:pPr>
      <w:r>
        <w:rPr>
          <w:rFonts w:ascii="Times New Roman" w:hAnsi="Times New Roman" w:cs="Times New Roman"/>
        </w:rPr>
        <w:tab/>
        <w:t>Buffalo was incorporated as a city in 1832. The extreme success of the Erie Canal was followed by the railroad, which further strengthened Buffalo’s connection to New York, Chicago, and beyond. The city’s population continued to grow through the steady in-migration of laborers ready to work in Buffalo’s factories. Midwest grain poured into the harbor via Great Lakes shipping routes, headed for locations in the East, and this gave rise to a valley of mills and grain elevators along the Buffalo River. Iron ore from the Upper Great Lakes and coal from Appalachia converged at this critical shipping hub, and through that, a regional steel industry developed.</w:t>
      </w:r>
      <w:r w:rsidRPr="00D32404">
        <w:rPr>
          <w:rFonts w:ascii="Times New Roman" w:hAnsi="Times New Roman" w:cs="Times New Roman"/>
        </w:rPr>
        <w:t xml:space="preserve"> </w:t>
      </w:r>
      <w:r>
        <w:rPr>
          <w:rFonts w:ascii="Times New Roman" w:hAnsi="Times New Roman" w:cs="Times New Roman"/>
        </w:rPr>
        <w:t>The population and economy continued their rapid rise. The description “Queen City” was coined in an 1847 address by Millard Fillmore to the faculty of the newly established University at Buffalo, and the city attempted to live up to its moniker.</w:t>
      </w:r>
      <w:r w:rsidRPr="00F3497A">
        <w:rPr>
          <w:rStyle w:val="FootnoteReference"/>
        </w:rPr>
        <w:footnoteReference w:id="90"/>
      </w:r>
      <w:r>
        <w:rPr>
          <w:rFonts w:ascii="Times New Roman" w:hAnsi="Times New Roman" w:cs="Times New Roman"/>
        </w:rPr>
        <w:t xml:space="preserve"> Bustling commercial centers along the city’s radials were extended with streetcar lines. These transit lines fed the now dense neighborhoods, which were representative of the identities of their predominant ethnic groups—first German and Irish, then Italian and Polish, and later African American and Puerto Rican.</w:t>
      </w:r>
      <w:r w:rsidRPr="00F3497A">
        <w:rPr>
          <w:rStyle w:val="FootnoteReference"/>
        </w:rPr>
        <w:footnoteReference w:id="91"/>
      </w:r>
      <w:r>
        <w:rPr>
          <w:rFonts w:ascii="Times New Roman" w:hAnsi="Times New Roman" w:cs="Times New Roman"/>
        </w:rPr>
        <w:t xml:space="preserve"> </w:t>
      </w:r>
    </w:p>
    <w:p w14:paraId="28ADF3B5"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 xml:space="preserve">In response to the increased population, civic leaders implemented several infrastructure improvements, most famously recruiting Frederick Law Olmsted to develop his first park and parkway system beginning in 1868. This municipal expansion culminated in the ultimate </w:t>
      </w:r>
      <w:r>
        <w:rPr>
          <w:rFonts w:ascii="Times New Roman" w:hAnsi="Times New Roman" w:cs="Times New Roman"/>
        </w:rPr>
        <w:lastRenderedPageBreak/>
        <w:t xml:space="preserve">example of a city’s success, the staging of the Pan American Exposition, a World’s Fair held from May through November in 1901. The city’s architectural urban fabric was further built on the visions of Richard Upjohn, Louis Sullivan, Daniel Burnham, H.H. Richardson, Frank Lloyd Wright, Eliel and </w:t>
      </w:r>
      <w:proofErr w:type="spellStart"/>
      <w:r>
        <w:rPr>
          <w:rFonts w:ascii="Times New Roman" w:hAnsi="Times New Roman" w:cs="Times New Roman"/>
        </w:rPr>
        <w:t>Eero</w:t>
      </w:r>
      <w:proofErr w:type="spellEnd"/>
      <w:r>
        <w:rPr>
          <w:rFonts w:ascii="Times New Roman" w:hAnsi="Times New Roman" w:cs="Times New Roman"/>
        </w:rPr>
        <w:t xml:space="preserve"> Saarinen, and others. These achievements solidified Buffalo’s social and cultural identity. Well into the twentieth century the name Queen City suited residents’ image of their city, and themselves. They reveled in the advantage and beauty of their location on Lake Erie, and they relished their successes in manufacturing. Buffalo took pride in its neighborhoods and culture.</w:t>
      </w:r>
      <w:r w:rsidRPr="00F3497A">
        <w:rPr>
          <w:rStyle w:val="FootnoteReference"/>
        </w:rPr>
        <w:footnoteReference w:id="92"/>
      </w:r>
    </w:p>
    <w:p w14:paraId="346B374E" w14:textId="6354FB26"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Like all Legacy Cities, the mid-twentieth century brought tumultuous, unanticipated changes. The domination of the automobile in the post-World War II lives of Americans changed how we shipped goods, and where we worked and lived. In Buffalo, the railroad and lake freight networks were in decline, affecting a key portion of the city’s economy, while at the same time residential life began</w:t>
      </w:r>
      <w:r w:rsidR="00791C75">
        <w:rPr>
          <w:rFonts w:ascii="Times New Roman" w:hAnsi="Times New Roman" w:cs="Times New Roman"/>
        </w:rPr>
        <w:t xml:space="preserve"> moving away from the central city</w:t>
      </w:r>
      <w:r>
        <w:rPr>
          <w:rFonts w:ascii="Times New Roman" w:hAnsi="Times New Roman" w:cs="Times New Roman"/>
        </w:rPr>
        <w:t xml:space="preserve"> toward the suburbs. In what would become a frequent theme of decline in industrial cities, the initial response by city leaders was to reinforce the shrinking business district by connecting it with highways to outlying suburbs. This tactic was coupled with slum clearance and urban renewal, which most often impacted neighborhoods that were predominantly occupied by African Americans. Land use and zoning policies attempted to mimic the suburbs to attract residents back to the city, but the population continued to grow on the periphery, and shrink in the center.</w:t>
      </w:r>
      <w:r w:rsidRPr="00F3497A">
        <w:rPr>
          <w:rStyle w:val="FootnoteReference"/>
        </w:rPr>
        <w:footnoteReference w:id="93"/>
      </w:r>
      <w:r>
        <w:rPr>
          <w:rFonts w:ascii="Times New Roman" w:hAnsi="Times New Roman" w:cs="Times New Roman"/>
        </w:rPr>
        <w:t xml:space="preserve"> Continuing throughout the second half of the twentieth and well into the twenty-first century, this trend of population and industry loss has slowed considerably, but does not yet show signs of growth.</w:t>
      </w:r>
    </w:p>
    <w:p w14:paraId="103568EE"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lastRenderedPageBreak/>
        <w:t>Looking at the population and income demographics of the last half of the twentieth century can give a clearer image of the losses the city of Buffalo experienced. Most recent totals of the U.S. Census put Buffalo’s population at 258,612 people in 2017. Startlingly, the city has lost over half its population since its peak totals of 580,132 people in 1950. Additionally, Buffalo’s share of the regional population total dropped from fifty-three percent to twenty-three percent in the same period, showing that people were either leaving the city for the suburbs, or leaving the area entirely. Debate has also occurred over the change in household composition and its impact on population totals, attributing some of the population declines to later marriages, fewer children, an increase in single-person households, and longer life spans. While the reasons behind the change may be conjecture, there has been a notable shift in household size from 3.5 to 2.3 persons between 1950 and 2010. By that measure, if the household size in 1950 had been only 2.3, Buffalo’s population would have peaked at just 380,000, instead of 580,000.</w:t>
      </w:r>
      <w:r w:rsidRPr="00F3497A">
        <w:rPr>
          <w:rStyle w:val="FootnoteReference"/>
        </w:rPr>
        <w:footnoteReference w:id="94"/>
      </w:r>
    </w:p>
    <w:p w14:paraId="6C0731C6" w14:textId="31F0B91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 xml:space="preserve">The impact of the population change was the result—and cause—of later income and housing changes in the community. The loss of so many manufacturing jobs was not only devastating to Buffalo’s economy, but also to the financial stability of its people. The city’s average individual income has only risen four percent between 1950 and 2010. This is in comparison to the national average income increase of eighty-eight percent. The number of families living in poverty in 1970 was eleven percent. By 2013 this total had risen to twenty-six percent. Income and poverty rates can be attributed to the loss of available higher paying jobs, which is also the cause of population loss previously discussed. These factors turned Buffalo into a “shrinking city,” with </w:t>
      </w:r>
      <w:r w:rsidR="00791C75">
        <w:rPr>
          <w:rFonts w:ascii="Times New Roman" w:hAnsi="Times New Roman" w:cs="Times New Roman"/>
        </w:rPr>
        <w:t>all</w:t>
      </w:r>
      <w:r>
        <w:rPr>
          <w:rFonts w:ascii="Times New Roman" w:hAnsi="Times New Roman" w:cs="Times New Roman"/>
        </w:rPr>
        <w:t xml:space="preserve"> the associated problems. Exiting residents left the city saddled with thousands of properties that transitioned first from being privately owned, into rental properties </w:t>
      </w:r>
      <w:r>
        <w:rPr>
          <w:rFonts w:ascii="Times New Roman" w:hAnsi="Times New Roman" w:cs="Times New Roman"/>
        </w:rPr>
        <w:lastRenderedPageBreak/>
        <w:t>owned by absentee landlords, to eventually completely abandoned. Demolition has been a strategy employed by the city to address blighted structures that potentially threaten public health and safety, but the remaining vacant land presents a new liability for a neighborhood.</w:t>
      </w:r>
      <w:r w:rsidRPr="00F3497A">
        <w:rPr>
          <w:rStyle w:val="FootnoteReference"/>
        </w:rPr>
        <w:footnoteReference w:id="95"/>
      </w:r>
      <w:r>
        <w:rPr>
          <w:rFonts w:ascii="Times New Roman" w:hAnsi="Times New Roman" w:cs="Times New Roman"/>
        </w:rPr>
        <w:t xml:space="preserve"> There was a twenty percent loss in housing units between 1950 and 2010, and subsequent decrease in the median value of owner-occupied homes from $86,600 to $71,300 in that period. The changes were unevenly distributed throughout the city, with pockets of disinvestment more deeply affecting some neighborhoods over others.</w:t>
      </w:r>
      <w:r w:rsidRPr="00F3497A">
        <w:rPr>
          <w:rStyle w:val="FootnoteReference"/>
        </w:rPr>
        <w:footnoteReference w:id="96"/>
      </w:r>
      <w:r>
        <w:rPr>
          <w:rFonts w:ascii="Times New Roman" w:hAnsi="Times New Roman" w:cs="Times New Roman"/>
        </w:rPr>
        <w:t xml:space="preserve"> </w:t>
      </w:r>
    </w:p>
    <w:p w14:paraId="6B0D656C"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 xml:space="preserve">The rise and fall of Buffalo’s economy and population presents city and community leaders with a </w:t>
      </w:r>
      <w:proofErr w:type="gramStart"/>
      <w:r>
        <w:rPr>
          <w:rFonts w:ascii="Times New Roman" w:hAnsi="Times New Roman" w:cs="Times New Roman"/>
        </w:rPr>
        <w:t>particular set</w:t>
      </w:r>
      <w:proofErr w:type="gramEnd"/>
      <w:r>
        <w:rPr>
          <w:rFonts w:ascii="Times New Roman" w:hAnsi="Times New Roman" w:cs="Times New Roman"/>
        </w:rPr>
        <w:t xml:space="preserve"> of challenges to overcome. Not least of which is recognizing that Buffalo is not the city it had been in its heyday, but is still the Queen City of the Lakes. How Buffalo chooses to redefine itself and its people, and re-engage with regional challenges will impact the success of its efforts. </w:t>
      </w:r>
    </w:p>
    <w:p w14:paraId="7BF8E108" w14:textId="77777777" w:rsidR="001F1BB7" w:rsidRDefault="001F1BB7" w:rsidP="001F1BB7">
      <w:pPr>
        <w:ind w:firstLine="720"/>
        <w:rPr>
          <w:rFonts w:ascii="Times New Roman" w:hAnsi="Times New Roman" w:cs="Times New Roman"/>
        </w:rPr>
      </w:pPr>
    </w:p>
    <w:p w14:paraId="15DDF967" w14:textId="77777777" w:rsidR="001F1BB7" w:rsidRDefault="001F1BB7" w:rsidP="001F1BB7">
      <w:pPr>
        <w:rPr>
          <w:rFonts w:ascii="Times New Roman" w:hAnsi="Times New Roman" w:cs="Times New Roman"/>
        </w:rPr>
      </w:pPr>
    </w:p>
    <w:p w14:paraId="7FB5A3E1" w14:textId="77777777" w:rsidR="001F1BB7" w:rsidRPr="00724C44" w:rsidRDefault="001F1BB7" w:rsidP="001F1BB7">
      <w:pPr>
        <w:spacing w:line="480" w:lineRule="auto"/>
        <w:jc w:val="center"/>
        <w:rPr>
          <w:rFonts w:ascii="Times New Roman" w:hAnsi="Times New Roman" w:cs="Times New Roman"/>
          <w:u w:val="single"/>
        </w:rPr>
      </w:pPr>
      <w:r w:rsidRPr="00724C44">
        <w:rPr>
          <w:rFonts w:ascii="Times New Roman" w:hAnsi="Times New Roman" w:cs="Times New Roman"/>
          <w:u w:val="single"/>
        </w:rPr>
        <w:t>Solutions at the State and Local Government Level</w:t>
      </w:r>
    </w:p>
    <w:p w14:paraId="765CE92B" w14:textId="77777777" w:rsidR="001F1BB7" w:rsidRDefault="001F1BB7" w:rsidP="001F1BB7">
      <w:pPr>
        <w:spacing w:line="480" w:lineRule="auto"/>
        <w:rPr>
          <w:rFonts w:ascii="Times New Roman" w:hAnsi="Times New Roman" w:cs="Times New Roman"/>
        </w:rPr>
      </w:pPr>
      <w:r>
        <w:rPr>
          <w:rFonts w:ascii="Times New Roman" w:hAnsi="Times New Roman" w:cs="Times New Roman"/>
          <w:i/>
        </w:rPr>
        <w:tab/>
      </w:r>
      <w:r>
        <w:rPr>
          <w:rFonts w:ascii="Times New Roman" w:hAnsi="Times New Roman" w:cs="Times New Roman"/>
        </w:rPr>
        <w:t>The State of New York and the City of Buffalo have all taken a turn at revitalizing the western New York economy. Buffalo is at the center of that movement by the mere fact that the Buffalo-Niagara metropolitan area makes it the second largest city in the state after New York City, and a regional economic hub for the western half of the state. As we move into the new century, many plans have been written, and investments made,</w:t>
      </w:r>
      <w:r w:rsidRPr="009743F3">
        <w:rPr>
          <w:rFonts w:ascii="Times New Roman" w:hAnsi="Times New Roman" w:cs="Times New Roman"/>
        </w:rPr>
        <w:t xml:space="preserve"> </w:t>
      </w:r>
      <w:r>
        <w:rPr>
          <w:rFonts w:ascii="Times New Roman" w:hAnsi="Times New Roman" w:cs="Times New Roman"/>
        </w:rPr>
        <w:t xml:space="preserve">for reviving the area. This section will look at a few of the most impactful to better understand the trajectory Buffalo anticipates for the future of the city. </w:t>
      </w:r>
    </w:p>
    <w:p w14:paraId="656A0F54" w14:textId="77777777" w:rsidR="001F1BB7" w:rsidRDefault="001F1BB7" w:rsidP="001F1BB7">
      <w:pPr>
        <w:rPr>
          <w:rFonts w:ascii="Times New Roman" w:hAnsi="Times New Roman" w:cs="Times New Roman"/>
        </w:rPr>
      </w:pPr>
    </w:p>
    <w:p w14:paraId="30DAFB55" w14:textId="77777777" w:rsidR="001F1BB7" w:rsidRPr="00724C44" w:rsidRDefault="001F1BB7" w:rsidP="001F1BB7">
      <w:pPr>
        <w:spacing w:line="480" w:lineRule="auto"/>
        <w:rPr>
          <w:rFonts w:ascii="Times New Roman" w:hAnsi="Times New Roman" w:cs="Times New Roman"/>
          <w:u w:val="single"/>
        </w:rPr>
      </w:pPr>
      <w:r w:rsidRPr="00724C44">
        <w:rPr>
          <w:rFonts w:ascii="Times New Roman" w:hAnsi="Times New Roman" w:cs="Times New Roman"/>
          <w:u w:val="single"/>
        </w:rPr>
        <w:lastRenderedPageBreak/>
        <w:t>Buffalo’s Comprehensive Plan</w:t>
      </w:r>
    </w:p>
    <w:p w14:paraId="5BE8C258" w14:textId="77777777" w:rsidR="001F1BB7" w:rsidRDefault="001F1BB7" w:rsidP="001F1BB7">
      <w:pPr>
        <w:spacing w:line="480" w:lineRule="auto"/>
        <w:rPr>
          <w:rFonts w:ascii="Times New Roman" w:hAnsi="Times New Roman" w:cs="Times New Roman"/>
        </w:rPr>
      </w:pPr>
      <w:r>
        <w:rPr>
          <w:rFonts w:ascii="Times New Roman" w:hAnsi="Times New Roman" w:cs="Times New Roman"/>
        </w:rPr>
        <w:tab/>
        <w:t xml:space="preserve">Buffalo’s most recent comprehensive plan for the city, </w:t>
      </w:r>
      <w:r w:rsidRPr="000A2507">
        <w:rPr>
          <w:rFonts w:ascii="Times New Roman" w:hAnsi="Times New Roman" w:cs="Times New Roman"/>
          <w:i/>
        </w:rPr>
        <w:t>Queen City in the 21</w:t>
      </w:r>
      <w:r w:rsidRPr="000A2507">
        <w:rPr>
          <w:rFonts w:ascii="Times New Roman" w:hAnsi="Times New Roman" w:cs="Times New Roman"/>
          <w:i/>
          <w:vertAlign w:val="superscript"/>
        </w:rPr>
        <w:t>st</w:t>
      </w:r>
      <w:r w:rsidRPr="000A2507">
        <w:rPr>
          <w:rFonts w:ascii="Times New Roman" w:hAnsi="Times New Roman" w:cs="Times New Roman"/>
          <w:i/>
        </w:rPr>
        <w:t xml:space="preserve"> Century</w:t>
      </w:r>
      <w:r>
        <w:rPr>
          <w:rFonts w:ascii="Times New Roman" w:hAnsi="Times New Roman" w:cs="Times New Roman"/>
        </w:rPr>
        <w:t>, was adopted in 2006. Meant to be a plan for Buffalo into the year 2030, its framers wanted to provide a document to guide all development and planning efforts for downtown, neighborhoods, the waterfront, and special districts. The comprehensive plan states that it was created in consultation with the public, and takes into consideration other already completed local plans, such as the Local Waterfront Revitalization Program, and neighborhood plans created through the Good Neighbors Planning Alliance. The comprehensive plan was also intended as a guide, rather than a prescription, for land use and development. As such, the authors used key Smart Growth principles like mixed land uses, creating walkable neighborhoods, a variety of available transportation choices, and stakeholder collaboration in decision-making all intended to make the plan more adaptable and user friendly.</w:t>
      </w:r>
      <w:r w:rsidRPr="00F3497A">
        <w:rPr>
          <w:rStyle w:val="FootnoteReference"/>
        </w:rPr>
        <w:footnoteReference w:id="97"/>
      </w:r>
    </w:p>
    <w:p w14:paraId="0B749B57" w14:textId="7FBB69AD" w:rsidR="001F1BB7" w:rsidRDefault="001F1BB7" w:rsidP="001F1BB7">
      <w:pPr>
        <w:spacing w:line="480" w:lineRule="auto"/>
        <w:rPr>
          <w:rFonts w:ascii="Times New Roman" w:hAnsi="Times New Roman" w:cs="Times New Roman"/>
        </w:rPr>
      </w:pPr>
      <w:r>
        <w:rPr>
          <w:rFonts w:ascii="Times New Roman" w:hAnsi="Times New Roman" w:cs="Times New Roman"/>
        </w:rPr>
        <w:tab/>
        <w:t xml:space="preserve">Of note in </w:t>
      </w:r>
      <w:r w:rsidRPr="005E49DC">
        <w:rPr>
          <w:rFonts w:ascii="Times New Roman" w:hAnsi="Times New Roman" w:cs="Times New Roman"/>
          <w:i/>
        </w:rPr>
        <w:t>Queen City in the 21</w:t>
      </w:r>
      <w:r w:rsidRPr="005E49DC">
        <w:rPr>
          <w:rFonts w:ascii="Times New Roman" w:hAnsi="Times New Roman" w:cs="Times New Roman"/>
          <w:i/>
          <w:vertAlign w:val="superscript"/>
        </w:rPr>
        <w:t>st</w:t>
      </w:r>
      <w:r w:rsidRPr="005E49DC">
        <w:rPr>
          <w:rFonts w:ascii="Times New Roman" w:hAnsi="Times New Roman" w:cs="Times New Roman"/>
          <w:i/>
        </w:rPr>
        <w:t xml:space="preserve"> Century</w:t>
      </w:r>
      <w:r>
        <w:rPr>
          <w:rFonts w:ascii="Times New Roman" w:hAnsi="Times New Roman" w:cs="Times New Roman"/>
        </w:rPr>
        <w:t xml:space="preserve">, is the call for neighborhood residents to create and implement their own local plans for neighborhoods. Participatory neighborhood planning is supported by the city through the Good Neighborhood Planning Alliance, which at the time of the comprehensive plan had already developed action plans for eleven identified Planning Communities. This goal on the part of the city to support neighborhood groups in defining their own planning actions is very much in keeping with the objective that a culturally sustainable preservation plan would </w:t>
      </w:r>
      <w:r w:rsidR="005D0689">
        <w:rPr>
          <w:rFonts w:ascii="Times New Roman" w:hAnsi="Times New Roman" w:cs="Times New Roman"/>
        </w:rPr>
        <w:t>set</w:t>
      </w:r>
      <w:r>
        <w:rPr>
          <w:rFonts w:ascii="Times New Roman" w:hAnsi="Times New Roman" w:cs="Times New Roman"/>
        </w:rPr>
        <w:t xml:space="preserve"> as it both accommodates and plans for neighborhood change, and identifies and protects spaces with local historic and cultural significance.</w:t>
      </w:r>
      <w:r w:rsidRPr="00F3497A">
        <w:rPr>
          <w:rStyle w:val="FootnoteReference"/>
        </w:rPr>
        <w:footnoteReference w:id="98"/>
      </w:r>
    </w:p>
    <w:p w14:paraId="13780544" w14:textId="77777777" w:rsidR="001F1BB7" w:rsidRDefault="001F1BB7" w:rsidP="001F1BB7">
      <w:pPr>
        <w:rPr>
          <w:rFonts w:ascii="Times New Roman" w:hAnsi="Times New Roman" w:cs="Times New Roman"/>
        </w:rPr>
      </w:pPr>
    </w:p>
    <w:p w14:paraId="7E6EBF11" w14:textId="77777777" w:rsidR="001F1BB7" w:rsidRDefault="001F1BB7" w:rsidP="001F1BB7">
      <w:pPr>
        <w:spacing w:line="480" w:lineRule="auto"/>
        <w:rPr>
          <w:rFonts w:ascii="Times New Roman" w:hAnsi="Times New Roman" w:cs="Times New Roman"/>
          <w:u w:val="single"/>
        </w:rPr>
      </w:pPr>
    </w:p>
    <w:p w14:paraId="79A4E64F" w14:textId="77777777" w:rsidR="001F1BB7" w:rsidRPr="00724C44" w:rsidRDefault="001F1BB7" w:rsidP="001F1BB7">
      <w:pPr>
        <w:spacing w:line="480" w:lineRule="auto"/>
        <w:rPr>
          <w:rFonts w:ascii="Times New Roman" w:hAnsi="Times New Roman" w:cs="Times New Roman"/>
          <w:u w:val="single"/>
        </w:rPr>
      </w:pPr>
      <w:r w:rsidRPr="00724C44">
        <w:rPr>
          <w:rFonts w:ascii="Times New Roman" w:hAnsi="Times New Roman" w:cs="Times New Roman"/>
          <w:u w:val="single"/>
        </w:rPr>
        <w:lastRenderedPageBreak/>
        <w:t>The Buffalo Green Code</w:t>
      </w:r>
    </w:p>
    <w:p w14:paraId="46245DB5" w14:textId="77777777" w:rsidR="001F1BB7" w:rsidRDefault="001F1BB7" w:rsidP="001F1BB7">
      <w:pPr>
        <w:spacing w:line="480" w:lineRule="auto"/>
        <w:rPr>
          <w:rFonts w:ascii="Times New Roman" w:hAnsi="Times New Roman" w:cs="Times New Roman"/>
        </w:rPr>
      </w:pPr>
      <w:r>
        <w:rPr>
          <w:rFonts w:ascii="Times New Roman" w:hAnsi="Times New Roman" w:cs="Times New Roman"/>
          <w:i/>
        </w:rPr>
        <w:tab/>
      </w:r>
      <w:r>
        <w:rPr>
          <w:rFonts w:ascii="Times New Roman" w:hAnsi="Times New Roman" w:cs="Times New Roman"/>
        </w:rPr>
        <w:t>In 2016, Buffalo formally adopted a new land use plan, the first since the 1970s. Through the Green Code, the city sought to build on the relatively recent comprehensive plan’s smart growth ideals of using citizen engagement to guide the policy development of the new code. In developing the Green Code over several years, more than 4,000 individuals including residents, employers, developers, and students; and 80 groups including block clubs, business districts, trade associations, and nonprofits shared knowledge and expertise regarding the vitality and use of their city and neighborhoods. This was done in many different forums including planning workshops within nine planning areas and a city-wide Planning Day Open House; zoning workshops and a city-wide Zoning Day Open House; eleven community advisory committee meetings; eighty-nine working group meetings; 817 written questionnaire responses; and over 1200 Facebook and Twitter followers.</w:t>
      </w:r>
      <w:r w:rsidRPr="00F3497A">
        <w:rPr>
          <w:rStyle w:val="FootnoteReference"/>
        </w:rPr>
        <w:footnoteReference w:id="99"/>
      </w:r>
    </w:p>
    <w:p w14:paraId="7C2BD014" w14:textId="77777777" w:rsidR="001F1BB7" w:rsidRDefault="001F1BB7" w:rsidP="001F1BB7">
      <w:pPr>
        <w:spacing w:line="480" w:lineRule="auto"/>
        <w:rPr>
          <w:rFonts w:ascii="Times New Roman" w:hAnsi="Times New Roman" w:cs="Times New Roman"/>
        </w:rPr>
      </w:pPr>
      <w:r>
        <w:rPr>
          <w:rFonts w:ascii="Times New Roman" w:hAnsi="Times New Roman" w:cs="Times New Roman"/>
        </w:rPr>
        <w:tab/>
        <w:t>The Green Code was then developed to provide usable spaces for Buffalo residents. Previous planning and zoning code reflected patterns popular in the 1950s, which called for land use to be divided into separate categories based on their uses. This outdated technique makes it more challenging to deal with the many issues facing Buffalo, like the construction of infill housing, or having to separate the various types of housing options residents need into different sections of the city.</w:t>
      </w:r>
      <w:r w:rsidRPr="00F3497A">
        <w:rPr>
          <w:rStyle w:val="FootnoteReference"/>
        </w:rPr>
        <w:footnoteReference w:id="100"/>
      </w:r>
      <w:r>
        <w:rPr>
          <w:rFonts w:ascii="Times New Roman" w:hAnsi="Times New Roman" w:cs="Times New Roman"/>
        </w:rPr>
        <w:t xml:space="preserve"> The new land use policy in the Green Code suggests using a place-based planning method. This is often called “form-based” code, and it allows for the form and character of the built environment to be considered, as well as the mixed use of residential, retail, office, civic, and recreational spaces. The fabric of Buffalo’s many different neighborhoods will </w:t>
      </w:r>
      <w:r>
        <w:rPr>
          <w:rFonts w:ascii="Times New Roman" w:hAnsi="Times New Roman" w:cs="Times New Roman"/>
        </w:rPr>
        <w:lastRenderedPageBreak/>
        <w:t>set the foundation for growth, from which residents can decide what they would like to keep, and what they would like to see in the future.</w:t>
      </w:r>
      <w:r w:rsidRPr="00F3497A">
        <w:rPr>
          <w:rStyle w:val="FootnoteReference"/>
        </w:rPr>
        <w:footnoteReference w:id="101"/>
      </w:r>
      <w:r>
        <w:rPr>
          <w:rFonts w:ascii="Times New Roman" w:hAnsi="Times New Roman" w:cs="Times New Roman"/>
        </w:rPr>
        <w:t xml:space="preserve"> </w:t>
      </w:r>
    </w:p>
    <w:p w14:paraId="37DA7B9D" w14:textId="77777777" w:rsidR="001F1BB7" w:rsidRPr="009E159D" w:rsidRDefault="001F1BB7" w:rsidP="001F1BB7">
      <w:pPr>
        <w:rPr>
          <w:rFonts w:ascii="Times New Roman" w:hAnsi="Times New Roman" w:cs="Times New Roman"/>
        </w:rPr>
      </w:pPr>
    </w:p>
    <w:p w14:paraId="53C502B0" w14:textId="77777777" w:rsidR="001F1BB7" w:rsidRPr="00724C44" w:rsidRDefault="001F1BB7" w:rsidP="001F1BB7">
      <w:pPr>
        <w:spacing w:line="480" w:lineRule="auto"/>
        <w:rPr>
          <w:rFonts w:ascii="Times New Roman" w:hAnsi="Times New Roman" w:cs="Times New Roman"/>
          <w:u w:val="single"/>
        </w:rPr>
      </w:pPr>
      <w:r w:rsidRPr="00724C44">
        <w:rPr>
          <w:rFonts w:ascii="Times New Roman" w:hAnsi="Times New Roman" w:cs="Times New Roman"/>
          <w:u w:val="single"/>
        </w:rPr>
        <w:t>Buffalo Billion</w:t>
      </w:r>
    </w:p>
    <w:p w14:paraId="4804ECCF"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In his 2012 State of the State Address, Governor Andrew Cuomo announced the Buffalo Billion Initiative, an investment plan for the Buffalo-Niagara metro area meant to attract private sector investment and sustainable jobs. The funding was not to be used as a “silver bullet” type development plan, rather it was set up as a diverse portfolio of investments to drive Buffalo’s economic recovery.</w:t>
      </w:r>
      <w:r w:rsidRPr="00F3497A">
        <w:rPr>
          <w:rStyle w:val="FootnoteReference"/>
        </w:rPr>
        <w:footnoteReference w:id="102"/>
      </w:r>
      <w:r>
        <w:rPr>
          <w:rFonts w:ascii="Times New Roman" w:hAnsi="Times New Roman" w:cs="Times New Roman"/>
        </w:rPr>
        <w:t xml:space="preserve"> In 2013, “The Buffalo Billion Investment Development Plan” (BBIDP) was created by the Western New York Regional Economic Development Council. It identified six strategy areas to push the region forward and develop next-economy growth. The BBIDP focused its attention on three sector strategies: advanced manufacturing, health and life sciences, and tourism; and three core strategies: entrepreneurship, workforce, and smart growth. Additional community stakeholders were engaged to share their expertise with the Implementation Councils that were developed for each of the six strategy components. This created some local ownership of the plan and initiative implementation.</w:t>
      </w:r>
      <w:r w:rsidRPr="00F3497A">
        <w:rPr>
          <w:rStyle w:val="FootnoteReference"/>
        </w:rPr>
        <w:footnoteReference w:id="103"/>
      </w:r>
    </w:p>
    <w:p w14:paraId="7FFD96FD"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 xml:space="preserve">To give an idea of the scope of the initiative, some of the initial projects between 2013 and 2016 were: </w:t>
      </w:r>
    </w:p>
    <w:p w14:paraId="3E96674A" w14:textId="77777777" w:rsidR="001F1BB7" w:rsidRPr="003D196F" w:rsidRDefault="001F1BB7" w:rsidP="001F1BB7">
      <w:pPr>
        <w:pStyle w:val="ListParagraph"/>
        <w:numPr>
          <w:ilvl w:val="0"/>
          <w:numId w:val="4"/>
        </w:numPr>
        <w:spacing w:line="480" w:lineRule="auto"/>
        <w:rPr>
          <w:rFonts w:ascii="Times New Roman" w:hAnsi="Times New Roman" w:cs="Times New Roman"/>
        </w:rPr>
      </w:pPr>
      <w:r w:rsidRPr="003D196F">
        <w:rPr>
          <w:rFonts w:ascii="Times New Roman" w:hAnsi="Times New Roman" w:cs="Times New Roman"/>
        </w:rPr>
        <w:t xml:space="preserve">In the tourism category, $5 million to the Erie Canal Harbor Development Corporation for the enhancement of Buffalo’s Outer Harbor, including a bike </w:t>
      </w:r>
      <w:r w:rsidRPr="003D196F">
        <w:rPr>
          <w:rFonts w:ascii="Times New Roman" w:hAnsi="Times New Roman" w:cs="Times New Roman"/>
        </w:rPr>
        <w:lastRenderedPageBreak/>
        <w:t>path, redevelopment of the Michigan Pier, development of overlook locations, and other improvements.</w:t>
      </w:r>
      <w:r w:rsidRPr="00F3497A">
        <w:rPr>
          <w:rStyle w:val="FootnoteReference"/>
        </w:rPr>
        <w:footnoteReference w:id="104"/>
      </w:r>
    </w:p>
    <w:p w14:paraId="2B0553A2" w14:textId="77777777" w:rsidR="001F1BB7" w:rsidRPr="003D196F" w:rsidRDefault="001F1BB7" w:rsidP="001F1BB7">
      <w:pPr>
        <w:pStyle w:val="ListParagraph"/>
        <w:numPr>
          <w:ilvl w:val="0"/>
          <w:numId w:val="4"/>
        </w:numPr>
        <w:spacing w:line="480" w:lineRule="auto"/>
        <w:rPr>
          <w:rFonts w:ascii="Times New Roman" w:hAnsi="Times New Roman" w:cs="Times New Roman"/>
        </w:rPr>
      </w:pPr>
      <w:r w:rsidRPr="003D196F">
        <w:rPr>
          <w:rFonts w:ascii="Times New Roman" w:hAnsi="Times New Roman" w:cs="Times New Roman"/>
        </w:rPr>
        <w:t>In the revitalization and smart growth category, $30 million to the Better Buffalo Fund to administer a grant and revolving loan fund for Transit Oriented Development projects meant to connect centers of activity and stimulate pedestrian activity through retail and neighborhood oriented businesses. $10 million was invested in the Buffalo Harbor State Park project to revitalize the waterfront with playgrounds, picnic pavilions, and walkway overlooks, among other development. This stimulated an additional $5 million investment from the New York Works Initiative toward the new state park.</w:t>
      </w:r>
      <w:r w:rsidRPr="00F3497A">
        <w:rPr>
          <w:rStyle w:val="FootnoteReference"/>
        </w:rPr>
        <w:footnoteReference w:id="105"/>
      </w:r>
    </w:p>
    <w:p w14:paraId="066627DA" w14:textId="77777777" w:rsidR="001F1BB7" w:rsidRPr="003D196F" w:rsidRDefault="001F1BB7" w:rsidP="001F1BB7">
      <w:pPr>
        <w:pStyle w:val="ListParagraph"/>
        <w:numPr>
          <w:ilvl w:val="0"/>
          <w:numId w:val="4"/>
        </w:numPr>
        <w:spacing w:line="480" w:lineRule="auto"/>
        <w:rPr>
          <w:rFonts w:ascii="Times New Roman" w:hAnsi="Times New Roman" w:cs="Times New Roman"/>
        </w:rPr>
      </w:pPr>
      <w:r w:rsidRPr="003D196F">
        <w:rPr>
          <w:rFonts w:ascii="Times New Roman" w:hAnsi="Times New Roman" w:cs="Times New Roman"/>
        </w:rPr>
        <w:t xml:space="preserve">In the workforce category, $3.2 million was invested into the Buffalo Public </w:t>
      </w:r>
      <w:proofErr w:type="spellStart"/>
      <w:r w:rsidRPr="003D196F">
        <w:rPr>
          <w:rFonts w:ascii="Times New Roman" w:hAnsi="Times New Roman" w:cs="Times New Roman"/>
        </w:rPr>
        <w:t>Burgard</w:t>
      </w:r>
      <w:proofErr w:type="spellEnd"/>
      <w:r w:rsidRPr="003D196F">
        <w:rPr>
          <w:rFonts w:ascii="Times New Roman" w:hAnsi="Times New Roman" w:cs="Times New Roman"/>
        </w:rPr>
        <w:t xml:space="preserve"> High School to transition it into a manufacturing magnet school to train high school students in computer numerical control machining and welding. The school will serve as a resource for students interested in careers in advanced manufacturing.</w:t>
      </w:r>
      <w:r w:rsidRPr="00F3497A">
        <w:rPr>
          <w:rStyle w:val="FootnoteReference"/>
        </w:rPr>
        <w:footnoteReference w:id="106"/>
      </w:r>
    </w:p>
    <w:p w14:paraId="181379F0"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The Buffalo Billion has been so successful for the Buffalo Niagara region, in January 2017 Governor Cuomo announced a proposal for a $500 million expansion of the initiative to continue to build on the renewed economy in Buffalo. The Phase II project is expected to focus on projects which ensure an improved quality of life for all western New Yorkers.</w:t>
      </w:r>
      <w:r w:rsidRPr="00F3497A">
        <w:rPr>
          <w:rStyle w:val="FootnoteReference"/>
        </w:rPr>
        <w:footnoteReference w:id="107"/>
      </w:r>
      <w:r>
        <w:rPr>
          <w:rFonts w:ascii="Times New Roman" w:hAnsi="Times New Roman" w:cs="Times New Roman"/>
        </w:rPr>
        <w:t xml:space="preserve"> The Buffalo </w:t>
      </w:r>
      <w:r>
        <w:rPr>
          <w:rFonts w:ascii="Times New Roman" w:hAnsi="Times New Roman" w:cs="Times New Roman"/>
        </w:rPr>
        <w:lastRenderedPageBreak/>
        <w:t>Billion is a game-changer for the city of Buffalo. The development that is occurring through the infusion of money into the region further advances the argument that residents should be empowered to direct the growth that impacts their neighborhoods. The city of Buffalo’s new comprehensive plan and land use code is a valuable tool to control overdevelopment, but plans and codes are sometimes diverted from when development money comes into play. To allow an oversight into implementation of the Comprehensive Plan and the Green Code in Buffalo neighborhoods, a clear vision for cultural preservation is necessary to the Buffalo community and the residents that call it home.</w:t>
      </w:r>
    </w:p>
    <w:p w14:paraId="3E39B851" w14:textId="77777777" w:rsidR="001F1BB7" w:rsidRPr="008C257D" w:rsidRDefault="001F1BB7" w:rsidP="001F1BB7">
      <w:pPr>
        <w:spacing w:line="480" w:lineRule="auto"/>
        <w:ind w:firstLine="720"/>
        <w:rPr>
          <w:rFonts w:ascii="Times New Roman" w:hAnsi="Times New Roman" w:cs="Times New Roman"/>
        </w:rPr>
      </w:pPr>
    </w:p>
    <w:p w14:paraId="4760C3E2" w14:textId="14D343BA" w:rsidR="001F1BB7" w:rsidRPr="00724C44" w:rsidRDefault="00347F95" w:rsidP="001F1BB7">
      <w:pPr>
        <w:spacing w:line="480" w:lineRule="auto"/>
        <w:jc w:val="center"/>
        <w:outlineLvl w:val="0"/>
        <w:rPr>
          <w:rFonts w:ascii="Times New Roman" w:hAnsi="Times New Roman" w:cs="Times New Roman"/>
          <w:u w:val="single"/>
        </w:rPr>
      </w:pPr>
      <w:r>
        <w:rPr>
          <w:rFonts w:ascii="Times New Roman" w:hAnsi="Times New Roman" w:cs="Times New Roman"/>
          <w:u w:val="single"/>
        </w:rPr>
        <w:t>Preservation Ethic and A</w:t>
      </w:r>
      <w:r w:rsidR="001F1BB7" w:rsidRPr="00724C44">
        <w:rPr>
          <w:rFonts w:ascii="Times New Roman" w:hAnsi="Times New Roman" w:cs="Times New Roman"/>
          <w:u w:val="single"/>
        </w:rPr>
        <w:t>ssets within Buffalo</w:t>
      </w:r>
    </w:p>
    <w:p w14:paraId="66478160"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 xml:space="preserve">Historic preservation happens in a city in a variety of ways. In Buffalo, there is local policy that enforces and upholds historic preservation codes and ordinances through a preservation board. There are locally-run preservation non-profit organizations that support the work of the municipality and its residents by helping to identify, raise local awareness for, and raise private funds for locally significant historic resources. Additionally, there are a myriad of agencies working within the city and in individual neighborhoods to increase equity and maintain the quality of local public spaces. These groups are not necessarily preservation oriented, but by the virtue of the work they do, are preservation adjacent advocates. In total, these are the types of groups every city will need to get the work of preservation done in a community. The city upholds the standard of property care, preservation groups rally and educate in places the municipality cannot, and with proper understanding, adjacent groups could use historic preservation as a tool to increase equity for the people they serve in the community. </w:t>
      </w:r>
      <w:r>
        <w:rPr>
          <w:rFonts w:ascii="Times New Roman" w:hAnsi="Times New Roman" w:cs="Times New Roman"/>
        </w:rPr>
        <w:lastRenderedPageBreak/>
        <w:t>This section will look at each of the preservation assets within Buffalo, and how they can be utilized when working toward a goal of a culturally sustainable preservation model.</w:t>
      </w:r>
    </w:p>
    <w:p w14:paraId="603B3CA1" w14:textId="77777777" w:rsidR="001F1BB7" w:rsidRDefault="001F1BB7" w:rsidP="001F1BB7">
      <w:pPr>
        <w:ind w:firstLine="720"/>
        <w:rPr>
          <w:rFonts w:ascii="Times New Roman" w:hAnsi="Times New Roman" w:cs="Times New Roman"/>
        </w:rPr>
      </w:pPr>
    </w:p>
    <w:p w14:paraId="5B91D6E3" w14:textId="77777777" w:rsidR="001F1BB7" w:rsidRPr="00724C44" w:rsidRDefault="001F1BB7" w:rsidP="001F1BB7">
      <w:pPr>
        <w:spacing w:line="480" w:lineRule="auto"/>
        <w:rPr>
          <w:rFonts w:ascii="Times New Roman" w:hAnsi="Times New Roman" w:cs="Times New Roman"/>
          <w:u w:val="single"/>
        </w:rPr>
      </w:pPr>
      <w:r w:rsidRPr="00724C44">
        <w:rPr>
          <w:rFonts w:ascii="Times New Roman" w:hAnsi="Times New Roman" w:cs="Times New Roman"/>
          <w:u w:val="single"/>
        </w:rPr>
        <w:t>City of Buffalo</w:t>
      </w:r>
    </w:p>
    <w:p w14:paraId="2A2AB2AA" w14:textId="07D9E8B3" w:rsidR="001F1BB7" w:rsidRDefault="001F1BB7" w:rsidP="00347F95">
      <w:pPr>
        <w:spacing w:line="480" w:lineRule="auto"/>
        <w:ind w:firstLine="720"/>
        <w:rPr>
          <w:rFonts w:ascii="Times New Roman" w:hAnsi="Times New Roman" w:cs="Times New Roman"/>
        </w:rPr>
      </w:pPr>
      <w:r>
        <w:rPr>
          <w:rFonts w:ascii="Times New Roman" w:hAnsi="Times New Roman" w:cs="Times New Roman"/>
        </w:rPr>
        <w:t>The City of Buffalo has had a formal preservation ordinance in the city zoning code since 1976. The city maintains a Preservation Board of eleven members, appointed by the Mayor and Common Council. The Board reviews all exterior changes to locally designated properties and districts using the city’s Preservation Standards Code, based closely on the Secretary of Interior’s Standards for Rehabilitation.</w:t>
      </w:r>
      <w:r w:rsidRPr="00F3497A">
        <w:rPr>
          <w:rStyle w:val="FootnoteReference"/>
        </w:rPr>
        <w:footnoteReference w:id="108"/>
      </w:r>
      <w:r>
        <w:rPr>
          <w:rFonts w:ascii="Times New Roman" w:hAnsi="Times New Roman" w:cs="Times New Roman"/>
        </w:rPr>
        <w:t xml:space="preserve"> Within the city’s 2006 Comprehensive Plan, there is emphasis on a Community Preservation Plan that inventories and maintains the city’s many historic and architecturally significant resources. It recommends a “hybrid approach” for Buffalo that implements facets of three styles of preservation plans: those that stand alone and have strong impact on public education in preservation; plans that are an element of a more authoritative comprehensive plan that enforces local policy; and those preservation plans that emerge incrementally through the development of historic district designations. The comprehensive plan’s suggested combination of these formulas is meant to create a plan strongly rooted in public policy and public agencies, but also involving responsible action by a large constituency of private and not for profit interests.</w:t>
      </w:r>
      <w:r w:rsidRPr="00F3497A">
        <w:rPr>
          <w:rStyle w:val="FootnoteReference"/>
        </w:rPr>
        <w:footnoteReference w:id="109"/>
      </w:r>
      <w:r>
        <w:rPr>
          <w:rFonts w:ascii="Times New Roman" w:hAnsi="Times New Roman" w:cs="Times New Roman"/>
        </w:rPr>
        <w:t xml:space="preserve"> Unfortunately, no formal plan for a Community Preservation Plan has yet been created or implemented. It is recommended that the city of Buffalo follow through with the proposal for a preservation plan set forth in the Comprehensive Plan, with culturally sustainable preservation as an additional component of the plan. </w:t>
      </w:r>
    </w:p>
    <w:p w14:paraId="4314F80D" w14:textId="77777777" w:rsidR="001F1BB7" w:rsidRPr="00724C44" w:rsidRDefault="001F1BB7" w:rsidP="001F1BB7">
      <w:pPr>
        <w:spacing w:line="480" w:lineRule="auto"/>
        <w:rPr>
          <w:rFonts w:ascii="Times New Roman" w:hAnsi="Times New Roman" w:cs="Times New Roman"/>
          <w:u w:val="single"/>
        </w:rPr>
      </w:pPr>
      <w:r w:rsidRPr="00724C44">
        <w:rPr>
          <w:rFonts w:ascii="Times New Roman" w:hAnsi="Times New Roman" w:cs="Times New Roman"/>
          <w:u w:val="single"/>
        </w:rPr>
        <w:lastRenderedPageBreak/>
        <w:t>Preservation Buffalo Niagara</w:t>
      </w:r>
    </w:p>
    <w:p w14:paraId="167CF1D4" w14:textId="0460F4A3"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 xml:space="preserve">Preservation Buffalo Niagara (PBN) was established in 2008 from two predecessor organizations, The Landmark Society of the Niagara Frontier and the Preservation Coalition of Erie County. PBN is the only professionally staffed non-profit preservation organization within the region, with a mission to identify, protect, and promote the area’s unique architecture and historic legacy. The organization sees their directive </w:t>
      </w:r>
      <w:proofErr w:type="gramStart"/>
      <w:r>
        <w:rPr>
          <w:rFonts w:ascii="Times New Roman" w:hAnsi="Times New Roman" w:cs="Times New Roman"/>
        </w:rPr>
        <w:t>as a means to</w:t>
      </w:r>
      <w:proofErr w:type="gramEnd"/>
      <w:r>
        <w:rPr>
          <w:rFonts w:ascii="Times New Roman" w:hAnsi="Times New Roman" w:cs="Times New Roman"/>
        </w:rPr>
        <w:t xml:space="preserve"> help western New York communities to create “more culturally rich, vibrant, affordable, and sustainable </w:t>
      </w:r>
      <w:proofErr w:type="spellStart"/>
      <w:r>
        <w:rPr>
          <w:rFonts w:ascii="Times New Roman" w:hAnsi="Times New Roman" w:cs="Times New Roman"/>
        </w:rPr>
        <w:t>communit</w:t>
      </w:r>
      <w:proofErr w:type="spellEnd"/>
      <w:r>
        <w:rPr>
          <w:rFonts w:ascii="Times New Roman" w:hAnsi="Times New Roman" w:cs="Times New Roman"/>
        </w:rPr>
        <w:t>[</w:t>
      </w:r>
      <w:proofErr w:type="spellStart"/>
      <w:r>
        <w:rPr>
          <w:rFonts w:ascii="Times New Roman" w:hAnsi="Times New Roman" w:cs="Times New Roman"/>
        </w:rPr>
        <w:t>ies</w:t>
      </w:r>
      <w:proofErr w:type="spellEnd"/>
      <w:r>
        <w:rPr>
          <w:rFonts w:ascii="Times New Roman" w:hAnsi="Times New Roman" w:cs="Times New Roman"/>
        </w:rPr>
        <w:t>].”</w:t>
      </w:r>
      <w:r w:rsidRPr="00F3497A">
        <w:rPr>
          <w:rStyle w:val="FootnoteReference"/>
        </w:rPr>
        <w:footnoteReference w:id="110"/>
      </w:r>
      <w:r>
        <w:rPr>
          <w:rFonts w:ascii="Times New Roman" w:hAnsi="Times New Roman" w:cs="Times New Roman"/>
        </w:rPr>
        <w:t xml:space="preserve"> PBN is a </w:t>
      </w:r>
      <w:r w:rsidR="001D2EFA">
        <w:rPr>
          <w:rFonts w:ascii="Times New Roman" w:hAnsi="Times New Roman" w:cs="Times New Roman"/>
        </w:rPr>
        <w:t>local resource for preservation-</w:t>
      </w:r>
      <w:r>
        <w:rPr>
          <w:rFonts w:ascii="Times New Roman" w:hAnsi="Times New Roman" w:cs="Times New Roman"/>
        </w:rPr>
        <w:t>related education through their website, and provides technical support services such as assisting with National Register nominations or conducting research on historic properties. PBN also offers events such as regularly scheduled free guided tours of local historic buildings and districts, a monthly historic homeowner tax credit drop-in workshop, and regular information session</w:t>
      </w:r>
      <w:r w:rsidR="007B171B">
        <w:rPr>
          <w:rFonts w:ascii="Times New Roman" w:hAnsi="Times New Roman" w:cs="Times New Roman"/>
        </w:rPr>
        <w:t>s for residents on preservation-</w:t>
      </w:r>
      <w:r>
        <w:rPr>
          <w:rFonts w:ascii="Times New Roman" w:hAnsi="Times New Roman" w:cs="Times New Roman"/>
        </w:rPr>
        <w:t>related issues such as finding historic preservation grant funding for non-profits and the ins and outs of living in a historic district. Additionally, PBN offers a Traditional Building Trades Program for professionals, such as their popular wood window rehabilitation class.</w:t>
      </w:r>
      <w:r w:rsidRPr="00F3497A">
        <w:rPr>
          <w:rStyle w:val="FootnoteReference"/>
        </w:rPr>
        <w:footnoteReference w:id="111"/>
      </w:r>
      <w:r>
        <w:rPr>
          <w:rFonts w:ascii="Times New Roman" w:hAnsi="Times New Roman" w:cs="Times New Roman"/>
        </w:rPr>
        <w:t xml:space="preserve"> PBN is a strong leader and advocate for historic preservation in all its many facets within the Buffalo Niagara region.</w:t>
      </w:r>
    </w:p>
    <w:p w14:paraId="52560318" w14:textId="77777777" w:rsidR="001F1BB7" w:rsidRDefault="001F1BB7" w:rsidP="001F1BB7">
      <w:pPr>
        <w:ind w:firstLine="720"/>
        <w:rPr>
          <w:rFonts w:ascii="Times New Roman" w:hAnsi="Times New Roman" w:cs="Times New Roman"/>
        </w:rPr>
      </w:pPr>
    </w:p>
    <w:p w14:paraId="48C18895" w14:textId="77777777" w:rsidR="001F1BB7" w:rsidRDefault="001F1BB7" w:rsidP="001F1BB7">
      <w:pPr>
        <w:spacing w:line="480" w:lineRule="auto"/>
        <w:rPr>
          <w:rFonts w:ascii="Times New Roman" w:hAnsi="Times New Roman" w:cs="Times New Roman"/>
          <w:u w:val="single"/>
        </w:rPr>
      </w:pPr>
    </w:p>
    <w:p w14:paraId="43A1A64D" w14:textId="77777777" w:rsidR="001F1BB7" w:rsidRDefault="001F1BB7" w:rsidP="001F1BB7">
      <w:pPr>
        <w:spacing w:line="480" w:lineRule="auto"/>
        <w:rPr>
          <w:rFonts w:ascii="Times New Roman" w:hAnsi="Times New Roman" w:cs="Times New Roman"/>
          <w:u w:val="single"/>
        </w:rPr>
      </w:pPr>
    </w:p>
    <w:p w14:paraId="2B75C093" w14:textId="77777777" w:rsidR="001F1BB7" w:rsidRPr="00724C44" w:rsidRDefault="001F1BB7" w:rsidP="001F1BB7">
      <w:pPr>
        <w:spacing w:line="480" w:lineRule="auto"/>
        <w:rPr>
          <w:rFonts w:ascii="Times New Roman" w:hAnsi="Times New Roman" w:cs="Times New Roman"/>
          <w:u w:val="single"/>
        </w:rPr>
      </w:pPr>
      <w:r w:rsidRPr="00724C44">
        <w:rPr>
          <w:rFonts w:ascii="Times New Roman" w:hAnsi="Times New Roman" w:cs="Times New Roman"/>
          <w:u w:val="single"/>
        </w:rPr>
        <w:lastRenderedPageBreak/>
        <w:t>University at Buffalo</w:t>
      </w:r>
    </w:p>
    <w:p w14:paraId="5F6990C1"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The University at Buffalo’s School of Architecture and Planning incorporates a Master of Science in Architecture: Historic Preservation as well as a Graduate Certificate in Historic Preservation. Through their scholarship, these students and faculty are a resource to the preservation community within Buffalo. Students have done work in preservation planning, materials conservation, and technical writing.</w:t>
      </w:r>
      <w:r w:rsidRPr="00F3497A">
        <w:rPr>
          <w:rStyle w:val="FootnoteReference"/>
        </w:rPr>
        <w:footnoteReference w:id="112"/>
      </w:r>
      <w:r>
        <w:rPr>
          <w:rFonts w:ascii="Times New Roman" w:hAnsi="Times New Roman" w:cs="Times New Roman"/>
        </w:rPr>
        <w:t xml:space="preserve"> Because the historic preservation program is situated within the architecture department, architectural scholars are able to develop their skills as historic architects, and offer their services to the community while furthering their educational experience.</w:t>
      </w:r>
      <w:r w:rsidRPr="00F3497A">
        <w:rPr>
          <w:rStyle w:val="FootnoteReference"/>
        </w:rPr>
        <w:footnoteReference w:id="113"/>
      </w:r>
      <w:r>
        <w:rPr>
          <w:rFonts w:ascii="Times New Roman" w:hAnsi="Times New Roman" w:cs="Times New Roman"/>
        </w:rPr>
        <w:t xml:space="preserve"> The School of Architecture and Planning also offers other opportunities for the community to collaborate with students in disciplines such as Urban Planning and Real Estate Development. As a community, the city of Buffalo is fortunate to have access to academic specialists willing to trade time in community service toward personal learning objectives. </w:t>
      </w:r>
    </w:p>
    <w:p w14:paraId="6FE335A5" w14:textId="77777777" w:rsidR="001F1BB7" w:rsidRDefault="001F1BB7" w:rsidP="001F1BB7">
      <w:pPr>
        <w:ind w:firstLine="720"/>
        <w:rPr>
          <w:rFonts w:ascii="Times New Roman" w:hAnsi="Times New Roman" w:cs="Times New Roman"/>
        </w:rPr>
      </w:pPr>
    </w:p>
    <w:p w14:paraId="7A8DEC9B" w14:textId="77777777" w:rsidR="001F1BB7" w:rsidRPr="00724C44" w:rsidRDefault="001F1BB7" w:rsidP="001F1BB7">
      <w:pPr>
        <w:spacing w:line="480" w:lineRule="auto"/>
        <w:rPr>
          <w:rFonts w:ascii="Times New Roman" w:hAnsi="Times New Roman" w:cs="Times New Roman"/>
          <w:u w:val="single"/>
        </w:rPr>
      </w:pPr>
      <w:r w:rsidRPr="00724C44">
        <w:rPr>
          <w:rFonts w:ascii="Times New Roman" w:hAnsi="Times New Roman" w:cs="Times New Roman"/>
          <w:u w:val="single"/>
        </w:rPr>
        <w:t>Buffalo Young Preservationists</w:t>
      </w:r>
    </w:p>
    <w:p w14:paraId="31BAE547" w14:textId="09209D91"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 xml:space="preserve">Buffalo Young Preservationists (BYP) is a group formed in 2011 to engage young adults and students in the preservation movement within Buffalo. Made up of professionals from many fields like architecture, planning, history, real estate, and the arts, BYP uses its platform to advocate for action in the preservation of Buffalo’s built environment. Recent events have included pop-up art exhibitions of Buffalo’s vernacular architecture, happy hours at local pubs to </w:t>
      </w:r>
      <w:r>
        <w:rPr>
          <w:rFonts w:ascii="Times New Roman" w:hAnsi="Times New Roman" w:cs="Times New Roman"/>
        </w:rPr>
        <w:lastRenderedPageBreak/>
        <w:t>engage with like-minded preservationists, and advocating at Common Council meetings for Buffalo’s significant architecture. BYP is also known for starting Buffalo’s February heart-bombing campaigns of historic structures, which is now advocated nation-wide by the National Trust for Historic Preservation.</w:t>
      </w:r>
      <w:r w:rsidRPr="00F3497A">
        <w:rPr>
          <w:rStyle w:val="FootnoteReference"/>
        </w:rPr>
        <w:footnoteReference w:id="114"/>
      </w:r>
      <w:r>
        <w:rPr>
          <w:rFonts w:ascii="Times New Roman" w:hAnsi="Times New Roman" w:cs="Times New Roman"/>
        </w:rPr>
        <w:t xml:space="preserve"> </w:t>
      </w:r>
      <w:r w:rsidR="007B171B">
        <w:rPr>
          <w:rFonts w:ascii="Times New Roman" w:hAnsi="Times New Roman" w:cs="Times New Roman"/>
        </w:rPr>
        <w:t xml:space="preserve">Additionally, </w:t>
      </w:r>
      <w:r>
        <w:rPr>
          <w:rFonts w:ascii="Times New Roman" w:hAnsi="Times New Roman" w:cs="Times New Roman"/>
        </w:rPr>
        <w:t xml:space="preserve">BYP was a foundational member in the Rust Belt Coalition of Young </w:t>
      </w:r>
      <w:proofErr w:type="gramStart"/>
      <w:r>
        <w:rPr>
          <w:rFonts w:ascii="Times New Roman" w:hAnsi="Times New Roman" w:cs="Times New Roman"/>
        </w:rPr>
        <w:t>Preservationists!,</w:t>
      </w:r>
      <w:proofErr w:type="gramEnd"/>
      <w:r>
        <w:rPr>
          <w:rFonts w:ascii="Times New Roman" w:hAnsi="Times New Roman" w:cs="Times New Roman"/>
        </w:rPr>
        <w:t xml:space="preserve"> a regional networking group that meets in Rust Belt cities for “take-over” events that promote local preservation efforts.</w:t>
      </w:r>
      <w:r w:rsidRPr="00F3497A">
        <w:rPr>
          <w:rStyle w:val="FootnoteReference"/>
        </w:rPr>
        <w:footnoteReference w:id="115"/>
      </w:r>
    </w:p>
    <w:p w14:paraId="69FAAF14" w14:textId="77777777" w:rsidR="001F1BB7" w:rsidRDefault="001F1BB7" w:rsidP="001F1BB7">
      <w:pPr>
        <w:ind w:firstLine="720"/>
        <w:rPr>
          <w:rFonts w:ascii="Times New Roman" w:hAnsi="Times New Roman" w:cs="Times New Roman"/>
        </w:rPr>
      </w:pPr>
    </w:p>
    <w:p w14:paraId="511B8DBF" w14:textId="77777777" w:rsidR="001F1BB7" w:rsidRPr="00724C44" w:rsidRDefault="001F1BB7" w:rsidP="001F1BB7">
      <w:pPr>
        <w:spacing w:line="480" w:lineRule="auto"/>
        <w:jc w:val="center"/>
        <w:rPr>
          <w:rFonts w:ascii="Times New Roman" w:hAnsi="Times New Roman" w:cs="Times New Roman"/>
          <w:u w:val="single"/>
        </w:rPr>
      </w:pPr>
      <w:r w:rsidRPr="00724C44">
        <w:rPr>
          <w:rFonts w:ascii="Times New Roman" w:hAnsi="Times New Roman" w:cs="Times New Roman"/>
          <w:u w:val="single"/>
        </w:rPr>
        <w:t>Non-preservation Preservation</w:t>
      </w:r>
    </w:p>
    <w:p w14:paraId="2919BF6A"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 xml:space="preserve">The work of many agencies in Buffalo advocate for an ethic that fits under the historic preservation umbrella. Preservation-adjacent agencies may not realize what they are doing is related to historic preservation, but as is often the case in preservation, the more allies working toward a common goal, the more likely the goal will be met. Buffalo has so many agencies working in various ways to build equity into a city that has experienced extreme disinvestment, I have chosen to highlight a handful that most clearly represent the intersection of cultural sustainability and historic preservation. </w:t>
      </w:r>
    </w:p>
    <w:p w14:paraId="5BD115FB" w14:textId="77777777" w:rsidR="001F1BB7" w:rsidRDefault="001F1BB7" w:rsidP="001F1BB7">
      <w:pPr>
        <w:ind w:firstLine="720"/>
        <w:rPr>
          <w:rFonts w:ascii="Times New Roman" w:hAnsi="Times New Roman" w:cs="Times New Roman"/>
        </w:rPr>
      </w:pPr>
    </w:p>
    <w:p w14:paraId="7F451B2B" w14:textId="77777777" w:rsidR="001F1BB7" w:rsidRPr="00724C44" w:rsidRDefault="001F1BB7" w:rsidP="001F1BB7">
      <w:pPr>
        <w:spacing w:line="480" w:lineRule="auto"/>
        <w:rPr>
          <w:rFonts w:ascii="Times New Roman" w:hAnsi="Times New Roman" w:cs="Times New Roman"/>
          <w:u w:val="single"/>
        </w:rPr>
      </w:pPr>
      <w:r w:rsidRPr="00724C44">
        <w:rPr>
          <w:rFonts w:ascii="Times New Roman" w:hAnsi="Times New Roman" w:cs="Times New Roman"/>
          <w:u w:val="single"/>
        </w:rPr>
        <w:t>PUSH Buffalo</w:t>
      </w:r>
    </w:p>
    <w:p w14:paraId="19302A6C"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 xml:space="preserve">People United for Sustainable Housing (PUSH) Buffalo is an organization begun in 2005 that seeks equitable housing for low-income residents of Buffalo, particularly those in West Side neighborhoods. However, they realize that creating equitable housing solutions is much more </w:t>
      </w:r>
      <w:r>
        <w:rPr>
          <w:rFonts w:ascii="Times New Roman" w:hAnsi="Times New Roman" w:cs="Times New Roman"/>
        </w:rPr>
        <w:lastRenderedPageBreak/>
        <w:t>than just developing affordable housing units. PUSH wants to put the development process into the hands of the residents living within Buffalo’s struggling neighborhoods. Their mission states that PUSH will mobilize residents to create strong neighborhoods with quality, affordable housing, expand local hiring opportunities, and advance economic and environmental justice in Buffalo. In the words of former Executive Director Aaron Bartley, “Over the years, we’ve learned that holistic, community-rooted development requires participatory methods of planning affordable housing developments and parks, but also new forums for sharing our life stories in ways that build trust and deepen our collective understanding.”</w:t>
      </w:r>
      <w:r w:rsidRPr="00F3497A">
        <w:rPr>
          <w:rStyle w:val="FootnoteReference"/>
        </w:rPr>
        <w:footnoteReference w:id="116"/>
      </w:r>
      <w:r>
        <w:rPr>
          <w:rFonts w:ascii="Times New Roman" w:hAnsi="Times New Roman" w:cs="Times New Roman"/>
        </w:rPr>
        <w:t xml:space="preserve"> </w:t>
      </w:r>
    </w:p>
    <w:p w14:paraId="67D836FE" w14:textId="6201C10E"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Through this mission, PUSH has extraordinarily become a</w:t>
      </w:r>
      <w:r w:rsidR="006D6E50">
        <w:rPr>
          <w:rFonts w:ascii="Times New Roman" w:hAnsi="Times New Roman" w:cs="Times New Roman"/>
        </w:rPr>
        <w:t xml:space="preserve"> nonprofit with </w:t>
      </w:r>
      <w:r w:rsidR="00952C6B">
        <w:rPr>
          <w:rFonts w:ascii="Times New Roman" w:hAnsi="Times New Roman" w:cs="Times New Roman"/>
        </w:rPr>
        <w:t>an over</w:t>
      </w:r>
      <w:r>
        <w:rPr>
          <w:rFonts w:ascii="Times New Roman" w:hAnsi="Times New Roman" w:cs="Times New Roman"/>
        </w:rPr>
        <w:t xml:space="preserve"> $3 million a year </w:t>
      </w:r>
      <w:r w:rsidR="00952C6B">
        <w:rPr>
          <w:rFonts w:ascii="Times New Roman" w:hAnsi="Times New Roman" w:cs="Times New Roman"/>
        </w:rPr>
        <w:t>annual budget</w:t>
      </w:r>
      <w:r>
        <w:rPr>
          <w:rFonts w:ascii="Times New Roman" w:hAnsi="Times New Roman" w:cs="Times New Roman"/>
        </w:rPr>
        <w:t>. The organization is also a housing developer, political organizing group, workforce development agency, arts hub, and green energy firm. PUSH is now able to have multiple revenue streams from its green energy work and other sources, and not be completely dependent on philanthropy to maintain its organization. They work with local partners to develop new programs, have a staff of over fifty employees, and hundreds of members willing to pay the $5 membership fee.</w:t>
      </w:r>
      <w:r w:rsidRPr="00F3497A">
        <w:rPr>
          <w:rStyle w:val="FootnoteReference"/>
        </w:rPr>
        <w:footnoteReference w:id="117"/>
      </w:r>
      <w:r>
        <w:rPr>
          <w:rFonts w:ascii="Times New Roman" w:hAnsi="Times New Roman" w:cs="Times New Roman"/>
        </w:rPr>
        <w:t xml:space="preserve"> PUSH is not just a resource for their community, they are an active member, working alongside West Side residents. </w:t>
      </w:r>
    </w:p>
    <w:p w14:paraId="6CC28C3B"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 xml:space="preserve">To that end, PUSH engages with the communities of the West Side in a way that honors the cultures of those living within the neighborhood, while utilizing the built environment that the neighborhood has inherited. To accomplish this, in 2009 PUSH created The Buffalo Neighborhood Stabilization Company (BNSC), a nonprofit housing development corporation that specializes in managing affordable rental units, land banking, property stabilization, green </w:t>
      </w:r>
      <w:r>
        <w:rPr>
          <w:rFonts w:ascii="Times New Roman" w:hAnsi="Times New Roman" w:cs="Times New Roman"/>
        </w:rPr>
        <w:lastRenderedPageBreak/>
        <w:t>infrastructure, landscape management, and community planning. Through these methods, BNSC can decrease the rate of housing abandonment in neighborhoods experiencing previous disinvestment by purchasing empty homes and vacant lots from absentee owners and redeveloping them for the neighborhood’s low-income residents.</w:t>
      </w:r>
      <w:r w:rsidRPr="00F3497A">
        <w:rPr>
          <w:rStyle w:val="FootnoteReference"/>
        </w:rPr>
        <w:footnoteReference w:id="118"/>
      </w:r>
      <w:r>
        <w:rPr>
          <w:rFonts w:ascii="Times New Roman" w:hAnsi="Times New Roman" w:cs="Times New Roman"/>
        </w:rPr>
        <w:t xml:space="preserve"> </w:t>
      </w:r>
    </w:p>
    <w:p w14:paraId="7E8AAB17" w14:textId="77777777" w:rsidR="001F1BB7" w:rsidRDefault="001F1BB7" w:rsidP="001F1BB7">
      <w:pPr>
        <w:ind w:firstLine="720"/>
        <w:rPr>
          <w:rFonts w:ascii="Times New Roman" w:hAnsi="Times New Roman" w:cs="Times New Roman"/>
        </w:rPr>
      </w:pPr>
    </w:p>
    <w:p w14:paraId="28D294B5" w14:textId="77777777" w:rsidR="001F1BB7" w:rsidRPr="00724C44" w:rsidRDefault="001F1BB7" w:rsidP="001F1BB7">
      <w:pPr>
        <w:spacing w:line="480" w:lineRule="auto"/>
        <w:rPr>
          <w:rFonts w:ascii="Times New Roman" w:hAnsi="Times New Roman" w:cs="Times New Roman"/>
          <w:u w:val="single"/>
        </w:rPr>
      </w:pPr>
      <w:r w:rsidRPr="00724C44">
        <w:rPr>
          <w:rFonts w:ascii="Times New Roman" w:hAnsi="Times New Roman" w:cs="Times New Roman"/>
          <w:u w:val="single"/>
        </w:rPr>
        <w:t>Open Buffalo</w:t>
      </w:r>
    </w:p>
    <w:p w14:paraId="319FA744"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 xml:space="preserve">Through the collaboration of four local community groups: Coalition for Economic Justice, Partnership for the Public Good, PUSH Buffalo, and VOICE Buffalo, Buffalo was chosen by the philanthropic </w:t>
      </w:r>
      <w:proofErr w:type="spellStart"/>
      <w:r>
        <w:rPr>
          <w:rFonts w:ascii="Times New Roman" w:hAnsi="Times New Roman" w:cs="Times New Roman"/>
        </w:rPr>
        <w:t>grantmaking</w:t>
      </w:r>
      <w:proofErr w:type="spellEnd"/>
      <w:r>
        <w:rPr>
          <w:rFonts w:ascii="Times New Roman" w:hAnsi="Times New Roman" w:cs="Times New Roman"/>
        </w:rPr>
        <w:t xml:space="preserve"> organization Open Society Foundations for its Open Places Initiative in 2014. These groups brought attention to the work necessary and possible in Buffalo through a community process that engaged everyone from residents, activists, government officials, and local foundations to answer the question “How do we create a more open Buffalo?” A plan was created out of the answers received, and it won Buffalo a national grant from Open Society Foundations to begin implementation. Open Buffalo was started in 2014 as a non-profit working in the city to create long-term improvements in justice and equity.</w:t>
      </w:r>
      <w:r w:rsidRPr="0026446B">
        <w:rPr>
          <w:rFonts w:ascii="Times New Roman" w:hAnsi="Times New Roman" w:cs="Times New Roman"/>
        </w:rPr>
        <w:t xml:space="preserve"> </w:t>
      </w:r>
      <w:r>
        <w:rPr>
          <w:rFonts w:ascii="Times New Roman" w:hAnsi="Times New Roman" w:cs="Times New Roman"/>
        </w:rPr>
        <w:t>This agency’s mission is to guide systemic changes which can create a more “open” city for Buffalo residents by providing leadership development, media and policy coordination, support to social and economic justice organizations and campaigns, and facilitation of action-oriented community research.</w:t>
      </w:r>
      <w:r w:rsidRPr="00F3497A">
        <w:rPr>
          <w:rStyle w:val="FootnoteReference"/>
        </w:rPr>
        <w:footnoteReference w:id="119"/>
      </w:r>
      <w:r>
        <w:rPr>
          <w:rFonts w:ascii="Times New Roman" w:hAnsi="Times New Roman" w:cs="Times New Roman"/>
        </w:rPr>
        <w:t xml:space="preserve"> </w:t>
      </w:r>
    </w:p>
    <w:p w14:paraId="54E0A86E"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 xml:space="preserve">Open Buffalo seeks to increase community capacity for positive change through four strategies. Arts Integration creates new spaces and partnerships to raise up both art and activism, </w:t>
      </w:r>
      <w:r>
        <w:rPr>
          <w:rFonts w:ascii="Times New Roman" w:hAnsi="Times New Roman" w:cs="Times New Roman"/>
        </w:rPr>
        <w:lastRenderedPageBreak/>
        <w:t>which will help change the stories Buffalo tells itself, and the world. The Innovation Lab generates new ideas through research, and drafts new laws and policies for Buffalo. Leadership Development works to train residents to mobilize their own communities around issues of equity, and to take leadership roles in community, government, and nonprofit sectors. The Restorative Justice strategy is working to bring neighborhood-based solutions to conflicts by gathering all the affected stakeholders to discuss an injustice and its effects, and decide together what should be done to repair the harm.</w:t>
      </w:r>
      <w:r w:rsidRPr="00F3497A">
        <w:rPr>
          <w:rStyle w:val="FootnoteReference"/>
        </w:rPr>
        <w:footnoteReference w:id="120"/>
      </w:r>
    </w:p>
    <w:p w14:paraId="49AA5DCD"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The organization’s issue-based work in social and economic justice tackles two main categories that were identified as necessary to create an open city for all Buffalo’s inhabitants. High Road Economic Development utilizes practices that ensure the community benefits from economic development through quality jobs, education and training, local and minority business opportunities, and green design to address poverty inequity and training needs among workers. Justice and Opportunity is working with residents, community-based organizations, and the local criminal justice and corrections systems to create safer neighborhoods and community-oriented policing practices in Buffalo.</w:t>
      </w:r>
      <w:r w:rsidRPr="00F3497A">
        <w:rPr>
          <w:rStyle w:val="FootnoteReference"/>
        </w:rPr>
        <w:footnoteReference w:id="121"/>
      </w:r>
      <w:r>
        <w:rPr>
          <w:rFonts w:ascii="Times New Roman" w:hAnsi="Times New Roman" w:cs="Times New Roman"/>
        </w:rPr>
        <w:t xml:space="preserve"> </w:t>
      </w:r>
    </w:p>
    <w:p w14:paraId="27DD5325" w14:textId="77777777" w:rsidR="001F1BB7" w:rsidRPr="00D960DD" w:rsidRDefault="001F1BB7" w:rsidP="001F1BB7">
      <w:pPr>
        <w:spacing w:line="480" w:lineRule="auto"/>
        <w:ind w:firstLine="720"/>
        <w:rPr>
          <w:rFonts w:ascii="Times New Roman" w:hAnsi="Times New Roman" w:cs="Times New Roman"/>
        </w:rPr>
      </w:pPr>
    </w:p>
    <w:p w14:paraId="70CB8BD4" w14:textId="77777777" w:rsidR="001F1BB7" w:rsidRPr="00724C44" w:rsidRDefault="001F1BB7" w:rsidP="001F1BB7">
      <w:pPr>
        <w:spacing w:line="480" w:lineRule="auto"/>
        <w:rPr>
          <w:rFonts w:ascii="Times New Roman" w:hAnsi="Times New Roman" w:cs="Times New Roman"/>
          <w:u w:val="single"/>
        </w:rPr>
      </w:pPr>
      <w:r w:rsidRPr="00724C44">
        <w:rPr>
          <w:rFonts w:ascii="Times New Roman" w:hAnsi="Times New Roman" w:cs="Times New Roman"/>
          <w:u w:val="single"/>
        </w:rPr>
        <w:t>Partnership for the Public Good</w:t>
      </w:r>
    </w:p>
    <w:p w14:paraId="4BC0389B" w14:textId="77777777" w:rsidR="001F1BB7" w:rsidRPr="0031106A" w:rsidRDefault="001F1BB7" w:rsidP="001F1BB7">
      <w:pPr>
        <w:spacing w:line="480" w:lineRule="auto"/>
        <w:ind w:firstLine="720"/>
        <w:rPr>
          <w:rFonts w:ascii="Times New Roman" w:hAnsi="Times New Roman" w:cs="Times New Roman"/>
        </w:rPr>
      </w:pPr>
      <w:r>
        <w:rPr>
          <w:rFonts w:ascii="Times New Roman" w:hAnsi="Times New Roman" w:cs="Times New Roman"/>
        </w:rPr>
        <w:t xml:space="preserve">Partnership for the Public Good (PPG) describes themselves as a community-based think tank that provides research and advocacy to local partners. While their work broadly covers many issues impacting the Buffalo Niagara region, one of the core pieces is a Community Agenda, published yearly, that emphasizes ten ways state and local government can act to </w:t>
      </w:r>
      <w:r>
        <w:rPr>
          <w:rFonts w:ascii="Times New Roman" w:hAnsi="Times New Roman" w:cs="Times New Roman"/>
        </w:rPr>
        <w:lastRenderedPageBreak/>
        <w:t>improve the region in the coming year.</w:t>
      </w:r>
      <w:r w:rsidRPr="00F3497A">
        <w:rPr>
          <w:rStyle w:val="FootnoteReference"/>
        </w:rPr>
        <w:footnoteReference w:id="122"/>
      </w:r>
      <w:r>
        <w:rPr>
          <w:rFonts w:ascii="Times New Roman" w:hAnsi="Times New Roman" w:cs="Times New Roman"/>
        </w:rPr>
        <w:t xml:space="preserve"> PPG also collaborates with Cornell University to host Buffalo Commons, an open access digital library of research about western New York.</w:t>
      </w:r>
      <w:r w:rsidRPr="00F3497A">
        <w:rPr>
          <w:rStyle w:val="FootnoteReference"/>
        </w:rPr>
        <w:footnoteReference w:id="123"/>
      </w:r>
      <w:r>
        <w:rPr>
          <w:rFonts w:ascii="Times New Roman" w:hAnsi="Times New Roman" w:cs="Times New Roman"/>
        </w:rPr>
        <w:t xml:space="preserve"> Through the library, which also has a physical presence in Buffalo for collaborators or educators to conduct research and classes, PPG and its partner organizations offer free workshops for residents to learn how to better engage with policy actions in Buffalo. For example, the first half of 2019 has workshops on “Writing for the Media: Letters to the Editor, Op-Eds, and Press Releases,” “Research Tools for Organizers,” and “LGBTQ Cultural Competency Training,” among others.</w:t>
      </w:r>
      <w:r w:rsidRPr="00F3497A">
        <w:rPr>
          <w:rStyle w:val="FootnoteReference"/>
        </w:rPr>
        <w:footnoteReference w:id="124"/>
      </w:r>
      <w:r>
        <w:rPr>
          <w:rFonts w:ascii="Times New Roman" w:hAnsi="Times New Roman" w:cs="Times New Roman"/>
        </w:rPr>
        <w:t xml:space="preserve"> Believing that an educated citizenry will be a more engaged citizenry, PPG has organized an incredible resource, and important tool, for Buffalo Niagara residents and organizers to facilitate empowerment within their own communities.</w:t>
      </w:r>
    </w:p>
    <w:p w14:paraId="0A91AB33" w14:textId="77777777" w:rsidR="001F1BB7" w:rsidRDefault="001F1BB7" w:rsidP="005C6707">
      <w:pPr>
        <w:spacing w:line="480" w:lineRule="auto"/>
        <w:rPr>
          <w:rFonts w:ascii="Times New Roman" w:hAnsi="Times New Roman" w:cs="Times New Roman"/>
          <w:u w:val="single"/>
        </w:rPr>
      </w:pPr>
    </w:p>
    <w:p w14:paraId="11618039" w14:textId="7BB8BA43" w:rsidR="001F1BB7" w:rsidRPr="00724C44" w:rsidRDefault="00347F95" w:rsidP="001F1BB7">
      <w:pPr>
        <w:spacing w:line="480" w:lineRule="auto"/>
        <w:jc w:val="center"/>
        <w:rPr>
          <w:rFonts w:ascii="Times New Roman" w:hAnsi="Times New Roman" w:cs="Times New Roman"/>
          <w:u w:val="single"/>
        </w:rPr>
      </w:pPr>
      <w:r>
        <w:rPr>
          <w:rFonts w:ascii="Times New Roman" w:hAnsi="Times New Roman" w:cs="Times New Roman"/>
          <w:u w:val="single"/>
        </w:rPr>
        <w:t>Introduction of S</w:t>
      </w:r>
      <w:r w:rsidR="001F1BB7" w:rsidRPr="00724C44">
        <w:rPr>
          <w:rFonts w:ascii="Times New Roman" w:hAnsi="Times New Roman" w:cs="Times New Roman"/>
          <w:u w:val="single"/>
        </w:rPr>
        <w:t>ample Buffalo Neighborhoods Impacted by Recent Reinvestment</w:t>
      </w:r>
    </w:p>
    <w:p w14:paraId="6480C320" w14:textId="139366F9" w:rsidR="001F1BB7" w:rsidRDefault="001F1BB7" w:rsidP="001F1BB7">
      <w:pPr>
        <w:spacing w:line="480" w:lineRule="auto"/>
        <w:rPr>
          <w:rFonts w:ascii="Times New Roman" w:hAnsi="Times New Roman" w:cs="Times New Roman"/>
        </w:rPr>
      </w:pPr>
      <w:r>
        <w:rPr>
          <w:rFonts w:ascii="Times New Roman" w:hAnsi="Times New Roman" w:cs="Times New Roman"/>
          <w:i/>
        </w:rPr>
        <w:tab/>
      </w:r>
      <w:r>
        <w:rPr>
          <w:rFonts w:ascii="Times New Roman" w:hAnsi="Times New Roman" w:cs="Times New Roman"/>
        </w:rPr>
        <w:t>Buffalo is known as the “City of Good Neighbors” for good reason. Buffalo recognizes thirty-two distinct neighborhoods within city limits</w:t>
      </w:r>
      <w:r w:rsidR="00112754">
        <w:rPr>
          <w:rFonts w:ascii="Times New Roman" w:hAnsi="Times New Roman" w:cs="Times New Roman"/>
        </w:rPr>
        <w:t xml:space="preserve"> (Fig. 3)</w:t>
      </w:r>
      <w:r>
        <w:rPr>
          <w:rFonts w:ascii="Times New Roman" w:hAnsi="Times New Roman" w:cs="Times New Roman"/>
        </w:rPr>
        <w:t>. Each neighborhood represents a unique history of its own, which then affects its current character. Because of Buffalo’s economic and population struggles, neighborhoods in Buffalo unevenly show signs of disinvestment and revitalization. This thesis will focus on two neighborhoods, each of which are in a different place in their revitalization</w:t>
      </w:r>
      <w:r w:rsidR="00CC346F">
        <w:rPr>
          <w:rFonts w:ascii="Times New Roman" w:hAnsi="Times New Roman" w:cs="Times New Roman"/>
        </w:rPr>
        <w:t xml:space="preserve"> using</w:t>
      </w:r>
      <w:r>
        <w:rPr>
          <w:rFonts w:ascii="Times New Roman" w:hAnsi="Times New Roman" w:cs="Times New Roman"/>
        </w:rPr>
        <w:t xml:space="preserve"> different techniques and strategies to catalyze change </w:t>
      </w:r>
      <w:r w:rsidR="00CC346F">
        <w:rPr>
          <w:rFonts w:ascii="Times New Roman" w:hAnsi="Times New Roman" w:cs="Times New Roman"/>
        </w:rPr>
        <w:t>with</w:t>
      </w:r>
      <w:r>
        <w:rPr>
          <w:rFonts w:ascii="Times New Roman" w:hAnsi="Times New Roman" w:cs="Times New Roman"/>
        </w:rPr>
        <w:t xml:space="preserve">in their neighborhoods. </w:t>
      </w:r>
    </w:p>
    <w:p w14:paraId="3ACA9A36" w14:textId="6C213258" w:rsidR="001F1BB7" w:rsidRPr="006E7BD2" w:rsidRDefault="001F1BB7" w:rsidP="001F1BB7">
      <w:pPr>
        <w:spacing w:line="480" w:lineRule="auto"/>
        <w:rPr>
          <w:rFonts w:ascii="Times New Roman" w:hAnsi="Times New Roman" w:cs="Times New Roman"/>
        </w:rPr>
      </w:pPr>
    </w:p>
    <w:p w14:paraId="098ADF90" w14:textId="60A016A3" w:rsidR="001F1BB7" w:rsidRDefault="001F1BB7" w:rsidP="001F1BB7">
      <w:pPr>
        <w:spacing w:line="480" w:lineRule="auto"/>
        <w:rPr>
          <w:rFonts w:ascii="Times New Roman" w:hAnsi="Times New Roman" w:cs="Times New Roman"/>
          <w:u w:val="single"/>
        </w:rPr>
      </w:pPr>
    </w:p>
    <w:p w14:paraId="2FAF57E7" w14:textId="257F3432" w:rsidR="001F1BB7" w:rsidRDefault="00A346E9" w:rsidP="001F1BB7">
      <w:pPr>
        <w:spacing w:line="480" w:lineRule="auto"/>
        <w:rPr>
          <w:rFonts w:ascii="Times New Roman" w:hAnsi="Times New Roman" w:cs="Times New Roman"/>
          <w:u w:val="single"/>
        </w:rPr>
      </w:pPr>
      <w:r>
        <w:rPr>
          <w:rFonts w:ascii="Times New Roman" w:hAnsi="Times New Roman" w:cs="Times New Roman"/>
          <w:noProof/>
        </w:rPr>
        <w:drawing>
          <wp:anchor distT="0" distB="0" distL="114300" distR="114300" simplePos="0" relativeHeight="251663360" behindDoc="0" locked="0" layoutInCell="1" allowOverlap="1" wp14:anchorId="399E69A7" wp14:editId="78C13C9A">
            <wp:simplePos x="0" y="0"/>
            <wp:positionH relativeFrom="margin">
              <wp:align>center</wp:align>
            </wp:positionH>
            <wp:positionV relativeFrom="margin">
              <wp:align>center</wp:align>
            </wp:positionV>
            <wp:extent cx="3952694" cy="5120640"/>
            <wp:effectExtent l="25400" t="25400" r="35560" b="35560"/>
            <wp:wrapTight wrapText="bothSides">
              <wp:wrapPolygon edited="0">
                <wp:start x="-139" y="-107"/>
                <wp:lineTo x="-139" y="21643"/>
                <wp:lineTo x="21656" y="21643"/>
                <wp:lineTo x="21656" y="-107"/>
                <wp:lineTo x="-139" y="-107"/>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 Shot 2019-02-24 at 3.38.36 PM.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952694" cy="512064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74CC026B" w14:textId="20F9AD6F" w:rsidR="001F1BB7" w:rsidRDefault="001F1BB7" w:rsidP="001F1BB7">
      <w:pPr>
        <w:spacing w:line="480" w:lineRule="auto"/>
        <w:rPr>
          <w:rFonts w:ascii="Times New Roman" w:hAnsi="Times New Roman" w:cs="Times New Roman"/>
          <w:u w:val="single"/>
        </w:rPr>
      </w:pPr>
    </w:p>
    <w:p w14:paraId="5185CA57" w14:textId="05686FB7" w:rsidR="001F1BB7" w:rsidRDefault="001F1BB7" w:rsidP="001F1BB7">
      <w:pPr>
        <w:spacing w:line="480" w:lineRule="auto"/>
        <w:rPr>
          <w:rFonts w:ascii="Times New Roman" w:hAnsi="Times New Roman" w:cs="Times New Roman"/>
          <w:u w:val="single"/>
        </w:rPr>
      </w:pPr>
    </w:p>
    <w:p w14:paraId="14B05508" w14:textId="1E234F99" w:rsidR="001F1BB7" w:rsidRDefault="001F1BB7" w:rsidP="001F1BB7">
      <w:pPr>
        <w:spacing w:line="480" w:lineRule="auto"/>
        <w:rPr>
          <w:rFonts w:ascii="Times New Roman" w:hAnsi="Times New Roman" w:cs="Times New Roman"/>
          <w:u w:val="single"/>
        </w:rPr>
      </w:pPr>
    </w:p>
    <w:p w14:paraId="4BBADD30" w14:textId="3F6753C4" w:rsidR="001F1BB7" w:rsidRDefault="001F1BB7" w:rsidP="001F1BB7">
      <w:pPr>
        <w:spacing w:line="480" w:lineRule="auto"/>
        <w:rPr>
          <w:rFonts w:ascii="Times New Roman" w:hAnsi="Times New Roman" w:cs="Times New Roman"/>
          <w:u w:val="single"/>
        </w:rPr>
      </w:pPr>
    </w:p>
    <w:p w14:paraId="5AC446A3" w14:textId="541BF08D" w:rsidR="001F1BB7" w:rsidRDefault="001F1BB7" w:rsidP="001F1BB7">
      <w:pPr>
        <w:spacing w:line="480" w:lineRule="auto"/>
        <w:rPr>
          <w:rFonts w:ascii="Times New Roman" w:hAnsi="Times New Roman" w:cs="Times New Roman"/>
          <w:u w:val="single"/>
        </w:rPr>
      </w:pPr>
    </w:p>
    <w:p w14:paraId="36D6D101" w14:textId="7EFBDDF7" w:rsidR="001F1BB7" w:rsidRDefault="001F1BB7" w:rsidP="001F1BB7">
      <w:pPr>
        <w:spacing w:line="480" w:lineRule="auto"/>
        <w:rPr>
          <w:rFonts w:ascii="Times New Roman" w:hAnsi="Times New Roman" w:cs="Times New Roman"/>
          <w:u w:val="single"/>
        </w:rPr>
      </w:pPr>
    </w:p>
    <w:p w14:paraId="6A1CDB84" w14:textId="2C5119AE" w:rsidR="001F1BB7" w:rsidRDefault="001F1BB7" w:rsidP="001F1BB7">
      <w:pPr>
        <w:spacing w:line="480" w:lineRule="auto"/>
        <w:rPr>
          <w:rFonts w:ascii="Times New Roman" w:hAnsi="Times New Roman" w:cs="Times New Roman"/>
          <w:u w:val="single"/>
        </w:rPr>
      </w:pPr>
    </w:p>
    <w:p w14:paraId="701E5415" w14:textId="480B8967" w:rsidR="001F1BB7" w:rsidRDefault="001F1BB7" w:rsidP="001F1BB7">
      <w:pPr>
        <w:spacing w:line="480" w:lineRule="auto"/>
        <w:rPr>
          <w:rFonts w:ascii="Times New Roman" w:hAnsi="Times New Roman" w:cs="Times New Roman"/>
          <w:u w:val="single"/>
        </w:rPr>
      </w:pPr>
    </w:p>
    <w:p w14:paraId="0A92BE56" w14:textId="3E115844" w:rsidR="00112754" w:rsidRDefault="00112754" w:rsidP="001F1BB7">
      <w:pPr>
        <w:spacing w:line="480" w:lineRule="auto"/>
        <w:rPr>
          <w:rFonts w:ascii="Times New Roman" w:hAnsi="Times New Roman" w:cs="Times New Roman"/>
          <w:u w:val="single"/>
        </w:rPr>
      </w:pPr>
    </w:p>
    <w:p w14:paraId="6E4C1572" w14:textId="6C87AD62" w:rsidR="00112754" w:rsidRDefault="00112754" w:rsidP="001F1BB7">
      <w:pPr>
        <w:spacing w:line="480" w:lineRule="auto"/>
        <w:rPr>
          <w:rFonts w:ascii="Times New Roman" w:hAnsi="Times New Roman" w:cs="Times New Roman"/>
          <w:u w:val="single"/>
        </w:rPr>
      </w:pPr>
    </w:p>
    <w:p w14:paraId="7B3E67A1" w14:textId="0969E73F" w:rsidR="005C6707" w:rsidRDefault="005C6707" w:rsidP="001F1BB7">
      <w:pPr>
        <w:spacing w:line="480" w:lineRule="auto"/>
        <w:rPr>
          <w:rFonts w:ascii="Times New Roman" w:hAnsi="Times New Roman" w:cs="Times New Roman"/>
          <w:u w:val="single"/>
        </w:rPr>
      </w:pPr>
    </w:p>
    <w:p w14:paraId="241A7584" w14:textId="56295726" w:rsidR="005C6707" w:rsidRDefault="005C6707" w:rsidP="001F1BB7">
      <w:pPr>
        <w:spacing w:line="480" w:lineRule="auto"/>
        <w:rPr>
          <w:rFonts w:ascii="Times New Roman" w:hAnsi="Times New Roman" w:cs="Times New Roman"/>
          <w:u w:val="single"/>
        </w:rPr>
      </w:pPr>
    </w:p>
    <w:p w14:paraId="261AFD54" w14:textId="7ADC8FB0" w:rsidR="005C6707" w:rsidRDefault="005C6707" w:rsidP="001F1BB7">
      <w:pPr>
        <w:spacing w:line="480" w:lineRule="auto"/>
        <w:rPr>
          <w:rFonts w:ascii="Times New Roman" w:hAnsi="Times New Roman" w:cs="Times New Roman"/>
          <w:u w:val="single"/>
        </w:rPr>
      </w:pPr>
    </w:p>
    <w:p w14:paraId="74755814" w14:textId="7CE9A77B" w:rsidR="005C6707" w:rsidRDefault="005C6707" w:rsidP="001F1BB7">
      <w:pPr>
        <w:spacing w:line="480" w:lineRule="auto"/>
        <w:rPr>
          <w:rFonts w:ascii="Times New Roman" w:hAnsi="Times New Roman" w:cs="Times New Roman"/>
          <w:u w:val="single"/>
        </w:rPr>
      </w:pPr>
    </w:p>
    <w:p w14:paraId="54C0EBEE" w14:textId="1347AC59" w:rsidR="005C6707" w:rsidRDefault="005C6707" w:rsidP="001F1BB7">
      <w:pPr>
        <w:spacing w:line="480" w:lineRule="auto"/>
        <w:rPr>
          <w:rFonts w:ascii="Times New Roman" w:hAnsi="Times New Roman" w:cs="Times New Roman"/>
          <w:u w:val="single"/>
        </w:rPr>
      </w:pPr>
    </w:p>
    <w:p w14:paraId="0827DC43" w14:textId="54B6D365" w:rsidR="005C6707" w:rsidRDefault="005C6707" w:rsidP="001F1BB7">
      <w:pPr>
        <w:spacing w:line="480" w:lineRule="auto"/>
        <w:rPr>
          <w:rFonts w:ascii="Times New Roman" w:hAnsi="Times New Roman" w:cs="Times New Roman"/>
          <w:u w:val="single"/>
        </w:rPr>
      </w:pPr>
    </w:p>
    <w:p w14:paraId="7C399ECC" w14:textId="04A087FC" w:rsidR="005C6707" w:rsidRDefault="00A346E9" w:rsidP="001F1BB7">
      <w:pPr>
        <w:spacing w:line="480" w:lineRule="auto"/>
        <w:rPr>
          <w:rFonts w:ascii="Times New Roman" w:hAnsi="Times New Roman" w:cs="Times New Roman"/>
          <w:u w:val="single"/>
        </w:rPr>
      </w:pPr>
      <w:r>
        <w:rPr>
          <w:noProof/>
        </w:rPr>
        <mc:AlternateContent>
          <mc:Choice Requires="wps">
            <w:drawing>
              <wp:anchor distT="0" distB="0" distL="114300" distR="114300" simplePos="0" relativeHeight="251664384" behindDoc="0" locked="0" layoutInCell="1" allowOverlap="1" wp14:anchorId="2D35783E" wp14:editId="4FF8DC81">
                <wp:simplePos x="0" y="0"/>
                <wp:positionH relativeFrom="margin">
                  <wp:align>center</wp:align>
                </wp:positionH>
                <wp:positionV relativeFrom="paragraph">
                  <wp:posOffset>84455</wp:posOffset>
                </wp:positionV>
                <wp:extent cx="3886200" cy="332740"/>
                <wp:effectExtent l="0" t="0" r="0" b="0"/>
                <wp:wrapTight wrapText="bothSides">
                  <wp:wrapPolygon edited="0">
                    <wp:start x="0" y="0"/>
                    <wp:lineTo x="0" y="19786"/>
                    <wp:lineTo x="21459" y="19786"/>
                    <wp:lineTo x="21459" y="0"/>
                    <wp:lineTo x="0" y="0"/>
                  </wp:wrapPolygon>
                </wp:wrapTight>
                <wp:docPr id="6" name="Text Box 6"/>
                <wp:cNvGraphicFramePr/>
                <a:graphic xmlns:a="http://schemas.openxmlformats.org/drawingml/2006/main">
                  <a:graphicData uri="http://schemas.microsoft.com/office/word/2010/wordprocessingShape">
                    <wps:wsp>
                      <wps:cNvSpPr txBox="1"/>
                      <wps:spPr>
                        <a:xfrm>
                          <a:off x="0" y="0"/>
                          <a:ext cx="3886200" cy="332740"/>
                        </a:xfrm>
                        <a:prstGeom prst="rect">
                          <a:avLst/>
                        </a:prstGeom>
                        <a:solidFill>
                          <a:prstClr val="white"/>
                        </a:solidFill>
                        <a:ln>
                          <a:noFill/>
                        </a:ln>
                        <a:effectLst/>
                      </wps:spPr>
                      <wps:txbx>
                        <w:txbxContent>
                          <w:p w14:paraId="1A92A2A9" w14:textId="23C1CE93" w:rsidR="000C0771" w:rsidRPr="00347F95" w:rsidRDefault="000C0771" w:rsidP="001F1BB7">
                            <w:pPr>
                              <w:pStyle w:val="Caption"/>
                              <w:rPr>
                                <w:rFonts w:ascii="Times New Roman" w:hAnsi="Times New Roman" w:cs="Times New Roman"/>
                                <w:noProof/>
                                <w:color w:val="000000" w:themeColor="text1"/>
                              </w:rPr>
                            </w:pPr>
                            <w:bookmarkStart w:id="11" w:name="_Toc8423831"/>
                            <w:r w:rsidRPr="00347F95">
                              <w:rPr>
                                <w:rFonts w:ascii="Times New Roman" w:hAnsi="Times New Roman" w:cs="Times New Roman"/>
                                <w:color w:val="000000" w:themeColor="text1"/>
                              </w:rPr>
                              <w:t>Figure 3: Map of Buffalo neighborhoods from the “Green Code: Land Use Plan, City of Buffalo”</w:t>
                            </w:r>
                            <w:bookmarkEnd w:id="1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35783E" id="Text Box 6" o:spid="_x0000_s1028" type="#_x0000_t202" style="position:absolute;margin-left:0;margin-top:6.65pt;width:306pt;height:26.2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" stroked="f">
                <v:textbox inset="0,0,0,0">
                  <w:txbxContent>
                    <w:p w14:paraId="1A92A2A9" w14:textId="23C1CE93" w:rsidR="000C0771" w:rsidRPr="00347F95" w:rsidRDefault="000C0771" w:rsidP="001F1BB7">
                      <w:pPr>
                        <w:pStyle w:val="Caption"/>
                        <w:rPr>
                          <w:rFonts w:ascii="Times New Roman" w:hAnsi="Times New Roman" w:cs="Times New Roman"/>
                          <w:noProof/>
                          <w:color w:val="000000" w:themeColor="text1"/>
                        </w:rPr>
                      </w:pPr>
                      <w:bookmarkStart w:id="12" w:name="_Toc8423831"/>
                      <w:r w:rsidRPr="00347F95">
                        <w:rPr>
                          <w:rFonts w:ascii="Times New Roman" w:hAnsi="Times New Roman" w:cs="Times New Roman"/>
                          <w:color w:val="000000" w:themeColor="text1"/>
                        </w:rPr>
                        <w:t>Figure 3: Map of Buffalo neighborhoods from the “Green Code: Land Use Plan, City of Buffalo”</w:t>
                      </w:r>
                      <w:bookmarkEnd w:id="12"/>
                    </w:p>
                  </w:txbxContent>
                </v:textbox>
                <w10:wrap type="tight" anchorx="margin"/>
              </v:shape>
            </w:pict>
          </mc:Fallback>
        </mc:AlternateContent>
      </w:r>
    </w:p>
    <w:p w14:paraId="498DFB9C" w14:textId="6889AC36" w:rsidR="005C6707" w:rsidRDefault="005C6707" w:rsidP="001F1BB7">
      <w:pPr>
        <w:spacing w:line="480" w:lineRule="auto"/>
        <w:rPr>
          <w:rFonts w:ascii="Times New Roman" w:hAnsi="Times New Roman" w:cs="Times New Roman"/>
          <w:u w:val="single"/>
        </w:rPr>
      </w:pPr>
    </w:p>
    <w:p w14:paraId="66FA611E" w14:textId="3BFF331E" w:rsidR="005C6707" w:rsidRDefault="005C6707" w:rsidP="001F1BB7">
      <w:pPr>
        <w:spacing w:line="480" w:lineRule="auto"/>
        <w:rPr>
          <w:rFonts w:ascii="Times New Roman" w:hAnsi="Times New Roman" w:cs="Times New Roman"/>
          <w:u w:val="single"/>
        </w:rPr>
      </w:pPr>
    </w:p>
    <w:p w14:paraId="2E6CA6BF" w14:textId="77777777" w:rsidR="005C6707" w:rsidRDefault="005C6707" w:rsidP="001F1BB7">
      <w:pPr>
        <w:spacing w:line="480" w:lineRule="auto"/>
        <w:rPr>
          <w:rFonts w:ascii="Times New Roman" w:hAnsi="Times New Roman" w:cs="Times New Roman"/>
          <w:u w:val="single"/>
        </w:rPr>
      </w:pPr>
    </w:p>
    <w:p w14:paraId="568C9081" w14:textId="77777777" w:rsidR="001F1BB7" w:rsidRPr="00724C44" w:rsidRDefault="001F1BB7" w:rsidP="001F1BB7">
      <w:pPr>
        <w:spacing w:line="480" w:lineRule="auto"/>
        <w:rPr>
          <w:rFonts w:ascii="Times New Roman" w:hAnsi="Times New Roman" w:cs="Times New Roman"/>
          <w:u w:val="single"/>
        </w:rPr>
      </w:pPr>
      <w:r w:rsidRPr="00724C44">
        <w:rPr>
          <w:rFonts w:ascii="Times New Roman" w:hAnsi="Times New Roman" w:cs="Times New Roman"/>
          <w:u w:val="single"/>
        </w:rPr>
        <w:lastRenderedPageBreak/>
        <w:t>Elmwood Historic District</w:t>
      </w:r>
    </w:p>
    <w:p w14:paraId="69908DD6" w14:textId="18E20CEB" w:rsidR="001F1BB7" w:rsidRDefault="001F1BB7" w:rsidP="001F1BB7">
      <w:pPr>
        <w:spacing w:line="480" w:lineRule="auto"/>
        <w:ind w:firstLine="720"/>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6432" behindDoc="0" locked="0" layoutInCell="1" allowOverlap="1" wp14:anchorId="1B9E4537" wp14:editId="21D21B2F">
                <wp:simplePos x="0" y="0"/>
                <wp:positionH relativeFrom="column">
                  <wp:posOffset>930113</wp:posOffset>
                </wp:positionH>
                <wp:positionV relativeFrom="paragraph">
                  <wp:posOffset>1992970</wp:posOffset>
                </wp:positionV>
                <wp:extent cx="346426" cy="715223"/>
                <wp:effectExtent l="0" t="25400" r="60325" b="46990"/>
                <wp:wrapThrough wrapText="bothSides">
                  <wp:wrapPolygon edited="0">
                    <wp:start x="4756" y="-767"/>
                    <wp:lineTo x="0" y="2302"/>
                    <wp:lineTo x="0" y="13044"/>
                    <wp:lineTo x="7927" y="22252"/>
                    <wp:lineTo x="14268" y="22252"/>
                    <wp:lineTo x="23780" y="13044"/>
                    <wp:lineTo x="23780" y="5371"/>
                    <wp:lineTo x="22194" y="3069"/>
                    <wp:lineTo x="15853" y="-767"/>
                    <wp:lineTo x="4756" y="-767"/>
                  </wp:wrapPolygon>
                </wp:wrapThrough>
                <wp:docPr id="7" name="Freeform 7"/>
                <wp:cNvGraphicFramePr/>
                <a:graphic xmlns:a="http://schemas.openxmlformats.org/drawingml/2006/main">
                  <a:graphicData uri="http://schemas.microsoft.com/office/word/2010/wordprocessingShape">
                    <wps:wsp>
                      <wps:cNvSpPr/>
                      <wps:spPr>
                        <a:xfrm>
                          <a:off x="0" y="0"/>
                          <a:ext cx="346426" cy="715223"/>
                        </a:xfrm>
                        <a:custGeom>
                          <a:avLst/>
                          <a:gdLst>
                            <a:gd name="connsiteX0" fmla="*/ 183463 w 346426"/>
                            <a:gd name="connsiteY0" fmla="*/ 715223 h 715223"/>
                            <a:gd name="connsiteX1" fmla="*/ 183463 w 346426"/>
                            <a:gd name="connsiteY1" fmla="*/ 715223 h 715223"/>
                            <a:gd name="connsiteX2" fmla="*/ 101982 w 346426"/>
                            <a:gd name="connsiteY2" fmla="*/ 606582 h 715223"/>
                            <a:gd name="connsiteX3" fmla="*/ 92929 w 346426"/>
                            <a:gd name="connsiteY3" fmla="*/ 579421 h 715223"/>
                            <a:gd name="connsiteX4" fmla="*/ 83875 w 346426"/>
                            <a:gd name="connsiteY4" fmla="*/ 552261 h 715223"/>
                            <a:gd name="connsiteX5" fmla="*/ 65768 w 346426"/>
                            <a:gd name="connsiteY5" fmla="*/ 461726 h 715223"/>
                            <a:gd name="connsiteX6" fmla="*/ 47661 w 346426"/>
                            <a:gd name="connsiteY6" fmla="*/ 407405 h 715223"/>
                            <a:gd name="connsiteX7" fmla="*/ 29554 w 346426"/>
                            <a:gd name="connsiteY7" fmla="*/ 380245 h 715223"/>
                            <a:gd name="connsiteX8" fmla="*/ 11447 w 346426"/>
                            <a:gd name="connsiteY8" fmla="*/ 325924 h 715223"/>
                            <a:gd name="connsiteX9" fmla="*/ 2394 w 346426"/>
                            <a:gd name="connsiteY9" fmla="*/ 298764 h 715223"/>
                            <a:gd name="connsiteX10" fmla="*/ 29554 w 346426"/>
                            <a:gd name="connsiteY10" fmla="*/ 117695 h 715223"/>
                            <a:gd name="connsiteX11" fmla="*/ 56715 w 346426"/>
                            <a:gd name="connsiteY11" fmla="*/ 99588 h 715223"/>
                            <a:gd name="connsiteX12" fmla="*/ 101982 w 346426"/>
                            <a:gd name="connsiteY12" fmla="*/ 54320 h 715223"/>
                            <a:gd name="connsiteX13" fmla="*/ 120089 w 346426"/>
                            <a:gd name="connsiteY13" fmla="*/ 27160 h 715223"/>
                            <a:gd name="connsiteX14" fmla="*/ 147249 w 346426"/>
                            <a:gd name="connsiteY14" fmla="*/ 18106 h 715223"/>
                            <a:gd name="connsiteX15" fmla="*/ 174410 w 346426"/>
                            <a:gd name="connsiteY15" fmla="*/ 0 h 715223"/>
                            <a:gd name="connsiteX16" fmla="*/ 264944 w 346426"/>
                            <a:gd name="connsiteY16" fmla="*/ 90534 h 715223"/>
                            <a:gd name="connsiteX17" fmla="*/ 292105 w 346426"/>
                            <a:gd name="connsiteY17" fmla="*/ 108641 h 715223"/>
                            <a:gd name="connsiteX18" fmla="*/ 319265 w 346426"/>
                            <a:gd name="connsiteY18" fmla="*/ 162962 h 715223"/>
                            <a:gd name="connsiteX19" fmla="*/ 346426 w 346426"/>
                            <a:gd name="connsiteY19" fmla="*/ 217283 h 715223"/>
                            <a:gd name="connsiteX20" fmla="*/ 337372 w 346426"/>
                            <a:gd name="connsiteY20" fmla="*/ 316871 h 715223"/>
                            <a:gd name="connsiteX21" fmla="*/ 319265 w 346426"/>
                            <a:gd name="connsiteY21" fmla="*/ 371192 h 715223"/>
                            <a:gd name="connsiteX22" fmla="*/ 301158 w 346426"/>
                            <a:gd name="connsiteY22" fmla="*/ 470780 h 715223"/>
                            <a:gd name="connsiteX23" fmla="*/ 283051 w 346426"/>
                            <a:gd name="connsiteY23" fmla="*/ 525100 h 715223"/>
                            <a:gd name="connsiteX24" fmla="*/ 273998 w 346426"/>
                            <a:gd name="connsiteY24" fmla="*/ 552261 h 715223"/>
                            <a:gd name="connsiteX25" fmla="*/ 219677 w 346426"/>
                            <a:gd name="connsiteY25" fmla="*/ 633742 h 715223"/>
                            <a:gd name="connsiteX26" fmla="*/ 201570 w 346426"/>
                            <a:gd name="connsiteY26" fmla="*/ 660902 h 715223"/>
                            <a:gd name="connsiteX27" fmla="*/ 183463 w 346426"/>
                            <a:gd name="connsiteY27" fmla="*/ 715223 h 71522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Lst>
                          <a:rect l="l" t="t" r="r" b="b"/>
                          <a:pathLst>
                            <a:path w="346426" h="715223">
                              <a:moveTo>
                                <a:pt x="183463" y="715223"/>
                              </a:moveTo>
                              <a:lnTo>
                                <a:pt x="183463" y="715223"/>
                              </a:lnTo>
                              <a:cubicBezTo>
                                <a:pt x="105599" y="648482"/>
                                <a:pt x="128886" y="687296"/>
                                <a:pt x="101982" y="606582"/>
                              </a:cubicBezTo>
                              <a:lnTo>
                                <a:pt x="92929" y="579421"/>
                              </a:lnTo>
                              <a:lnTo>
                                <a:pt x="83875" y="552261"/>
                              </a:lnTo>
                              <a:cubicBezTo>
                                <a:pt x="77756" y="515545"/>
                                <a:pt x="75899" y="495496"/>
                                <a:pt x="65768" y="461726"/>
                              </a:cubicBezTo>
                              <a:cubicBezTo>
                                <a:pt x="60283" y="443445"/>
                                <a:pt x="58248" y="423286"/>
                                <a:pt x="47661" y="407405"/>
                              </a:cubicBezTo>
                              <a:lnTo>
                                <a:pt x="29554" y="380245"/>
                              </a:lnTo>
                              <a:lnTo>
                                <a:pt x="11447" y="325924"/>
                              </a:lnTo>
                              <a:lnTo>
                                <a:pt x="2394" y="298764"/>
                              </a:lnTo>
                              <a:cubicBezTo>
                                <a:pt x="5206" y="250954"/>
                                <a:pt x="-15604" y="162852"/>
                                <a:pt x="29554" y="117695"/>
                              </a:cubicBezTo>
                              <a:cubicBezTo>
                                <a:pt x="37248" y="110001"/>
                                <a:pt x="47661" y="105624"/>
                                <a:pt x="56715" y="99588"/>
                              </a:cubicBezTo>
                              <a:cubicBezTo>
                                <a:pt x="104998" y="27162"/>
                                <a:pt x="41628" y="114674"/>
                                <a:pt x="101982" y="54320"/>
                              </a:cubicBezTo>
                              <a:cubicBezTo>
                                <a:pt x="109676" y="46626"/>
                                <a:pt x="111593" y="33957"/>
                                <a:pt x="120089" y="27160"/>
                              </a:cubicBezTo>
                              <a:cubicBezTo>
                                <a:pt x="127541" y="21198"/>
                                <a:pt x="138713" y="22374"/>
                                <a:pt x="147249" y="18106"/>
                              </a:cubicBezTo>
                              <a:cubicBezTo>
                                <a:pt x="156981" y="13240"/>
                                <a:pt x="165356" y="6035"/>
                                <a:pt x="174410" y="0"/>
                              </a:cubicBezTo>
                              <a:cubicBezTo>
                                <a:pt x="222695" y="72426"/>
                                <a:pt x="192518" y="42250"/>
                                <a:pt x="264944" y="90534"/>
                              </a:cubicBezTo>
                              <a:lnTo>
                                <a:pt x="292105" y="108641"/>
                              </a:lnTo>
                              <a:cubicBezTo>
                                <a:pt x="343996" y="186477"/>
                                <a:pt x="281783" y="87996"/>
                                <a:pt x="319265" y="162962"/>
                              </a:cubicBezTo>
                              <a:cubicBezTo>
                                <a:pt x="354369" y="233172"/>
                                <a:pt x="323666" y="149005"/>
                                <a:pt x="346426" y="217283"/>
                              </a:cubicBezTo>
                              <a:cubicBezTo>
                                <a:pt x="343408" y="250479"/>
                                <a:pt x="343165" y="284045"/>
                                <a:pt x="337372" y="316871"/>
                              </a:cubicBezTo>
                              <a:cubicBezTo>
                                <a:pt x="334055" y="335667"/>
                                <a:pt x="319265" y="371192"/>
                                <a:pt x="319265" y="371192"/>
                              </a:cubicBezTo>
                              <a:cubicBezTo>
                                <a:pt x="316306" y="388947"/>
                                <a:pt x="306583" y="450889"/>
                                <a:pt x="301158" y="470780"/>
                              </a:cubicBezTo>
                              <a:cubicBezTo>
                                <a:pt x="296136" y="489194"/>
                                <a:pt x="289087" y="506993"/>
                                <a:pt x="283051" y="525100"/>
                              </a:cubicBezTo>
                              <a:cubicBezTo>
                                <a:pt x="280033" y="534154"/>
                                <a:pt x="279292" y="544320"/>
                                <a:pt x="273998" y="552261"/>
                              </a:cubicBezTo>
                              <a:lnTo>
                                <a:pt x="219677" y="633742"/>
                              </a:lnTo>
                              <a:lnTo>
                                <a:pt x="201570" y="660902"/>
                              </a:lnTo>
                              <a:cubicBezTo>
                                <a:pt x="190742" y="715048"/>
                                <a:pt x="186481" y="706169"/>
                                <a:pt x="183463" y="715223"/>
                              </a:cubicBezTo>
                              <a:close/>
                            </a:path>
                          </a:pathLst>
                        </a:cu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D1BFA36" id="Freeform 7" o:spid="_x0000_s1026" style="position:absolute;margin-left:73.25pt;margin-top:156.95pt;width:27.3pt;height:56.3pt;z-index:251666432;visibility:visible;mso-wrap-style:square;mso-wrap-distance-left:9pt;mso-wrap-distance-top:0;mso-wrap-distance-right:9pt;mso-wrap-distance-bottom:0;mso-position-horizontal:absolute;mso-position-horizontal-relative:text;mso-position-vertical:absolute;mso-position-vertical-relative:text;v-text-anchor:middle" coordsize="346426,71522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" path="m183463,715223l183463,715223c105599,648482,128886,687296,101982,606582l92929,579421,83875,552261c77756,515545,75899,495496,65768,461726,60283,443445,58248,423286,47661,407405l29554,380245,11447,325924,2394,298764c5206,250954,-15604,162852,29554,117695,37248,110001,47661,105624,56715,99588,104998,27162,41628,114674,101982,54320,109676,46626,111593,33957,120089,27160,127541,21198,138713,22374,147249,18106,156981,13240,165356,6035,174410,,222695,72426,192518,42250,264944,90534l292105,108641c343996,186477,281783,87996,319265,162962,354369,233172,323666,149005,346426,217283,343408,250479,343165,284045,337372,316871,334055,335667,319265,371192,319265,371192,316306,388947,306583,450889,301158,470780,296136,489194,289087,506993,283051,525100,280033,534154,279292,544320,273998,552261l219677,633742,201570,660902c190742,715048,186481,706169,183463,715223xe" filled="f" strokecolor="red" strokeweight="1pt">
                <v:stroke joinstyle="miter"/>
                <v:path arrowok="t" o:connecttype="custom" o:connectlocs="183463,715223;183463,715223;101982,606582;92929,579421;83875,552261;65768,461726;47661,407405;29554,380245;11447,325924;2394,298764;29554,117695;56715,99588;101982,54320;120089,27160;147249,18106;174410,0;264944,90534;292105,108641;319265,162962;346426,217283;337372,316871;319265,371192;301158,470780;283051,525100;273998,552261;219677,633742;201570,660902;183463,715223" o:connectangles="0,0,0,0,0,0,0,0,0,0,0,0,0,0,0,0,0,0,0,0,0,0,0,0,0,0,0,0"/>
                <w10:wrap type="through"/>
              </v:shape>
            </w:pict>
          </mc:Fallback>
        </mc:AlternateContent>
      </w:r>
      <w:r>
        <w:rPr>
          <w:noProof/>
        </w:rPr>
        <mc:AlternateContent>
          <mc:Choice Requires="wps">
            <w:drawing>
              <wp:anchor distT="0" distB="0" distL="114300" distR="114300" simplePos="0" relativeHeight="251667456" behindDoc="0" locked="0" layoutInCell="1" allowOverlap="1" wp14:anchorId="1469A980" wp14:editId="34985BA8">
                <wp:simplePos x="0" y="0"/>
                <wp:positionH relativeFrom="column">
                  <wp:posOffset>25400</wp:posOffset>
                </wp:positionH>
                <wp:positionV relativeFrom="paragraph">
                  <wp:posOffset>4745355</wp:posOffset>
                </wp:positionV>
                <wp:extent cx="2752090" cy="389890"/>
                <wp:effectExtent l="0" t="0" r="0" b="0"/>
                <wp:wrapTight wrapText="bothSides">
                  <wp:wrapPolygon edited="0">
                    <wp:start x="0" y="0"/>
                    <wp:lineTo x="0" y="20571"/>
                    <wp:lineTo x="21331" y="20571"/>
                    <wp:lineTo x="21331" y="0"/>
                    <wp:lineTo x="0" y="0"/>
                  </wp:wrapPolygon>
                </wp:wrapTight>
                <wp:docPr id="11" name="Text Box 11"/>
                <wp:cNvGraphicFramePr/>
                <a:graphic xmlns:a="http://schemas.openxmlformats.org/drawingml/2006/main">
                  <a:graphicData uri="http://schemas.microsoft.com/office/word/2010/wordprocessingShape">
                    <wps:wsp>
                      <wps:cNvSpPr txBox="1"/>
                      <wps:spPr>
                        <a:xfrm>
                          <a:off x="0" y="0"/>
                          <a:ext cx="2752090" cy="389890"/>
                        </a:xfrm>
                        <a:prstGeom prst="rect">
                          <a:avLst/>
                        </a:prstGeom>
                        <a:solidFill>
                          <a:prstClr val="white"/>
                        </a:solidFill>
                        <a:ln>
                          <a:noFill/>
                        </a:ln>
                        <a:effectLst/>
                      </wps:spPr>
                      <wps:txbx>
                        <w:txbxContent>
                          <w:p w14:paraId="1B35CA52" w14:textId="77777777" w:rsidR="000C0771" w:rsidRPr="00347F95" w:rsidRDefault="000C0771" w:rsidP="001F1BB7">
                            <w:pPr>
                              <w:pStyle w:val="Caption"/>
                              <w:rPr>
                                <w:rFonts w:ascii="Times New Roman" w:hAnsi="Times New Roman" w:cs="Times New Roman"/>
                                <w:noProof/>
                                <w:color w:val="000000" w:themeColor="text1"/>
                              </w:rPr>
                            </w:pPr>
                            <w:bookmarkStart w:id="13" w:name="_Toc8423832"/>
                            <w:r w:rsidRPr="00347F95">
                              <w:rPr>
                                <w:rFonts w:ascii="Times New Roman" w:hAnsi="Times New Roman" w:cs="Times New Roman"/>
                                <w:color w:val="000000" w:themeColor="text1"/>
                              </w:rPr>
                              <w:t>Figure 4: Approximate outline of the Elmwood Historic District boundary</w:t>
                            </w:r>
                            <w:bookmarkEnd w:id="13"/>
                            <w:r w:rsidRPr="00347F95">
                              <w:rPr>
                                <w:rFonts w:ascii="Times New Roman" w:hAnsi="Times New Roman" w:cs="Times New Roman"/>
                                <w:color w:val="000000" w:themeColor="text1"/>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469A980" id="Text Box 11" o:spid="_x0000_s1029" type="#_x0000_t202" style="position:absolute;left:0;text-align:left;margin-left:2pt;margin-top:373.65pt;width:216.7pt;height:30.7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" stroked="f">
                <v:textbox style="mso-fit-shape-to-text:t" inset="0,0,0,0">
                  <w:txbxContent>
                    <w:p w14:paraId="1B35CA52" w14:textId="77777777" w:rsidR="000C0771" w:rsidRPr="00347F95" w:rsidRDefault="000C0771" w:rsidP="001F1BB7">
                      <w:pPr>
                        <w:pStyle w:val="Caption"/>
                        <w:rPr>
                          <w:rFonts w:ascii="Times New Roman" w:hAnsi="Times New Roman" w:cs="Times New Roman"/>
                          <w:noProof/>
                          <w:color w:val="000000" w:themeColor="text1"/>
                        </w:rPr>
                      </w:pPr>
                      <w:bookmarkStart w:id="14" w:name="_Toc8423832"/>
                      <w:r w:rsidRPr="00347F95">
                        <w:rPr>
                          <w:rFonts w:ascii="Times New Roman" w:hAnsi="Times New Roman" w:cs="Times New Roman"/>
                          <w:color w:val="000000" w:themeColor="text1"/>
                        </w:rPr>
                        <w:t>Figure 4: Approximate outline of the Elmwood Historic District boundary</w:t>
                      </w:r>
                      <w:bookmarkEnd w:id="14"/>
                      <w:r w:rsidRPr="00347F95">
                        <w:rPr>
                          <w:rFonts w:ascii="Times New Roman" w:hAnsi="Times New Roman" w:cs="Times New Roman"/>
                          <w:color w:val="000000" w:themeColor="text1"/>
                        </w:rPr>
                        <w:t xml:space="preserve"> </w:t>
                      </w:r>
                    </w:p>
                  </w:txbxContent>
                </v:textbox>
                <w10:wrap type="tight"/>
              </v:shape>
            </w:pict>
          </mc:Fallback>
        </mc:AlternateContent>
      </w:r>
      <w:r>
        <w:rPr>
          <w:rFonts w:ascii="Times New Roman" w:hAnsi="Times New Roman" w:cs="Times New Roman"/>
          <w:noProof/>
        </w:rPr>
        <w:drawing>
          <wp:anchor distT="0" distB="0" distL="114300" distR="114300" simplePos="0" relativeHeight="251665408" behindDoc="0" locked="0" layoutInCell="1" allowOverlap="1" wp14:anchorId="540112CC" wp14:editId="483B02FC">
            <wp:simplePos x="0" y="0"/>
            <wp:positionH relativeFrom="margin">
              <wp:align>left</wp:align>
            </wp:positionH>
            <wp:positionV relativeFrom="paragraph">
              <wp:posOffset>1122045</wp:posOffset>
            </wp:positionV>
            <wp:extent cx="2752090" cy="3566160"/>
            <wp:effectExtent l="25400" t="25400" r="16510" b="15240"/>
            <wp:wrapTight wrapText="bothSides">
              <wp:wrapPolygon edited="0">
                <wp:start x="-199" y="-154"/>
                <wp:lineTo x="-199" y="21538"/>
                <wp:lineTo x="21530" y="21538"/>
                <wp:lineTo x="21530" y="-154"/>
                <wp:lineTo x="-199" y="-154"/>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 Shot 2019-02-24 at 3.38.36 PM.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752090" cy="356616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rPr>
        <w:t>Elmwood Historic District is in the central section of Buffalo. Its boundary consists of Forest Avenue to the north, West Utica Street to the south, Richmond Avenue to the west, and Delaware Avenue on the eas</w:t>
      </w:r>
      <w:r w:rsidR="00112754">
        <w:rPr>
          <w:rFonts w:ascii="Times New Roman" w:hAnsi="Times New Roman" w:cs="Times New Roman"/>
        </w:rPr>
        <w:t xml:space="preserve">t (Fig. 4). </w:t>
      </w:r>
      <w:r>
        <w:rPr>
          <w:rFonts w:ascii="Times New Roman" w:hAnsi="Times New Roman" w:cs="Times New Roman"/>
        </w:rPr>
        <w:t xml:space="preserve"> Elmwood Avenue runs through the center of the district, and divides Elmwood into Elmwood East and Elmwood West. Elmwood Avenue, sometimes called the Elmwood Strip, is the major commercial corridor running in a north south direction for 2.1 miles.</w:t>
      </w:r>
      <w:r w:rsidRPr="00F3497A">
        <w:rPr>
          <w:rStyle w:val="FootnoteReference"/>
        </w:rPr>
        <w:footnoteReference w:id="125"/>
      </w:r>
      <w:r>
        <w:rPr>
          <w:rFonts w:ascii="Times New Roman" w:hAnsi="Times New Roman" w:cs="Times New Roman"/>
        </w:rPr>
        <w:t xml:space="preserve"> Off the commercial corridor, Elmwood Historic District is sixty-one percent residential. The neighborhood is majority Caucasian (83%), and nearly sixty-seven percent of resident are renters. </w:t>
      </w:r>
      <w:proofErr w:type="gramStart"/>
      <w:r>
        <w:rPr>
          <w:rFonts w:ascii="Times New Roman" w:hAnsi="Times New Roman" w:cs="Times New Roman"/>
        </w:rPr>
        <w:t>The majority of</w:t>
      </w:r>
      <w:proofErr w:type="gramEnd"/>
      <w:r>
        <w:rPr>
          <w:rFonts w:ascii="Times New Roman" w:hAnsi="Times New Roman" w:cs="Times New Roman"/>
        </w:rPr>
        <w:t xml:space="preserve"> residents have at least a bachelor’s degree, and the median age of inhabitant is 34 years.</w:t>
      </w:r>
      <w:r w:rsidRPr="00F3497A">
        <w:rPr>
          <w:rStyle w:val="FootnoteReference"/>
        </w:rPr>
        <w:footnoteReference w:id="126"/>
      </w:r>
      <w:r>
        <w:rPr>
          <w:rFonts w:ascii="Times New Roman" w:hAnsi="Times New Roman" w:cs="Times New Roman"/>
        </w:rPr>
        <w:t xml:space="preserve"> </w:t>
      </w:r>
    </w:p>
    <w:p w14:paraId="699E36F0" w14:textId="79E7D625"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Historically, Elmwood was connected to the city by the parkway system designed by Frederick Law Olmsted in the 1860s and 1870s. By the 1890s the city’s streetcars expanded into the Elmwood neighborhood, helping to create a classic, booming streetcar suburb. Consisting of large residential lots with single-family homes typical of the popular styles of th</w:t>
      </w:r>
      <w:r w:rsidR="00CC346F">
        <w:rPr>
          <w:rFonts w:ascii="Times New Roman" w:hAnsi="Times New Roman" w:cs="Times New Roman"/>
        </w:rPr>
        <w:t>e turn of the twentieth century</w:t>
      </w:r>
      <w:r>
        <w:rPr>
          <w:rFonts w:ascii="Times New Roman" w:hAnsi="Times New Roman" w:cs="Times New Roman"/>
        </w:rPr>
        <w:t xml:space="preserve"> and wide streets with medians </w:t>
      </w:r>
      <w:r>
        <w:rPr>
          <w:rFonts w:ascii="Times New Roman" w:hAnsi="Times New Roman" w:cs="Times New Roman"/>
        </w:rPr>
        <w:lastRenderedPageBreak/>
        <w:t>and street trees, early twentieth century Elmwood was home to affluent families and individuals. However, the neighborhood, like the rest of Buffalo, went through a time of decline because of increased suburbanization and deindustrialization. The neighborhood demographic changed dramatically in the 1980s and 1990s as white flight took hold, leaving behind less advantaged people of color. Many of the buildings along Elmwood Avenue began to show the negative signs of changes, such as neglect to homes and shuttered businesses on Elmwood Avenue, a symptom of the economic changes occurring throughout the region</w:t>
      </w:r>
      <w:r w:rsidRPr="00F3497A">
        <w:rPr>
          <w:rStyle w:val="FootnoteReference"/>
        </w:rPr>
        <w:footnoteReference w:id="127"/>
      </w:r>
    </w:p>
    <w:p w14:paraId="75AE7A1D" w14:textId="137E115C"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Elmwood Village, formerly just the Elmwood neighborhood, became known as such starting with the 1994 rebranding campaign started by local entrepreneurs who developed the neighborhood organization Forever Elmwood. From this group came the Elmwood Village Association (EVA), the commercial management organization for Forever Elmwood. EVA made use of planning techniques intended to revitalize the neighborhood, such as narrowing Elmwood Avenue and widening sidewalks along the commercial corridor.</w:t>
      </w:r>
      <w:r w:rsidRPr="00F3497A">
        <w:rPr>
          <w:rStyle w:val="FootnoteReference"/>
        </w:rPr>
        <w:footnoteReference w:id="128"/>
      </w:r>
      <w:r>
        <w:rPr>
          <w:rFonts w:ascii="Times New Roman" w:hAnsi="Times New Roman" w:cs="Times New Roman"/>
        </w:rPr>
        <w:t xml:space="preserve"> These techniques helped the neighborhood maintain the viable use of its historic commercial structures, and successfully revived the commercial corridor of the neighborhood. In 2005, the city released plans to reconstruct a segment of Elmwood Avenue. The EVA presented an alternative plan created through the input of the neighborhood that utilized more pedestrian-friendly sidewalks and traffic calming measures, which was successfully adopted and implemented by the city. EVA went on to adopt design guidelines for new mixed-use structures which maintained the historic character of the neighborhood in their infill construction.</w:t>
      </w:r>
      <w:r w:rsidRPr="00F3497A">
        <w:rPr>
          <w:rStyle w:val="FootnoteReference"/>
        </w:rPr>
        <w:footnoteReference w:id="129"/>
      </w:r>
      <w:r>
        <w:rPr>
          <w:rFonts w:ascii="Times New Roman" w:hAnsi="Times New Roman" w:cs="Times New Roman"/>
        </w:rPr>
        <w:t xml:space="preserve"> Even while the neighborhood was choosing to </w:t>
      </w:r>
      <w:r w:rsidR="00ED0FEA">
        <w:rPr>
          <w:rFonts w:ascii="Times New Roman" w:hAnsi="Times New Roman" w:cs="Times New Roman"/>
        </w:rPr>
        <w:lastRenderedPageBreak/>
        <w:t>utilize</w:t>
      </w:r>
      <w:r>
        <w:rPr>
          <w:rFonts w:ascii="Times New Roman" w:hAnsi="Times New Roman" w:cs="Times New Roman"/>
        </w:rPr>
        <w:t xml:space="preserve"> techniques used by historic preservation, overall its residents continued to be very wary of seeking any formal historic designations because of a perceived loss of control</w:t>
      </w:r>
      <w:r w:rsidR="00ED0FEA">
        <w:rPr>
          <w:rFonts w:ascii="Times New Roman" w:hAnsi="Times New Roman" w:cs="Times New Roman"/>
        </w:rPr>
        <w:t xml:space="preserve"> over their properties</w:t>
      </w:r>
      <w:r>
        <w:rPr>
          <w:rFonts w:ascii="Times New Roman" w:hAnsi="Times New Roman" w:cs="Times New Roman"/>
        </w:rPr>
        <w:t>.</w:t>
      </w:r>
    </w:p>
    <w:p w14:paraId="418F9E13"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Very significantly, in 2007 the American Planning Association awarded Elmwood “one of the 10 best” neighborhoods in America.</w:t>
      </w:r>
      <w:r w:rsidRPr="00F3497A">
        <w:rPr>
          <w:rStyle w:val="FootnoteReference"/>
        </w:rPr>
        <w:footnoteReference w:id="130"/>
      </w:r>
      <w:r>
        <w:rPr>
          <w:rFonts w:ascii="Times New Roman" w:hAnsi="Times New Roman" w:cs="Times New Roman"/>
        </w:rPr>
        <w:t xml:space="preserve"> Additionally, Elmwood, now properly referred to as Elmwood Historic District, eventually became home to two Historic Districts listed in the National Register of Historic Places. Elmwood Historic District (West) was listed in 2012, and Elmwood Historic District (East) was listed in 2016. Separated because of the sheer size of the total district, Elmwood Historic District is the largest self-initiated historic district in the country—the two districts together represent nearly 5,000 contributing resources.</w:t>
      </w:r>
      <w:r w:rsidRPr="00F3497A">
        <w:rPr>
          <w:rStyle w:val="FootnoteReference"/>
        </w:rPr>
        <w:footnoteReference w:id="131"/>
      </w:r>
      <w:r>
        <w:rPr>
          <w:rFonts w:ascii="Times New Roman" w:hAnsi="Times New Roman" w:cs="Times New Roman"/>
        </w:rPr>
        <w:t xml:space="preserve"> And, in August 2018, Preservation Buffalo Niagara and the Elmwood Village Association announced that the National Main Street Center would be conducting a market analysis and commercial district planning process through its </w:t>
      </w:r>
      <w:proofErr w:type="spellStart"/>
      <w:r>
        <w:rPr>
          <w:rFonts w:ascii="Times New Roman" w:hAnsi="Times New Roman" w:cs="Times New Roman"/>
        </w:rPr>
        <w:t>UrbanMain</w:t>
      </w:r>
      <w:proofErr w:type="spellEnd"/>
      <w:r>
        <w:rPr>
          <w:rFonts w:ascii="Times New Roman" w:hAnsi="Times New Roman" w:cs="Times New Roman"/>
        </w:rPr>
        <w:t xml:space="preserve"> program.</w:t>
      </w:r>
      <w:r w:rsidRPr="00F3497A">
        <w:rPr>
          <w:rStyle w:val="FootnoteReference"/>
        </w:rPr>
        <w:footnoteReference w:id="132"/>
      </w:r>
    </w:p>
    <w:p w14:paraId="3DB01C57"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 xml:space="preserve">Elmwood Village is the picture of revitalization through community use of historic preservation methods. Today, Elmwood Village is a predominantly white, middle- to upper-class neighborhood sandwiched between neighborhoods with far less affluence. With real estate in the neighborhood that can start at nearly $400,000 for a rehabilitated </w:t>
      </w:r>
      <w:proofErr w:type="spellStart"/>
      <w:r>
        <w:rPr>
          <w:rFonts w:ascii="Times New Roman" w:hAnsi="Times New Roman" w:cs="Times New Roman"/>
        </w:rPr>
        <w:t>rowhouse</w:t>
      </w:r>
      <w:proofErr w:type="spellEnd"/>
      <w:r>
        <w:rPr>
          <w:rFonts w:ascii="Times New Roman" w:hAnsi="Times New Roman" w:cs="Times New Roman"/>
        </w:rPr>
        <w:t xml:space="preserve">, fewer than ten </w:t>
      </w:r>
      <w:r>
        <w:rPr>
          <w:rFonts w:ascii="Times New Roman" w:hAnsi="Times New Roman" w:cs="Times New Roman"/>
        </w:rPr>
        <w:lastRenderedPageBreak/>
        <w:t>percent of Buffalo’s overall population can afford to purchase a residence in the neighborhood.</w:t>
      </w:r>
      <w:r w:rsidRPr="00F3497A">
        <w:rPr>
          <w:rStyle w:val="FootnoteReference"/>
        </w:rPr>
        <w:footnoteReference w:id="133"/>
      </w:r>
      <w:r>
        <w:rPr>
          <w:rFonts w:ascii="Times New Roman" w:hAnsi="Times New Roman" w:cs="Times New Roman"/>
        </w:rPr>
        <w:t xml:space="preserve"> While the changes which have occurred over the last twenty years have kept the neighborhood from disinvestment, Elmwood Village lacks racial diversity, and only represents a portion of the struggles and successes of trying to revitalize the city of Buffalo. </w:t>
      </w:r>
    </w:p>
    <w:p w14:paraId="283BFC7D" w14:textId="77777777" w:rsidR="001F1BB7" w:rsidRDefault="001F1BB7" w:rsidP="001F1BB7">
      <w:pPr>
        <w:spacing w:line="480" w:lineRule="auto"/>
        <w:ind w:firstLine="720"/>
        <w:rPr>
          <w:rFonts w:ascii="Times New Roman" w:hAnsi="Times New Roman" w:cs="Times New Roman"/>
        </w:rPr>
      </w:pPr>
    </w:p>
    <w:p w14:paraId="20521ACF" w14:textId="77777777" w:rsidR="001F1BB7" w:rsidRDefault="001F1BB7" w:rsidP="001F1BB7">
      <w:pPr>
        <w:rPr>
          <w:rFonts w:ascii="Times New Roman" w:hAnsi="Times New Roman" w:cs="Times New Roman"/>
          <w:u w:val="single"/>
        </w:rPr>
      </w:pPr>
      <w:r w:rsidRPr="003B2D2E">
        <w:rPr>
          <w:rFonts w:ascii="Times New Roman" w:hAnsi="Times New Roman" w:cs="Times New Roman"/>
          <w:u w:val="single"/>
        </w:rPr>
        <w:t>Fruit Belt</w:t>
      </w:r>
    </w:p>
    <w:p w14:paraId="08DB310C" w14:textId="77777777" w:rsidR="001F1BB7" w:rsidRPr="003B2D2E" w:rsidRDefault="001F1BB7" w:rsidP="001F1BB7">
      <w:pPr>
        <w:rPr>
          <w:rFonts w:ascii="Times New Roman" w:hAnsi="Times New Roman" w:cs="Times New Roman"/>
          <w:u w:val="single"/>
        </w:rPr>
      </w:pPr>
    </w:p>
    <w:p w14:paraId="5BF55587" w14:textId="5081F69A" w:rsidR="001F1BB7" w:rsidRDefault="00112754" w:rsidP="001F1BB7">
      <w:pPr>
        <w:spacing w:line="480" w:lineRule="auto"/>
        <w:ind w:firstLine="720"/>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9504" behindDoc="0" locked="0" layoutInCell="1" allowOverlap="1" wp14:anchorId="1AEE6673" wp14:editId="58BAECBC">
                <wp:simplePos x="0" y="0"/>
                <wp:positionH relativeFrom="column">
                  <wp:posOffset>1308735</wp:posOffset>
                </wp:positionH>
                <wp:positionV relativeFrom="paragraph">
                  <wp:posOffset>2833370</wp:posOffset>
                </wp:positionV>
                <wp:extent cx="240030" cy="253365"/>
                <wp:effectExtent l="25400" t="25400" r="13970" b="26035"/>
                <wp:wrapThrough wrapText="bothSides">
                  <wp:wrapPolygon edited="0">
                    <wp:start x="2286" y="-2165"/>
                    <wp:lineTo x="-2286" y="21654"/>
                    <wp:lineTo x="16000" y="21654"/>
                    <wp:lineTo x="18286" y="21654"/>
                    <wp:lineTo x="20571" y="6496"/>
                    <wp:lineTo x="20571" y="-2165"/>
                    <wp:lineTo x="2286" y="-2165"/>
                  </wp:wrapPolygon>
                </wp:wrapThrough>
                <wp:docPr id="9" name="Freeform 9"/>
                <wp:cNvGraphicFramePr/>
                <a:graphic xmlns:a="http://schemas.openxmlformats.org/drawingml/2006/main">
                  <a:graphicData uri="http://schemas.microsoft.com/office/word/2010/wordprocessingShape">
                    <wps:wsp>
                      <wps:cNvSpPr/>
                      <wps:spPr>
                        <a:xfrm>
                          <a:off x="0" y="0"/>
                          <a:ext cx="240030" cy="253365"/>
                        </a:xfrm>
                        <a:custGeom>
                          <a:avLst/>
                          <a:gdLst>
                            <a:gd name="connsiteX0" fmla="*/ 0 w 240513"/>
                            <a:gd name="connsiteY0" fmla="*/ 253218 h 253823"/>
                            <a:gd name="connsiteX1" fmla="*/ 0 w 240513"/>
                            <a:gd name="connsiteY1" fmla="*/ 253218 h 253823"/>
                            <a:gd name="connsiteX2" fmla="*/ 49237 w 240513"/>
                            <a:gd name="connsiteY2" fmla="*/ 182880 h 253823"/>
                            <a:gd name="connsiteX3" fmla="*/ 63305 w 240513"/>
                            <a:gd name="connsiteY3" fmla="*/ 140677 h 253823"/>
                            <a:gd name="connsiteX4" fmla="*/ 77373 w 240513"/>
                            <a:gd name="connsiteY4" fmla="*/ 77372 h 253823"/>
                            <a:gd name="connsiteX5" fmla="*/ 91440 w 240513"/>
                            <a:gd name="connsiteY5" fmla="*/ 0 h 253823"/>
                            <a:gd name="connsiteX6" fmla="*/ 232117 w 240513"/>
                            <a:gd name="connsiteY6" fmla="*/ 7034 h 253823"/>
                            <a:gd name="connsiteX7" fmla="*/ 239151 w 240513"/>
                            <a:gd name="connsiteY7" fmla="*/ 28135 h 253823"/>
                            <a:gd name="connsiteX8" fmla="*/ 232117 w 240513"/>
                            <a:gd name="connsiteY8" fmla="*/ 161778 h 253823"/>
                            <a:gd name="connsiteX9" fmla="*/ 189914 w 240513"/>
                            <a:gd name="connsiteY9" fmla="*/ 189914 h 253823"/>
                            <a:gd name="connsiteX10" fmla="*/ 147711 w 240513"/>
                            <a:gd name="connsiteY10" fmla="*/ 211015 h 253823"/>
                            <a:gd name="connsiteX11" fmla="*/ 84407 w 240513"/>
                            <a:gd name="connsiteY11" fmla="*/ 246185 h 253823"/>
                            <a:gd name="connsiteX12" fmla="*/ 49237 w 240513"/>
                            <a:gd name="connsiteY12" fmla="*/ 253218 h 253823"/>
                            <a:gd name="connsiteX13" fmla="*/ 0 w 240513"/>
                            <a:gd name="connsiteY13" fmla="*/ 253218 h 25382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40513" h="253823">
                              <a:moveTo>
                                <a:pt x="0" y="253218"/>
                              </a:moveTo>
                              <a:lnTo>
                                <a:pt x="0" y="253218"/>
                              </a:lnTo>
                              <a:cubicBezTo>
                                <a:pt x="16412" y="229772"/>
                                <a:pt x="40187" y="210031"/>
                                <a:pt x="49237" y="182880"/>
                              </a:cubicBezTo>
                              <a:cubicBezTo>
                                <a:pt x="53926" y="168812"/>
                                <a:pt x="59709" y="155063"/>
                                <a:pt x="63305" y="140677"/>
                              </a:cubicBezTo>
                              <a:cubicBezTo>
                                <a:pt x="68906" y="118274"/>
                                <a:pt x="73801" y="100587"/>
                                <a:pt x="77373" y="77372"/>
                              </a:cubicBezTo>
                              <a:cubicBezTo>
                                <a:pt x="88736" y="3516"/>
                                <a:pt x="77093" y="43046"/>
                                <a:pt x="91440" y="0"/>
                              </a:cubicBezTo>
                              <a:cubicBezTo>
                                <a:pt x="138332" y="2345"/>
                                <a:pt x="185995" y="-1751"/>
                                <a:pt x="232117" y="7034"/>
                              </a:cubicBezTo>
                              <a:cubicBezTo>
                                <a:pt x="239400" y="8421"/>
                                <a:pt x="239151" y="20721"/>
                                <a:pt x="239151" y="28135"/>
                              </a:cubicBezTo>
                              <a:cubicBezTo>
                                <a:pt x="239151" y="72744"/>
                                <a:pt x="245106" y="119101"/>
                                <a:pt x="232117" y="161778"/>
                              </a:cubicBezTo>
                              <a:cubicBezTo>
                                <a:pt x="227194" y="177953"/>
                                <a:pt x="203982" y="180535"/>
                                <a:pt x="189914" y="189914"/>
                              </a:cubicBezTo>
                              <a:cubicBezTo>
                                <a:pt x="162645" y="208093"/>
                                <a:pt x="176831" y="201308"/>
                                <a:pt x="147711" y="211015"/>
                              </a:cubicBezTo>
                              <a:cubicBezTo>
                                <a:pt x="116283" y="231967"/>
                                <a:pt x="114117" y="238758"/>
                                <a:pt x="84407" y="246185"/>
                              </a:cubicBezTo>
                              <a:cubicBezTo>
                                <a:pt x="72808" y="249084"/>
                                <a:pt x="61151" y="252225"/>
                                <a:pt x="49237" y="253218"/>
                              </a:cubicBezTo>
                              <a:cubicBezTo>
                                <a:pt x="32881" y="254581"/>
                                <a:pt x="8206" y="253218"/>
                                <a:pt x="0" y="253218"/>
                              </a:cubicBezTo>
                              <a:close/>
                            </a:path>
                          </a:pathLst>
                        </a:cu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4F7E43" id="Freeform 9" o:spid="_x0000_s1026" style="position:absolute;margin-left:103.05pt;margin-top:223.1pt;width:18.9pt;height:19.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40513,25382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" path="m0,253218l0,253218c16412,229772,40187,210031,49237,182880,53926,168812,59709,155063,63305,140677,68906,118274,73801,100587,77373,77372,88736,3516,77093,43046,91440,,138332,2345,185995,-1751,232117,7034,239400,8421,239151,20721,239151,28135,239151,72744,245106,119101,232117,161778,227194,177953,203982,180535,189914,189914,162645,208093,176831,201308,147711,211015,116283,231967,114117,238758,84407,246185,72808,249084,61151,252225,49237,253218,32881,254581,8206,253218,,253218xe" filled="f" strokecolor="red" strokeweight="1pt">
                <v:stroke joinstyle="miter"/>
                <v:path arrowok="t" o:connecttype="custom" o:connectlocs="0,252761;0,252761;49138,182550;63178,140423;77218,77232;91256,0;231651,7021;238671,28084;231651,161486;189533,189571;147414,210634;84237,245741;49138,252761;0,252761" o:connectangles="0,0,0,0,0,0,0,0,0,0,0,0,0,0"/>
                <w10:wrap type="through"/>
              </v:shape>
            </w:pict>
          </mc:Fallback>
        </mc:AlternateContent>
      </w:r>
      <w:r>
        <w:rPr>
          <w:rFonts w:ascii="Times New Roman" w:hAnsi="Times New Roman" w:cs="Times New Roman"/>
          <w:noProof/>
        </w:rPr>
        <w:drawing>
          <wp:anchor distT="0" distB="0" distL="114300" distR="114300" simplePos="0" relativeHeight="251668480" behindDoc="0" locked="0" layoutInCell="1" allowOverlap="1" wp14:anchorId="1C3B94B1" wp14:editId="16E6F83D">
            <wp:simplePos x="0" y="0"/>
            <wp:positionH relativeFrom="margin">
              <wp:align>left</wp:align>
            </wp:positionH>
            <wp:positionV relativeFrom="paragraph">
              <wp:posOffset>1240155</wp:posOffset>
            </wp:positionV>
            <wp:extent cx="2752090" cy="3565525"/>
            <wp:effectExtent l="25400" t="25400" r="16510" b="15875"/>
            <wp:wrapTight wrapText="bothSides">
              <wp:wrapPolygon edited="0">
                <wp:start x="-199" y="-154"/>
                <wp:lineTo x="-199" y="21542"/>
                <wp:lineTo x="21530" y="21542"/>
                <wp:lineTo x="21530" y="-154"/>
                <wp:lineTo x="-199" y="-154"/>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reen Shot 2019-02-24 at 3.38.36 PM.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752090" cy="356552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70528" behindDoc="0" locked="0" layoutInCell="1" allowOverlap="1" wp14:anchorId="28A164A1" wp14:editId="757C767A">
                <wp:simplePos x="0" y="0"/>
                <wp:positionH relativeFrom="column">
                  <wp:posOffset>52070</wp:posOffset>
                </wp:positionH>
                <wp:positionV relativeFrom="paragraph">
                  <wp:posOffset>4888230</wp:posOffset>
                </wp:positionV>
                <wp:extent cx="2752090" cy="389890"/>
                <wp:effectExtent l="0" t="0" r="0" b="0"/>
                <wp:wrapTight wrapText="bothSides">
                  <wp:wrapPolygon edited="0">
                    <wp:start x="0" y="0"/>
                    <wp:lineTo x="0" y="20571"/>
                    <wp:lineTo x="21331" y="20571"/>
                    <wp:lineTo x="21331" y="0"/>
                    <wp:lineTo x="0" y="0"/>
                  </wp:wrapPolygon>
                </wp:wrapTight>
                <wp:docPr id="15" name="Text Box 15"/>
                <wp:cNvGraphicFramePr/>
                <a:graphic xmlns:a="http://schemas.openxmlformats.org/drawingml/2006/main">
                  <a:graphicData uri="http://schemas.microsoft.com/office/word/2010/wordprocessingShape">
                    <wps:wsp>
                      <wps:cNvSpPr txBox="1"/>
                      <wps:spPr>
                        <a:xfrm>
                          <a:off x="0" y="0"/>
                          <a:ext cx="2752090" cy="389890"/>
                        </a:xfrm>
                        <a:prstGeom prst="rect">
                          <a:avLst/>
                        </a:prstGeom>
                        <a:solidFill>
                          <a:prstClr val="white"/>
                        </a:solidFill>
                        <a:ln>
                          <a:noFill/>
                        </a:ln>
                        <a:effectLst/>
                      </wps:spPr>
                      <wps:txbx>
                        <w:txbxContent>
                          <w:p w14:paraId="764F54BF" w14:textId="77777777" w:rsidR="000C0771" w:rsidRPr="00ED0FEA" w:rsidRDefault="000C0771" w:rsidP="001F1BB7">
                            <w:pPr>
                              <w:pStyle w:val="Caption"/>
                              <w:rPr>
                                <w:rFonts w:ascii="Times New Roman" w:hAnsi="Times New Roman" w:cs="Times New Roman"/>
                                <w:noProof/>
                                <w:color w:val="000000" w:themeColor="text1"/>
                              </w:rPr>
                            </w:pPr>
                            <w:bookmarkStart w:id="15" w:name="_Toc8423833"/>
                            <w:r w:rsidRPr="00ED0FEA">
                              <w:rPr>
                                <w:rFonts w:ascii="Times New Roman" w:hAnsi="Times New Roman" w:cs="Times New Roman"/>
                                <w:color w:val="000000" w:themeColor="text1"/>
                              </w:rPr>
                              <w:t>Figure 5: Approximate outline of Fruit Belt neighborhood boundary</w:t>
                            </w:r>
                            <w:bookmarkEnd w:id="1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8A164A1" id="Text Box 15" o:spid="_x0000_s1030" type="#_x0000_t202" style="position:absolute;left:0;text-align:left;margin-left:4.1pt;margin-top:384.9pt;width:216.7pt;height:30.7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" stroked="f">
                <v:textbox style="mso-fit-shape-to-text:t" inset="0,0,0,0">
                  <w:txbxContent>
                    <w:p w14:paraId="764F54BF" w14:textId="77777777" w:rsidR="000C0771" w:rsidRPr="00ED0FEA" w:rsidRDefault="000C0771" w:rsidP="001F1BB7">
                      <w:pPr>
                        <w:pStyle w:val="Caption"/>
                        <w:rPr>
                          <w:rFonts w:ascii="Times New Roman" w:hAnsi="Times New Roman" w:cs="Times New Roman"/>
                          <w:noProof/>
                          <w:color w:val="000000" w:themeColor="text1"/>
                        </w:rPr>
                      </w:pPr>
                      <w:bookmarkStart w:id="16" w:name="_Toc8423833"/>
                      <w:r w:rsidRPr="00ED0FEA">
                        <w:rPr>
                          <w:rFonts w:ascii="Times New Roman" w:hAnsi="Times New Roman" w:cs="Times New Roman"/>
                          <w:color w:val="000000" w:themeColor="text1"/>
                        </w:rPr>
                        <w:t>Figure 5: Approximate outline of Fruit Belt neighborhood boundary</w:t>
                      </w:r>
                      <w:bookmarkEnd w:id="16"/>
                    </w:p>
                  </w:txbxContent>
                </v:textbox>
                <w10:wrap type="tight"/>
              </v:shape>
            </w:pict>
          </mc:Fallback>
        </mc:AlternateContent>
      </w:r>
      <w:r w:rsidR="001F1BB7">
        <w:rPr>
          <w:rFonts w:ascii="Times New Roman" w:hAnsi="Times New Roman" w:cs="Times New Roman"/>
        </w:rPr>
        <w:t>The Fruit Belt neighborhood on the East side of the city is bordered by North Street on the north, Jefferson Street on the east, the Kensington Expressway on the south, and Michigan Street on the west</w:t>
      </w:r>
      <w:r>
        <w:rPr>
          <w:rFonts w:ascii="Times New Roman" w:hAnsi="Times New Roman" w:cs="Times New Roman"/>
        </w:rPr>
        <w:t xml:space="preserve"> (Fig. 5)</w:t>
      </w:r>
      <w:r w:rsidR="001F1BB7">
        <w:rPr>
          <w:rFonts w:ascii="Times New Roman" w:hAnsi="Times New Roman" w:cs="Times New Roman"/>
        </w:rPr>
        <w:t xml:space="preserve">. The Buffalo Niagara Medical Campus (BNMC), which encompasses over 120 acres of land and eight medical institutions, lies directly across Michigan Street. The Fruit Belt historically was much larger, but the construction of the Kensington Expressway, Buffalo Niagara Medical Campus, and other developments have diminished the neighborhood to its current, smaller footprint. Primarily a residential neighborhood without a commercial hub, the Fruit Belt’s homes are smaller than those of Elmwood, and in a vernacular style. The streets are tree and car lined, as many of the homes lack off-street parking. Where there was once density, the blocks in the Fruit Belt show </w:t>
      </w:r>
      <w:r w:rsidR="001F1BB7">
        <w:rPr>
          <w:rFonts w:ascii="Times New Roman" w:hAnsi="Times New Roman" w:cs="Times New Roman"/>
        </w:rPr>
        <w:lastRenderedPageBreak/>
        <w:t>signs of generations of economic decline with pockets of vacant lots where homes once stood. One of the older neighborhoods in Buffalo, established in 1839, the Fruit Belt was originally home to many German and Polish immigrants and planted with orchards.</w:t>
      </w:r>
      <w:r w:rsidR="001F1BB7" w:rsidRPr="00F3497A">
        <w:rPr>
          <w:rStyle w:val="FootnoteReference"/>
        </w:rPr>
        <w:footnoteReference w:id="134"/>
      </w:r>
      <w:r w:rsidR="001F1BB7">
        <w:rPr>
          <w:rFonts w:ascii="Times New Roman" w:hAnsi="Times New Roman" w:cs="Times New Roman"/>
        </w:rPr>
        <w:t xml:space="preserve"> The ethnic demographic began to change when a mid-twentieth century wave of urban renewal in Buffalo forcibly displaced over 70,000 African American residents from downtown, after which the Fruit Belt was predominantly inhabited by African Americans. In 2016, the area was eighty-three percent African American, with a median household income of $20,047.</w:t>
      </w:r>
      <w:r w:rsidR="001F1BB7" w:rsidRPr="00F3497A">
        <w:rPr>
          <w:rStyle w:val="FootnoteReference"/>
        </w:rPr>
        <w:footnoteReference w:id="135"/>
      </w:r>
    </w:p>
    <w:p w14:paraId="6DDEF069"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Economic and racial segregation has a history in the Fruit Belt. In 1958, the city began the construction of the Kensington Highway through the neighborhood. This played a role in the white flight that occurred here, as those with the financial means to leave the neighborhood took advantage of the opportunity to move to the suburbs. Property values began to fall after the highway divided the neighborhood. In the 1980s and 1990s, the Fruit Belt’s population further declined as the city continued to hemorrhage jobs during deindustrialization. The number of abandoned houses within the Fruit Belt rose. The city of Buffalo pursued an aggressive demolition strategy, leaving the neighborhood with many vacant lots, and an even greater decrease in property equity for residents.</w:t>
      </w:r>
      <w:r w:rsidRPr="00F3497A">
        <w:rPr>
          <w:rStyle w:val="FootnoteReference"/>
        </w:rPr>
        <w:footnoteReference w:id="136"/>
      </w:r>
      <w:r>
        <w:rPr>
          <w:rFonts w:ascii="Times New Roman" w:hAnsi="Times New Roman" w:cs="Times New Roman"/>
        </w:rPr>
        <w:t xml:space="preserve"> </w:t>
      </w:r>
    </w:p>
    <w:p w14:paraId="1CB9DA37"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 xml:space="preserve">Today, the Fruit Belt is experiencing development pressures related to the expansion of BNMC. A major economic boon to the city, and the recipient of over $100 million in Buffalo Billion dollars alone, since 2001 BNMC has been growing at a swift pace, today employing over </w:t>
      </w:r>
      <w:r>
        <w:rPr>
          <w:rFonts w:ascii="Times New Roman" w:hAnsi="Times New Roman" w:cs="Times New Roman"/>
        </w:rPr>
        <w:lastRenderedPageBreak/>
        <w:t>17,000.</w:t>
      </w:r>
      <w:r w:rsidRPr="00F3497A">
        <w:rPr>
          <w:rStyle w:val="FootnoteReference"/>
        </w:rPr>
        <w:footnoteReference w:id="137"/>
      </w:r>
      <w:r>
        <w:rPr>
          <w:rFonts w:ascii="Times New Roman" w:hAnsi="Times New Roman" w:cs="Times New Roman"/>
        </w:rPr>
        <w:t xml:space="preserve"> The relationship between the residents of the Fruit Belt and BNMC is strained. Residents call the campus “the wall,” sensing that there is a separation between the neighborhood and the potential economic benefits resulting from the burgeoning medical campus.</w:t>
      </w:r>
      <w:r w:rsidRPr="00F3497A">
        <w:rPr>
          <w:rStyle w:val="FootnoteReference"/>
        </w:rPr>
        <w:footnoteReference w:id="138"/>
      </w:r>
      <w:r>
        <w:rPr>
          <w:rFonts w:ascii="Times New Roman" w:hAnsi="Times New Roman" w:cs="Times New Roman"/>
        </w:rPr>
        <w:t xml:space="preserve"> In 2014, while over fifty-three percent of Fruit Belt residents were living in poverty and spending more than thirty percent of their income on housing, developers and speculators began to bid up the prices of property in the neighborhood. In 2015, at the request of Fruit Belt organizers, the city passed a resolution placing a moratorium on the sale of city-owned lots until the city could produce a “duly approved strategic plan” that would allow for development beneficial to the residents in the Fruit Belt neighborhood.</w:t>
      </w:r>
      <w:r w:rsidRPr="00F3497A">
        <w:rPr>
          <w:rStyle w:val="FootnoteReference"/>
        </w:rPr>
        <w:footnoteReference w:id="139"/>
      </w:r>
      <w:r>
        <w:rPr>
          <w:rFonts w:ascii="Times New Roman" w:hAnsi="Times New Roman" w:cs="Times New Roman"/>
        </w:rPr>
        <w:t xml:space="preserve">  </w:t>
      </w:r>
    </w:p>
    <w:p w14:paraId="20F54361" w14:textId="77777777" w:rsidR="001F1BB7" w:rsidRDefault="001F1BB7" w:rsidP="001F1BB7">
      <w:pPr>
        <w:spacing w:line="480" w:lineRule="auto"/>
        <w:ind w:firstLine="720"/>
        <w:rPr>
          <w:rFonts w:ascii="Times New Roman" w:hAnsi="Times New Roman" w:cs="Times New Roman"/>
        </w:rPr>
      </w:pPr>
      <w:r>
        <w:rPr>
          <w:rFonts w:ascii="Times New Roman" w:hAnsi="Times New Roman" w:cs="Times New Roman"/>
        </w:rPr>
        <w:t xml:space="preserve">Housing and development pressures have been one of the major areas of focus for members of the Fruit Belt community. Organizers from the Community First Alliance, a consortium of nineteen different local citizen advocacy groups, have been working to respond appropriately to rising rents and fears homeowners have that they will be pushed out of the area as property values increase. Their approach has been two-pronged. First, in 2016 a set of policy changes titled “Rising Tide: A Blueprint for Community Benefits from the Buffalo Niagara Medical Campus” was published by Community First Alliance through input of affected residents. This report makes recommendations for how BNMC can ensure the Fruit Belt neighborhood benefits from development in the areas of affordable housing, jobs and training opportunities, parking and traffic relief, community investment, historic and cultural </w:t>
      </w:r>
      <w:r>
        <w:rPr>
          <w:rFonts w:ascii="Times New Roman" w:hAnsi="Times New Roman" w:cs="Times New Roman"/>
        </w:rPr>
        <w:lastRenderedPageBreak/>
        <w:t>preservation, and community power and representation.</w:t>
      </w:r>
      <w:r w:rsidRPr="00F3497A">
        <w:rPr>
          <w:rStyle w:val="FootnoteReference"/>
        </w:rPr>
        <w:footnoteReference w:id="140"/>
      </w:r>
      <w:r>
        <w:rPr>
          <w:rFonts w:ascii="Times New Roman" w:hAnsi="Times New Roman" w:cs="Times New Roman"/>
        </w:rPr>
        <w:t xml:space="preserve"> Second, in February 2018, the Fruit Belt Community Land Trust (FBCLT) was formed.</w:t>
      </w:r>
      <w:r w:rsidRPr="00F3497A">
        <w:rPr>
          <w:rStyle w:val="FootnoteReference"/>
        </w:rPr>
        <w:footnoteReference w:id="141"/>
      </w:r>
      <w:r>
        <w:rPr>
          <w:rFonts w:ascii="Times New Roman" w:hAnsi="Times New Roman" w:cs="Times New Roman"/>
        </w:rPr>
        <w:t xml:space="preserve"> The land trust will serve as a sort of developer, acquiring vacant land and homes and maintaining them. With the FBCLT in place, community leaders produced a strategic plan to present to the city to move forward. These two items together made it possible in May 2018 for Fruit Belt residents to approach the city about removing the moratorium on house sales in the neighborhood. This was approved by the city of Buffalo’s Common Council on May 26, 2018.</w:t>
      </w:r>
      <w:r w:rsidRPr="00F3497A">
        <w:rPr>
          <w:rStyle w:val="FootnoteReference"/>
        </w:rPr>
        <w:footnoteReference w:id="142"/>
      </w:r>
      <w:r>
        <w:rPr>
          <w:rFonts w:ascii="Times New Roman" w:hAnsi="Times New Roman" w:cs="Times New Roman"/>
        </w:rPr>
        <w:t xml:space="preserve"> Nearly one year later, the Fruit Belt neighborhood continues to work to engage their residents in the many advocacy groups serving the community. Through resident engagement, the Fruit Belt community is taking this opportunity to control the changes being imposed by development pressures. This galvanization will vastly improve their neighborhood, and the quality of life for its people.</w:t>
      </w:r>
    </w:p>
    <w:p w14:paraId="7C269A14" w14:textId="77777777" w:rsidR="001F1BB7" w:rsidRDefault="001F1BB7" w:rsidP="001F1BB7">
      <w:pPr>
        <w:rPr>
          <w:rFonts w:ascii="Times New Roman" w:hAnsi="Times New Roman" w:cs="Times New Roman"/>
        </w:rPr>
      </w:pPr>
    </w:p>
    <w:p w14:paraId="6FF1FA28" w14:textId="77777777" w:rsidR="001F1BB7" w:rsidRDefault="001F1BB7" w:rsidP="001F1BB7">
      <w:pPr>
        <w:jc w:val="center"/>
        <w:rPr>
          <w:rFonts w:ascii="Times New Roman" w:hAnsi="Times New Roman" w:cs="Times New Roman"/>
          <w:u w:val="single"/>
        </w:rPr>
      </w:pPr>
      <w:r w:rsidRPr="003B2D2E">
        <w:rPr>
          <w:rFonts w:ascii="Times New Roman" w:hAnsi="Times New Roman" w:cs="Times New Roman"/>
          <w:u w:val="single"/>
        </w:rPr>
        <w:t>Conclusion</w:t>
      </w:r>
    </w:p>
    <w:p w14:paraId="3116CB57" w14:textId="77777777" w:rsidR="001F1BB7" w:rsidRPr="003B2D2E" w:rsidRDefault="001F1BB7" w:rsidP="001F1BB7">
      <w:pPr>
        <w:jc w:val="center"/>
        <w:rPr>
          <w:rFonts w:ascii="Times New Roman" w:hAnsi="Times New Roman" w:cs="Times New Roman"/>
          <w:u w:val="single"/>
        </w:rPr>
      </w:pPr>
    </w:p>
    <w:p w14:paraId="5283975B" w14:textId="77777777" w:rsidR="001F1BB7" w:rsidRDefault="001F1BB7" w:rsidP="001F1BB7">
      <w:pPr>
        <w:spacing w:line="480" w:lineRule="auto"/>
        <w:rPr>
          <w:rFonts w:ascii="Times New Roman" w:hAnsi="Times New Roman" w:cs="Times New Roman"/>
        </w:rPr>
      </w:pPr>
      <w:r>
        <w:rPr>
          <w:rFonts w:ascii="Times New Roman" w:hAnsi="Times New Roman" w:cs="Times New Roman"/>
          <w:i/>
        </w:rPr>
        <w:tab/>
      </w:r>
      <w:r>
        <w:rPr>
          <w:rFonts w:ascii="Times New Roman" w:hAnsi="Times New Roman" w:cs="Times New Roman"/>
        </w:rPr>
        <w:t xml:space="preserve">Buffalo, New York, by itself represents a microcosm of many of the preservation activities happening within other Legacy Cities. The city experienced the classic cycle of near instantaneous growth in industry, followed by an equally precipitous collapse, and is now in a stabilization phase. That stabilization had not yet begun when local citizen and neighborhood advocacy groups took it upon themselves to create an environment which empowered locals to </w:t>
      </w:r>
      <w:r>
        <w:rPr>
          <w:rFonts w:ascii="Times New Roman" w:hAnsi="Times New Roman" w:cs="Times New Roman"/>
        </w:rPr>
        <w:lastRenderedPageBreak/>
        <w:t xml:space="preserve">take control of what was happening within their own neighborhoods. Organizations like PUSH Buffalo, and Partnership for the Public Good were already gaining traction, and creating positive change, in the early 2000s. Preservation Buffalo Niagara more recently found their footing in neighborhoods with their strong support of activities which reinforce the protection of Buffalo’s vernacular built environment. PBN is also taking the time to engage in neighborhoods and work with neighborhood advocacy groups to gain the trust of people in neighborhoods wary of historic preservation becoming a gentrifying force in their community. </w:t>
      </w:r>
    </w:p>
    <w:p w14:paraId="1D52543B" w14:textId="77777777" w:rsidR="001F1BB7" w:rsidRPr="00C02CE8" w:rsidRDefault="001F1BB7" w:rsidP="001F1BB7">
      <w:pPr>
        <w:spacing w:line="480" w:lineRule="auto"/>
        <w:ind w:firstLine="720"/>
        <w:rPr>
          <w:rFonts w:ascii="Times New Roman" w:hAnsi="Times New Roman" w:cs="Times New Roman"/>
        </w:rPr>
      </w:pPr>
      <w:r>
        <w:rPr>
          <w:rFonts w:ascii="Times New Roman" w:hAnsi="Times New Roman" w:cs="Times New Roman"/>
        </w:rPr>
        <w:t xml:space="preserve">Further, when looking at the urban and preservation planning happening in Buffalo, one finds all the most recent buzzwords like smart growth, form-based code, and community land trusts. The addition of the Buffalo Billion into the community makes the region especially interesting, because unlike other Legacy Cities, Buffalo has become the recipient of a considerable amount of development opportunity. For a city that has seen disinvestment on such a substantial scale, the pressure to let </w:t>
      </w:r>
      <w:proofErr w:type="gramStart"/>
      <w:r>
        <w:rPr>
          <w:rFonts w:ascii="Times New Roman" w:hAnsi="Times New Roman" w:cs="Times New Roman"/>
        </w:rPr>
        <w:t>any and all</w:t>
      </w:r>
      <w:proofErr w:type="gramEnd"/>
      <w:r>
        <w:rPr>
          <w:rFonts w:ascii="Times New Roman" w:hAnsi="Times New Roman" w:cs="Times New Roman"/>
        </w:rPr>
        <w:t xml:space="preserve"> development occur is powerful. When these factors all coincide in one city, wisdom and logic would assert examination. These are the fundamental elements from which preservationists can draw examples of how to initiate and expand culturally sustainable preservation methods. As we move into future chapters and begin to build a new framework for culturally sustainable preservation plans, components of historic preservation philosophies from other countries and pieces of the Buffalo model will be referenced as examples of how community engagement can be used to encourage acceptance for historic and cultural preservation projects.</w:t>
      </w:r>
    </w:p>
    <w:p w14:paraId="7A760A8F" w14:textId="77777777" w:rsidR="001F1BB7" w:rsidRPr="00905B7D" w:rsidRDefault="001F1BB7" w:rsidP="001F1BB7">
      <w:pPr>
        <w:ind w:firstLine="720"/>
        <w:rPr>
          <w:rFonts w:ascii="Times New Roman" w:hAnsi="Times New Roman" w:cs="Times New Roman"/>
        </w:rPr>
      </w:pPr>
    </w:p>
    <w:p w14:paraId="7C3CB368" w14:textId="1297941F" w:rsidR="00C241EB" w:rsidRDefault="00C241EB">
      <w:pPr>
        <w:rPr>
          <w:rFonts w:ascii="Times New Roman" w:hAnsi="Times New Roman" w:cs="Times New Roman"/>
        </w:rPr>
      </w:pPr>
      <w:r>
        <w:br w:type="page"/>
      </w:r>
    </w:p>
    <w:p w14:paraId="25905851" w14:textId="139EA379" w:rsidR="00153831" w:rsidRPr="00A57D07" w:rsidRDefault="00153831" w:rsidP="00153831">
      <w:pPr>
        <w:tabs>
          <w:tab w:val="left" w:pos="720"/>
          <w:tab w:val="left" w:pos="1440"/>
          <w:tab w:val="left" w:pos="2160"/>
          <w:tab w:val="center" w:pos="4680"/>
        </w:tabs>
        <w:spacing w:line="480" w:lineRule="auto"/>
        <w:jc w:val="center"/>
        <w:outlineLvl w:val="0"/>
        <w:rPr>
          <w:rFonts w:ascii="Times New Roman" w:hAnsi="Times New Roman" w:cs="Times New Roman"/>
          <w:sz w:val="28"/>
          <w:szCs w:val="28"/>
        </w:rPr>
      </w:pPr>
      <w:r w:rsidRPr="00A57D07">
        <w:rPr>
          <w:rFonts w:ascii="Times New Roman" w:hAnsi="Times New Roman" w:cs="Times New Roman"/>
          <w:sz w:val="28"/>
          <w:szCs w:val="28"/>
        </w:rPr>
        <w:lastRenderedPageBreak/>
        <w:t xml:space="preserve">Chapter </w:t>
      </w:r>
      <w:r>
        <w:rPr>
          <w:rFonts w:ascii="Times New Roman" w:hAnsi="Times New Roman" w:cs="Times New Roman"/>
          <w:sz w:val="28"/>
          <w:szCs w:val="28"/>
        </w:rPr>
        <w:t>IV</w:t>
      </w:r>
    </w:p>
    <w:p w14:paraId="2D98D32D" w14:textId="77777777" w:rsidR="00153831" w:rsidRPr="00A57D07" w:rsidRDefault="00153831" w:rsidP="00153831">
      <w:pPr>
        <w:spacing w:line="480" w:lineRule="auto"/>
        <w:jc w:val="center"/>
        <w:outlineLvl w:val="0"/>
        <w:rPr>
          <w:rFonts w:ascii="Times New Roman" w:hAnsi="Times New Roman" w:cs="Times New Roman"/>
          <w:sz w:val="28"/>
          <w:szCs w:val="28"/>
        </w:rPr>
      </w:pPr>
      <w:r w:rsidRPr="00A57D07">
        <w:rPr>
          <w:rFonts w:ascii="Times New Roman" w:hAnsi="Times New Roman" w:cs="Times New Roman"/>
          <w:sz w:val="28"/>
          <w:szCs w:val="28"/>
        </w:rPr>
        <w:t>Theoretical Framework for Building a Culturally Sustainable Preservation Model</w:t>
      </w:r>
    </w:p>
    <w:p w14:paraId="5AEA1E38" w14:textId="77777777" w:rsidR="00153831" w:rsidRDefault="00153831" w:rsidP="00153831">
      <w:pPr>
        <w:spacing w:line="480" w:lineRule="auto"/>
        <w:rPr>
          <w:rFonts w:ascii="Times New Roman" w:hAnsi="Times New Roman" w:cs="Times New Roman"/>
        </w:rPr>
      </w:pPr>
    </w:p>
    <w:p w14:paraId="62961F03" w14:textId="62118BC4" w:rsidR="00153831" w:rsidRDefault="00153831" w:rsidP="00153831">
      <w:pPr>
        <w:spacing w:line="480" w:lineRule="auto"/>
        <w:ind w:firstLine="720"/>
        <w:rPr>
          <w:rFonts w:ascii="Times New Roman" w:hAnsi="Times New Roman" w:cs="Times New Roman"/>
        </w:rPr>
      </w:pPr>
      <w:r>
        <w:rPr>
          <w:rFonts w:ascii="Times New Roman" w:hAnsi="Times New Roman" w:cs="Times New Roman"/>
        </w:rPr>
        <w:t xml:space="preserve">Building the framework for a culturally sustainable preservation model will require understanding both past and current thinking in the philosophical and technical aspects of the historic preservation profession. Incorporating cultural sustainability will consist of changes in how professional preservationists approach their work, and how they approach the people that are impacted by that work. </w:t>
      </w:r>
      <w:r w:rsidR="00137808">
        <w:rPr>
          <w:rFonts w:ascii="Times New Roman" w:hAnsi="Times New Roman" w:cs="Times New Roman"/>
        </w:rPr>
        <w:t>To</w:t>
      </w:r>
      <w:r>
        <w:rPr>
          <w:rFonts w:ascii="Times New Roman" w:hAnsi="Times New Roman" w:cs="Times New Roman"/>
        </w:rPr>
        <w:t xml:space="preserve"> better grasp from where the preservation field has come, this chapter will cover basic comprehension of how federal, state, and local programs came to be, and how they work. Only then can we explore whether changes can be made to integrate cultural sustainability into the language of our governing documents. </w:t>
      </w:r>
      <w:r w:rsidR="00A67559">
        <w:rPr>
          <w:rFonts w:ascii="Times New Roman" w:hAnsi="Times New Roman" w:cs="Times New Roman"/>
        </w:rPr>
        <w:t>In addition</w:t>
      </w:r>
      <w:r>
        <w:rPr>
          <w:rFonts w:ascii="Times New Roman" w:hAnsi="Times New Roman" w:cs="Times New Roman"/>
        </w:rPr>
        <w:t xml:space="preserve">, looking at how other countries identify and protect their historic and heritage resources will be a valuable component, as well as examining further where historic preservation can be merged into the work being done by agencies working with preservation-adjacent public advocacy. This chapter will identify where and how a culturally sustainable preservation model can be used to expand and build vitality into future historic preservation work. </w:t>
      </w:r>
    </w:p>
    <w:p w14:paraId="343099AC" w14:textId="77777777" w:rsidR="00153831" w:rsidRDefault="00153831" w:rsidP="00153831">
      <w:pPr>
        <w:spacing w:line="480" w:lineRule="auto"/>
        <w:ind w:firstLine="720"/>
        <w:rPr>
          <w:rFonts w:ascii="Times New Roman" w:hAnsi="Times New Roman" w:cs="Times New Roman"/>
        </w:rPr>
      </w:pPr>
    </w:p>
    <w:p w14:paraId="4E87E1A1" w14:textId="77777777" w:rsidR="00291755" w:rsidRDefault="00A67559" w:rsidP="00153831">
      <w:pPr>
        <w:spacing w:line="480" w:lineRule="auto"/>
        <w:jc w:val="center"/>
        <w:outlineLvl w:val="0"/>
        <w:rPr>
          <w:rFonts w:ascii="Times New Roman" w:hAnsi="Times New Roman" w:cs="Times New Roman"/>
          <w:u w:val="single"/>
        </w:rPr>
      </w:pPr>
      <w:r>
        <w:rPr>
          <w:rFonts w:ascii="Times New Roman" w:hAnsi="Times New Roman" w:cs="Times New Roman"/>
          <w:u w:val="single"/>
        </w:rPr>
        <w:t>Where Do We Come F</w:t>
      </w:r>
      <w:r w:rsidR="00153831" w:rsidRPr="00180BF6">
        <w:rPr>
          <w:rFonts w:ascii="Times New Roman" w:hAnsi="Times New Roman" w:cs="Times New Roman"/>
          <w:u w:val="single"/>
        </w:rPr>
        <w:t xml:space="preserve">rom? </w:t>
      </w:r>
    </w:p>
    <w:p w14:paraId="47841E52" w14:textId="4DE7AF4F" w:rsidR="00153831" w:rsidRDefault="00153831" w:rsidP="00153831">
      <w:pPr>
        <w:spacing w:line="480" w:lineRule="auto"/>
        <w:jc w:val="center"/>
        <w:outlineLvl w:val="0"/>
        <w:rPr>
          <w:rFonts w:ascii="Times New Roman" w:hAnsi="Times New Roman" w:cs="Times New Roman"/>
          <w:u w:val="single"/>
        </w:rPr>
      </w:pPr>
      <w:r w:rsidRPr="00180BF6">
        <w:rPr>
          <w:rFonts w:ascii="Times New Roman" w:hAnsi="Times New Roman" w:cs="Times New Roman"/>
          <w:u w:val="single"/>
        </w:rPr>
        <w:t>A Brief History of Preservation in the United States</w:t>
      </w:r>
    </w:p>
    <w:p w14:paraId="328C0A87" w14:textId="77777777" w:rsidR="00153831" w:rsidRPr="00180BF6" w:rsidRDefault="00153831" w:rsidP="00153831">
      <w:pPr>
        <w:spacing w:line="480" w:lineRule="auto"/>
        <w:jc w:val="center"/>
        <w:outlineLvl w:val="0"/>
        <w:rPr>
          <w:rFonts w:ascii="Times New Roman" w:hAnsi="Times New Roman" w:cs="Times New Roman"/>
          <w:u w:val="single"/>
        </w:rPr>
      </w:pPr>
    </w:p>
    <w:p w14:paraId="417CB59C" w14:textId="77777777" w:rsidR="00153831" w:rsidRPr="00180BF6" w:rsidRDefault="00153831" w:rsidP="00153831">
      <w:pPr>
        <w:spacing w:line="480" w:lineRule="auto"/>
        <w:outlineLvl w:val="0"/>
        <w:rPr>
          <w:rFonts w:ascii="Times New Roman" w:hAnsi="Times New Roman" w:cs="Times New Roman"/>
          <w:u w:val="single"/>
        </w:rPr>
      </w:pPr>
      <w:r w:rsidRPr="00180BF6">
        <w:rPr>
          <w:rFonts w:ascii="Times New Roman" w:hAnsi="Times New Roman" w:cs="Times New Roman"/>
          <w:u w:val="single"/>
        </w:rPr>
        <w:t xml:space="preserve">Federal Preservation Program </w:t>
      </w:r>
    </w:p>
    <w:p w14:paraId="684FEFF8" w14:textId="090CC91D" w:rsidR="00153831" w:rsidRPr="00A95C3E" w:rsidRDefault="00153831" w:rsidP="00153831">
      <w:pPr>
        <w:spacing w:line="480" w:lineRule="auto"/>
        <w:ind w:firstLine="720"/>
        <w:rPr>
          <w:rFonts w:ascii="Times New Roman" w:hAnsi="Times New Roman" w:cs="Times New Roman"/>
        </w:rPr>
      </w:pPr>
      <w:r>
        <w:rPr>
          <w:rFonts w:ascii="Times New Roman" w:hAnsi="Times New Roman" w:cs="Times New Roman"/>
        </w:rPr>
        <w:t xml:space="preserve">In the United States, historic preservation has been happening since shortly after the Revolution. Early efforts included saving Independence Hall in Philadelphia in 1816, and the </w:t>
      </w:r>
      <w:r>
        <w:rPr>
          <w:rFonts w:ascii="Times New Roman" w:hAnsi="Times New Roman" w:cs="Times New Roman"/>
        </w:rPr>
        <w:lastRenderedPageBreak/>
        <w:t xml:space="preserve">Mount Vernon Ladies’ Association’s success in saving Mount Vernon in 1853. </w:t>
      </w:r>
      <w:r w:rsidR="00F04DCA">
        <w:rPr>
          <w:rFonts w:ascii="Times New Roman" w:hAnsi="Times New Roman" w:cs="Times New Roman"/>
        </w:rPr>
        <w:t>Initial</w:t>
      </w:r>
      <w:r>
        <w:rPr>
          <w:rFonts w:ascii="Times New Roman" w:hAnsi="Times New Roman" w:cs="Times New Roman"/>
        </w:rPr>
        <w:t xml:space="preserve"> preservation endeavors were privately </w:t>
      </w:r>
      <w:r w:rsidR="00857124">
        <w:rPr>
          <w:rFonts w:ascii="Times New Roman" w:hAnsi="Times New Roman" w:cs="Times New Roman"/>
        </w:rPr>
        <w:t>instituted</w:t>
      </w:r>
      <w:r>
        <w:rPr>
          <w:rFonts w:ascii="Times New Roman" w:hAnsi="Times New Roman" w:cs="Times New Roman"/>
        </w:rPr>
        <w:t xml:space="preserve"> and supported. The federal government largely was not involved in preservation throughout the nineteenth century, instead focusing on the protection of the country’s natural features through land acquisition. The Antiquities Act of 1906 changed that trajectory by giving the President the authority of designation over “historic landmarks, historic and prehistoric structures, and other objects of historic or scientific interest”</w:t>
      </w:r>
      <w:r w:rsidRPr="00F3497A">
        <w:rPr>
          <w:rStyle w:val="FootnoteReference"/>
        </w:rPr>
        <w:footnoteReference w:id="143"/>
      </w:r>
      <w:r>
        <w:rPr>
          <w:rFonts w:ascii="Times New Roman" w:hAnsi="Times New Roman" w:cs="Times New Roman"/>
        </w:rPr>
        <w:t xml:space="preserve"> on federally owned lands, and triggered the first large-scale survey and identification of the country’s historic sites. The Antiquities Act was the first formal preservation legislation by the federal government, and administration of the Act was placed within the Department of the Interior, where it remains today. Later, the establishment of the National Park Service (NPS) in 1916 created an agency to handle larger cultural resources such as National Parks and National Historic Sites, and is the current home for most federal level preservation activity.</w:t>
      </w:r>
      <w:r w:rsidRPr="00F3497A">
        <w:rPr>
          <w:rStyle w:val="FootnoteReference"/>
        </w:rPr>
        <w:footnoteReference w:id="144"/>
      </w:r>
    </w:p>
    <w:p w14:paraId="5DB5F62D" w14:textId="77777777" w:rsidR="00153831" w:rsidRDefault="00153831" w:rsidP="00153831">
      <w:pPr>
        <w:spacing w:line="480" w:lineRule="auto"/>
        <w:rPr>
          <w:rFonts w:ascii="Times New Roman" w:hAnsi="Times New Roman" w:cs="Times New Roman"/>
        </w:rPr>
      </w:pPr>
      <w:r>
        <w:rPr>
          <w:rFonts w:cs="Times New Roman"/>
        </w:rPr>
        <w:tab/>
      </w:r>
      <w:r>
        <w:rPr>
          <w:rFonts w:ascii="Times New Roman" w:hAnsi="Times New Roman" w:cs="Times New Roman"/>
        </w:rPr>
        <w:t>With the post-World War II expansion of the American population and economy, and the subsequent loss of many buildings of historic and architectural significance to a boom in construction,</w:t>
      </w:r>
      <w:r w:rsidRPr="00A41718">
        <w:rPr>
          <w:rFonts w:ascii="Times New Roman" w:hAnsi="Times New Roman" w:cs="Times New Roman"/>
        </w:rPr>
        <w:t xml:space="preserve"> </w:t>
      </w:r>
      <w:r>
        <w:rPr>
          <w:rFonts w:ascii="Times New Roman" w:hAnsi="Times New Roman" w:cs="Times New Roman"/>
        </w:rPr>
        <w:t xml:space="preserve">preserving America’s historic architecture became much more urgent in the 1960s. Spurred on by the publication of the document </w:t>
      </w:r>
      <w:r w:rsidRPr="00380CDA">
        <w:rPr>
          <w:rFonts w:ascii="Times New Roman" w:hAnsi="Times New Roman" w:cs="Times New Roman"/>
          <w:i/>
        </w:rPr>
        <w:t>With Heritage So Rich</w:t>
      </w:r>
      <w:r>
        <w:rPr>
          <w:rFonts w:ascii="Times New Roman" w:hAnsi="Times New Roman" w:cs="Times New Roman"/>
          <w:i/>
        </w:rPr>
        <w:t xml:space="preserve">, </w:t>
      </w:r>
      <w:r>
        <w:rPr>
          <w:rFonts w:ascii="Times New Roman" w:hAnsi="Times New Roman" w:cs="Times New Roman"/>
        </w:rPr>
        <w:t xml:space="preserve">Congress passed legislation for the National Historic Preservation Act (NHPA) of 1966. One of the most important federal legislative acts for preservation to date, some of the NHPA’s sweeping programs included the establishment of the National Register of Historic Places (NRHP), authorization of State Historic Preservation Officers (SHPOs), establishment of the Advisory </w:t>
      </w:r>
      <w:r>
        <w:rPr>
          <w:rFonts w:ascii="Times New Roman" w:hAnsi="Times New Roman" w:cs="Times New Roman"/>
        </w:rPr>
        <w:lastRenderedPageBreak/>
        <w:t>Council on Historic Preservation, and authorization of legislation to federally fund preservation activities.</w:t>
      </w:r>
      <w:r w:rsidRPr="00F3497A">
        <w:rPr>
          <w:rStyle w:val="FootnoteReference"/>
        </w:rPr>
        <w:footnoteReference w:id="145"/>
      </w:r>
      <w:r>
        <w:rPr>
          <w:rFonts w:ascii="Times New Roman" w:hAnsi="Times New Roman" w:cs="Times New Roman"/>
        </w:rPr>
        <w:t xml:space="preserve"> Additionally, projects using federal funds or permits were required to comply with the Section 106 review process, which determined whether the work being done negatively impacted a historic site, and if that impact could be avoided or minimized.</w:t>
      </w:r>
      <w:r w:rsidRPr="00F3497A">
        <w:rPr>
          <w:rStyle w:val="FootnoteReference"/>
        </w:rPr>
        <w:footnoteReference w:id="146"/>
      </w:r>
      <w:r w:rsidRPr="0093454F">
        <w:rPr>
          <w:rFonts w:ascii="Times New Roman" w:hAnsi="Times New Roman" w:cs="Times New Roman"/>
        </w:rPr>
        <w:t xml:space="preserve"> </w:t>
      </w:r>
    </w:p>
    <w:p w14:paraId="28B20A92" w14:textId="77777777" w:rsidR="00153831" w:rsidRDefault="00153831" w:rsidP="00153831">
      <w:pPr>
        <w:spacing w:line="480" w:lineRule="auto"/>
        <w:rPr>
          <w:rFonts w:ascii="Times New Roman" w:hAnsi="Times New Roman" w:cs="Times New Roman"/>
        </w:rPr>
      </w:pPr>
      <w:r>
        <w:rPr>
          <w:rFonts w:ascii="Times New Roman" w:hAnsi="Times New Roman" w:cs="Times New Roman"/>
        </w:rPr>
        <w:tab/>
        <w:t>One of the major tools in the federal historic preservation program is the Historic Tax Credit (HTC) program. Established in 1976, this program incentivizes private sector development with a twenty percent income tax credit toward the adaptive reuse of historic buildings rehabilitated for use as income producing properties. The reuse of historic buildings is regulated utilizing the Secretary of the Interior’s Standards for Rehabilitation as a guideline for preservation of historic materials and features.</w:t>
      </w:r>
      <w:r w:rsidRPr="00F3497A">
        <w:rPr>
          <w:rStyle w:val="FootnoteReference"/>
        </w:rPr>
        <w:footnoteReference w:id="147"/>
      </w:r>
      <w:r>
        <w:rPr>
          <w:rFonts w:ascii="Times New Roman" w:hAnsi="Times New Roman" w:cs="Times New Roman"/>
        </w:rPr>
        <w:t xml:space="preserve"> Together, the HTC and the Standards encourage appropriate reuse projects that avoid harming the historic integrity of a building or landscape. The massive impact of the HTC is evidenced by the estimated $96.87 billion spent in rehabilitation investment, and over 44,000 completed projects since its inception in 1976.</w:t>
      </w:r>
      <w:r w:rsidRPr="00F3497A">
        <w:rPr>
          <w:rStyle w:val="FootnoteReference"/>
        </w:rPr>
        <w:footnoteReference w:id="148"/>
      </w:r>
    </w:p>
    <w:p w14:paraId="514C3DEF" w14:textId="77777777" w:rsidR="00153831" w:rsidRDefault="00153831" w:rsidP="00153831">
      <w:pPr>
        <w:rPr>
          <w:rFonts w:ascii="Times New Roman" w:hAnsi="Times New Roman" w:cs="Times New Roman"/>
        </w:rPr>
      </w:pPr>
    </w:p>
    <w:p w14:paraId="74F0CAD2" w14:textId="77777777" w:rsidR="00153831" w:rsidRPr="00180BF6" w:rsidRDefault="00153831" w:rsidP="00153831">
      <w:pPr>
        <w:spacing w:line="480" w:lineRule="auto"/>
        <w:outlineLvl w:val="0"/>
        <w:rPr>
          <w:rFonts w:ascii="Times New Roman" w:hAnsi="Times New Roman" w:cs="Times New Roman"/>
          <w:u w:val="single"/>
        </w:rPr>
      </w:pPr>
      <w:r w:rsidRPr="00180BF6">
        <w:rPr>
          <w:rFonts w:ascii="Times New Roman" w:hAnsi="Times New Roman" w:cs="Times New Roman"/>
          <w:u w:val="single"/>
        </w:rPr>
        <w:t>State Level Preservation</w:t>
      </w:r>
    </w:p>
    <w:p w14:paraId="54A1C1B0" w14:textId="6329E7C3" w:rsidR="00153831" w:rsidRDefault="00153831" w:rsidP="00153831">
      <w:pPr>
        <w:spacing w:line="480" w:lineRule="auto"/>
        <w:rPr>
          <w:rFonts w:ascii="Times New Roman" w:hAnsi="Times New Roman" w:cs="Times New Roman"/>
        </w:rPr>
      </w:pPr>
      <w:r>
        <w:rPr>
          <w:rFonts w:ascii="Times New Roman" w:hAnsi="Times New Roman" w:cs="Times New Roman"/>
          <w:i/>
        </w:rPr>
        <w:tab/>
      </w:r>
      <w:r>
        <w:rPr>
          <w:rFonts w:ascii="Times New Roman" w:hAnsi="Times New Roman" w:cs="Times New Roman"/>
        </w:rPr>
        <w:t xml:space="preserve">Following the passage of the NHPA, the state role in preservation grew. Preservation at the state level is authorized by the NHPA, which allows for a State Historic Preservation Officer (SHPO) and accompanying staff in each of the fifty-nine states, territories, and District of </w:t>
      </w:r>
      <w:r>
        <w:rPr>
          <w:rFonts w:ascii="Times New Roman" w:hAnsi="Times New Roman" w:cs="Times New Roman"/>
        </w:rPr>
        <w:lastRenderedPageBreak/>
        <w:t xml:space="preserve">Columbia. There are also Tribal Historic Preservation Officers (THPO) for 183 NPS-recognized sovereign governments of American Indian tribes. THPOs oversee many of the same programs and protections as a SHPO, however, they have also given special emphasis to </w:t>
      </w:r>
      <w:r w:rsidR="00B402F8">
        <w:rPr>
          <w:rFonts w:ascii="Times New Roman" w:hAnsi="Times New Roman" w:cs="Times New Roman"/>
        </w:rPr>
        <w:t>protecting Traditional Cultural P</w:t>
      </w:r>
      <w:r>
        <w:rPr>
          <w:rFonts w:ascii="Times New Roman" w:hAnsi="Times New Roman" w:cs="Times New Roman"/>
        </w:rPr>
        <w:t>roperties.</w:t>
      </w:r>
      <w:r w:rsidRPr="00F3497A">
        <w:rPr>
          <w:rStyle w:val="FootnoteReference"/>
        </w:rPr>
        <w:footnoteReference w:id="149"/>
      </w:r>
      <w:r>
        <w:rPr>
          <w:rFonts w:ascii="Times New Roman" w:hAnsi="Times New Roman" w:cs="Times New Roman"/>
        </w:rPr>
        <w:t xml:space="preserve"> SHPOs are directed to conduct surveys of historic resources throughout the state, process nominations to the National Register of Historic Places, serve as an intermediary of funding resources from federal to local agencies, assist local citizens and agencies with preservation related matters, consult on Section 106 review, and review federal Historic Tax Credit applications to make recommendations to the National Park Service.</w:t>
      </w:r>
      <w:r w:rsidRPr="00F3497A">
        <w:rPr>
          <w:rStyle w:val="FootnoteReference"/>
        </w:rPr>
        <w:footnoteReference w:id="150"/>
      </w:r>
      <w:r>
        <w:rPr>
          <w:rFonts w:ascii="Times New Roman" w:hAnsi="Times New Roman" w:cs="Times New Roman"/>
        </w:rPr>
        <w:t xml:space="preserve"> The SHPO plays a large part in the overall preservation picture, acting as the liaison and facilitator between the federal programs and local level preservation activities within the state. </w:t>
      </w:r>
    </w:p>
    <w:p w14:paraId="2429EA6E" w14:textId="59AD12A8" w:rsidR="00153831" w:rsidRDefault="00153831" w:rsidP="00B402F8">
      <w:pPr>
        <w:spacing w:line="480" w:lineRule="auto"/>
        <w:rPr>
          <w:rFonts w:ascii="Times New Roman" w:hAnsi="Times New Roman" w:cs="Times New Roman"/>
        </w:rPr>
      </w:pPr>
      <w:r>
        <w:rPr>
          <w:rFonts w:ascii="Times New Roman" w:hAnsi="Times New Roman" w:cs="Times New Roman"/>
        </w:rPr>
        <w:tab/>
        <w:t>The SHPO also administers the Certified Local Government Program (CLG). Added as an amendment to the NHPA in 1980, municipalities receiving CLG status are more closely connected to their SHPO, and complying with CLG designation requirements may make the community eligible to receive more federal and state grants. These grants can be used locally for the purposes of preservation work, such as survey and inventory of historic sites, preparing documentation for National Register nominations, the preparation of preservation plans, and in some cases, renovation of historic buildings.</w:t>
      </w:r>
      <w:r w:rsidRPr="00F3497A">
        <w:rPr>
          <w:rStyle w:val="FootnoteReference"/>
        </w:rPr>
        <w:footnoteReference w:id="151"/>
      </w:r>
      <w:r>
        <w:rPr>
          <w:rFonts w:ascii="Times New Roman" w:hAnsi="Times New Roman" w:cs="Times New Roman"/>
        </w:rPr>
        <w:t xml:space="preserve"> The CLG program is a federally approved, state administered, locally managed preservation program.</w:t>
      </w:r>
    </w:p>
    <w:p w14:paraId="169FD8C7" w14:textId="77777777" w:rsidR="00B402F8" w:rsidRDefault="00B402F8" w:rsidP="00B402F8">
      <w:pPr>
        <w:spacing w:line="480" w:lineRule="auto"/>
        <w:rPr>
          <w:rFonts w:ascii="Times New Roman" w:hAnsi="Times New Roman" w:cs="Times New Roman"/>
        </w:rPr>
      </w:pPr>
    </w:p>
    <w:p w14:paraId="4C3D5106" w14:textId="77777777" w:rsidR="00291755" w:rsidRPr="00B402F8" w:rsidRDefault="00291755" w:rsidP="00B402F8">
      <w:pPr>
        <w:spacing w:line="480" w:lineRule="auto"/>
        <w:rPr>
          <w:rFonts w:ascii="Times New Roman" w:hAnsi="Times New Roman" w:cs="Times New Roman"/>
        </w:rPr>
      </w:pPr>
    </w:p>
    <w:p w14:paraId="7713419E" w14:textId="77777777" w:rsidR="00153831" w:rsidRPr="00180BF6" w:rsidRDefault="00153831" w:rsidP="00153831">
      <w:pPr>
        <w:spacing w:line="480" w:lineRule="auto"/>
        <w:outlineLvl w:val="0"/>
        <w:rPr>
          <w:rFonts w:ascii="Times New Roman" w:hAnsi="Times New Roman" w:cs="Times New Roman"/>
          <w:u w:val="single"/>
        </w:rPr>
      </w:pPr>
      <w:r w:rsidRPr="00180BF6">
        <w:rPr>
          <w:rFonts w:ascii="Times New Roman" w:hAnsi="Times New Roman" w:cs="Times New Roman"/>
          <w:u w:val="single"/>
        </w:rPr>
        <w:lastRenderedPageBreak/>
        <w:t xml:space="preserve">Local Level Preservation </w:t>
      </w:r>
    </w:p>
    <w:p w14:paraId="38C94B6D" w14:textId="77777777" w:rsidR="00153831" w:rsidRDefault="00153831" w:rsidP="00153831">
      <w:pPr>
        <w:spacing w:line="480" w:lineRule="auto"/>
        <w:rPr>
          <w:rFonts w:ascii="Times New Roman" w:hAnsi="Times New Roman" w:cs="Times New Roman"/>
        </w:rPr>
      </w:pPr>
      <w:r>
        <w:rPr>
          <w:rFonts w:ascii="Times New Roman" w:hAnsi="Times New Roman" w:cs="Times New Roman"/>
          <w:i/>
        </w:rPr>
        <w:tab/>
      </w:r>
      <w:r>
        <w:rPr>
          <w:rFonts w:ascii="Times New Roman" w:hAnsi="Times New Roman" w:cs="Times New Roman"/>
        </w:rPr>
        <w:t>Local level preservation activities are where historic preservation can often make the most effective change. It is at the local level that designation of historic structures is often initiated, and where ordinances, regulations, and incentives for historic environments are drafted. If a municipality chooses to accept and make use of historic preservation tools to protect its historic environment, some form of preservation review board can be established to enforce locally drafted ordinances or regulations pertaining to their designated historic environment. This creates locally driven authority over preservation decisions, like when the municipality approves or disapproves changes to the historic environment, and encourages property owners to interact directly with municipal officials.</w:t>
      </w:r>
      <w:r w:rsidRPr="00F3497A">
        <w:rPr>
          <w:rStyle w:val="FootnoteReference"/>
        </w:rPr>
        <w:footnoteReference w:id="152"/>
      </w:r>
      <w:r>
        <w:rPr>
          <w:rFonts w:ascii="Times New Roman" w:hAnsi="Times New Roman" w:cs="Times New Roman"/>
        </w:rPr>
        <w:t xml:space="preserve"> In addition to local designations for significant landmarks or historic districts, the municipality can couple protections with an incentive program for appropriate rehabilitations. Because of the stricter regulatory authority of local preservation, the real “teeth,” or legal protection, in historic preservation actions happen at the local, rather than federal or state, level. </w:t>
      </w:r>
    </w:p>
    <w:p w14:paraId="1D5F6659" w14:textId="77777777" w:rsidR="00153831" w:rsidRPr="00FE46D5" w:rsidRDefault="00153831" w:rsidP="00153831">
      <w:pPr>
        <w:rPr>
          <w:rFonts w:ascii="Times New Roman" w:hAnsi="Times New Roman" w:cs="Times New Roman"/>
        </w:rPr>
      </w:pPr>
      <w:r>
        <w:rPr>
          <w:rFonts w:ascii="Times New Roman" w:hAnsi="Times New Roman" w:cs="Times New Roman"/>
        </w:rPr>
        <w:tab/>
      </w:r>
    </w:p>
    <w:p w14:paraId="6FE61E53" w14:textId="77777777" w:rsidR="00153831" w:rsidRPr="00180BF6" w:rsidRDefault="00153831" w:rsidP="00153831">
      <w:pPr>
        <w:spacing w:line="480" w:lineRule="auto"/>
        <w:jc w:val="center"/>
        <w:outlineLvl w:val="0"/>
        <w:rPr>
          <w:rFonts w:ascii="Times New Roman" w:hAnsi="Times New Roman" w:cs="Times New Roman"/>
          <w:u w:val="single"/>
        </w:rPr>
      </w:pPr>
      <w:r w:rsidRPr="00180BF6">
        <w:rPr>
          <w:rFonts w:ascii="Times New Roman" w:hAnsi="Times New Roman" w:cs="Times New Roman"/>
          <w:u w:val="single"/>
        </w:rPr>
        <w:t>Cultural Adaptations in Preservation Theory and Practice</w:t>
      </w:r>
    </w:p>
    <w:p w14:paraId="6A26469E" w14:textId="77777777" w:rsidR="00153831" w:rsidRDefault="00153831" w:rsidP="00153831">
      <w:pPr>
        <w:spacing w:line="480" w:lineRule="auto"/>
        <w:rPr>
          <w:rFonts w:ascii="Times New Roman" w:hAnsi="Times New Roman" w:cs="Times New Roman"/>
        </w:rPr>
      </w:pPr>
      <w:r>
        <w:rPr>
          <w:rFonts w:ascii="Times New Roman" w:hAnsi="Times New Roman" w:cs="Times New Roman"/>
          <w:i/>
        </w:rPr>
        <w:tab/>
      </w:r>
      <w:r>
        <w:rPr>
          <w:rFonts w:ascii="Times New Roman" w:hAnsi="Times New Roman" w:cs="Times New Roman"/>
        </w:rPr>
        <w:t xml:space="preserve">Given a brief history and an overview of the way historic preservation is used within the United States, it is clear there are many provisions for identifying and protecting historic resources. A common criticism of historic preservation is the perceived barrier to listing into the NRHP for sites that do not fit within the prescribed range of allowable characteristics, or are not documented and delivered for review within the bureaucracy’s narrowly defined margin of procedure, virtually requiring an expert to create a nomination for NRHP. For example, there is </w:t>
      </w:r>
      <w:r>
        <w:rPr>
          <w:rFonts w:ascii="Times New Roman" w:hAnsi="Times New Roman" w:cs="Times New Roman"/>
        </w:rPr>
        <w:lastRenderedPageBreak/>
        <w:t xml:space="preserve">little room for federal funding to go towards the preservation of sites that do not fit the criteria of the NRHP standards. Additionally, there are financial barriers for sites that do meet the criteria, but do not have the funding to hire a historic preservation professional to research and prepare documentation necessary to gain an NRHP nomination. Even if an NRHP nomination is not sought, many current local preservation ordinances, which offer recognition, greater protection, and are used to approve or disapprove changes to local historic sites, are formatted using the Secretary of Interior’s Standards—the same used for the NRHP. This could exclude many sites of local cultural heritage significance from being afforded protections offered by their own municipality. </w:t>
      </w:r>
    </w:p>
    <w:p w14:paraId="3AD48C28" w14:textId="0C43EA8C" w:rsidR="00153831" w:rsidRDefault="00153831" w:rsidP="00291755">
      <w:pPr>
        <w:spacing w:line="480" w:lineRule="auto"/>
        <w:ind w:firstLine="720"/>
        <w:rPr>
          <w:rFonts w:ascii="Times New Roman" w:hAnsi="Times New Roman" w:cs="Times New Roman"/>
        </w:rPr>
      </w:pPr>
      <w:r>
        <w:rPr>
          <w:rFonts w:ascii="Times New Roman" w:hAnsi="Times New Roman" w:cs="Times New Roman"/>
        </w:rPr>
        <w:t xml:space="preserve">Because of the limited awareness of many, particularly property owners, regarding historic preservation designation, significant urban sites can be threatened. That threat of loss can exist because of neighborhood disinvestment and neglect, or because a neighborhood is inundated with development pressures. Educating property owners about the benefits of historic preservation should be considered within the purview of neighborhood groups or local preservation organizations. One outcome of preservation education should be the advantages for property owners of creating a community-based preservation plan within their own neighborhood. This should include a management plan for character-defining structures and places, as identified by their users. Significance identification should be driven by the community, for the community, through the collective voice of a strong neighborhood citizen advocacy group. This could be guided by a historic preservation professional, who is acting as an advisor in the technical elements of preservation planning. This is the beginning of creating a culturally sustainable preservation ordinance for a neighborhood </w:t>
      </w:r>
    </w:p>
    <w:p w14:paraId="2489C1CC" w14:textId="77777777" w:rsidR="00291755" w:rsidRPr="00291755" w:rsidRDefault="00291755" w:rsidP="00291755">
      <w:pPr>
        <w:spacing w:line="480" w:lineRule="auto"/>
        <w:ind w:firstLine="720"/>
        <w:rPr>
          <w:rFonts w:ascii="Times New Roman" w:hAnsi="Times New Roman" w:cs="Times New Roman"/>
        </w:rPr>
      </w:pPr>
    </w:p>
    <w:p w14:paraId="0711A2B1" w14:textId="45C77856" w:rsidR="00153831" w:rsidRPr="00180BF6" w:rsidRDefault="00B402F8" w:rsidP="00153831">
      <w:pPr>
        <w:spacing w:line="480" w:lineRule="auto"/>
        <w:outlineLvl w:val="0"/>
        <w:rPr>
          <w:rFonts w:ascii="Times New Roman" w:hAnsi="Times New Roman" w:cs="Times New Roman"/>
          <w:u w:val="single"/>
        </w:rPr>
      </w:pPr>
      <w:r>
        <w:rPr>
          <w:rFonts w:ascii="Times New Roman" w:hAnsi="Times New Roman" w:cs="Times New Roman"/>
          <w:u w:val="single"/>
        </w:rPr>
        <w:lastRenderedPageBreak/>
        <w:t>Examples of Existing Concepts in Culture-based P</w:t>
      </w:r>
      <w:r w:rsidR="00153831" w:rsidRPr="00180BF6">
        <w:rPr>
          <w:rFonts w:ascii="Times New Roman" w:hAnsi="Times New Roman" w:cs="Times New Roman"/>
          <w:u w:val="single"/>
        </w:rPr>
        <w:t xml:space="preserve">reservation </w:t>
      </w:r>
    </w:p>
    <w:p w14:paraId="4A9B10B4" w14:textId="77777777" w:rsidR="00153831" w:rsidRDefault="00153831" w:rsidP="00153831">
      <w:pPr>
        <w:spacing w:line="480" w:lineRule="auto"/>
        <w:rPr>
          <w:rFonts w:ascii="Times New Roman" w:hAnsi="Times New Roman" w:cs="Times New Roman"/>
          <w:color w:val="000000" w:themeColor="text1"/>
        </w:rPr>
      </w:pPr>
      <w:r>
        <w:rPr>
          <w:rFonts w:ascii="Times New Roman" w:hAnsi="Times New Roman" w:cs="Times New Roman"/>
          <w:i/>
        </w:rPr>
        <w:tab/>
      </w:r>
      <w:r>
        <w:rPr>
          <w:rFonts w:ascii="Times New Roman" w:hAnsi="Times New Roman" w:cs="Times New Roman"/>
        </w:rPr>
        <w:t>Acknowledging that a historic preservation ordinance is a way to moderate change to historic sites over time, many countries, including the United States, have written documents to address changes happening to sites that may not fit into the standard definition of significant or historic. Like the use of the Secretary of Interior’s Standards to create local preservation guidelines, looking at an overview of the culture-based plans or research put forth by others can help</w:t>
      </w:r>
      <w:r>
        <w:rPr>
          <w:rFonts w:ascii="Times New Roman" w:hAnsi="Times New Roman" w:cs="Times New Roman"/>
          <w:color w:val="000000" w:themeColor="text1"/>
        </w:rPr>
        <w:t xml:space="preserve"> illuminate key points or language to be used in a locally produced culturally sustainable preservation model. </w:t>
      </w:r>
    </w:p>
    <w:p w14:paraId="39DCB045" w14:textId="77777777" w:rsidR="00153831" w:rsidRPr="00C31E67" w:rsidRDefault="00153831" w:rsidP="00153831">
      <w:pPr>
        <w:spacing w:line="480" w:lineRule="auto"/>
        <w:rPr>
          <w:rFonts w:ascii="Times New Roman" w:hAnsi="Times New Roman" w:cs="Times New Roman"/>
          <w:color w:val="000000" w:themeColor="text1"/>
        </w:rPr>
      </w:pPr>
    </w:p>
    <w:p w14:paraId="6263099A" w14:textId="77777777" w:rsidR="00153831" w:rsidRPr="00180BF6" w:rsidRDefault="00153831" w:rsidP="00153831">
      <w:pPr>
        <w:spacing w:line="480" w:lineRule="auto"/>
        <w:ind w:firstLine="720"/>
        <w:outlineLvl w:val="0"/>
        <w:rPr>
          <w:rFonts w:ascii="Times New Roman" w:hAnsi="Times New Roman" w:cs="Times New Roman"/>
          <w:u w:val="single"/>
        </w:rPr>
      </w:pPr>
      <w:r w:rsidRPr="00180BF6">
        <w:rPr>
          <w:rFonts w:ascii="Times New Roman" w:hAnsi="Times New Roman" w:cs="Times New Roman"/>
          <w:u w:val="single"/>
        </w:rPr>
        <w:t>The Burra Charter</w:t>
      </w:r>
    </w:p>
    <w:p w14:paraId="0C743E2D" w14:textId="77777777" w:rsidR="00153831" w:rsidRPr="004253FC" w:rsidRDefault="00153831" w:rsidP="00153831">
      <w:pPr>
        <w:spacing w:line="480" w:lineRule="auto"/>
        <w:rPr>
          <w:rFonts w:ascii="Times New Roman" w:hAnsi="Times New Roman" w:cs="Times New Roman"/>
        </w:rPr>
      </w:pPr>
      <w:r>
        <w:rPr>
          <w:rFonts w:ascii="Times New Roman" w:hAnsi="Times New Roman" w:cs="Times New Roman"/>
          <w:i/>
        </w:rPr>
        <w:tab/>
      </w:r>
      <w:r>
        <w:rPr>
          <w:rFonts w:ascii="Times New Roman" w:hAnsi="Times New Roman" w:cs="Times New Roman"/>
        </w:rPr>
        <w:t>The Burra Charter was adopted in 1979 by the Australian National Committee of the International Council on Monuments and Sites (ICOMOS), with the most recent revision occurring in 2013. The Charter is built on the knowledge and experience of Australia’s ICOMOS members, and is meant to guide the conservation and management of sites of cultural significance. At its core, the Burra Charter advises a cautious approach to identified sites, advocating for as little change as is necessary to make a site usable while retaining cultural significance.</w:t>
      </w:r>
      <w:r w:rsidRPr="00F3497A">
        <w:rPr>
          <w:rStyle w:val="FootnoteReference"/>
        </w:rPr>
        <w:footnoteReference w:id="153"/>
      </w:r>
      <w:r>
        <w:rPr>
          <w:rFonts w:ascii="Times New Roman" w:hAnsi="Times New Roman" w:cs="Times New Roman"/>
        </w:rPr>
        <w:t xml:space="preserve"> The implementation of the Burra Charter is done through the three-step Burra Charter Process. The first step is to understand the cultural significance of the site; next, develop the policy to protect the site; then, administer a management plan for the site that is in accordance with the policy.</w:t>
      </w:r>
      <w:r w:rsidRPr="00F3497A">
        <w:rPr>
          <w:rStyle w:val="FootnoteReference"/>
        </w:rPr>
        <w:footnoteReference w:id="154"/>
      </w:r>
    </w:p>
    <w:p w14:paraId="3154B112" w14:textId="47F21606" w:rsidR="00153831" w:rsidRDefault="00153831" w:rsidP="00153831">
      <w:pPr>
        <w:spacing w:line="480" w:lineRule="auto"/>
        <w:rPr>
          <w:rFonts w:ascii="Times New Roman" w:hAnsi="Times New Roman" w:cs="Times New Roman"/>
        </w:rPr>
      </w:pPr>
      <w:r>
        <w:rPr>
          <w:rFonts w:ascii="Times New Roman" w:hAnsi="Times New Roman" w:cs="Times New Roman"/>
          <w:i/>
        </w:rPr>
        <w:lastRenderedPageBreak/>
        <w:tab/>
      </w:r>
      <w:r>
        <w:rPr>
          <w:rFonts w:ascii="Times New Roman" w:hAnsi="Times New Roman" w:cs="Times New Roman"/>
        </w:rPr>
        <w:t>In this process, the Burra Charter seems very familiar to what is done in preservation management policy in the United States. However, in the time it was written the Charter was innovative. Within its articles, it provides guidance into policy creation that states, “[c]</w:t>
      </w:r>
      <w:proofErr w:type="spellStart"/>
      <w:r>
        <w:rPr>
          <w:rFonts w:ascii="Times New Roman" w:hAnsi="Times New Roman" w:cs="Times New Roman"/>
        </w:rPr>
        <w:t>onservation</w:t>
      </w:r>
      <w:proofErr w:type="spellEnd"/>
      <w:r>
        <w:rPr>
          <w:rFonts w:ascii="Times New Roman" w:hAnsi="Times New Roman" w:cs="Times New Roman"/>
        </w:rPr>
        <w:t>, interpretation, and management of a place should provide for the participation of people for whom the place has significant associations and meanings, or who have social, spiritual, or other cultural responsibilities for the place.”</w:t>
      </w:r>
      <w:r w:rsidRPr="00F3497A">
        <w:rPr>
          <w:rStyle w:val="FootnoteReference"/>
        </w:rPr>
        <w:footnoteReference w:id="155"/>
      </w:r>
      <w:r>
        <w:rPr>
          <w:rFonts w:ascii="Times New Roman" w:hAnsi="Times New Roman" w:cs="Times New Roman"/>
        </w:rPr>
        <w:t xml:space="preserve"> Acknowledging that stakeholders should have a voice in the interpretation and management of a significant site is an important shift of thought. Additionally, the Charter established that, particularly in places of intersecting or conflicting cultural significance, “[c]o-existence of cultural values should always be recognized, respected, and encouraged.”</w:t>
      </w:r>
      <w:r w:rsidRPr="00F3497A">
        <w:rPr>
          <w:rStyle w:val="FootnoteReference"/>
        </w:rPr>
        <w:footnoteReference w:id="156"/>
      </w:r>
      <w:r w:rsidRPr="005628BB">
        <w:rPr>
          <w:rFonts w:ascii="Times New Roman" w:hAnsi="Times New Roman" w:cs="Times New Roman"/>
        </w:rPr>
        <w:t xml:space="preserve"> </w:t>
      </w:r>
      <w:r>
        <w:rPr>
          <w:rFonts w:ascii="Times New Roman" w:hAnsi="Times New Roman" w:cs="Times New Roman"/>
        </w:rPr>
        <w:t>The way the Australian ICOMOS chose to frame the Burra Charter, with a bottom-up policy that respected local cultures rather than a top-down strategy that only allows “experts” to dictate significance, interpretation, and management, was an improvement over earlier cultural resource management policies.</w:t>
      </w:r>
    </w:p>
    <w:p w14:paraId="2D43BF72" w14:textId="77777777" w:rsidR="00153831" w:rsidRDefault="00153831" w:rsidP="00153831">
      <w:pPr>
        <w:spacing w:line="480" w:lineRule="auto"/>
        <w:rPr>
          <w:rFonts w:ascii="Times New Roman" w:hAnsi="Times New Roman" w:cs="Times New Roman"/>
        </w:rPr>
      </w:pPr>
    </w:p>
    <w:p w14:paraId="1919E059" w14:textId="77777777" w:rsidR="00153831" w:rsidRPr="00180BF6" w:rsidRDefault="00153831" w:rsidP="00153831">
      <w:pPr>
        <w:spacing w:line="480" w:lineRule="auto"/>
        <w:ind w:firstLine="720"/>
        <w:outlineLvl w:val="0"/>
        <w:rPr>
          <w:rFonts w:ascii="Times New Roman" w:hAnsi="Times New Roman" w:cs="Times New Roman"/>
          <w:u w:val="single"/>
        </w:rPr>
      </w:pPr>
      <w:r w:rsidRPr="00180BF6">
        <w:rPr>
          <w:rFonts w:ascii="Times New Roman" w:hAnsi="Times New Roman" w:cs="Times New Roman"/>
          <w:u w:val="single"/>
        </w:rPr>
        <w:t>National Park Service, Traditional Cultural Properties</w:t>
      </w:r>
    </w:p>
    <w:p w14:paraId="10C083E3" w14:textId="77777777" w:rsidR="00153831" w:rsidRDefault="00153831" w:rsidP="00153831">
      <w:pPr>
        <w:spacing w:line="480" w:lineRule="auto"/>
        <w:rPr>
          <w:rFonts w:ascii="Times New Roman" w:hAnsi="Times New Roman" w:cs="Times New Roman"/>
        </w:rPr>
      </w:pPr>
      <w:r>
        <w:rPr>
          <w:rFonts w:ascii="Times New Roman" w:hAnsi="Times New Roman" w:cs="Times New Roman"/>
          <w:i/>
        </w:rPr>
        <w:tab/>
      </w:r>
      <w:r>
        <w:rPr>
          <w:rFonts w:ascii="Times New Roman" w:hAnsi="Times New Roman" w:cs="Times New Roman"/>
        </w:rPr>
        <w:t xml:space="preserve">In 1990, the NPS released National Register Bulletin 38, </w:t>
      </w:r>
      <w:r>
        <w:rPr>
          <w:rFonts w:ascii="Times New Roman" w:hAnsi="Times New Roman" w:cs="Times New Roman"/>
          <w:i/>
        </w:rPr>
        <w:t xml:space="preserve">Guidelines for Evaluating and Documenting Traditional Cultural Properties. </w:t>
      </w:r>
      <w:r>
        <w:rPr>
          <w:rFonts w:ascii="Times New Roman" w:hAnsi="Times New Roman" w:cs="Times New Roman"/>
        </w:rPr>
        <w:t>Within, several examples of what may be considered a Traditional Cultural Property (TCP) are given, such as locations associated with the traditional beliefs or ceremonies of a Native American group, rural communities and their land use traditions, and urban neighborhoods that are the traditional home of a cultural group.</w:t>
      </w:r>
      <w:r w:rsidRPr="00F3497A">
        <w:rPr>
          <w:rStyle w:val="FootnoteReference"/>
        </w:rPr>
        <w:footnoteReference w:id="157"/>
      </w:r>
      <w:r>
        <w:rPr>
          <w:rFonts w:ascii="Times New Roman" w:hAnsi="Times New Roman" w:cs="Times New Roman"/>
        </w:rPr>
        <w:t xml:space="preserve"> By </w:t>
      </w:r>
      <w:r>
        <w:rPr>
          <w:rFonts w:ascii="Times New Roman" w:hAnsi="Times New Roman" w:cs="Times New Roman"/>
        </w:rPr>
        <w:lastRenderedPageBreak/>
        <w:t>more clearly defining these types of culturally important places, the NPS intended to expand the types of properties that could be included in the National Register, and thereby also given protection through the Section 106 process. This is an important document that has helped to enrich the idea of how place can be representative of a group’s identity. The Bulletin acknowledges that for some cultural groups a TCP could be a mountaintop or a stretch of river, or a neighborhood of houses that are otherwise architecturally insignificant. The Bulletin also acknowledges that the identification of such places may only be revealed through ethnographic research.</w:t>
      </w:r>
      <w:r w:rsidRPr="00F3497A">
        <w:rPr>
          <w:rStyle w:val="FootnoteReference"/>
        </w:rPr>
        <w:footnoteReference w:id="158"/>
      </w:r>
    </w:p>
    <w:p w14:paraId="44904EDE" w14:textId="77777777" w:rsidR="00153831" w:rsidRDefault="00153831" w:rsidP="00153831">
      <w:pPr>
        <w:spacing w:line="480" w:lineRule="auto"/>
        <w:rPr>
          <w:rFonts w:ascii="Times New Roman" w:hAnsi="Times New Roman" w:cs="Times New Roman"/>
        </w:rPr>
      </w:pPr>
      <w:r>
        <w:rPr>
          <w:rFonts w:ascii="Times New Roman" w:hAnsi="Times New Roman" w:cs="Times New Roman"/>
        </w:rPr>
        <w:tab/>
        <w:t>However, Bulletin 38 states that its primary aim is the protection of the religious freedoms of Native Americans through the inclusion of representative sites in the National Register. This is an important directive that has the potential to prevent the losses of many cultural sites from destruction. But because of the stated intention, the Bulletin is very often used with a definition of cultural properties that is narrower in scope. In fact, no urban neighborhoods have been listed as a Traditional Cultural Property. Also, the document states that it will not address resources that are purely intangible, meaning they have “no property referents.”</w:t>
      </w:r>
      <w:r w:rsidRPr="00F3497A">
        <w:rPr>
          <w:rStyle w:val="FootnoteReference"/>
        </w:rPr>
        <w:footnoteReference w:id="159"/>
      </w:r>
      <w:r>
        <w:rPr>
          <w:rFonts w:ascii="Times New Roman" w:hAnsi="Times New Roman" w:cs="Times New Roman"/>
        </w:rPr>
        <w:t xml:space="preserve"> The Bulletin asserts that the National Register is “not the appropriate vehicle for recognizing cultural values that are purely intangible, nor is there legal authority to address them under Section 106 unless they are somehow related to a historic property.”</w:t>
      </w:r>
      <w:r w:rsidRPr="00F3497A">
        <w:rPr>
          <w:rStyle w:val="FootnoteReference"/>
        </w:rPr>
        <w:footnoteReference w:id="160"/>
      </w:r>
      <w:r>
        <w:rPr>
          <w:rFonts w:ascii="Times New Roman" w:hAnsi="Times New Roman" w:cs="Times New Roman"/>
        </w:rPr>
        <w:t xml:space="preserve"> This makes the Bulletin problematic to use, especially within neighborhoods in a Legacy City, because of the massive losses of </w:t>
      </w:r>
      <w:r>
        <w:rPr>
          <w:rFonts w:ascii="Times New Roman" w:hAnsi="Times New Roman" w:cs="Times New Roman"/>
        </w:rPr>
        <w:lastRenderedPageBreak/>
        <w:t xml:space="preserve">historic fabric to demolition. If an urban neighborhood has been altered through urban renewal projects or heavy demolition, legitimizing the cultural significance of that historic neighborhood for inclusion in the National Register under the Traditional Cultural Property guidelines would be nearly impossible, even if the people that historically inhabited the community are largely still intact as a cultural group. </w:t>
      </w:r>
    </w:p>
    <w:p w14:paraId="6F2E6559" w14:textId="77777777" w:rsidR="00153831" w:rsidRDefault="00153831" w:rsidP="00153831">
      <w:pPr>
        <w:spacing w:line="480" w:lineRule="auto"/>
        <w:ind w:firstLine="720"/>
        <w:rPr>
          <w:rFonts w:ascii="Times New Roman" w:hAnsi="Times New Roman" w:cs="Times New Roman"/>
        </w:rPr>
      </w:pPr>
      <w:r>
        <w:rPr>
          <w:rFonts w:ascii="Times New Roman" w:hAnsi="Times New Roman" w:cs="Times New Roman"/>
        </w:rPr>
        <w:t>Or perhaps it is the National Register itself that is problematic when trying to gain a listing for a long-standing neighborhood such as the Fruit Belt in Buffalo. A later response to the way the NPS used the TCP Bulletin was written by one of the Bulletin’s original authors in 2009. To quote Thomas F. King,</w:t>
      </w:r>
    </w:p>
    <w:p w14:paraId="61F30B34" w14:textId="53DC66C8" w:rsidR="00153831" w:rsidRDefault="00153831" w:rsidP="00C70076">
      <w:pPr>
        <w:ind w:left="720" w:right="720"/>
        <w:rPr>
          <w:rFonts w:ascii="Times New Roman" w:hAnsi="Times New Roman" w:cs="Times New Roman"/>
        </w:rPr>
      </w:pPr>
      <w:r>
        <w:rPr>
          <w:rFonts w:ascii="Times New Roman" w:hAnsi="Times New Roman" w:cs="Times New Roman"/>
        </w:rPr>
        <w:t>[</w:t>
      </w:r>
      <w:proofErr w:type="spellStart"/>
      <w:r>
        <w:rPr>
          <w:rFonts w:ascii="Times New Roman" w:hAnsi="Times New Roman" w:cs="Times New Roman"/>
        </w:rPr>
        <w:t>t]he</w:t>
      </w:r>
      <w:proofErr w:type="spellEnd"/>
      <w:r>
        <w:rPr>
          <w:rFonts w:ascii="Times New Roman" w:hAnsi="Times New Roman" w:cs="Times New Roman"/>
        </w:rPr>
        <w:t xml:space="preserve"> Register is biased toward places where events took place that a historian or archaeologist can recount and interpret, or that represent architectural styles and methods of building. A place that is simply a place, valued just because people identify with it, does not find a comfortable home in the Register.</w:t>
      </w:r>
      <w:r w:rsidRPr="00F3497A">
        <w:rPr>
          <w:rStyle w:val="FootnoteReference"/>
        </w:rPr>
        <w:footnoteReference w:id="161"/>
      </w:r>
    </w:p>
    <w:p w14:paraId="4401BE1B" w14:textId="77777777" w:rsidR="00153831" w:rsidRDefault="00153831" w:rsidP="00153831">
      <w:pPr>
        <w:spacing w:line="480" w:lineRule="auto"/>
        <w:ind w:left="720" w:right="720"/>
        <w:rPr>
          <w:rFonts w:ascii="Times New Roman" w:hAnsi="Times New Roman" w:cs="Times New Roman"/>
        </w:rPr>
      </w:pPr>
    </w:p>
    <w:p w14:paraId="11E6E116" w14:textId="77777777" w:rsidR="00153831" w:rsidRPr="00A96D76" w:rsidRDefault="00153831" w:rsidP="00153831">
      <w:pPr>
        <w:spacing w:line="480" w:lineRule="auto"/>
        <w:ind w:firstLine="720"/>
        <w:outlineLvl w:val="0"/>
        <w:rPr>
          <w:rFonts w:ascii="Times New Roman" w:hAnsi="Times New Roman" w:cs="Times New Roman"/>
          <w:u w:val="single"/>
        </w:rPr>
      </w:pPr>
      <w:r w:rsidRPr="00A96D76">
        <w:rPr>
          <w:rFonts w:ascii="Times New Roman" w:hAnsi="Times New Roman" w:cs="Times New Roman"/>
          <w:u w:val="single"/>
        </w:rPr>
        <w:t>What is Social Value: A Discussion Paper</w:t>
      </w:r>
    </w:p>
    <w:p w14:paraId="6155C336" w14:textId="63DA41D2" w:rsidR="00153831" w:rsidRDefault="00153831" w:rsidP="00153831">
      <w:pPr>
        <w:spacing w:line="480" w:lineRule="auto"/>
        <w:ind w:firstLine="720"/>
        <w:rPr>
          <w:rFonts w:ascii="Times New Roman" w:hAnsi="Times New Roman" w:cs="Times New Roman"/>
        </w:rPr>
      </w:pPr>
      <w:r>
        <w:rPr>
          <w:rFonts w:ascii="Times New Roman" w:hAnsi="Times New Roman" w:cs="Times New Roman"/>
        </w:rPr>
        <w:t xml:space="preserve">It seems the idea or definition that King finds lacking in NPS National Register guidelines is an accepted definition for social value. In the early 1990s, Australian scholar and community consultant Chris Johnston took on this concept in </w:t>
      </w:r>
      <w:r w:rsidRPr="00333EEC">
        <w:rPr>
          <w:rFonts w:ascii="Times New Roman" w:hAnsi="Times New Roman" w:cs="Times New Roman"/>
          <w:i/>
        </w:rPr>
        <w:t>What is Social Value: A Discussion Paper</w:t>
      </w:r>
      <w:r>
        <w:rPr>
          <w:rFonts w:ascii="Times New Roman" w:hAnsi="Times New Roman" w:cs="Times New Roman"/>
          <w:i/>
        </w:rPr>
        <w:t>.</w:t>
      </w:r>
      <w:r>
        <w:rPr>
          <w:rFonts w:ascii="Times New Roman" w:hAnsi="Times New Roman" w:cs="Times New Roman"/>
        </w:rPr>
        <w:t xml:space="preserve"> Seeking to “explore the meaning of social value and the ways in which we could incorporate its assessment into our heritage analysis processes,” Johnston created the standard of reference for the term.</w:t>
      </w:r>
      <w:r w:rsidRPr="00F3497A">
        <w:rPr>
          <w:rStyle w:val="FootnoteReference"/>
        </w:rPr>
        <w:footnoteReference w:id="162"/>
      </w:r>
      <w:r>
        <w:rPr>
          <w:rFonts w:ascii="Times New Roman" w:hAnsi="Times New Roman" w:cs="Times New Roman"/>
        </w:rPr>
        <w:t xml:space="preserve"> Places that exemplify social value revolve around the collective attachments a community associates as characteristic of their own identity. Often these places are </w:t>
      </w:r>
      <w:r>
        <w:rPr>
          <w:rFonts w:ascii="Times New Roman" w:hAnsi="Times New Roman" w:cs="Times New Roman"/>
        </w:rPr>
        <w:lastRenderedPageBreak/>
        <w:t>publicly accessed in the resident’s daily lives, so those attached meanings may not be discerned by the casual observer.</w:t>
      </w:r>
      <w:r w:rsidRPr="00F3497A">
        <w:rPr>
          <w:rStyle w:val="FootnoteReference"/>
        </w:rPr>
        <w:footnoteReference w:id="163"/>
      </w:r>
      <w:r w:rsidR="00C70076">
        <w:rPr>
          <w:rFonts w:ascii="Times New Roman" w:hAnsi="Times New Roman" w:cs="Times New Roman"/>
        </w:rPr>
        <w:t xml:space="preserve"> </w:t>
      </w:r>
      <w:r w:rsidR="000F12FF">
        <w:rPr>
          <w:rFonts w:ascii="Times New Roman" w:hAnsi="Times New Roman" w:cs="Times New Roman"/>
        </w:rPr>
        <w:t>These are also the elements that create sense of place, and why it is so critical that a community is given space to</w:t>
      </w:r>
      <w:r w:rsidR="000D0E32">
        <w:rPr>
          <w:rFonts w:ascii="Times New Roman" w:hAnsi="Times New Roman" w:cs="Times New Roman"/>
        </w:rPr>
        <w:t xml:space="preserve"> </w:t>
      </w:r>
      <w:r w:rsidR="000F12FF">
        <w:rPr>
          <w:rFonts w:ascii="Times New Roman" w:hAnsi="Times New Roman" w:cs="Times New Roman"/>
        </w:rPr>
        <w:t>identify and protec</w:t>
      </w:r>
      <w:r w:rsidR="00291755">
        <w:rPr>
          <w:rFonts w:ascii="Times New Roman" w:hAnsi="Times New Roman" w:cs="Times New Roman"/>
        </w:rPr>
        <w:t>t</w:t>
      </w:r>
      <w:r w:rsidR="000D0E32">
        <w:rPr>
          <w:rFonts w:ascii="Times New Roman" w:hAnsi="Times New Roman" w:cs="Times New Roman"/>
        </w:rPr>
        <w:t xml:space="preserve"> </w:t>
      </w:r>
      <w:r w:rsidR="000F12FF">
        <w:rPr>
          <w:rFonts w:ascii="Times New Roman" w:hAnsi="Times New Roman" w:cs="Times New Roman"/>
        </w:rPr>
        <w:t xml:space="preserve">those </w:t>
      </w:r>
      <w:r w:rsidR="000D0E32">
        <w:rPr>
          <w:rFonts w:ascii="Times New Roman" w:hAnsi="Times New Roman" w:cs="Times New Roman"/>
        </w:rPr>
        <w:t>components that exemplify</w:t>
      </w:r>
      <w:r w:rsidR="000F12FF">
        <w:rPr>
          <w:rFonts w:ascii="Times New Roman" w:hAnsi="Times New Roman" w:cs="Times New Roman"/>
        </w:rPr>
        <w:t xml:space="preserve"> strong social value. </w:t>
      </w:r>
    </w:p>
    <w:p w14:paraId="322ECDA1" w14:textId="77777777" w:rsidR="00153831" w:rsidRDefault="00153831" w:rsidP="00153831">
      <w:pPr>
        <w:spacing w:line="480" w:lineRule="auto"/>
        <w:ind w:firstLine="720"/>
        <w:rPr>
          <w:rFonts w:ascii="Times New Roman" w:hAnsi="Times New Roman" w:cs="Times New Roman"/>
        </w:rPr>
      </w:pPr>
      <w:r>
        <w:rPr>
          <w:rFonts w:ascii="Times New Roman" w:hAnsi="Times New Roman" w:cs="Times New Roman"/>
        </w:rPr>
        <w:t>When trying to define social value for use in heritage assessment, one must look at the past cultural traditions, the present cultural identity, and future cultural aspirations.</w:t>
      </w:r>
      <w:r w:rsidRPr="00F3497A">
        <w:rPr>
          <w:rStyle w:val="FootnoteReference"/>
        </w:rPr>
        <w:footnoteReference w:id="164"/>
      </w:r>
      <w:r>
        <w:rPr>
          <w:rFonts w:ascii="Times New Roman" w:hAnsi="Times New Roman" w:cs="Times New Roman"/>
        </w:rPr>
        <w:t xml:space="preserve"> Examples of places which may represent social value for people living in urban neighborhoods might be those that: are reference points for the community’s identity and therefore offer historical grounding; places that help define the history of a disempowered people; gathering places; places that are a large part of the daily life of the people; or places that tie the past to the present.</w:t>
      </w:r>
      <w:r w:rsidRPr="00F3497A">
        <w:rPr>
          <w:rStyle w:val="FootnoteReference"/>
        </w:rPr>
        <w:footnoteReference w:id="165"/>
      </w:r>
      <w:r>
        <w:rPr>
          <w:rFonts w:ascii="Times New Roman" w:hAnsi="Times New Roman" w:cs="Times New Roman"/>
        </w:rPr>
        <w:t xml:space="preserve"> Once social value has been defined by a community, it can be further understood through the preparation of a statement of value which is agreed upon by the users, and incorporates how the value of the place can be preserved and managed for the future.</w:t>
      </w:r>
      <w:r w:rsidRPr="00F3497A">
        <w:rPr>
          <w:rStyle w:val="FootnoteReference"/>
        </w:rPr>
        <w:footnoteReference w:id="166"/>
      </w:r>
    </w:p>
    <w:p w14:paraId="48935941" w14:textId="77777777" w:rsidR="00153831" w:rsidRPr="004C69D9" w:rsidRDefault="00153831" w:rsidP="00153831">
      <w:pPr>
        <w:spacing w:line="480" w:lineRule="auto"/>
        <w:ind w:firstLine="720"/>
        <w:rPr>
          <w:rFonts w:ascii="Times New Roman" w:hAnsi="Times New Roman" w:cs="Times New Roman"/>
        </w:rPr>
      </w:pPr>
      <w:r>
        <w:rPr>
          <w:rFonts w:ascii="Times New Roman" w:hAnsi="Times New Roman" w:cs="Times New Roman"/>
        </w:rPr>
        <w:t xml:space="preserve">Johnston’s study into social value also drew from the work of the Declaration of Oaxaca, prepared by the Mexican Committee of ICOMOS in 1993. The Declaration asserts that the people whose cultures create the heritage offer the best source for guiding the management of its preservation. In doing the opposite, the authority over management falls into the hands of the professional, increasing the likelihood of a disconnection between the original inhabitants or users of a place, and the place itself. This disconnection fundamentally threatens the way a place </w:t>
      </w:r>
      <w:r>
        <w:rPr>
          <w:rFonts w:ascii="Times New Roman" w:hAnsi="Times New Roman" w:cs="Times New Roman"/>
        </w:rPr>
        <w:lastRenderedPageBreak/>
        <w:t>is used through unchecked change in significance for inhabitants, because how a site is used directly correlates to how locals feel about the site. Another concern raised by the Oaxaca Declaration is the limited importance placed on the range of elements within a historic environment that make up the whole place. Components in the urban environment such as land-use patterns, paving surfaces, fountains and street furniture, and infrastructure are parts of the whole that also have both practical and social value.</w:t>
      </w:r>
      <w:r w:rsidRPr="00F3497A">
        <w:rPr>
          <w:rStyle w:val="FootnoteReference"/>
        </w:rPr>
        <w:footnoteReference w:id="167"/>
      </w:r>
    </w:p>
    <w:p w14:paraId="57D3DC31" w14:textId="77777777" w:rsidR="00153831" w:rsidRDefault="00153831" w:rsidP="00153831">
      <w:pPr>
        <w:spacing w:line="480" w:lineRule="auto"/>
        <w:rPr>
          <w:rFonts w:ascii="Times New Roman" w:hAnsi="Times New Roman" w:cs="Times New Roman"/>
        </w:rPr>
      </w:pPr>
      <w:r>
        <w:rPr>
          <w:rFonts w:ascii="Times New Roman" w:hAnsi="Times New Roman" w:cs="Times New Roman"/>
        </w:rPr>
        <w:tab/>
        <w:t>An appreciation for the whole environment that makes up a heritage site is what Johnston finds missing in most planning processes. She argues this acknowledgment is a way for these types of sites to be presented in a more dynamic approach, allowing for creativity, adaptation, and the shifting attachments to place. By identifying social value, the impetus for creating culturally sustainable urban development plans exists, while empowering residents and protecting socially valuable places.</w:t>
      </w:r>
      <w:r w:rsidRPr="00F3497A">
        <w:rPr>
          <w:rStyle w:val="FootnoteReference"/>
        </w:rPr>
        <w:footnoteReference w:id="168"/>
      </w:r>
    </w:p>
    <w:p w14:paraId="75B32BE0" w14:textId="77777777" w:rsidR="00153831" w:rsidRPr="000A272C" w:rsidRDefault="00153831" w:rsidP="00153831">
      <w:pPr>
        <w:spacing w:line="480" w:lineRule="auto"/>
        <w:rPr>
          <w:rFonts w:ascii="Times New Roman" w:hAnsi="Times New Roman" w:cs="Times New Roman"/>
        </w:rPr>
      </w:pPr>
    </w:p>
    <w:p w14:paraId="75A715AD" w14:textId="77777777" w:rsidR="00153831" w:rsidRPr="00A96D76" w:rsidRDefault="00153831" w:rsidP="00153831">
      <w:pPr>
        <w:spacing w:line="480" w:lineRule="auto"/>
        <w:ind w:firstLine="720"/>
        <w:outlineLvl w:val="0"/>
        <w:rPr>
          <w:rFonts w:ascii="Times New Roman" w:hAnsi="Times New Roman" w:cs="Times New Roman"/>
          <w:u w:val="single"/>
        </w:rPr>
      </w:pPr>
      <w:r w:rsidRPr="00A96D76">
        <w:rPr>
          <w:rFonts w:ascii="Times New Roman" w:hAnsi="Times New Roman" w:cs="Times New Roman"/>
          <w:u w:val="single"/>
        </w:rPr>
        <w:t xml:space="preserve">Nara Document on Authenticity </w:t>
      </w:r>
    </w:p>
    <w:p w14:paraId="25F77DDE" w14:textId="18AF420B" w:rsidR="00153831" w:rsidRDefault="00153831" w:rsidP="00153831">
      <w:pPr>
        <w:spacing w:line="480" w:lineRule="auto"/>
        <w:rPr>
          <w:rFonts w:ascii="Times New Roman" w:hAnsi="Times New Roman" w:cs="Times New Roman"/>
        </w:rPr>
      </w:pPr>
      <w:r>
        <w:rPr>
          <w:rFonts w:ascii="Times New Roman" w:hAnsi="Times New Roman" w:cs="Times New Roman"/>
          <w:i/>
        </w:rPr>
        <w:tab/>
      </w:r>
      <w:r>
        <w:rPr>
          <w:rFonts w:ascii="Times New Roman" w:hAnsi="Times New Roman" w:cs="Times New Roman"/>
        </w:rPr>
        <w:t>The 1994 Nara Document on Authenticity</w:t>
      </w:r>
      <w:r w:rsidR="000D0E32">
        <w:rPr>
          <w:rFonts w:ascii="Times New Roman" w:hAnsi="Times New Roman" w:cs="Times New Roman"/>
        </w:rPr>
        <w:t>, published by ICOMOS,</w:t>
      </w:r>
      <w:r>
        <w:rPr>
          <w:rFonts w:ascii="Times New Roman" w:hAnsi="Times New Roman" w:cs="Times New Roman"/>
        </w:rPr>
        <w:t xml:space="preserve"> continued to expand preservation practices within the international preservation community. It called for an extension to the range of attributes which contribute to the authenticity of a heritage site, making them more culturally relative and contextual, rather than using universal absolutes which contribute to a narrower scope.</w:t>
      </w:r>
      <w:r w:rsidRPr="00F3497A">
        <w:rPr>
          <w:rStyle w:val="FootnoteReference"/>
        </w:rPr>
        <w:footnoteReference w:id="169"/>
      </w:r>
      <w:r>
        <w:rPr>
          <w:rFonts w:ascii="Times New Roman" w:hAnsi="Times New Roman" w:cs="Times New Roman"/>
        </w:rPr>
        <w:t xml:space="preserve"> As it is stated in the Nara Document, “[a]</w:t>
      </w:r>
      <w:proofErr w:type="spellStart"/>
      <w:r>
        <w:rPr>
          <w:rFonts w:ascii="Times New Roman" w:hAnsi="Times New Roman" w:cs="Times New Roman"/>
        </w:rPr>
        <w:t>ll</w:t>
      </w:r>
      <w:proofErr w:type="spellEnd"/>
      <w:r>
        <w:rPr>
          <w:rFonts w:ascii="Times New Roman" w:hAnsi="Times New Roman" w:cs="Times New Roman"/>
        </w:rPr>
        <w:t xml:space="preserve"> judgements about values attributed to cultural properties as well as the credibility of related information sources may </w:t>
      </w:r>
      <w:r>
        <w:rPr>
          <w:rFonts w:ascii="Times New Roman" w:hAnsi="Times New Roman" w:cs="Times New Roman"/>
        </w:rPr>
        <w:lastRenderedPageBreak/>
        <w:t>differ from culture to culture, and even within the same culture. It is thus not possible to base judgements of values and authenticity within fixed criteria.”</w:t>
      </w:r>
      <w:r w:rsidRPr="00F3497A">
        <w:rPr>
          <w:rStyle w:val="FootnoteReference"/>
        </w:rPr>
        <w:footnoteReference w:id="170"/>
      </w:r>
    </w:p>
    <w:p w14:paraId="22A47668" w14:textId="77777777" w:rsidR="00153831" w:rsidRDefault="00153831" w:rsidP="00153831">
      <w:pPr>
        <w:spacing w:line="480" w:lineRule="auto"/>
        <w:rPr>
          <w:rFonts w:ascii="Times New Roman" w:hAnsi="Times New Roman" w:cs="Times New Roman"/>
        </w:rPr>
      </w:pPr>
      <w:r>
        <w:rPr>
          <w:rFonts w:ascii="Times New Roman" w:hAnsi="Times New Roman" w:cs="Times New Roman"/>
        </w:rPr>
        <w:tab/>
        <w:t>By opening the criteria for authenticity to a model with more flexibility, cultural heritage sites can be less restricted in their capacity to adapt to changing cultural significance. This is fitting for urban neighborhoods with long-standing inhabitants or cultural practices, and could perhaps open others to acknowledging the importance of place in defining their culture. The Nara Document similarly recognizes that “the cultural heritage of each is the cultural heritage of all.”</w:t>
      </w:r>
      <w:r w:rsidRPr="00F3497A">
        <w:rPr>
          <w:rStyle w:val="FootnoteReference"/>
        </w:rPr>
        <w:footnoteReference w:id="171"/>
      </w:r>
      <w:r>
        <w:rPr>
          <w:rFonts w:ascii="Times New Roman" w:hAnsi="Times New Roman" w:cs="Times New Roman"/>
        </w:rPr>
        <w:t xml:space="preserve"> And, echoing the other documents previously studied, the Nara Document also reiterates the call for the management of cultural heritage to belong to the cultural community in which it was generated.</w:t>
      </w:r>
      <w:r w:rsidRPr="00F3497A">
        <w:rPr>
          <w:rStyle w:val="FootnoteReference"/>
        </w:rPr>
        <w:footnoteReference w:id="172"/>
      </w:r>
    </w:p>
    <w:p w14:paraId="1A5F3592" w14:textId="77777777" w:rsidR="00153831" w:rsidRPr="00B276F8" w:rsidRDefault="00153831" w:rsidP="00153831">
      <w:pPr>
        <w:spacing w:line="480" w:lineRule="auto"/>
        <w:rPr>
          <w:rFonts w:ascii="Times New Roman" w:hAnsi="Times New Roman" w:cs="Times New Roman"/>
        </w:rPr>
      </w:pPr>
    </w:p>
    <w:p w14:paraId="5196E7F2" w14:textId="77777777" w:rsidR="00153831" w:rsidRPr="00A96D76" w:rsidRDefault="00153831" w:rsidP="00153831">
      <w:pPr>
        <w:spacing w:line="480" w:lineRule="auto"/>
        <w:ind w:firstLine="720"/>
        <w:rPr>
          <w:rFonts w:ascii="Times New Roman" w:hAnsi="Times New Roman" w:cs="Times New Roman"/>
          <w:u w:val="single"/>
        </w:rPr>
      </w:pPr>
      <w:r w:rsidRPr="00A96D76">
        <w:rPr>
          <w:rFonts w:ascii="Times New Roman" w:hAnsi="Times New Roman" w:cs="Times New Roman"/>
          <w:u w:val="single"/>
        </w:rPr>
        <w:t>The Fourth Pillar of Sustainability: Culture’s Essential Role in Public Planning</w:t>
      </w:r>
    </w:p>
    <w:p w14:paraId="254D1AD0" w14:textId="77777777" w:rsidR="00153831" w:rsidRDefault="00153831" w:rsidP="00153831">
      <w:pPr>
        <w:spacing w:line="480" w:lineRule="auto"/>
        <w:rPr>
          <w:rFonts w:ascii="Times New Roman" w:hAnsi="Times New Roman" w:cs="Times New Roman"/>
        </w:rPr>
      </w:pPr>
      <w:r>
        <w:rPr>
          <w:rFonts w:ascii="Times New Roman" w:hAnsi="Times New Roman" w:cs="Times New Roman"/>
          <w:i/>
        </w:rPr>
        <w:tab/>
      </w:r>
      <w:r>
        <w:rPr>
          <w:rFonts w:ascii="Times New Roman" w:hAnsi="Times New Roman" w:cs="Times New Roman"/>
        </w:rPr>
        <w:t xml:space="preserve">Written in 2001 by one of Australia’s leading commentators on cultural policy, Jon Hawkes’ </w:t>
      </w:r>
      <w:r w:rsidRPr="00BA54E5">
        <w:rPr>
          <w:rFonts w:ascii="Times New Roman" w:hAnsi="Times New Roman" w:cs="Times New Roman"/>
          <w:i/>
        </w:rPr>
        <w:t>The Fourth Pillar of Sustainability</w:t>
      </w:r>
      <w:r>
        <w:rPr>
          <w:rFonts w:ascii="Times New Roman" w:hAnsi="Times New Roman" w:cs="Times New Roman"/>
        </w:rPr>
        <w:t xml:space="preserve"> argues that culture is an invaluable, but often ignored, tool in the approach governments take when evaluating a community’s past, and planning for its future.</w:t>
      </w:r>
      <w:r w:rsidRPr="00F3497A">
        <w:rPr>
          <w:rStyle w:val="FootnoteReference"/>
        </w:rPr>
        <w:footnoteReference w:id="173"/>
      </w:r>
      <w:r>
        <w:rPr>
          <w:rFonts w:ascii="Times New Roman" w:hAnsi="Times New Roman" w:cs="Times New Roman"/>
        </w:rPr>
        <w:t xml:space="preserve"> As sustainability has become more readily accepted in planning documents around the world, equal weight has been given to the importance of sustainability in three main realms—ecological, social, and economic planning.</w:t>
      </w:r>
      <w:r w:rsidRPr="00F3497A">
        <w:rPr>
          <w:rStyle w:val="FootnoteReference"/>
        </w:rPr>
        <w:footnoteReference w:id="174"/>
      </w:r>
      <w:r>
        <w:rPr>
          <w:rFonts w:ascii="Times New Roman" w:hAnsi="Times New Roman" w:cs="Times New Roman"/>
        </w:rPr>
        <w:t xml:space="preserve"> The fourth pillar Hawkes refers </w:t>
      </w:r>
      <w:r>
        <w:rPr>
          <w:rFonts w:ascii="Times New Roman" w:hAnsi="Times New Roman" w:cs="Times New Roman"/>
        </w:rPr>
        <w:lastRenderedPageBreak/>
        <w:t xml:space="preserve">to is cultural sustainability, and he uses this book to suggest how governments can include and implement cultural sustainability into policy documents as an equally important fourth element. </w:t>
      </w:r>
    </w:p>
    <w:p w14:paraId="1A0A669F" w14:textId="77777777" w:rsidR="00153831" w:rsidRPr="00D51B8F" w:rsidRDefault="00153831" w:rsidP="00153831">
      <w:pPr>
        <w:spacing w:line="480" w:lineRule="auto"/>
        <w:ind w:firstLine="720"/>
        <w:rPr>
          <w:rFonts w:ascii="Times New Roman" w:hAnsi="Times New Roman" w:cs="Times New Roman"/>
        </w:rPr>
      </w:pPr>
      <w:r>
        <w:rPr>
          <w:rFonts w:ascii="Times New Roman" w:hAnsi="Times New Roman" w:cs="Times New Roman"/>
        </w:rPr>
        <w:t>Among the many advantages Hawkes finds for introducing culture into the framework of public policy, several have beneficial implications for the urban neighborhood. By expanding the profession’s perception of acceptable practices to include cultural sustainability, public policies can begin to recognize that democratic representation requires the active voices of community members to be heard and given influence. Utilizing the concept of cultural sustainability offers the tools to build a more effective public framework that includes the elements essential to urban living, such as “wellbeing, cohesion, capacity, engagement, belonging, and distinctiveness.”</w:t>
      </w:r>
      <w:r w:rsidRPr="00F3497A">
        <w:rPr>
          <w:rStyle w:val="FootnoteReference"/>
        </w:rPr>
        <w:footnoteReference w:id="175"/>
      </w:r>
      <w:r>
        <w:rPr>
          <w:rFonts w:ascii="Times New Roman" w:hAnsi="Times New Roman" w:cs="Times New Roman"/>
        </w:rPr>
        <w:t xml:space="preserve"> Because it allows deeper understanding of a community’s past and future, using cultural sustainability as a tool for planning also allows the integration of a framework that is flexible, more comprehensive, and accessible, while creating a way for communities to express their values and cultural priorities throughout the policy development process.</w:t>
      </w:r>
      <w:r w:rsidRPr="00F3497A">
        <w:rPr>
          <w:rStyle w:val="FootnoteReference"/>
        </w:rPr>
        <w:footnoteReference w:id="176"/>
      </w:r>
      <w:r>
        <w:rPr>
          <w:rFonts w:ascii="Times New Roman" w:hAnsi="Times New Roman" w:cs="Times New Roman"/>
        </w:rPr>
        <w:t xml:space="preserve"> </w:t>
      </w:r>
    </w:p>
    <w:p w14:paraId="1C0F9910" w14:textId="77777777" w:rsidR="00153831" w:rsidRDefault="00153831" w:rsidP="00153831">
      <w:pPr>
        <w:rPr>
          <w:rFonts w:ascii="Times New Roman" w:hAnsi="Times New Roman" w:cs="Times New Roman"/>
          <w:i/>
        </w:rPr>
      </w:pPr>
    </w:p>
    <w:p w14:paraId="07212F47" w14:textId="77777777" w:rsidR="00E30E01" w:rsidRDefault="000D0E32" w:rsidP="00E30E01">
      <w:pPr>
        <w:spacing w:line="480" w:lineRule="auto"/>
        <w:jc w:val="center"/>
        <w:outlineLvl w:val="0"/>
        <w:rPr>
          <w:rFonts w:ascii="Times New Roman" w:hAnsi="Times New Roman" w:cs="Times New Roman"/>
          <w:u w:val="single"/>
        </w:rPr>
      </w:pPr>
      <w:r>
        <w:rPr>
          <w:rFonts w:ascii="Times New Roman" w:hAnsi="Times New Roman" w:cs="Times New Roman"/>
          <w:u w:val="single"/>
        </w:rPr>
        <w:t xml:space="preserve">Where Can We Go? </w:t>
      </w:r>
    </w:p>
    <w:p w14:paraId="1D6FB03D" w14:textId="1F1F5897" w:rsidR="00153831" w:rsidRPr="00A96D76" w:rsidRDefault="000D0E32" w:rsidP="00E30E01">
      <w:pPr>
        <w:spacing w:line="480" w:lineRule="auto"/>
        <w:jc w:val="center"/>
        <w:outlineLvl w:val="0"/>
        <w:rPr>
          <w:rFonts w:ascii="Times New Roman" w:hAnsi="Times New Roman" w:cs="Times New Roman"/>
          <w:u w:val="single"/>
        </w:rPr>
      </w:pPr>
      <w:r>
        <w:rPr>
          <w:rFonts w:ascii="Times New Roman" w:hAnsi="Times New Roman" w:cs="Times New Roman"/>
          <w:u w:val="single"/>
        </w:rPr>
        <w:t>Shifting Programming to Reflect a Culturally Sustainable P</w:t>
      </w:r>
      <w:r w:rsidR="00E30E01">
        <w:rPr>
          <w:rFonts w:ascii="Times New Roman" w:hAnsi="Times New Roman" w:cs="Times New Roman"/>
          <w:u w:val="single"/>
        </w:rPr>
        <w:t xml:space="preserve">reservation </w:t>
      </w:r>
      <w:r>
        <w:rPr>
          <w:rFonts w:ascii="Times New Roman" w:hAnsi="Times New Roman" w:cs="Times New Roman"/>
          <w:u w:val="single"/>
        </w:rPr>
        <w:t>M</w:t>
      </w:r>
      <w:r w:rsidR="00153831" w:rsidRPr="00A96D76">
        <w:rPr>
          <w:rFonts w:ascii="Times New Roman" w:hAnsi="Times New Roman" w:cs="Times New Roman"/>
          <w:u w:val="single"/>
        </w:rPr>
        <w:t>odel</w:t>
      </w:r>
    </w:p>
    <w:p w14:paraId="60C8DB31" w14:textId="77777777" w:rsidR="00153831" w:rsidRDefault="00153831" w:rsidP="00153831">
      <w:pPr>
        <w:jc w:val="center"/>
        <w:rPr>
          <w:rFonts w:ascii="Times New Roman" w:hAnsi="Times New Roman" w:cs="Times New Roman"/>
        </w:rPr>
      </w:pPr>
    </w:p>
    <w:p w14:paraId="148DC823" w14:textId="70854FDA" w:rsidR="00153831" w:rsidRDefault="00153831" w:rsidP="00153831">
      <w:pPr>
        <w:spacing w:line="480" w:lineRule="auto"/>
        <w:rPr>
          <w:rFonts w:ascii="Times New Roman" w:hAnsi="Times New Roman" w:cs="Times New Roman"/>
        </w:rPr>
      </w:pPr>
      <w:r>
        <w:rPr>
          <w:rFonts w:ascii="Times New Roman" w:hAnsi="Times New Roman" w:cs="Times New Roman"/>
        </w:rPr>
        <w:tab/>
        <w:t xml:space="preserve">With a contextual understanding of how preservation theory was developed and has evolved, a culturally sustainable preservation model can be adapted for Legacy City neighborhoods. This chapter has shown how historic preservation has gone from the activism of local Ladies’ Associations to the professionalization of the field through the NHPA. There has also been a discussion of several culture-based sustainability theories and applications. Changes </w:t>
      </w:r>
      <w:r>
        <w:rPr>
          <w:rFonts w:ascii="Times New Roman" w:hAnsi="Times New Roman" w:cs="Times New Roman"/>
        </w:rPr>
        <w:lastRenderedPageBreak/>
        <w:t>to the current system of historic preservation methodology will need to happen at the state and local levels of preservation, taking a bottom-up approach. Preservation professionals must make room in the field for the local expert, as the previously discussed documents on cultural sustainability all agree—the existing residents of a neighborhood</w:t>
      </w:r>
      <w:r w:rsidR="00E30E01">
        <w:rPr>
          <w:rFonts w:ascii="Times New Roman" w:hAnsi="Times New Roman" w:cs="Times New Roman"/>
        </w:rPr>
        <w:t xml:space="preserve"> are often its best advocates. </w:t>
      </w:r>
      <w:r>
        <w:rPr>
          <w:rFonts w:ascii="Times New Roman" w:hAnsi="Times New Roman" w:cs="Times New Roman"/>
        </w:rPr>
        <w:t xml:space="preserve">But how does that fit into a paradigm of historic preservation that currently faces criticism for being over-professionalized, and when preservation itself </w:t>
      </w:r>
      <w:proofErr w:type="gramStart"/>
      <w:r>
        <w:rPr>
          <w:rFonts w:ascii="Times New Roman" w:hAnsi="Times New Roman" w:cs="Times New Roman"/>
        </w:rPr>
        <w:t>is seen as</w:t>
      </w:r>
      <w:proofErr w:type="gramEnd"/>
      <w:r>
        <w:rPr>
          <w:rFonts w:ascii="Times New Roman" w:hAnsi="Times New Roman" w:cs="Times New Roman"/>
        </w:rPr>
        <w:t xml:space="preserve"> a gentrification threat to neighborhoods within Legacy Cities? </w:t>
      </w:r>
    </w:p>
    <w:p w14:paraId="313F4776" w14:textId="77777777" w:rsidR="00E30E01" w:rsidRDefault="00153831" w:rsidP="00153831">
      <w:pPr>
        <w:spacing w:line="480" w:lineRule="auto"/>
        <w:rPr>
          <w:rFonts w:ascii="Times New Roman" w:hAnsi="Times New Roman" w:cs="Times New Roman"/>
        </w:rPr>
      </w:pPr>
      <w:r>
        <w:rPr>
          <w:rFonts w:ascii="Times New Roman" w:hAnsi="Times New Roman" w:cs="Times New Roman"/>
        </w:rPr>
        <w:tab/>
        <w:t>The preservation field has worked to address this imbalance of power through placemaking initiatives, in which a place is made ready for economic or cultural revitalization through beautification and adaptive reuse of existing spaces or structures. This is meant to create value in a place previously neglected, or an effort to draw into it greater investment from an outside community. Elmwood Historic District is an example of placemaking initiatives through the efforts of the EVA. When formed, the organization used placemaking strategies such as increased stakeholder engagement; human-scale street-level design to promote walkability; and programming and management by a staffed organization to handle matters such as neighborhood events, changes in neighborhood décor, and public art installments.</w:t>
      </w:r>
      <w:r w:rsidRPr="00F3497A">
        <w:rPr>
          <w:rStyle w:val="FootnoteReference"/>
        </w:rPr>
        <w:footnoteReference w:id="177"/>
      </w:r>
      <w:r>
        <w:rPr>
          <w:rFonts w:ascii="Times New Roman" w:hAnsi="Times New Roman" w:cs="Times New Roman"/>
        </w:rPr>
        <w:t xml:space="preserve"> EVA was making a “place” by building on its historic assets. The efforts have proven successful, as evidenced by the neighborhood’s National Register designations, and its robust e</w:t>
      </w:r>
      <w:r w:rsidR="00E30E01">
        <w:rPr>
          <w:rFonts w:ascii="Times New Roman" w:hAnsi="Times New Roman" w:cs="Times New Roman"/>
        </w:rPr>
        <w:t xml:space="preserve">conomy and real estate market. </w:t>
      </w:r>
    </w:p>
    <w:p w14:paraId="1E439852" w14:textId="57278855" w:rsidR="00153831" w:rsidRDefault="00E30E01" w:rsidP="00153831">
      <w:pPr>
        <w:spacing w:line="480" w:lineRule="auto"/>
        <w:rPr>
          <w:rFonts w:ascii="Times New Roman" w:hAnsi="Times New Roman" w:cs="Times New Roman"/>
        </w:rPr>
      </w:pPr>
      <w:r>
        <w:rPr>
          <w:rFonts w:ascii="Times New Roman" w:hAnsi="Times New Roman" w:cs="Times New Roman"/>
        </w:rPr>
        <w:tab/>
      </w:r>
      <w:r w:rsidR="00153831">
        <w:rPr>
          <w:rFonts w:ascii="Times New Roman" w:hAnsi="Times New Roman" w:cs="Times New Roman"/>
        </w:rPr>
        <w:t xml:space="preserve">Unfortunately, in a neighborhood where residents have historically not held agency, or have been underrepresented, like the Fruit Belt, this technique opens the possibility that existing residents of a neighborhood are left out of critical decision-making elements of development. Without resident engagement in decision-making, placemaking could create an inauthenticity </w:t>
      </w:r>
      <w:r w:rsidR="00153831">
        <w:rPr>
          <w:rFonts w:ascii="Times New Roman" w:hAnsi="Times New Roman" w:cs="Times New Roman"/>
        </w:rPr>
        <w:lastRenderedPageBreak/>
        <w:t>that alienates residents within their own spaces. This technique, if misused, also could continue to foster the perception that historic preservation is an indicator of, or precursor to, gentrification.  I would argue that moving into the future, historic preservation will find more success within neighborhoods of Legacy Cities like the Fruit Belt by incorporating a place</w:t>
      </w:r>
      <w:r w:rsidR="00153831" w:rsidRPr="00BC3314">
        <w:rPr>
          <w:rFonts w:ascii="Times New Roman" w:hAnsi="Times New Roman" w:cs="Times New Roman"/>
          <w:i/>
        </w:rPr>
        <w:t>keeping</w:t>
      </w:r>
      <w:r w:rsidR="00153831">
        <w:rPr>
          <w:rFonts w:ascii="Times New Roman" w:hAnsi="Times New Roman" w:cs="Times New Roman"/>
        </w:rPr>
        <w:t xml:space="preserve"> mindset into its planning frameworks. </w:t>
      </w:r>
    </w:p>
    <w:p w14:paraId="22373EB5" w14:textId="18D3FE15" w:rsidR="00153831" w:rsidRDefault="00153831" w:rsidP="00153831">
      <w:pPr>
        <w:spacing w:line="480" w:lineRule="auto"/>
        <w:rPr>
          <w:rFonts w:ascii="Times New Roman" w:hAnsi="Times New Roman" w:cs="Times New Roman"/>
        </w:rPr>
      </w:pPr>
      <w:r>
        <w:rPr>
          <w:rFonts w:ascii="Times New Roman" w:hAnsi="Times New Roman" w:cs="Times New Roman"/>
        </w:rPr>
        <w:tab/>
        <w:t xml:space="preserve">Placekeeping, </w:t>
      </w:r>
      <w:r w:rsidR="00E30E01">
        <w:rPr>
          <w:rFonts w:ascii="Times New Roman" w:hAnsi="Times New Roman" w:cs="Times New Roman"/>
        </w:rPr>
        <w:t>the</w:t>
      </w:r>
      <w:r>
        <w:rPr>
          <w:rFonts w:ascii="Times New Roman" w:hAnsi="Times New Roman" w:cs="Times New Roman"/>
        </w:rPr>
        <w:t xml:space="preserve"> term coined by cultural activists Jenny Lee and Robert Bedoya, is</w:t>
      </w:r>
      <w:r w:rsidR="00E30E01">
        <w:rPr>
          <w:rFonts w:ascii="Times New Roman" w:hAnsi="Times New Roman" w:cs="Times New Roman"/>
        </w:rPr>
        <w:t xml:space="preserve"> understood as</w:t>
      </w:r>
      <w:r>
        <w:rPr>
          <w:rFonts w:ascii="Times New Roman" w:hAnsi="Times New Roman" w:cs="Times New Roman"/>
        </w:rPr>
        <w:t xml:space="preserve"> “not just preserving the façade of the building but also keeping cultural memories associated with a locale alive…”</w:t>
      </w:r>
      <w:r w:rsidRPr="00F3497A">
        <w:rPr>
          <w:rStyle w:val="FootnoteReference"/>
        </w:rPr>
        <w:footnoteReference w:id="178"/>
      </w:r>
      <w:r>
        <w:rPr>
          <w:rFonts w:ascii="Times New Roman" w:hAnsi="Times New Roman" w:cs="Times New Roman"/>
        </w:rPr>
        <w:t xml:space="preserve"> Within the realm of historic preservation in Legacy Cities, placekeeping has the potential to guide residents and preservation planners, in a facilitator role, toward historic contexts that include a thorough understanding of the neighborhood’s current cultural climate, and the origins of local cultural identities. This foundation of understanding would naturally lend itself to neighborhood engagement. Placekeeping would include public policies that embrace the citizen expert in identifying and maintaining tangible and intangible markers of cultural identities. Placekeeping, rather than placemaking, would undergird the culturally sustainable preservation model.</w:t>
      </w:r>
    </w:p>
    <w:p w14:paraId="3C6D7315" w14:textId="77777777" w:rsidR="00153831" w:rsidRDefault="00153831" w:rsidP="00153831">
      <w:pPr>
        <w:spacing w:line="480" w:lineRule="auto"/>
        <w:rPr>
          <w:rFonts w:ascii="Times New Roman" w:hAnsi="Times New Roman" w:cs="Times New Roman"/>
        </w:rPr>
      </w:pPr>
    </w:p>
    <w:p w14:paraId="4DE4B17D" w14:textId="77777777" w:rsidR="00153831" w:rsidRPr="00C467FF" w:rsidRDefault="00153831" w:rsidP="00153831">
      <w:pPr>
        <w:spacing w:line="480" w:lineRule="auto"/>
        <w:outlineLvl w:val="0"/>
        <w:rPr>
          <w:rFonts w:ascii="Times New Roman" w:hAnsi="Times New Roman" w:cs="Times New Roman"/>
          <w:u w:val="single"/>
        </w:rPr>
      </w:pPr>
      <w:r w:rsidRPr="00C467FF">
        <w:rPr>
          <w:rFonts w:ascii="Times New Roman" w:hAnsi="Times New Roman" w:cs="Times New Roman"/>
          <w:u w:val="single"/>
        </w:rPr>
        <w:t>Changes at the municipal government level</w:t>
      </w:r>
    </w:p>
    <w:p w14:paraId="5979DF7A" w14:textId="510BF1EC" w:rsidR="00153831" w:rsidRDefault="00153831" w:rsidP="00153831">
      <w:pPr>
        <w:spacing w:line="480" w:lineRule="auto"/>
        <w:rPr>
          <w:rFonts w:ascii="Times New Roman" w:hAnsi="Times New Roman" w:cs="Times New Roman"/>
        </w:rPr>
      </w:pPr>
      <w:r>
        <w:rPr>
          <w:rFonts w:ascii="Times New Roman" w:hAnsi="Times New Roman" w:cs="Times New Roman"/>
          <w:i/>
        </w:rPr>
        <w:tab/>
      </w:r>
      <w:r>
        <w:rPr>
          <w:rFonts w:ascii="Times New Roman" w:hAnsi="Times New Roman" w:cs="Times New Roman"/>
        </w:rPr>
        <w:t xml:space="preserve">Because municipal government is in a better position to provide comprehensive preservation plans that can both protect </w:t>
      </w:r>
      <w:r w:rsidR="00E30E01">
        <w:rPr>
          <w:rFonts w:ascii="Times New Roman" w:hAnsi="Times New Roman" w:cs="Times New Roman"/>
        </w:rPr>
        <w:t>a</w:t>
      </w:r>
      <w:r>
        <w:rPr>
          <w:rFonts w:ascii="Times New Roman" w:hAnsi="Times New Roman" w:cs="Times New Roman"/>
        </w:rPr>
        <w:t xml:space="preserve"> city’s historic resources and offer them protection from neglect or demolition, the introduction of a culturally sustainable preservation plan at the local level is probably the best governance level in which to develop this methodology. Only a few </w:t>
      </w:r>
      <w:r>
        <w:rPr>
          <w:rFonts w:ascii="Times New Roman" w:hAnsi="Times New Roman" w:cs="Times New Roman"/>
        </w:rPr>
        <w:lastRenderedPageBreak/>
        <w:t xml:space="preserve">U.S. cities have begun to take on this challenge, and are writing local tangible and intangible culture into their preservation ordinances. </w:t>
      </w:r>
    </w:p>
    <w:p w14:paraId="337F27B5" w14:textId="04CD4074" w:rsidR="00153831" w:rsidRDefault="00153831" w:rsidP="00153831">
      <w:pPr>
        <w:spacing w:line="480" w:lineRule="auto"/>
        <w:rPr>
          <w:rFonts w:ascii="Times New Roman" w:hAnsi="Times New Roman" w:cs="Times New Roman"/>
        </w:rPr>
      </w:pPr>
      <w:r>
        <w:rPr>
          <w:rFonts w:ascii="Times New Roman" w:hAnsi="Times New Roman" w:cs="Times New Roman"/>
        </w:rPr>
        <w:tab/>
        <w:t xml:space="preserve">In San Francisco, the Historic Preservation Commission endorsed a formal resolution (Resolution No. 0698) in 2012 to develop a program which would document, designate, and incentivize social and cultural heritages. Since, the San Francisco Board of Supervisors has recognized </w:t>
      </w:r>
      <w:proofErr w:type="spellStart"/>
      <w:r>
        <w:rPr>
          <w:rFonts w:ascii="Times New Roman" w:hAnsi="Times New Roman" w:cs="Times New Roman"/>
        </w:rPr>
        <w:t>Japantown</w:t>
      </w:r>
      <w:proofErr w:type="spellEnd"/>
      <w:r>
        <w:rPr>
          <w:rFonts w:ascii="Times New Roman" w:hAnsi="Times New Roman" w:cs="Times New Roman"/>
        </w:rPr>
        <w:t xml:space="preserve"> as a cultural heritage site, and formally designated </w:t>
      </w:r>
      <w:proofErr w:type="spellStart"/>
      <w:r>
        <w:rPr>
          <w:rFonts w:ascii="Times New Roman" w:hAnsi="Times New Roman" w:cs="Times New Roman"/>
        </w:rPr>
        <w:t>Calle</w:t>
      </w:r>
      <w:proofErr w:type="spellEnd"/>
      <w:r>
        <w:rPr>
          <w:rFonts w:ascii="Times New Roman" w:hAnsi="Times New Roman" w:cs="Times New Roman"/>
        </w:rPr>
        <w:t xml:space="preserve"> 24 (</w:t>
      </w:r>
      <w:proofErr w:type="spellStart"/>
      <w:r>
        <w:rPr>
          <w:rFonts w:ascii="Times New Roman" w:hAnsi="Times New Roman" w:cs="Times New Roman"/>
        </w:rPr>
        <w:t>Vienticuatro</w:t>
      </w:r>
      <w:proofErr w:type="spellEnd"/>
      <w:r>
        <w:rPr>
          <w:rFonts w:ascii="Times New Roman" w:hAnsi="Times New Roman" w:cs="Times New Roman"/>
        </w:rPr>
        <w:t>) Latino Cultural Dist</w:t>
      </w:r>
      <w:r w:rsidR="00220B09">
        <w:rPr>
          <w:rFonts w:ascii="Times New Roman" w:hAnsi="Times New Roman" w:cs="Times New Roman"/>
        </w:rPr>
        <w:t>r</w:t>
      </w:r>
      <w:r>
        <w:rPr>
          <w:rFonts w:ascii="Times New Roman" w:hAnsi="Times New Roman" w:cs="Times New Roman"/>
        </w:rPr>
        <w:t xml:space="preserve">ict, and the Filipino Cultural Heritage District SOMA </w:t>
      </w:r>
      <w:proofErr w:type="spellStart"/>
      <w:r>
        <w:rPr>
          <w:rFonts w:ascii="Times New Roman" w:hAnsi="Times New Roman" w:cs="Times New Roman"/>
        </w:rPr>
        <w:t>Pilipinas</w:t>
      </w:r>
      <w:proofErr w:type="spellEnd"/>
      <w:r>
        <w:rPr>
          <w:rFonts w:ascii="Times New Roman" w:hAnsi="Times New Roman" w:cs="Times New Roman"/>
        </w:rPr>
        <w:t>. Each community has worked to develop strategies tailored to the needs of their district, and continue to work with city agencies to create planning tools to safeguard their living heritage.</w:t>
      </w:r>
      <w:r w:rsidRPr="00F3497A">
        <w:rPr>
          <w:rStyle w:val="FootnoteReference"/>
        </w:rPr>
        <w:footnoteReference w:id="179"/>
      </w:r>
    </w:p>
    <w:p w14:paraId="3023232C" w14:textId="77777777" w:rsidR="00153831" w:rsidRPr="0007302C" w:rsidRDefault="00153831" w:rsidP="00153831">
      <w:pPr>
        <w:spacing w:line="480" w:lineRule="auto"/>
        <w:rPr>
          <w:rFonts w:ascii="Times New Roman" w:hAnsi="Times New Roman" w:cs="Times New Roman"/>
        </w:rPr>
      </w:pPr>
      <w:r>
        <w:rPr>
          <w:rFonts w:ascii="Times New Roman" w:hAnsi="Times New Roman" w:cs="Times New Roman"/>
        </w:rPr>
        <w:tab/>
        <w:t xml:space="preserve">San Antonio’s Office of Historic Preservation has also taken the initiative to include cultural heritage, both tangible and intangible, as an equal contributor to their city’s formal preservation programming. Using the values identified in the Burra Charter, the Office of Historic Preservation has begun to create Cultural History Reports, rather than historic resource surveys, of sites that represent the people of San Antonio. The first two were for the </w:t>
      </w:r>
      <w:proofErr w:type="spellStart"/>
      <w:r>
        <w:rPr>
          <w:rFonts w:ascii="Times New Roman" w:hAnsi="Times New Roman" w:cs="Times New Roman"/>
        </w:rPr>
        <w:t>Basila</w:t>
      </w:r>
      <w:proofErr w:type="spellEnd"/>
      <w:r>
        <w:rPr>
          <w:rFonts w:ascii="Times New Roman" w:hAnsi="Times New Roman" w:cs="Times New Roman"/>
        </w:rPr>
        <w:t xml:space="preserve"> Frocks building (2016), and the Enrique Barrera Parkway (2018), the latter of which culminated in a local Cultural Heritage District designation. These reports differ in that they include methodologies not typically used in historic preservation reports, such as creating a social value statement separate of the historic value statement, and oral history analyses. Additionally, the Office of Historic Preservation is furthering their work of identifying intangible histories by gathering local stories through public cultural mapping events.</w:t>
      </w:r>
      <w:r w:rsidRPr="00F3497A">
        <w:rPr>
          <w:rStyle w:val="FootnoteReference"/>
        </w:rPr>
        <w:footnoteReference w:id="180"/>
      </w:r>
      <w:r>
        <w:rPr>
          <w:rFonts w:ascii="Times New Roman" w:hAnsi="Times New Roman" w:cs="Times New Roman"/>
          <w:i/>
        </w:rPr>
        <w:t xml:space="preserve"> </w:t>
      </w:r>
    </w:p>
    <w:p w14:paraId="4F090F59" w14:textId="7A29F979" w:rsidR="00153831" w:rsidRDefault="00153831" w:rsidP="00153831">
      <w:pPr>
        <w:spacing w:line="480" w:lineRule="auto"/>
        <w:rPr>
          <w:rFonts w:ascii="Times New Roman" w:hAnsi="Times New Roman" w:cs="Times New Roman"/>
        </w:rPr>
      </w:pPr>
      <w:r>
        <w:rPr>
          <w:rFonts w:ascii="Times New Roman" w:hAnsi="Times New Roman" w:cs="Times New Roman"/>
          <w:i/>
        </w:rPr>
        <w:lastRenderedPageBreak/>
        <w:tab/>
      </w:r>
      <w:r>
        <w:rPr>
          <w:rFonts w:ascii="Times New Roman" w:hAnsi="Times New Roman" w:cs="Times New Roman"/>
        </w:rPr>
        <w:t xml:space="preserve">While the aforementioned cities have admirably begun to develop strategies that recognize and designate neighborhoods </w:t>
      </w:r>
      <w:r w:rsidR="00220B09">
        <w:rPr>
          <w:rFonts w:ascii="Times New Roman" w:hAnsi="Times New Roman" w:cs="Times New Roman"/>
        </w:rPr>
        <w:t>that</w:t>
      </w:r>
      <w:r>
        <w:rPr>
          <w:rFonts w:ascii="Times New Roman" w:hAnsi="Times New Roman" w:cs="Times New Roman"/>
        </w:rPr>
        <w:t xml:space="preserve"> represent the intangible heritage of its residents, the heritage being recognized is often one stemming from ethnic heritage or spiritual belief. These are important and should have recognition and protection from dilution through encroaching development and in-migration. Many Legacy Cities are currently finding a solution to shrinking population statistics by making their policies attractive to immigrant communities.</w:t>
      </w:r>
      <w:r w:rsidRPr="00F3497A">
        <w:rPr>
          <w:rStyle w:val="FootnoteReference"/>
        </w:rPr>
        <w:footnoteReference w:id="181"/>
      </w:r>
      <w:r>
        <w:rPr>
          <w:rFonts w:ascii="Times New Roman" w:hAnsi="Times New Roman" w:cs="Times New Roman"/>
        </w:rPr>
        <w:t xml:space="preserve"> A culturally sustainable preservation model should be used to acknowledge the shifting of dominant cultures as new ethnic enclaves solidify their heritages within America. The heritage of Legacy Cities is also heavily one of socio-economic, or class, structures. The vestiges of industrialism—large, often abandoned, industrial sites; access to river and railroad shipping locations; formerly busy downtowns with “main-street” style storefronts; large company housing developments in a vernacular style, interspersed with grand homes of factory owners and industrial magnates; and a city inhabited by a large majority of “blue-collar” or working-class residents—characterize Legacy Cities. Long-standing neighborhood enclaves tend not to be ethnically divided, but racially separated. The culture was built around the work that brought and kept people in the city, and is steeped with the persistent nature of those who stayed when that work left town. There are many differing tangible and intangible cultural heritages that deserve recognition in Legacy Cities.</w:t>
      </w:r>
    </w:p>
    <w:p w14:paraId="299EA44C" w14:textId="77777777" w:rsidR="00153831" w:rsidRDefault="00153831" w:rsidP="00153831">
      <w:pPr>
        <w:spacing w:line="480" w:lineRule="auto"/>
        <w:rPr>
          <w:rFonts w:ascii="Times New Roman" w:hAnsi="Times New Roman" w:cs="Times New Roman"/>
        </w:rPr>
      </w:pPr>
    </w:p>
    <w:p w14:paraId="4611BEB7" w14:textId="4BC11041" w:rsidR="00153831" w:rsidRPr="00C467FF" w:rsidRDefault="00475B80" w:rsidP="00153831">
      <w:pPr>
        <w:spacing w:line="480" w:lineRule="auto"/>
        <w:rPr>
          <w:rFonts w:ascii="Times New Roman" w:hAnsi="Times New Roman" w:cs="Times New Roman"/>
          <w:u w:val="single"/>
        </w:rPr>
      </w:pPr>
      <w:r>
        <w:rPr>
          <w:rFonts w:ascii="Times New Roman" w:hAnsi="Times New Roman" w:cs="Times New Roman"/>
          <w:u w:val="single"/>
        </w:rPr>
        <w:t>Non-preservation at the Neighborhood Level (Preservation-adjacent Or</w:t>
      </w:r>
      <w:r w:rsidR="00153831" w:rsidRPr="00C467FF">
        <w:rPr>
          <w:rFonts w:ascii="Times New Roman" w:hAnsi="Times New Roman" w:cs="Times New Roman"/>
          <w:u w:val="single"/>
        </w:rPr>
        <w:t>ganizations)</w:t>
      </w:r>
    </w:p>
    <w:p w14:paraId="31CE5AC8" w14:textId="11CF994E" w:rsidR="00153831" w:rsidRDefault="00153831" w:rsidP="00153831">
      <w:pPr>
        <w:spacing w:line="480" w:lineRule="auto"/>
        <w:ind w:firstLine="720"/>
        <w:rPr>
          <w:rFonts w:ascii="Times New Roman" w:hAnsi="Times New Roman" w:cs="Times New Roman"/>
        </w:rPr>
      </w:pPr>
      <w:r>
        <w:rPr>
          <w:rFonts w:ascii="Times New Roman" w:hAnsi="Times New Roman" w:cs="Times New Roman"/>
        </w:rPr>
        <w:t xml:space="preserve">As described in the previous chapter, many cities have citizen-driven, non-profit advocacy organizations. These organizations are often working to improve citizen’s lives </w:t>
      </w:r>
      <w:r>
        <w:rPr>
          <w:rFonts w:ascii="Times New Roman" w:hAnsi="Times New Roman" w:cs="Times New Roman"/>
        </w:rPr>
        <w:lastRenderedPageBreak/>
        <w:t xml:space="preserve">through community development efforts which include issues such as capacity building, </w:t>
      </w:r>
      <w:r w:rsidR="00190C27">
        <w:rPr>
          <w:rFonts w:ascii="Times New Roman" w:hAnsi="Times New Roman" w:cs="Times New Roman"/>
        </w:rPr>
        <w:t>story-gathering</w:t>
      </w:r>
      <w:r>
        <w:rPr>
          <w:rFonts w:ascii="Times New Roman" w:hAnsi="Times New Roman" w:cs="Times New Roman"/>
        </w:rPr>
        <w:t>, and fair, affordable housing advocacy. Acknowledging that culturally sustainable development requires engagement with people within the community, organizations like these could be an asset to encouraging culturally sustainable preservation because they have fostered relationships with residents, and they have local authority in communities in which they work. The methods they use to bring awareness to local challenges, and the collaborative solutions used to address them, can translate to the preservation realm if historic preservation professionals will work with an expanded framework not limited by conventional preservation approaches. By examining culture through a story-gathering methodology that engages the existing population, neighborhoods can build the cultural context statement necessary to illuminate existing cultural histories. Combining that with a typical historic context study done through primary and secondary resource research will frame a document that is a fuller picture of a neighborhood. Using those techniques to identify significant cultural resources that may have intangible characteristics allows the community to play a part in the potential stabilization of their neighborhood through the collective agreement of cultural significance prioritization. This section will consider how communities have used story-gathering as a tool for cultural placekeeping.</w:t>
      </w:r>
    </w:p>
    <w:p w14:paraId="3DBCCD8D" w14:textId="77777777" w:rsidR="00153831" w:rsidRPr="00DC7973" w:rsidRDefault="00153831" w:rsidP="00153831">
      <w:pPr>
        <w:spacing w:line="480" w:lineRule="auto"/>
        <w:ind w:firstLine="720"/>
        <w:rPr>
          <w:rFonts w:ascii="Times New Roman" w:hAnsi="Times New Roman" w:cs="Times New Roman"/>
        </w:rPr>
      </w:pPr>
    </w:p>
    <w:p w14:paraId="547D7E80" w14:textId="0F0EF3AB" w:rsidR="00153831" w:rsidRPr="00C467FF" w:rsidRDefault="00153831" w:rsidP="00153831">
      <w:pPr>
        <w:spacing w:line="480" w:lineRule="auto"/>
        <w:outlineLvl w:val="0"/>
        <w:rPr>
          <w:rFonts w:ascii="Times New Roman" w:hAnsi="Times New Roman" w:cs="Times New Roman"/>
          <w:u w:val="single"/>
        </w:rPr>
      </w:pPr>
      <w:r>
        <w:rPr>
          <w:rFonts w:ascii="Times New Roman" w:hAnsi="Times New Roman" w:cs="Times New Roman"/>
          <w:i/>
        </w:rPr>
        <w:tab/>
      </w:r>
      <w:r w:rsidRPr="00C467FF">
        <w:rPr>
          <w:rFonts w:ascii="Times New Roman" w:hAnsi="Times New Roman" w:cs="Times New Roman"/>
          <w:u w:val="single"/>
        </w:rPr>
        <w:t>Detr</w:t>
      </w:r>
      <w:r w:rsidR="00190C27">
        <w:rPr>
          <w:rFonts w:ascii="Times New Roman" w:hAnsi="Times New Roman" w:cs="Times New Roman"/>
          <w:u w:val="single"/>
        </w:rPr>
        <w:t>oit’s Chief Storyteller Program</w:t>
      </w:r>
    </w:p>
    <w:p w14:paraId="6D6AD827" w14:textId="77777777" w:rsidR="00153831" w:rsidRDefault="00153831" w:rsidP="00153831">
      <w:pPr>
        <w:spacing w:line="480" w:lineRule="auto"/>
        <w:rPr>
          <w:rFonts w:ascii="Times New Roman" w:hAnsi="Times New Roman" w:cs="Times New Roman"/>
        </w:rPr>
      </w:pPr>
      <w:r>
        <w:rPr>
          <w:rFonts w:ascii="Times New Roman" w:hAnsi="Times New Roman" w:cs="Times New Roman"/>
          <w:i/>
        </w:rPr>
        <w:tab/>
      </w:r>
      <w:r>
        <w:rPr>
          <w:rFonts w:ascii="Times New Roman" w:hAnsi="Times New Roman" w:cs="Times New Roman"/>
        </w:rPr>
        <w:t xml:space="preserve">Aaron Foley is the City of Detroit’s first official Chief Storyteller. This is a title he admittedly coined for his own position, but the Chief Storyteller is a municipal position which was originally appointed by Mayor Mike Duggan in 2015. Foley is taking the Mayor’s initiative—to change the internal and external narrative of what is happening in Detroit—and </w:t>
      </w:r>
      <w:r>
        <w:rPr>
          <w:rFonts w:ascii="Times New Roman" w:hAnsi="Times New Roman" w:cs="Times New Roman"/>
        </w:rPr>
        <w:lastRenderedPageBreak/>
        <w:t xml:space="preserve">using his training as a journalist to create media content for the people of Detroit that is a better representation of who they are, and the direction Detroit is taking in its recovery from twentieth century post-industrialism. With a current staff of five more storytellers, including a web editor, writer, photographer, and two videographers, Foley is telling the stories of Detroit’s neighborhoods through an interactive website and local public access channel, both called </w:t>
      </w:r>
      <w:r w:rsidRPr="00921EC0">
        <w:rPr>
          <w:rFonts w:ascii="Times New Roman" w:hAnsi="Times New Roman" w:cs="Times New Roman"/>
          <w:i/>
        </w:rPr>
        <w:t>The Neighborhoods.</w:t>
      </w:r>
      <w:r w:rsidRPr="00F3497A">
        <w:rPr>
          <w:rStyle w:val="FootnoteReference"/>
        </w:rPr>
        <w:footnoteReference w:id="182"/>
      </w:r>
      <w:r>
        <w:rPr>
          <w:rFonts w:ascii="Times New Roman" w:hAnsi="Times New Roman" w:cs="Times New Roman"/>
        </w:rPr>
        <w:t xml:space="preserve"> </w:t>
      </w:r>
    </w:p>
    <w:p w14:paraId="36F34056" w14:textId="77777777" w:rsidR="00153831" w:rsidRDefault="00153831" w:rsidP="00153831">
      <w:pPr>
        <w:spacing w:line="480" w:lineRule="auto"/>
        <w:rPr>
          <w:rFonts w:ascii="Times New Roman" w:hAnsi="Times New Roman" w:cs="Times New Roman"/>
          <w:color w:val="FF0000"/>
        </w:rPr>
      </w:pPr>
      <w:r>
        <w:rPr>
          <w:rFonts w:ascii="Times New Roman" w:hAnsi="Times New Roman" w:cs="Times New Roman"/>
        </w:rPr>
        <w:tab/>
        <w:t xml:space="preserve">Telling the stories of Detroit’s neighborhoods is no small task. Counting over 200 distinct neighborhoods within the city, the website is an intersection of local story-gathering, data and map driven analysis, and public safety and events information. For instance, by navigating the Neighborhoods Map page, one can click on any of the seven districts of the city, and from there find detailed information on each of the city’s neighborhoods. In addition to journalistic articles about events or people in the neighborhood written by </w:t>
      </w:r>
      <w:r w:rsidRPr="00D87CB8">
        <w:rPr>
          <w:rFonts w:ascii="Times New Roman" w:hAnsi="Times New Roman" w:cs="Times New Roman"/>
          <w:i/>
        </w:rPr>
        <w:t>The Neighborhoods</w:t>
      </w:r>
      <w:r>
        <w:rPr>
          <w:rFonts w:ascii="Times New Roman" w:hAnsi="Times New Roman" w:cs="Times New Roman"/>
        </w:rPr>
        <w:t xml:space="preserve"> staff, each individual neighborhood page offers a brief description, images, and an events calendar. Also included is data residents will find useful, such as how many homes, parks, libraries, and schools the neighborhood supports. Additionally, information can be found on how much private investment has been leveraged in the neighborhood, the names and contact information for neighborhood police officers, and contact information for local neighborhood associations and block groups.</w:t>
      </w:r>
      <w:r w:rsidRPr="00F3497A">
        <w:rPr>
          <w:rStyle w:val="FootnoteReference"/>
        </w:rPr>
        <w:footnoteReference w:id="183"/>
      </w:r>
      <w:r>
        <w:rPr>
          <w:rFonts w:ascii="Times New Roman" w:hAnsi="Times New Roman" w:cs="Times New Roman"/>
        </w:rPr>
        <w:t xml:space="preserve"> </w:t>
      </w:r>
    </w:p>
    <w:p w14:paraId="2CF7F9F0" w14:textId="7B65B5EF" w:rsidR="00153831" w:rsidRDefault="00153831" w:rsidP="00153831">
      <w:pPr>
        <w:spacing w:line="480" w:lineRule="auto"/>
        <w:rPr>
          <w:rFonts w:ascii="Times New Roman" w:hAnsi="Times New Roman" w:cs="Times New Roman"/>
          <w:color w:val="000000" w:themeColor="text1"/>
        </w:rPr>
      </w:pPr>
      <w:r>
        <w:rPr>
          <w:rFonts w:ascii="Times New Roman" w:hAnsi="Times New Roman" w:cs="Times New Roman"/>
          <w:color w:val="FF0000"/>
        </w:rPr>
        <w:tab/>
      </w:r>
      <w:r w:rsidRPr="008F4355">
        <w:rPr>
          <w:rFonts w:ascii="Times New Roman" w:hAnsi="Times New Roman" w:cs="Times New Roman"/>
          <w:i/>
          <w:color w:val="000000" w:themeColor="text1"/>
        </w:rPr>
        <w:t>The Neighborhoods</w:t>
      </w:r>
      <w:r>
        <w:rPr>
          <w:rFonts w:ascii="Times New Roman" w:hAnsi="Times New Roman" w:cs="Times New Roman"/>
          <w:i/>
          <w:color w:val="000000" w:themeColor="text1"/>
        </w:rPr>
        <w:t xml:space="preserve"> </w:t>
      </w:r>
      <w:r>
        <w:rPr>
          <w:rFonts w:ascii="Times New Roman" w:hAnsi="Times New Roman" w:cs="Times New Roman"/>
          <w:color w:val="000000" w:themeColor="text1"/>
        </w:rPr>
        <w:t xml:space="preserve">has taken Mayor Duggan and Foley’s original idea of changing the image of Detroit as an abandoned ruin of a city inhabited with only those people who could not leave, and created a true community resource that not only offers residents a renewed look at </w:t>
      </w:r>
      <w:r>
        <w:rPr>
          <w:rFonts w:ascii="Times New Roman" w:hAnsi="Times New Roman" w:cs="Times New Roman"/>
          <w:color w:val="000000" w:themeColor="text1"/>
        </w:rPr>
        <w:lastRenderedPageBreak/>
        <w:t>why Detroit is a great, resilient city through storytelling, but</w:t>
      </w:r>
      <w:r w:rsidR="00190C27">
        <w:rPr>
          <w:rFonts w:ascii="Times New Roman" w:hAnsi="Times New Roman" w:cs="Times New Roman"/>
          <w:color w:val="000000" w:themeColor="text1"/>
        </w:rPr>
        <w:t xml:space="preserve"> also</w:t>
      </w:r>
      <w:r>
        <w:rPr>
          <w:rFonts w:ascii="Times New Roman" w:hAnsi="Times New Roman" w:cs="Times New Roman"/>
          <w:color w:val="000000" w:themeColor="text1"/>
        </w:rPr>
        <w:t xml:space="preserve"> an opportunity to be part of that story. Foley has made it his mission to focus his </w:t>
      </w:r>
      <w:r w:rsidR="00190C27">
        <w:rPr>
          <w:rFonts w:ascii="Times New Roman" w:hAnsi="Times New Roman" w:cs="Times New Roman"/>
          <w:color w:val="000000" w:themeColor="text1"/>
        </w:rPr>
        <w:t>story-gathering</w:t>
      </w:r>
      <w:r>
        <w:rPr>
          <w:rFonts w:ascii="Times New Roman" w:hAnsi="Times New Roman" w:cs="Times New Roman"/>
          <w:color w:val="000000" w:themeColor="text1"/>
        </w:rPr>
        <w:t xml:space="preserve"> on people and events that do not often receive acknowledgement from other journalistic sources. He also advocates for residents to know their neighborhoods better. As he stated in an article for The Guardian in 2017:</w:t>
      </w:r>
      <w:r>
        <w:rPr>
          <w:rFonts w:ascii="Times New Roman" w:hAnsi="Times New Roman" w:cs="Times New Roman"/>
          <w:color w:val="000000" w:themeColor="text1"/>
        </w:rPr>
        <w:tab/>
      </w:r>
    </w:p>
    <w:p w14:paraId="403C25BC" w14:textId="51ED2C99" w:rsidR="00153831" w:rsidRDefault="00153831" w:rsidP="00153831">
      <w:pPr>
        <w:ind w:left="720" w:right="720"/>
        <w:rPr>
          <w:rFonts w:ascii="Times New Roman" w:hAnsi="Times New Roman" w:cs="Times New Roman"/>
          <w:color w:val="000000" w:themeColor="text1"/>
        </w:rPr>
      </w:pPr>
      <w:r>
        <w:rPr>
          <w:rFonts w:ascii="Times New Roman" w:hAnsi="Times New Roman" w:cs="Times New Roman"/>
          <w:color w:val="000000" w:themeColor="text1"/>
        </w:rPr>
        <w:t>It seems like everybody thinks they know the neighborhoods here, but because there are so many, the definitions become too broad, the characteristics become muddled, the stories become lost. There’s a certain level of culture here that cannot be replicated elsewhere, and there’s so much that’s unique to Detroit, that you almost don’t know you’re a Detroiter until you leave.</w:t>
      </w:r>
      <w:r w:rsidRPr="00F3497A">
        <w:rPr>
          <w:rStyle w:val="FootnoteReference"/>
        </w:rPr>
        <w:footnoteReference w:id="184"/>
      </w:r>
    </w:p>
    <w:p w14:paraId="0F266FDE" w14:textId="77777777" w:rsidR="00153831" w:rsidRPr="00DC7973" w:rsidRDefault="00153831" w:rsidP="00153831">
      <w:pPr>
        <w:spacing w:line="480" w:lineRule="auto"/>
        <w:ind w:left="720" w:right="720"/>
        <w:rPr>
          <w:rFonts w:ascii="Times New Roman" w:hAnsi="Times New Roman" w:cs="Times New Roman"/>
          <w:color w:val="000000" w:themeColor="text1"/>
        </w:rPr>
      </w:pPr>
    </w:p>
    <w:p w14:paraId="5E8063F4" w14:textId="77777777" w:rsidR="00153831" w:rsidRPr="00C467FF" w:rsidRDefault="00153831" w:rsidP="00153831">
      <w:pPr>
        <w:spacing w:line="480" w:lineRule="auto"/>
        <w:ind w:firstLine="720"/>
        <w:outlineLvl w:val="0"/>
        <w:rPr>
          <w:rFonts w:ascii="Times New Roman" w:hAnsi="Times New Roman" w:cs="Times New Roman"/>
          <w:u w:val="single"/>
        </w:rPr>
      </w:pPr>
      <w:r w:rsidRPr="00C467FF">
        <w:rPr>
          <w:rFonts w:ascii="Times New Roman" w:hAnsi="Times New Roman" w:cs="Times New Roman"/>
          <w:u w:val="single"/>
        </w:rPr>
        <w:t>Community Heart &amp; Soul</w:t>
      </w:r>
    </w:p>
    <w:p w14:paraId="7E876C7E" w14:textId="77777777" w:rsidR="00153831" w:rsidRDefault="00153831" w:rsidP="00153831">
      <w:pPr>
        <w:spacing w:line="480" w:lineRule="auto"/>
        <w:ind w:firstLine="720"/>
        <w:rPr>
          <w:rFonts w:ascii="Times New Roman" w:hAnsi="Times New Roman" w:cs="Times New Roman"/>
        </w:rPr>
      </w:pPr>
      <w:r>
        <w:rPr>
          <w:rFonts w:ascii="Times New Roman" w:hAnsi="Times New Roman" w:cs="Times New Roman"/>
        </w:rPr>
        <w:t>The Orton Family Foundation created the Community Heart &amp; Soul Program in 1995 with a mission to work in smaller communities to develop resident-driven change that focuses on the character of the community, and the people who call it home. The program is designed to be administered in a collaborative approach involving residents and municipal leaders.</w:t>
      </w:r>
      <w:r w:rsidRPr="00F3497A">
        <w:rPr>
          <w:rStyle w:val="FootnoteReference"/>
        </w:rPr>
        <w:footnoteReference w:id="185"/>
      </w:r>
      <w:r>
        <w:rPr>
          <w:rFonts w:ascii="Times New Roman" w:hAnsi="Times New Roman" w:cs="Times New Roman"/>
        </w:rPr>
        <w:t xml:space="preserve"> By utilizing three principles as the basis for the work—involve everyone, focus on what matters, and play the long game—Community Heart &amp; Soul leaders coordinate a four-step approach to creating positive change in their cities.</w:t>
      </w:r>
      <w:r w:rsidRPr="00F3497A">
        <w:rPr>
          <w:rStyle w:val="FootnoteReference"/>
        </w:rPr>
        <w:footnoteReference w:id="186"/>
      </w:r>
      <w:r>
        <w:rPr>
          <w:rFonts w:ascii="Times New Roman" w:hAnsi="Times New Roman" w:cs="Times New Roman"/>
        </w:rPr>
        <w:t xml:space="preserve"> The structure of the four steps is a framework that can be molded to the individual needs of the community being served, making it adaptable to the resources available to the community. </w:t>
      </w:r>
    </w:p>
    <w:p w14:paraId="2C5A0A59" w14:textId="77777777" w:rsidR="00153831" w:rsidRDefault="00153831" w:rsidP="00153831">
      <w:pPr>
        <w:spacing w:line="480" w:lineRule="auto"/>
        <w:ind w:firstLine="720"/>
        <w:rPr>
          <w:rFonts w:ascii="Times New Roman" w:hAnsi="Times New Roman" w:cs="Times New Roman"/>
        </w:rPr>
      </w:pPr>
      <w:r>
        <w:rPr>
          <w:rFonts w:ascii="Times New Roman" w:hAnsi="Times New Roman" w:cs="Times New Roman"/>
        </w:rPr>
        <w:t xml:space="preserve">Phase one lays the groundwork for gathering volunteers and partners, and establishing goals. Phase two involves story-gathering from a broad and diverse mix of people to identify community priorities. Following phase two, value statements are articulated and written, which </w:t>
      </w:r>
      <w:r>
        <w:rPr>
          <w:rFonts w:ascii="Times New Roman" w:hAnsi="Times New Roman" w:cs="Times New Roman"/>
        </w:rPr>
        <w:lastRenderedPageBreak/>
        <w:t>guides phases three and four. Phase three applies those value statements to help the community express to municipal leadership what is significant to them within the city, and what decisions need to be made to protect or build on those elements in the future. Phase four is when the plans from previous phases are made actionable. It is recommended to have a leadership team to coordinate and communicate progress to keep community members engaged, and decision-makers accountable.</w:t>
      </w:r>
      <w:r w:rsidRPr="00F3497A">
        <w:rPr>
          <w:rStyle w:val="FootnoteReference"/>
        </w:rPr>
        <w:footnoteReference w:id="187"/>
      </w:r>
      <w:r>
        <w:rPr>
          <w:rFonts w:ascii="Times New Roman" w:hAnsi="Times New Roman" w:cs="Times New Roman"/>
        </w:rPr>
        <w:t xml:space="preserve"> </w:t>
      </w:r>
    </w:p>
    <w:p w14:paraId="154BB374" w14:textId="080C0FE4" w:rsidR="00153831" w:rsidRPr="008360F8" w:rsidRDefault="00153831" w:rsidP="00153831">
      <w:pPr>
        <w:spacing w:line="480" w:lineRule="auto"/>
        <w:ind w:firstLine="720"/>
        <w:rPr>
          <w:rFonts w:ascii="Times New Roman" w:hAnsi="Times New Roman" w:cs="Times New Roman"/>
        </w:rPr>
      </w:pPr>
      <w:r>
        <w:rPr>
          <w:rFonts w:ascii="Times New Roman" w:hAnsi="Times New Roman" w:cs="Times New Roman"/>
        </w:rPr>
        <w:t>The entire process is meant to be completed within two years, and the Orton Foundation has large staff that supports communities with guidance and problem-solving as needed. There are currently sixty-six towns in fourteen states that have completed or are engaged in working the Community Heart &amp; Soul model of community redevelopment.</w:t>
      </w:r>
      <w:r w:rsidRPr="00F3497A">
        <w:rPr>
          <w:rStyle w:val="FootnoteReference"/>
        </w:rPr>
        <w:footnoteReference w:id="188"/>
      </w:r>
      <w:r>
        <w:rPr>
          <w:rFonts w:ascii="Times New Roman" w:hAnsi="Times New Roman" w:cs="Times New Roman"/>
        </w:rPr>
        <w:t xml:space="preserve"> The Community Heart &amp; Soul process was developed to help stabilize and revitalize small towns, but is quintessentially a placekeeping movement. The heavy use of </w:t>
      </w:r>
      <w:r w:rsidR="00190C27">
        <w:rPr>
          <w:rFonts w:ascii="Times New Roman" w:hAnsi="Times New Roman" w:cs="Times New Roman"/>
        </w:rPr>
        <w:t>story-gathering</w:t>
      </w:r>
      <w:r>
        <w:rPr>
          <w:rFonts w:ascii="Times New Roman" w:hAnsi="Times New Roman" w:cs="Times New Roman"/>
        </w:rPr>
        <w:t>, storytelling, and significance identification through local participation revives feelings of ownership of place in those who live in the involved communities. A more engaged citizenry will be more willing to invest their time and resources into projects in which they have a decision-making part. Additionally, because residents take a decision-making role, the Community Heart &amp; Soul process offers an opportunity for residents to hold their municipal leadership accountable to complete those projects deemed important by the community.</w:t>
      </w:r>
    </w:p>
    <w:p w14:paraId="143028AF" w14:textId="77777777" w:rsidR="00153831" w:rsidRDefault="00153831" w:rsidP="00153831">
      <w:pPr>
        <w:spacing w:line="480" w:lineRule="auto"/>
        <w:rPr>
          <w:rFonts w:ascii="Times New Roman" w:hAnsi="Times New Roman" w:cs="Times New Roman"/>
          <w:i/>
        </w:rPr>
      </w:pPr>
      <w:r>
        <w:rPr>
          <w:rFonts w:ascii="Times New Roman" w:hAnsi="Times New Roman" w:cs="Times New Roman"/>
          <w:i/>
        </w:rPr>
        <w:tab/>
      </w:r>
    </w:p>
    <w:p w14:paraId="0E3C631A" w14:textId="77777777" w:rsidR="00153831" w:rsidRDefault="00153831" w:rsidP="00153831">
      <w:pPr>
        <w:spacing w:line="480" w:lineRule="auto"/>
        <w:rPr>
          <w:rFonts w:ascii="Times New Roman" w:hAnsi="Times New Roman" w:cs="Times New Roman"/>
          <w:u w:val="single"/>
        </w:rPr>
      </w:pPr>
    </w:p>
    <w:p w14:paraId="16957640" w14:textId="6F775D71" w:rsidR="00153831" w:rsidRPr="00C467FF" w:rsidRDefault="00190C27" w:rsidP="00153831">
      <w:pPr>
        <w:spacing w:line="480" w:lineRule="auto"/>
        <w:rPr>
          <w:rFonts w:ascii="Times New Roman" w:hAnsi="Times New Roman" w:cs="Times New Roman"/>
          <w:u w:val="single"/>
        </w:rPr>
      </w:pPr>
      <w:r>
        <w:rPr>
          <w:rFonts w:ascii="Times New Roman" w:hAnsi="Times New Roman" w:cs="Times New Roman"/>
          <w:u w:val="single"/>
        </w:rPr>
        <w:lastRenderedPageBreak/>
        <w:t>Do Nothing. What Could H</w:t>
      </w:r>
      <w:r w:rsidR="00153831" w:rsidRPr="00C467FF">
        <w:rPr>
          <w:rFonts w:ascii="Times New Roman" w:hAnsi="Times New Roman" w:cs="Times New Roman"/>
          <w:u w:val="single"/>
        </w:rPr>
        <w:t>appen?</w:t>
      </w:r>
    </w:p>
    <w:p w14:paraId="7EE64352" w14:textId="5B80D948" w:rsidR="00153831" w:rsidRDefault="00153831" w:rsidP="00153831">
      <w:pPr>
        <w:spacing w:line="480" w:lineRule="auto"/>
        <w:rPr>
          <w:rFonts w:ascii="Times New Roman" w:hAnsi="Times New Roman" w:cs="Times New Roman"/>
        </w:rPr>
      </w:pPr>
      <w:r>
        <w:rPr>
          <w:rFonts w:ascii="Times New Roman" w:hAnsi="Times New Roman" w:cs="Times New Roman"/>
          <w:i/>
        </w:rPr>
        <w:tab/>
      </w:r>
      <w:r>
        <w:rPr>
          <w:rFonts w:ascii="Times New Roman" w:hAnsi="Times New Roman" w:cs="Times New Roman"/>
        </w:rPr>
        <w:t xml:space="preserve">Historically, there has been a lack of true community engagement in preservation through activities such as education, </w:t>
      </w:r>
      <w:r w:rsidR="00190C27">
        <w:rPr>
          <w:rFonts w:ascii="Times New Roman" w:hAnsi="Times New Roman" w:cs="Times New Roman"/>
        </w:rPr>
        <w:t>story-gathering</w:t>
      </w:r>
      <w:r>
        <w:rPr>
          <w:rFonts w:ascii="Times New Roman" w:hAnsi="Times New Roman" w:cs="Times New Roman"/>
        </w:rPr>
        <w:t>, and capacity building, which has left residents affected by changes brought through preservation actions resentful. The impact of building a culturally sustainable preservation model for use in disinvested neighborhoods in Legacy Cities could bridge the approval gap that some historic preservation endeavors have experienced between the residents and the preservation project. Leaders in Legacy Cities should be concerned with this because they are finally beginning to see signs of a slow economic stabilization with the return of higher paying jobs, and new populations of people discovering the benefits of living in an urban community that has a lower cost of living. Historic preservation practices have not changed significantly in many years, while the reality of what is happening in American Legacy Cities is transitioning rapidly. The people in these neighborhoods are beginning to realize just how much of their cultural identity they have lost to municipal neglect, population loss, and more recently, encroaching development.</w:t>
      </w:r>
    </w:p>
    <w:p w14:paraId="62B1AB54" w14:textId="77777777" w:rsidR="00153831" w:rsidRDefault="00153831" w:rsidP="00153831">
      <w:pPr>
        <w:spacing w:line="480" w:lineRule="auto"/>
        <w:rPr>
          <w:rFonts w:ascii="Times New Roman" w:hAnsi="Times New Roman" w:cs="Times New Roman"/>
        </w:rPr>
      </w:pPr>
      <w:r>
        <w:rPr>
          <w:rFonts w:ascii="Times New Roman" w:hAnsi="Times New Roman" w:cs="Times New Roman"/>
        </w:rPr>
        <w:tab/>
        <w:t xml:space="preserve">One of the Buffalo neighborhoods outlined in chapter three, the Fruit Belt, is an example what could happen if nothing changes in the current model of preservation. The neighborhood was hard hit when the economy collapsed, and had many abandoned and vacant structures. In the last decade, the city began to purchase these properties and raze the structures, leaving residents to contend with the consequences of hundreds of vacant lots still owned by the city of Buffalo. One of the poorest neighborhoods in Buffalo, Fruit Belt residents are working to build capacity for themselves through strong citizen advocacy groups such as Open Buffalo and the Community First Alliance. As the Buffalo Niagara Medical Campus next door to the neighborhood continues to expand, pushing into the Fruit Belt, residents have fought for, and received, a moratorium on </w:t>
      </w:r>
      <w:r>
        <w:rPr>
          <w:rFonts w:ascii="Times New Roman" w:hAnsi="Times New Roman" w:cs="Times New Roman"/>
        </w:rPr>
        <w:lastRenderedPageBreak/>
        <w:t>the city’s sales of vacant lots to try to slow developers. Neighborhood advocates created the FB Community Land Trust to purchase vacant properties with the intention of retaining them for community-driven residential development. Most recently, Fruit Belt leadership commissioned a historic resource survey in hopes of a potential National Register Historic District nomination. The SHPO however, determined the neighborhood is not eligible for the National Register because of the Fruit Belt’s extensive loss of historic structural fabric—the result of the city’s demolition plan.</w:t>
      </w:r>
      <w:r w:rsidRPr="00F3497A">
        <w:rPr>
          <w:rStyle w:val="FootnoteReference"/>
        </w:rPr>
        <w:footnoteReference w:id="189"/>
      </w:r>
      <w:r>
        <w:rPr>
          <w:rFonts w:ascii="Times New Roman" w:hAnsi="Times New Roman" w:cs="Times New Roman"/>
        </w:rPr>
        <w:t xml:space="preserve"> </w:t>
      </w:r>
    </w:p>
    <w:p w14:paraId="5506B02C" w14:textId="43AFC778" w:rsidR="00153831" w:rsidRDefault="00153831" w:rsidP="00153831">
      <w:pPr>
        <w:spacing w:line="480" w:lineRule="auto"/>
        <w:rPr>
          <w:rFonts w:ascii="Times New Roman" w:hAnsi="Times New Roman" w:cs="Times New Roman"/>
        </w:rPr>
      </w:pPr>
      <w:r>
        <w:rPr>
          <w:rFonts w:ascii="Times New Roman" w:hAnsi="Times New Roman" w:cs="Times New Roman"/>
        </w:rPr>
        <w:tab/>
        <w:t>The Fruit Belt has a history worthy of recognition. And although the neighborhood has lost structural cohesion, their cultural cohesion is still viable. In fact, the Fruit Belt maintains a high rate of home ownership, and the home owners are often multi-generational. The Fruit Belt maintains a strong cultural legacy within the city of Buffalo. Residents of the Fruit Belt are the epitome of the defining character of the Legacy City—the ones who stayed. If an expanded definition of</w:t>
      </w:r>
      <w:r w:rsidR="00204185">
        <w:rPr>
          <w:rFonts w:ascii="Times New Roman" w:hAnsi="Times New Roman" w:cs="Times New Roman"/>
        </w:rPr>
        <w:t xml:space="preserve"> significance that includes</w:t>
      </w:r>
      <w:r>
        <w:rPr>
          <w:rFonts w:ascii="Times New Roman" w:hAnsi="Times New Roman" w:cs="Times New Roman"/>
        </w:rPr>
        <w:t xml:space="preserve"> cultural sustainability were more readily accepted as part of the integrity of a historic place, and within the practice of historic preservation, the Fruit Belt would have no problem getting their neighborhood in the National Register. However, if we continue to do nothing, it is likely that the city of Buffalo will lose the richness of culture that the Fruit Belt brings to the city. The continued growth of the BNMC and the people that will be drawn to living nearer their jobs will create a glut of development. Without a clearly defined plan for sustaining the culture of the Fruit Belt, it will continue to be threatened by gentrification and outside development pressures.</w:t>
      </w:r>
    </w:p>
    <w:p w14:paraId="7CA16F15" w14:textId="77777777" w:rsidR="00153831" w:rsidRDefault="00153831" w:rsidP="00153831">
      <w:pPr>
        <w:spacing w:line="480" w:lineRule="auto"/>
        <w:rPr>
          <w:rFonts w:ascii="Times New Roman" w:hAnsi="Times New Roman" w:cs="Times New Roman"/>
        </w:rPr>
      </w:pPr>
    </w:p>
    <w:p w14:paraId="582F766F" w14:textId="77777777" w:rsidR="00153831" w:rsidRDefault="00153831" w:rsidP="00153831">
      <w:pPr>
        <w:spacing w:line="480" w:lineRule="auto"/>
        <w:rPr>
          <w:rFonts w:ascii="Times New Roman" w:hAnsi="Times New Roman" w:cs="Times New Roman"/>
        </w:rPr>
      </w:pPr>
      <w:r>
        <w:rPr>
          <w:rFonts w:ascii="Times New Roman" w:hAnsi="Times New Roman" w:cs="Times New Roman"/>
        </w:rPr>
        <w:tab/>
      </w:r>
    </w:p>
    <w:p w14:paraId="2FDF5944" w14:textId="77777777" w:rsidR="00153831" w:rsidRPr="000F05C5" w:rsidRDefault="00153831" w:rsidP="00153831">
      <w:pPr>
        <w:spacing w:line="480" w:lineRule="auto"/>
        <w:jc w:val="center"/>
        <w:rPr>
          <w:rFonts w:ascii="Times New Roman" w:hAnsi="Times New Roman" w:cs="Times New Roman"/>
          <w:u w:val="single"/>
        </w:rPr>
      </w:pPr>
      <w:r w:rsidRPr="000F05C5">
        <w:rPr>
          <w:rFonts w:ascii="Times New Roman" w:hAnsi="Times New Roman" w:cs="Times New Roman"/>
          <w:u w:val="single"/>
        </w:rPr>
        <w:lastRenderedPageBreak/>
        <w:t>Conclusion</w:t>
      </w:r>
    </w:p>
    <w:p w14:paraId="2670507C" w14:textId="77777777" w:rsidR="00153831" w:rsidRDefault="00153831" w:rsidP="00153831">
      <w:pPr>
        <w:spacing w:line="480" w:lineRule="auto"/>
        <w:ind w:firstLine="720"/>
        <w:rPr>
          <w:rFonts w:ascii="Times New Roman" w:hAnsi="Times New Roman" w:cs="Times New Roman"/>
        </w:rPr>
      </w:pPr>
      <w:r>
        <w:rPr>
          <w:rFonts w:ascii="Times New Roman" w:hAnsi="Times New Roman" w:cs="Times New Roman"/>
        </w:rPr>
        <w:t xml:space="preserve">What is happening in the Fruit Belt is not isolated to the city of Buffalo. Neighborhoods in Legacy Cities across the Rust Belt are experiencing similar struggles for revitalization. By creating a way to define and document the culture still represented in these neighborhoods, there could be opportunities for the residents to direct their own growth, while at the same time honoring the past and present of their rich, local culture. The next chapter will look at recommendations for developing and implementing a culturally sustainable preservation plan for Legacy Cities. </w:t>
      </w:r>
    </w:p>
    <w:p w14:paraId="3DCC632A" w14:textId="77777777" w:rsidR="00153831" w:rsidRDefault="00153831" w:rsidP="00153831">
      <w:pPr>
        <w:rPr>
          <w:rFonts w:ascii="Times New Roman" w:hAnsi="Times New Roman" w:cs="Times New Roman"/>
          <w:i/>
        </w:rPr>
      </w:pPr>
      <w:r>
        <w:rPr>
          <w:rFonts w:ascii="Times New Roman" w:hAnsi="Times New Roman" w:cs="Times New Roman"/>
        </w:rPr>
        <w:tab/>
      </w:r>
    </w:p>
    <w:p w14:paraId="65050BFC" w14:textId="77777777" w:rsidR="00153831" w:rsidRPr="007C47E9" w:rsidRDefault="00153831" w:rsidP="00153831">
      <w:pPr>
        <w:rPr>
          <w:rFonts w:ascii="Times New Roman" w:hAnsi="Times New Roman" w:cs="Times New Roman"/>
          <w:i/>
        </w:rPr>
      </w:pPr>
      <w:r>
        <w:rPr>
          <w:rFonts w:ascii="Times New Roman" w:hAnsi="Times New Roman" w:cs="Times New Roman"/>
          <w:i/>
        </w:rPr>
        <w:t xml:space="preserve"> </w:t>
      </w:r>
    </w:p>
    <w:p w14:paraId="5C1A1A7D" w14:textId="3DB2850F" w:rsidR="00153831" w:rsidRDefault="00153831">
      <w:pPr>
        <w:rPr>
          <w:rFonts w:ascii="Times New Roman" w:hAnsi="Times New Roman" w:cs="Times New Roman"/>
        </w:rPr>
      </w:pPr>
      <w:r>
        <w:br w:type="page"/>
      </w:r>
    </w:p>
    <w:p w14:paraId="422F1A1D" w14:textId="24098FEC" w:rsidR="00F031E5" w:rsidRDefault="00F031E5" w:rsidP="00F031E5">
      <w:pPr>
        <w:pStyle w:val="Thesis"/>
      </w:pPr>
      <w:bookmarkStart w:id="17" w:name="_Toc8036823"/>
      <w:bookmarkStart w:id="18" w:name="_Toc8424208"/>
      <w:r>
        <w:lastRenderedPageBreak/>
        <w:t>Chapter V</w:t>
      </w:r>
      <w:bookmarkEnd w:id="17"/>
      <w:bookmarkEnd w:id="18"/>
    </w:p>
    <w:p w14:paraId="54E6F25D" w14:textId="77777777" w:rsidR="00F031E5" w:rsidRDefault="00F031E5" w:rsidP="00F031E5">
      <w:pPr>
        <w:pStyle w:val="Thesis"/>
      </w:pPr>
      <w:bookmarkStart w:id="19" w:name="_Toc8036824"/>
      <w:bookmarkStart w:id="20" w:name="_Toc8424209"/>
      <w:r>
        <w:t>Conclusions and Recommendations</w:t>
      </w:r>
      <w:bookmarkEnd w:id="19"/>
      <w:bookmarkEnd w:id="20"/>
    </w:p>
    <w:p w14:paraId="3AECB20D" w14:textId="5F2AF3B3" w:rsidR="00F031E5" w:rsidRPr="00AF3CFB" w:rsidRDefault="00F031E5" w:rsidP="00F031E5">
      <w:pPr>
        <w:spacing w:line="480" w:lineRule="auto"/>
        <w:rPr>
          <w:rFonts w:ascii="Times New Roman" w:hAnsi="Times New Roman" w:cs="Times New Roman"/>
        </w:rPr>
      </w:pPr>
      <w:r>
        <w:tab/>
      </w:r>
      <w:r w:rsidRPr="00AF3CFB">
        <w:rPr>
          <w:rFonts w:ascii="Times New Roman" w:hAnsi="Times New Roman" w:cs="Times New Roman"/>
        </w:rPr>
        <w:t>This thesis suggests an expansion of thought and practice within historic preservation that is more inclusive of the culturally significant tangible and intangible resources found in Legacy City neighborhoods. This will require preservationists to shift their thinking away from a structure- and landscape-first archetype, toward a people- and story-first method of research. Through a better understanding of placekeeping and cultural sustainability, this new framework will allow for more opportunities to engage the communities in which historic preservation could be a tool for stabilization and revitalization</w:t>
      </w:r>
      <w:r w:rsidR="00C64C07">
        <w:rPr>
          <w:rFonts w:ascii="Times New Roman" w:hAnsi="Times New Roman" w:cs="Times New Roman"/>
        </w:rPr>
        <w:t>—a catalyst for positive change</w:t>
      </w:r>
      <w:r w:rsidRPr="00AF3CFB">
        <w:rPr>
          <w:rFonts w:ascii="Times New Roman" w:hAnsi="Times New Roman" w:cs="Times New Roman"/>
        </w:rPr>
        <w:t xml:space="preserve">. In Legacy City neighborhoods that have experienced historic municipal disinvestment and neglect, the people represented and impacted need to drive the focus of the work. That does not presume that professional historic preservationists never consider the people affected by their work. In fact, it is becoming more prevalent within the profession that the story, the people, and the intangible histories are being more equally represented, rather than only the monumental architectural representations of important historical figures of the past. However, this shift of thinking is not universally used or accepted, nor is it codified within conventional preservation ordinances. This chapter will suggest some ways the historic preservation field can begin to recognize how, where, and when to utilize a model based in cultural sustainability, and how to redefine success of historic preservation projects in Legacy Cities. </w:t>
      </w:r>
    </w:p>
    <w:p w14:paraId="25777584" w14:textId="75365045" w:rsidR="00F031E5" w:rsidRPr="00AF3CFB" w:rsidRDefault="00F031E5" w:rsidP="00F031E5">
      <w:pPr>
        <w:spacing w:line="480" w:lineRule="auto"/>
        <w:ind w:firstLine="720"/>
        <w:rPr>
          <w:rFonts w:ascii="Times New Roman" w:hAnsi="Times New Roman" w:cs="Times New Roman"/>
          <w:color w:val="FF0000"/>
        </w:rPr>
      </w:pPr>
      <w:r w:rsidRPr="00AF3CFB">
        <w:rPr>
          <w:rFonts w:ascii="Times New Roman" w:hAnsi="Times New Roman" w:cs="Times New Roman"/>
        </w:rPr>
        <w:t xml:space="preserve">The city of Buffalo and its neighborhoods exemplify what happened in Legacy Cities throughout the Rust Belt—a booming industrial success, followed by an eventual collapse of the economy and substantial loss of population. Elmwood Historic District and the Fruit Belt, two </w:t>
      </w:r>
      <w:r w:rsidRPr="00AF3CFB">
        <w:rPr>
          <w:rFonts w:ascii="Times New Roman" w:hAnsi="Times New Roman" w:cs="Times New Roman"/>
        </w:rPr>
        <w:lastRenderedPageBreak/>
        <w:t>neighborhoods in the city, are both examples of residential living in Buffalo, with long-standing residents occupying homes and multi-generational family units within both neighborhoods. However, Elmwood Historic District maintained a mix of residential and commercial, as well as middle- to upper middle-income property owners. The neighborhood did not experience a distinct loss of residents as the rest of the city declined rapidly in population in the late twentieth century. The Fruit Belt’s experience during the same time was one of discontinuity as urban renewal disconnected the</w:t>
      </w:r>
      <w:r w:rsidR="00C64C07">
        <w:rPr>
          <w:rFonts w:ascii="Times New Roman" w:hAnsi="Times New Roman" w:cs="Times New Roman"/>
        </w:rPr>
        <w:t xml:space="preserve"> solely residential</w:t>
      </w:r>
      <w:r w:rsidRPr="00AF3CFB">
        <w:rPr>
          <w:rFonts w:ascii="Times New Roman" w:hAnsi="Times New Roman" w:cs="Times New Roman"/>
        </w:rPr>
        <w:t xml:space="preserve"> neighborhood from the rest of the city. This was followed by a loss of population through out-migration, and further decline in resident </w:t>
      </w:r>
      <w:r w:rsidR="002C4763">
        <w:rPr>
          <w:rFonts w:ascii="Times New Roman" w:hAnsi="Times New Roman" w:cs="Times New Roman"/>
        </w:rPr>
        <w:t>income as the economy worsened.</w:t>
      </w:r>
    </w:p>
    <w:p w14:paraId="72E405CB" w14:textId="77777777" w:rsidR="00F031E5" w:rsidRPr="00AF3CFB" w:rsidRDefault="00F031E5" w:rsidP="00F031E5">
      <w:pPr>
        <w:spacing w:line="480" w:lineRule="auto"/>
        <w:ind w:firstLine="720"/>
        <w:rPr>
          <w:rFonts w:ascii="Times New Roman" w:hAnsi="Times New Roman" w:cs="Times New Roman"/>
          <w:color w:val="000000" w:themeColor="text1"/>
        </w:rPr>
      </w:pPr>
      <w:r w:rsidRPr="00AF3CFB">
        <w:rPr>
          <w:rFonts w:ascii="Times New Roman" w:hAnsi="Times New Roman" w:cs="Times New Roman"/>
          <w:color w:val="000000" w:themeColor="text1"/>
        </w:rPr>
        <w:t>However, the two offer differing snapshots of historic preservation over time. The Elmwood Village Association was formed in the 1980s as a community development organization. The Association spurred a commercial revitalization movement that helped the neighborhood maintain cohesion and focus for the future. That neighborhood cohesiveness was a principal factor in the eligibility and later designation of two National Register Historic Districts, Elmwood Village West (2012), and Elmwood Village East (2016) under Criterion A for community planning and Criterion C for its highly intact residential neighborhood.</w:t>
      </w:r>
      <w:r w:rsidRPr="00AF3CFB">
        <w:rPr>
          <w:rStyle w:val="FootnoteReference"/>
          <w:rFonts w:cs="Times New Roman"/>
          <w:sz w:val="24"/>
        </w:rPr>
        <w:footnoteReference w:id="190"/>
      </w:r>
      <w:r w:rsidRPr="00AF3CFB">
        <w:rPr>
          <w:rFonts w:ascii="Times New Roman" w:hAnsi="Times New Roman" w:cs="Times New Roman"/>
          <w:color w:val="000000" w:themeColor="text1"/>
        </w:rPr>
        <w:t xml:space="preserve"> Elmwood Historic District is largely considered a success by the standard preservation measurements of numbers of structures saved from demolition or neglect, the amount of economic revitalization dollars created, and the amount of private investment leveraged in the neighborhood—particularly using the Federal and State Historic Tax Credits. As evidence of preservation’s effective use in Elmwood, the National Main Street Center has just completed a market analysis survey of the neighborhood, to be published later this year. The use of historic preservation tools </w:t>
      </w:r>
      <w:r w:rsidRPr="00AF3CFB">
        <w:rPr>
          <w:rFonts w:ascii="Times New Roman" w:hAnsi="Times New Roman" w:cs="Times New Roman"/>
          <w:color w:val="000000" w:themeColor="text1"/>
        </w:rPr>
        <w:lastRenderedPageBreak/>
        <w:t xml:space="preserve">in Elmwood Historic District demonstrates one effective model of preservation practice. The success of Elmwood Historic District is a very positive outcome for the city of Buffalo, and the residents of the neighborhood. It is likely that there are similar positive examples found throughout the Rust Belt. </w:t>
      </w:r>
    </w:p>
    <w:p w14:paraId="30BF2978" w14:textId="77777777" w:rsidR="00F031E5" w:rsidRPr="00AF3CFB" w:rsidRDefault="00F031E5" w:rsidP="00F031E5">
      <w:pPr>
        <w:spacing w:line="480" w:lineRule="auto"/>
        <w:ind w:firstLine="720"/>
        <w:rPr>
          <w:rFonts w:ascii="Times New Roman" w:hAnsi="Times New Roman" w:cs="Times New Roman"/>
          <w:color w:val="000000" w:themeColor="text1"/>
        </w:rPr>
      </w:pPr>
      <w:r w:rsidRPr="00AF3CFB">
        <w:rPr>
          <w:rFonts w:ascii="Times New Roman" w:hAnsi="Times New Roman" w:cs="Times New Roman"/>
          <w:color w:val="000000" w:themeColor="text1"/>
        </w:rPr>
        <w:t>The experience in the Fruit Belt has been different from the standpoint of historic preservation. The construction of the Kensington Expressway in the 1950s across the southwestern portion of the neighborhood, and the continued decline of the regional economy, had a negative impact on the population of the Fruit Belt neighborhood in the late twentieth century. By the early 2000s, the neighborhood was left with many vacant and abandoned homes. The 2006 inauguration of Mayor Byron W. Brown ushered in the “5 in 5” demolition program, which proposed the demolition of 5000 vacant structures over five years.</w:t>
      </w:r>
      <w:r w:rsidRPr="00AF3CFB">
        <w:rPr>
          <w:rStyle w:val="FootnoteReference"/>
          <w:rFonts w:cs="Times New Roman"/>
          <w:sz w:val="24"/>
        </w:rPr>
        <w:footnoteReference w:id="191"/>
      </w:r>
      <w:r w:rsidRPr="00AF3CFB">
        <w:rPr>
          <w:rFonts w:ascii="Times New Roman" w:hAnsi="Times New Roman" w:cs="Times New Roman"/>
          <w:color w:val="000000" w:themeColor="text1"/>
        </w:rPr>
        <w:t xml:space="preserve"> For the Fruit Belt, this meant approximately 200 structures were purchased and razed by the city. At the same time, adjacent to the neighborhood, the Buffalo Niagara Medical Campus began to expand, encroaching on the neighborhood and acting as a bait for developers predicting a glut of hospital sprawl. Through the work of strong neighborhood advocacy organizations, the city was convinced to place a moratorium on sales of properties it owned in the Fruit Belt neighborhood until a group was formed that could reasonably compete for the purchase of the neighborhood’s vacant lots. Out of this the FB Community Land Trust was formed, and the city began a partial lifting of the moratorium in the spring of 2018.</w:t>
      </w:r>
      <w:r w:rsidRPr="00AF3CFB">
        <w:rPr>
          <w:rStyle w:val="FootnoteReference"/>
          <w:rFonts w:cs="Times New Roman"/>
          <w:sz w:val="24"/>
        </w:rPr>
        <w:footnoteReference w:id="192"/>
      </w:r>
      <w:r w:rsidRPr="00AF3CFB">
        <w:rPr>
          <w:rFonts w:ascii="Times New Roman" w:hAnsi="Times New Roman" w:cs="Times New Roman"/>
          <w:color w:val="000000" w:themeColor="text1"/>
        </w:rPr>
        <w:t xml:space="preserve"> </w:t>
      </w:r>
    </w:p>
    <w:p w14:paraId="30A6A9A6" w14:textId="60B56AAD" w:rsidR="00F031E5" w:rsidRPr="00AF3CFB" w:rsidRDefault="00F031E5" w:rsidP="00F031E5">
      <w:pPr>
        <w:spacing w:line="480" w:lineRule="auto"/>
        <w:ind w:firstLine="720"/>
        <w:rPr>
          <w:rFonts w:ascii="Times New Roman" w:hAnsi="Times New Roman" w:cs="Times New Roman"/>
          <w:color w:val="000000" w:themeColor="text1"/>
        </w:rPr>
      </w:pPr>
      <w:r w:rsidRPr="00AF3CFB">
        <w:rPr>
          <w:rFonts w:ascii="Times New Roman" w:hAnsi="Times New Roman" w:cs="Times New Roman"/>
          <w:color w:val="000000" w:themeColor="text1"/>
        </w:rPr>
        <w:lastRenderedPageBreak/>
        <w:t>The current snapshot of historic preservation in the Fruit Belt looks very different from Elmwood Historic District. Recently a local preservation consulting group was hired on behalf of the neighborhood to complete a historic resource survey to try to build the argument for a Fruit Belt historic district nomination in the National Register. Unfortunately, the SHPO’s interpretation of the neighborhood is of one lacking a cohesive historic fabric of resources. Like many Legacy Cities, Buffalo is a shrinking city, and the Fruit Belt neighborhood is indicative of what many neighborhoods must contend with to maintain their place in the community. As the cohesion of the neighborhood declines, not only because of the loss of structures but because of the loss of its people, there is a loss of historic memory and understanding about the relationship of people to place. As evidence of this, since 2008 residents of the neighborhood h</w:t>
      </w:r>
      <w:r w:rsidR="003A45F6">
        <w:rPr>
          <w:rFonts w:ascii="Times New Roman" w:hAnsi="Times New Roman" w:cs="Times New Roman"/>
          <w:color w:val="000000" w:themeColor="text1"/>
        </w:rPr>
        <w:t>ave been fighting with the city and companies like Google</w:t>
      </w:r>
      <w:r w:rsidRPr="00AF3CFB">
        <w:rPr>
          <w:rFonts w:ascii="Times New Roman" w:hAnsi="Times New Roman" w:cs="Times New Roman"/>
          <w:color w:val="000000" w:themeColor="text1"/>
        </w:rPr>
        <w:t xml:space="preserve"> over the sudden change of the neighborhood’s name on mapping sites from Fruit Belt to Medical Park.</w:t>
      </w:r>
      <w:r w:rsidRPr="00AF3CFB">
        <w:rPr>
          <w:rStyle w:val="FootnoteReference"/>
          <w:rFonts w:cs="Times New Roman"/>
          <w:sz w:val="24"/>
        </w:rPr>
        <w:footnoteReference w:id="193"/>
      </w:r>
      <w:r w:rsidRPr="00AF3CFB">
        <w:rPr>
          <w:rFonts w:ascii="Times New Roman" w:hAnsi="Times New Roman" w:cs="Times New Roman"/>
          <w:color w:val="000000" w:themeColor="text1"/>
        </w:rPr>
        <w:t xml:space="preserve"> Google Maps once again shows the neighborhood’s name as Fruit Belt, but residents </w:t>
      </w:r>
      <w:r w:rsidR="003A45F6">
        <w:rPr>
          <w:rFonts w:ascii="Times New Roman" w:hAnsi="Times New Roman" w:cs="Times New Roman"/>
          <w:color w:val="000000" w:themeColor="text1"/>
        </w:rPr>
        <w:t>had to fight</w:t>
      </w:r>
      <w:r w:rsidRPr="00AF3CFB">
        <w:rPr>
          <w:rFonts w:ascii="Times New Roman" w:hAnsi="Times New Roman" w:cs="Times New Roman"/>
          <w:color w:val="000000" w:themeColor="text1"/>
        </w:rPr>
        <w:t xml:space="preserve"> to preserve even the most basic element of their neighborhood’s culture—its name. One could ask, is this not just the ebb and flow of neighborhood economics, but more a cultural gentrification? </w:t>
      </w:r>
    </w:p>
    <w:p w14:paraId="04C722F8" w14:textId="77777777" w:rsidR="00F031E5" w:rsidRPr="00AF3CFB" w:rsidRDefault="00F031E5" w:rsidP="00F031E5">
      <w:pPr>
        <w:spacing w:line="480" w:lineRule="auto"/>
        <w:ind w:firstLine="720"/>
        <w:rPr>
          <w:rFonts w:ascii="Times New Roman" w:hAnsi="Times New Roman" w:cs="Times New Roman"/>
        </w:rPr>
      </w:pPr>
      <w:r w:rsidRPr="00AF3CFB">
        <w:rPr>
          <w:rFonts w:ascii="Times New Roman" w:hAnsi="Times New Roman" w:cs="Times New Roman"/>
        </w:rPr>
        <w:t xml:space="preserve">What is happening in the Fruit Belt, as compared to what is happening in Elmwood Historic District, illuminates a gap in current historic preservation practice. The Fruit Belt was historically a cohesive residential neighborhood that, like a lot of neighborhoods in Legacy Cities experienced the negative impacts of economic change coupled with urban renewal, and later, blight removal. The cohesion of the residential structures was irreparably damaged, but the remaining residents represent a cultural legacy that is current and viable. The preservation of the </w:t>
      </w:r>
      <w:r w:rsidRPr="00AF3CFB">
        <w:rPr>
          <w:rFonts w:ascii="Times New Roman" w:hAnsi="Times New Roman" w:cs="Times New Roman"/>
        </w:rPr>
        <w:lastRenderedPageBreak/>
        <w:t>residential culture of a neighborhood is offered a very limited range of tools through the lens of historic preservation. A culturally sustainable preservation model in the Fruit Belt, and neighborhoods like it, could help stabilize and maintain neighborhood cohesion, guide the preservation of existing resources, and direct the progress of infill and commercial development in a way that is driven by, and honors, the people.</w:t>
      </w:r>
    </w:p>
    <w:p w14:paraId="66953984" w14:textId="77777777" w:rsidR="00F031E5" w:rsidRPr="00AF3CFB" w:rsidRDefault="00F031E5" w:rsidP="00F031E5">
      <w:pPr>
        <w:ind w:firstLine="720"/>
        <w:rPr>
          <w:rFonts w:ascii="Times New Roman" w:hAnsi="Times New Roman" w:cs="Times New Roman"/>
        </w:rPr>
      </w:pPr>
    </w:p>
    <w:p w14:paraId="05CC6A5A" w14:textId="77777777" w:rsidR="00F031E5" w:rsidRPr="00AF3CFB" w:rsidRDefault="00F031E5" w:rsidP="00F031E5">
      <w:pPr>
        <w:spacing w:line="480" w:lineRule="auto"/>
        <w:jc w:val="center"/>
        <w:rPr>
          <w:rFonts w:ascii="Times New Roman" w:hAnsi="Times New Roman" w:cs="Times New Roman"/>
          <w:color w:val="000000" w:themeColor="text1"/>
          <w:u w:val="single"/>
        </w:rPr>
      </w:pPr>
      <w:r w:rsidRPr="00AF3CFB">
        <w:rPr>
          <w:rFonts w:ascii="Times New Roman" w:hAnsi="Times New Roman" w:cs="Times New Roman"/>
          <w:color w:val="000000" w:themeColor="text1"/>
          <w:u w:val="single"/>
        </w:rPr>
        <w:t>Creation and Implementation of a Culturally Sustainable Preservation Model</w:t>
      </w:r>
    </w:p>
    <w:p w14:paraId="0E18B9AB" w14:textId="5997BB3A" w:rsidR="00F031E5" w:rsidRDefault="00F031E5" w:rsidP="00F031E5">
      <w:pPr>
        <w:spacing w:line="480" w:lineRule="auto"/>
        <w:ind w:firstLine="720"/>
        <w:rPr>
          <w:rFonts w:ascii="Times New Roman" w:hAnsi="Times New Roman" w:cs="Times New Roman"/>
          <w:color w:val="000000" w:themeColor="text1"/>
        </w:rPr>
      </w:pPr>
      <w:r w:rsidRPr="00AF3CFB">
        <w:rPr>
          <w:rFonts w:ascii="Times New Roman" w:hAnsi="Times New Roman" w:cs="Times New Roman"/>
          <w:color w:val="000000" w:themeColor="text1"/>
        </w:rPr>
        <w:t xml:space="preserve">The writing and implementation of a culturally sustainable preservation model will take a similar track as developing a historic preservation plan. However, it will be heavily focused on engagement with the residents of a neighborhood, and will necessitate the facilitation of a preservation professional. The preservationist will not act as an expert on the information being gathered, but rather as a guide through a process </w:t>
      </w:r>
      <w:r w:rsidR="003A45F6">
        <w:rPr>
          <w:rFonts w:ascii="Times New Roman" w:hAnsi="Times New Roman" w:cs="Times New Roman"/>
          <w:color w:val="000000" w:themeColor="text1"/>
        </w:rPr>
        <w:t>with</w:t>
      </w:r>
      <w:r w:rsidRPr="00AF3CFB">
        <w:rPr>
          <w:rFonts w:ascii="Times New Roman" w:hAnsi="Times New Roman" w:cs="Times New Roman"/>
          <w:color w:val="000000" w:themeColor="text1"/>
        </w:rPr>
        <w:t xml:space="preserve"> which others may not be familiar. The process will need to be made flexible to accommodate differing neighborhood challenges, but will follow a general four-part tactic of </w:t>
      </w:r>
      <w:r w:rsidR="00190C27">
        <w:rPr>
          <w:rFonts w:ascii="Times New Roman" w:hAnsi="Times New Roman" w:cs="Times New Roman"/>
          <w:color w:val="000000" w:themeColor="text1"/>
        </w:rPr>
        <w:t>story-gathering</w:t>
      </w:r>
      <w:r w:rsidRPr="00AF3CFB">
        <w:rPr>
          <w:rFonts w:ascii="Times New Roman" w:hAnsi="Times New Roman" w:cs="Times New Roman"/>
          <w:color w:val="000000" w:themeColor="text1"/>
        </w:rPr>
        <w:t xml:space="preserve">, defining neighborhood character, identification of significant resources, and resource management. </w:t>
      </w:r>
    </w:p>
    <w:p w14:paraId="2ACA5906" w14:textId="77777777" w:rsidR="003A45F6" w:rsidRPr="00AF3CFB" w:rsidRDefault="003A45F6" w:rsidP="00F031E5">
      <w:pPr>
        <w:spacing w:line="480" w:lineRule="auto"/>
        <w:ind w:firstLine="720"/>
        <w:rPr>
          <w:rFonts w:ascii="Times New Roman" w:hAnsi="Times New Roman" w:cs="Times New Roman"/>
          <w:color w:val="000000" w:themeColor="text1"/>
        </w:rPr>
      </w:pPr>
    </w:p>
    <w:p w14:paraId="01184A7E" w14:textId="3D7E6A80" w:rsidR="00F031E5" w:rsidRPr="00AF3CFB" w:rsidRDefault="00190C27" w:rsidP="00F031E5">
      <w:pPr>
        <w:spacing w:line="480" w:lineRule="auto"/>
        <w:rPr>
          <w:rFonts w:ascii="Times New Roman" w:hAnsi="Times New Roman" w:cs="Times New Roman"/>
          <w:color w:val="000000" w:themeColor="text1"/>
          <w:u w:val="single"/>
        </w:rPr>
      </w:pPr>
      <w:r>
        <w:rPr>
          <w:rFonts w:ascii="Times New Roman" w:hAnsi="Times New Roman" w:cs="Times New Roman"/>
          <w:color w:val="000000" w:themeColor="text1"/>
          <w:u w:val="single"/>
        </w:rPr>
        <w:t>Story-gathering</w:t>
      </w:r>
    </w:p>
    <w:p w14:paraId="17D07557" w14:textId="2F5A45B0" w:rsidR="00F031E5" w:rsidRPr="00AF3CFB" w:rsidRDefault="00F031E5" w:rsidP="00F031E5">
      <w:pPr>
        <w:spacing w:line="480" w:lineRule="auto"/>
        <w:ind w:firstLine="720"/>
        <w:rPr>
          <w:rFonts w:ascii="Times New Roman" w:hAnsi="Times New Roman" w:cs="Times New Roman"/>
          <w:color w:val="000000" w:themeColor="text1"/>
        </w:rPr>
      </w:pPr>
      <w:r w:rsidRPr="00AF3CFB">
        <w:rPr>
          <w:rFonts w:ascii="Times New Roman" w:hAnsi="Times New Roman" w:cs="Times New Roman"/>
          <w:color w:val="000000" w:themeColor="text1"/>
        </w:rPr>
        <w:t xml:space="preserve">The </w:t>
      </w:r>
      <w:r w:rsidR="00190C27">
        <w:rPr>
          <w:rFonts w:ascii="Times New Roman" w:hAnsi="Times New Roman" w:cs="Times New Roman"/>
          <w:color w:val="000000" w:themeColor="text1"/>
        </w:rPr>
        <w:t>story-gathering</w:t>
      </w:r>
      <w:r w:rsidRPr="00AF3CFB">
        <w:rPr>
          <w:rFonts w:ascii="Times New Roman" w:hAnsi="Times New Roman" w:cs="Times New Roman"/>
          <w:color w:val="000000" w:themeColor="text1"/>
        </w:rPr>
        <w:t xml:space="preserve"> is an ethnographic component, and should be done over time and using trained interviewers drawn from within the community. The Orton Family Foundation’s Community Heart &amp; Soul uses this method, and has created a detailed resource guide that outlines timelines and strategies for managing data.</w:t>
      </w:r>
      <w:r w:rsidRPr="00AF3CFB">
        <w:rPr>
          <w:rStyle w:val="FootnoteReference"/>
          <w:rFonts w:cs="Times New Roman"/>
          <w:sz w:val="24"/>
        </w:rPr>
        <w:footnoteReference w:id="194"/>
      </w:r>
      <w:r w:rsidRPr="00AF3CFB">
        <w:rPr>
          <w:rFonts w:ascii="Times New Roman" w:hAnsi="Times New Roman" w:cs="Times New Roman"/>
          <w:color w:val="000000" w:themeColor="text1"/>
        </w:rPr>
        <w:t xml:space="preserve"> The benefits of taking the time to have community members engaged within their own neighborhood to gather stories are many. There </w:t>
      </w:r>
      <w:r w:rsidRPr="00AF3CFB">
        <w:rPr>
          <w:rFonts w:ascii="Times New Roman" w:hAnsi="Times New Roman" w:cs="Times New Roman"/>
          <w:color w:val="000000" w:themeColor="text1"/>
        </w:rPr>
        <w:lastRenderedPageBreak/>
        <w:t xml:space="preserve">is shared authority when the betterment of the neighborhood is driven by people from within, and will generate relationship building and greater trust in the entire process. </w:t>
      </w:r>
      <w:r w:rsidR="00190C27">
        <w:rPr>
          <w:rFonts w:ascii="Times New Roman" w:hAnsi="Times New Roman" w:cs="Times New Roman"/>
          <w:color w:val="000000" w:themeColor="text1"/>
        </w:rPr>
        <w:t>Story-gathering</w:t>
      </w:r>
      <w:r w:rsidRPr="00AF3CFB">
        <w:rPr>
          <w:rFonts w:ascii="Times New Roman" w:hAnsi="Times New Roman" w:cs="Times New Roman"/>
          <w:color w:val="000000" w:themeColor="text1"/>
        </w:rPr>
        <w:t xml:space="preserve"> also illuminates what was important to residents in the past, and in the present, both tangible and intangible. </w:t>
      </w:r>
      <w:r w:rsidR="00190C27">
        <w:rPr>
          <w:rFonts w:ascii="Times New Roman" w:hAnsi="Times New Roman" w:cs="Times New Roman"/>
          <w:color w:val="000000" w:themeColor="text1"/>
        </w:rPr>
        <w:t>Story-gathering</w:t>
      </w:r>
      <w:r w:rsidRPr="00AF3CFB">
        <w:rPr>
          <w:rFonts w:ascii="Times New Roman" w:hAnsi="Times New Roman" w:cs="Times New Roman"/>
          <w:color w:val="000000" w:themeColor="text1"/>
        </w:rPr>
        <w:t xml:space="preserve"> also brings greater understanding to local data and community trends, and can make that valuable information more accessible to decision-makers and stakeholders. And lastly, allowing space for locals to tell their stories could open the community planning process up to those who often feel underrepresented. </w:t>
      </w:r>
      <w:r w:rsidR="00190C27">
        <w:rPr>
          <w:rFonts w:ascii="Times New Roman" w:hAnsi="Times New Roman" w:cs="Times New Roman"/>
          <w:color w:val="000000" w:themeColor="text1"/>
        </w:rPr>
        <w:t>Story-gathering</w:t>
      </w:r>
      <w:r w:rsidRPr="00AF3CFB">
        <w:rPr>
          <w:rFonts w:ascii="Times New Roman" w:hAnsi="Times New Roman" w:cs="Times New Roman"/>
          <w:color w:val="000000" w:themeColor="text1"/>
        </w:rPr>
        <w:t>, and making space for many voices to share in the foundations of decision-making, is a placekeeping measure that works as neighborhood historic context research, and ensures changes in the neighborhood honor people’s pasts, and maintain current tangible and intangible community assets.</w:t>
      </w:r>
      <w:r w:rsidRPr="00AF3CFB">
        <w:rPr>
          <w:rStyle w:val="FootnoteReference"/>
          <w:rFonts w:cs="Times New Roman"/>
          <w:sz w:val="24"/>
        </w:rPr>
        <w:footnoteReference w:id="195"/>
      </w:r>
    </w:p>
    <w:p w14:paraId="36DCEB89" w14:textId="77777777" w:rsidR="00F031E5" w:rsidRPr="00AF3CFB" w:rsidRDefault="00F031E5" w:rsidP="00386468">
      <w:pPr>
        <w:spacing w:line="480" w:lineRule="auto"/>
        <w:rPr>
          <w:rFonts w:ascii="Times New Roman" w:hAnsi="Times New Roman" w:cs="Times New Roman"/>
          <w:color w:val="000000" w:themeColor="text1"/>
        </w:rPr>
      </w:pPr>
    </w:p>
    <w:p w14:paraId="1AEB65E3" w14:textId="77777777" w:rsidR="00F031E5" w:rsidRPr="00AF3CFB" w:rsidRDefault="00F031E5" w:rsidP="00F031E5">
      <w:pPr>
        <w:spacing w:line="480" w:lineRule="auto"/>
        <w:rPr>
          <w:rFonts w:ascii="Times New Roman" w:hAnsi="Times New Roman" w:cs="Times New Roman"/>
          <w:color w:val="000000" w:themeColor="text1"/>
          <w:u w:val="single"/>
        </w:rPr>
      </w:pPr>
      <w:r w:rsidRPr="00AF3CFB">
        <w:rPr>
          <w:rFonts w:ascii="Times New Roman" w:hAnsi="Times New Roman" w:cs="Times New Roman"/>
          <w:color w:val="000000" w:themeColor="text1"/>
          <w:u w:val="single"/>
        </w:rPr>
        <w:t>Defining Neighborhood Character and Identifying Significant Resources</w:t>
      </w:r>
    </w:p>
    <w:p w14:paraId="53B07A23" w14:textId="761CBD6E" w:rsidR="00F031E5" w:rsidRPr="00AF3CFB" w:rsidRDefault="00F031E5" w:rsidP="00461063">
      <w:pPr>
        <w:spacing w:line="480" w:lineRule="auto"/>
        <w:ind w:firstLine="720"/>
        <w:rPr>
          <w:rFonts w:ascii="Times New Roman" w:hAnsi="Times New Roman" w:cs="Times New Roman"/>
          <w:color w:val="000000" w:themeColor="text1"/>
        </w:rPr>
      </w:pPr>
      <w:r w:rsidRPr="00AF3CFB">
        <w:rPr>
          <w:rFonts w:ascii="Times New Roman" w:hAnsi="Times New Roman" w:cs="Times New Roman"/>
          <w:color w:val="000000" w:themeColor="text1"/>
        </w:rPr>
        <w:t xml:space="preserve">From stories gathered, the neighborhood can begin to both define the character of the neighborhood, and identify tangible and intangible cultural resources. Creating a neighborhood cultural character statement that is clearly defined and agreed upon is an important step in protecting a cultural legacy. Almost like a mission statement for </w:t>
      </w:r>
      <w:r w:rsidR="00386468">
        <w:rPr>
          <w:rFonts w:ascii="Times New Roman" w:hAnsi="Times New Roman" w:cs="Times New Roman"/>
          <w:color w:val="000000" w:themeColor="text1"/>
        </w:rPr>
        <w:t>a</w:t>
      </w:r>
      <w:r w:rsidRPr="00AF3CFB">
        <w:rPr>
          <w:rFonts w:ascii="Times New Roman" w:hAnsi="Times New Roman" w:cs="Times New Roman"/>
          <w:color w:val="000000" w:themeColor="text1"/>
        </w:rPr>
        <w:t xml:space="preserve"> community of people, the neighborhood cultural character statement will act as a guide for new development. For example, in the Fruit Belt—experiencing development pressure from the BNMC, and with many vacant lots available for infill—a neighborhood cultural character statement will identify what types of development the neighborhood needs, will support, and will reflect the character of the neighborhood’s culture. Then, successful rebuilding of lost structural cohesion can occur. </w:t>
      </w:r>
      <w:r w:rsidR="00461063">
        <w:rPr>
          <w:rFonts w:ascii="Times New Roman" w:hAnsi="Times New Roman" w:cs="Times New Roman"/>
          <w:color w:val="000000" w:themeColor="text1"/>
        </w:rPr>
        <w:tab/>
      </w:r>
      <w:r w:rsidRPr="00AF3CFB">
        <w:rPr>
          <w:rFonts w:ascii="Times New Roman" w:hAnsi="Times New Roman" w:cs="Times New Roman"/>
          <w:color w:val="000000" w:themeColor="text1"/>
        </w:rPr>
        <w:t xml:space="preserve">Additionally, the stories gathered in the first phase can yield general common themes </w:t>
      </w:r>
      <w:r w:rsidRPr="00AF3CFB">
        <w:rPr>
          <w:rFonts w:ascii="Times New Roman" w:hAnsi="Times New Roman" w:cs="Times New Roman"/>
          <w:color w:val="000000" w:themeColor="text1"/>
        </w:rPr>
        <w:lastRenderedPageBreak/>
        <w:t>which help identify neighb</w:t>
      </w:r>
      <w:r w:rsidR="00461063">
        <w:rPr>
          <w:rFonts w:ascii="Times New Roman" w:hAnsi="Times New Roman" w:cs="Times New Roman"/>
          <w:color w:val="000000" w:themeColor="text1"/>
        </w:rPr>
        <w:t>orhood-specific</w:t>
      </w:r>
      <w:r w:rsidRPr="00AF3CFB">
        <w:rPr>
          <w:rFonts w:ascii="Times New Roman" w:hAnsi="Times New Roman" w:cs="Times New Roman"/>
          <w:color w:val="000000" w:themeColor="text1"/>
        </w:rPr>
        <w:t xml:space="preserve"> significant cultural resources. Not only does identification and re</w:t>
      </w:r>
      <w:r w:rsidR="00461063">
        <w:rPr>
          <w:rFonts w:ascii="Times New Roman" w:hAnsi="Times New Roman" w:cs="Times New Roman"/>
          <w:color w:val="000000" w:themeColor="text1"/>
        </w:rPr>
        <w:t>cognition solidify neighborhood relationships of people to place</w:t>
      </w:r>
      <w:r w:rsidRPr="00AF3CFB">
        <w:rPr>
          <w:rFonts w:ascii="Times New Roman" w:hAnsi="Times New Roman" w:cs="Times New Roman"/>
          <w:color w:val="000000" w:themeColor="text1"/>
        </w:rPr>
        <w:t>, but identification of significant cultural resources will help direct progress, and</w:t>
      </w:r>
      <w:r w:rsidR="00461063">
        <w:rPr>
          <w:rFonts w:ascii="Times New Roman" w:hAnsi="Times New Roman" w:cs="Times New Roman"/>
          <w:color w:val="000000" w:themeColor="text1"/>
        </w:rPr>
        <w:t>, with proper local ordinances,</w:t>
      </w:r>
      <w:r w:rsidRPr="00AF3CFB">
        <w:rPr>
          <w:rFonts w:ascii="Times New Roman" w:hAnsi="Times New Roman" w:cs="Times New Roman"/>
          <w:color w:val="000000" w:themeColor="text1"/>
        </w:rPr>
        <w:t xml:space="preserve"> </w:t>
      </w:r>
      <w:r w:rsidR="00461063">
        <w:rPr>
          <w:rFonts w:ascii="Times New Roman" w:hAnsi="Times New Roman" w:cs="Times New Roman"/>
          <w:color w:val="000000" w:themeColor="text1"/>
        </w:rPr>
        <w:t>possibly</w:t>
      </w:r>
      <w:r w:rsidRPr="00AF3CFB">
        <w:rPr>
          <w:rFonts w:ascii="Times New Roman" w:hAnsi="Times New Roman" w:cs="Times New Roman"/>
          <w:color w:val="000000" w:themeColor="text1"/>
        </w:rPr>
        <w:t xml:space="preserve"> protect those resources from the negative impacts of encroaching new development. Identification can also help maintain intangible cultural resources such as neighborhood festivals or parades, markets, or even popular neighborhood streetscapes or heavily used pathways. Identification and recognition of significant tangible and intangible cultural resources has the benefits of supporting community </w:t>
      </w:r>
      <w:r w:rsidR="00461063">
        <w:rPr>
          <w:rFonts w:ascii="Times New Roman" w:hAnsi="Times New Roman" w:cs="Times New Roman"/>
          <w:color w:val="000000" w:themeColor="text1"/>
        </w:rPr>
        <w:t>interconnection</w:t>
      </w:r>
      <w:r w:rsidRPr="00AF3CFB">
        <w:rPr>
          <w:rFonts w:ascii="Times New Roman" w:hAnsi="Times New Roman" w:cs="Times New Roman"/>
          <w:color w:val="000000" w:themeColor="text1"/>
        </w:rPr>
        <w:t xml:space="preserve">, and reinforcing the cultural character statement. </w:t>
      </w:r>
    </w:p>
    <w:p w14:paraId="02C8CB10" w14:textId="77777777" w:rsidR="00F031E5" w:rsidRPr="00AF3CFB" w:rsidRDefault="00F031E5" w:rsidP="00680764">
      <w:pPr>
        <w:spacing w:line="480" w:lineRule="auto"/>
        <w:rPr>
          <w:rFonts w:ascii="Times New Roman" w:hAnsi="Times New Roman" w:cs="Times New Roman"/>
          <w:color w:val="000000" w:themeColor="text1"/>
        </w:rPr>
      </w:pPr>
    </w:p>
    <w:p w14:paraId="25BFCCF8" w14:textId="77777777" w:rsidR="00F031E5" w:rsidRPr="00AF3CFB" w:rsidRDefault="00F031E5" w:rsidP="00F031E5">
      <w:pPr>
        <w:spacing w:line="480" w:lineRule="auto"/>
        <w:rPr>
          <w:rFonts w:ascii="Times New Roman" w:hAnsi="Times New Roman" w:cs="Times New Roman"/>
          <w:color w:val="000000" w:themeColor="text1"/>
          <w:u w:val="single"/>
        </w:rPr>
      </w:pPr>
      <w:r w:rsidRPr="00AF3CFB">
        <w:rPr>
          <w:rFonts w:ascii="Times New Roman" w:hAnsi="Times New Roman" w:cs="Times New Roman"/>
          <w:color w:val="000000" w:themeColor="text1"/>
          <w:u w:val="single"/>
        </w:rPr>
        <w:t>Resource Management</w:t>
      </w:r>
    </w:p>
    <w:p w14:paraId="4A2706E8" w14:textId="2B7A6FA8" w:rsidR="00F031E5" w:rsidRPr="00AF3CFB" w:rsidRDefault="00F031E5" w:rsidP="00F031E5">
      <w:pPr>
        <w:spacing w:line="480" w:lineRule="auto"/>
        <w:ind w:firstLine="720"/>
        <w:rPr>
          <w:rFonts w:ascii="Times New Roman" w:hAnsi="Times New Roman" w:cs="Times New Roman"/>
          <w:color w:val="000000" w:themeColor="text1"/>
        </w:rPr>
      </w:pPr>
      <w:r w:rsidRPr="00AF3CFB">
        <w:rPr>
          <w:rFonts w:ascii="Times New Roman" w:hAnsi="Times New Roman" w:cs="Times New Roman"/>
          <w:color w:val="000000" w:themeColor="text1"/>
        </w:rPr>
        <w:t xml:space="preserve">Lastly, an important part of any preservation plan is to prepare for the management of identified cultural resources. In the culturally sustainable preservation plan this could mean that a local board, agreed upon by </w:t>
      </w:r>
      <w:proofErr w:type="gramStart"/>
      <w:r w:rsidRPr="00AF3CFB">
        <w:rPr>
          <w:rFonts w:ascii="Times New Roman" w:hAnsi="Times New Roman" w:cs="Times New Roman"/>
          <w:color w:val="000000" w:themeColor="text1"/>
        </w:rPr>
        <w:t>the majority of</w:t>
      </w:r>
      <w:proofErr w:type="gramEnd"/>
      <w:r w:rsidRPr="00AF3CFB">
        <w:rPr>
          <w:rFonts w:ascii="Times New Roman" w:hAnsi="Times New Roman" w:cs="Times New Roman"/>
          <w:color w:val="000000" w:themeColor="text1"/>
        </w:rPr>
        <w:t xml:space="preserve"> stakeholders, is responsible for maintaining identified resources, intervening when necessary in new development issues, and reporting back regularly to the neighborhood</w:t>
      </w:r>
      <w:r w:rsidR="00680764">
        <w:rPr>
          <w:rFonts w:ascii="Times New Roman" w:hAnsi="Times New Roman" w:cs="Times New Roman"/>
          <w:color w:val="000000" w:themeColor="text1"/>
        </w:rPr>
        <w:t xml:space="preserve"> with</w:t>
      </w:r>
      <w:r w:rsidRPr="00AF3CFB">
        <w:rPr>
          <w:rFonts w:ascii="Times New Roman" w:hAnsi="Times New Roman" w:cs="Times New Roman"/>
          <w:color w:val="000000" w:themeColor="text1"/>
        </w:rPr>
        <w:t xml:space="preserve"> pertinent information regarding events and development. Also, within an amount of time agreed upon at the implementation, the entire plan should be reassessed. This may mean a new phase of </w:t>
      </w:r>
      <w:r w:rsidR="00190C27">
        <w:rPr>
          <w:rFonts w:ascii="Times New Roman" w:hAnsi="Times New Roman" w:cs="Times New Roman"/>
          <w:color w:val="000000" w:themeColor="text1"/>
        </w:rPr>
        <w:t>story-gathering</w:t>
      </w:r>
      <w:r w:rsidRPr="00AF3CFB">
        <w:rPr>
          <w:rFonts w:ascii="Times New Roman" w:hAnsi="Times New Roman" w:cs="Times New Roman"/>
          <w:color w:val="000000" w:themeColor="text1"/>
        </w:rPr>
        <w:t xml:space="preserve"> to account for any neighborhood changes, and a reconsideration of cultural resources and their management. The plan should be written in such a way that it is flexible, and can reflect and respond to a constantly changing neighborhood. A culturally sustainable preservation plan is meant to preserve the relationship of the people with the place in which they live and work. A plan like what is outlined here should </w:t>
      </w:r>
      <w:r w:rsidRPr="00AF3CFB">
        <w:rPr>
          <w:rFonts w:ascii="Times New Roman" w:hAnsi="Times New Roman" w:cs="Times New Roman"/>
          <w:color w:val="000000" w:themeColor="text1"/>
        </w:rPr>
        <w:lastRenderedPageBreak/>
        <w:t xml:space="preserve">help preservationists and residents work together to foster an ethos that naturally revitalizes neighborhoods, and preserves the structural representations of its history. </w:t>
      </w:r>
    </w:p>
    <w:p w14:paraId="5640D0B1" w14:textId="77777777" w:rsidR="00F031E5" w:rsidRPr="00AF3CFB" w:rsidRDefault="00F031E5" w:rsidP="00F031E5">
      <w:pPr>
        <w:spacing w:line="480" w:lineRule="auto"/>
        <w:rPr>
          <w:rFonts w:ascii="Times New Roman" w:hAnsi="Times New Roman" w:cs="Times New Roman"/>
          <w:i/>
          <w:color w:val="000000" w:themeColor="text1"/>
        </w:rPr>
      </w:pPr>
    </w:p>
    <w:p w14:paraId="0F92EB0C" w14:textId="77777777" w:rsidR="00F031E5" w:rsidRPr="00AF3CFB" w:rsidRDefault="00F031E5" w:rsidP="00F031E5">
      <w:pPr>
        <w:spacing w:line="480" w:lineRule="auto"/>
        <w:rPr>
          <w:rFonts w:ascii="Times New Roman" w:hAnsi="Times New Roman" w:cs="Times New Roman"/>
          <w:color w:val="000000" w:themeColor="text1"/>
          <w:u w:val="single"/>
        </w:rPr>
      </w:pPr>
      <w:r w:rsidRPr="00AF3CFB">
        <w:rPr>
          <w:rFonts w:ascii="Times New Roman" w:hAnsi="Times New Roman" w:cs="Times New Roman"/>
          <w:color w:val="000000" w:themeColor="text1"/>
          <w:u w:val="single"/>
        </w:rPr>
        <w:t>Measuring Success</w:t>
      </w:r>
    </w:p>
    <w:p w14:paraId="557AB142" w14:textId="1FA85E4F" w:rsidR="00F031E5" w:rsidRPr="00AF3CFB" w:rsidRDefault="00F031E5" w:rsidP="00F031E5">
      <w:pPr>
        <w:spacing w:line="480" w:lineRule="auto"/>
        <w:ind w:firstLine="720"/>
        <w:rPr>
          <w:rFonts w:ascii="Times New Roman" w:hAnsi="Times New Roman" w:cs="Times New Roman"/>
          <w:i/>
          <w:color w:val="000000" w:themeColor="text1"/>
        </w:rPr>
      </w:pPr>
      <w:r w:rsidRPr="00AF3CFB">
        <w:rPr>
          <w:rFonts w:ascii="Times New Roman" w:hAnsi="Times New Roman" w:cs="Times New Roman"/>
          <w:color w:val="000000" w:themeColor="text1"/>
        </w:rPr>
        <w:t xml:space="preserve"> Measuring the success of a cultural preservation project will have to focus less on redevelopment dollars and numbers of structures saved, and more on a better understanding of the relationships between people and place. This measurement will yield historic cultural districts that are as viable as conventional historic districts. Outcomes that indicate success will vary, and be set within the plan when it is created. Some examples of successful outcomes may include a neighborhood that is clearly representative of the resident cultural group; local control ove</w:t>
      </w:r>
      <w:r w:rsidR="00B121D7">
        <w:rPr>
          <w:rFonts w:ascii="Times New Roman" w:hAnsi="Times New Roman" w:cs="Times New Roman"/>
          <w:color w:val="000000" w:themeColor="text1"/>
        </w:rPr>
        <w:t xml:space="preserve">r how the culture district is </w:t>
      </w:r>
      <w:r w:rsidRPr="00AF3CFB">
        <w:rPr>
          <w:rFonts w:ascii="Times New Roman" w:hAnsi="Times New Roman" w:cs="Times New Roman"/>
          <w:color w:val="000000" w:themeColor="text1"/>
        </w:rPr>
        <w:t xml:space="preserve">presented to the general public, and how its history is </w:t>
      </w:r>
      <w:r w:rsidR="00B121D7">
        <w:rPr>
          <w:rFonts w:ascii="Times New Roman" w:hAnsi="Times New Roman" w:cs="Times New Roman"/>
          <w:color w:val="000000" w:themeColor="text1"/>
        </w:rPr>
        <w:t>interpreted</w:t>
      </w:r>
      <w:r w:rsidRPr="00AF3CFB">
        <w:rPr>
          <w:rFonts w:ascii="Times New Roman" w:hAnsi="Times New Roman" w:cs="Times New Roman"/>
          <w:color w:val="000000" w:themeColor="text1"/>
        </w:rPr>
        <w:t xml:space="preserve">; collaborations between local stakeholders and professional practitioners within planning, zoning, preservation, real estate development, and the arts; tools to increase or help property maintenance and ownership for the existing residents of the neighborhood; residents educated on the municipal tools that have an impact on the neighborhood, and the ability to engage with municipal leaders in neighborhood best practices. Those who live in neighborhoods where a culturally sustainable preservation model is utilized will have increased agency and power over what happens in the place they live. Successful implementation of the model will foster a clearer definition for stakeholders of local historic character and significance, and guide future development in a way that maintains that definition. These types of preservation projects will be stakeholder driven, and therefore have a greater chance of acceptance and support from residents, who are now acting as decision-makers. </w:t>
      </w:r>
      <w:r w:rsidRPr="00AF3CFB">
        <w:rPr>
          <w:rFonts w:ascii="Times New Roman" w:hAnsi="Times New Roman" w:cs="Times New Roman"/>
          <w:i/>
          <w:color w:val="000000" w:themeColor="text1"/>
        </w:rPr>
        <w:tab/>
      </w:r>
    </w:p>
    <w:p w14:paraId="1131F0A7" w14:textId="77777777" w:rsidR="00F031E5" w:rsidRPr="00AF3CFB" w:rsidRDefault="00F031E5" w:rsidP="00F031E5">
      <w:pPr>
        <w:spacing w:line="480" w:lineRule="auto"/>
        <w:ind w:firstLine="720"/>
        <w:rPr>
          <w:rFonts w:ascii="Times New Roman" w:hAnsi="Times New Roman" w:cs="Times New Roman"/>
          <w:color w:val="000000" w:themeColor="text1"/>
        </w:rPr>
      </w:pPr>
    </w:p>
    <w:p w14:paraId="5EEF0D96" w14:textId="77777777" w:rsidR="00F031E5" w:rsidRPr="00AF3CFB" w:rsidRDefault="00F031E5" w:rsidP="00F031E5">
      <w:pPr>
        <w:spacing w:line="480" w:lineRule="auto"/>
        <w:jc w:val="center"/>
        <w:rPr>
          <w:rFonts w:ascii="Times New Roman" w:hAnsi="Times New Roman" w:cs="Times New Roman"/>
          <w:color w:val="000000" w:themeColor="text1"/>
          <w:u w:val="single"/>
        </w:rPr>
      </w:pPr>
      <w:r w:rsidRPr="00AF3CFB">
        <w:rPr>
          <w:rFonts w:ascii="Times New Roman" w:hAnsi="Times New Roman" w:cs="Times New Roman"/>
          <w:color w:val="000000" w:themeColor="text1"/>
          <w:u w:val="single"/>
        </w:rPr>
        <w:lastRenderedPageBreak/>
        <w:t>Recommendations for the Future</w:t>
      </w:r>
    </w:p>
    <w:p w14:paraId="13E920D1" w14:textId="77777777" w:rsidR="00F031E5" w:rsidRPr="00AF3CFB" w:rsidRDefault="00F031E5" w:rsidP="00F031E5">
      <w:pPr>
        <w:spacing w:line="480" w:lineRule="auto"/>
        <w:jc w:val="center"/>
        <w:rPr>
          <w:rFonts w:ascii="Times New Roman" w:hAnsi="Times New Roman" w:cs="Times New Roman"/>
          <w:color w:val="000000" w:themeColor="text1"/>
          <w:u w:val="single"/>
        </w:rPr>
      </w:pPr>
    </w:p>
    <w:p w14:paraId="719CA5EC" w14:textId="77777777" w:rsidR="00F031E5" w:rsidRPr="00AF3CFB" w:rsidRDefault="00F031E5" w:rsidP="00F031E5">
      <w:pPr>
        <w:spacing w:line="480" w:lineRule="auto"/>
        <w:rPr>
          <w:rFonts w:ascii="Times New Roman" w:hAnsi="Times New Roman" w:cs="Times New Roman"/>
          <w:color w:val="000000" w:themeColor="text1"/>
          <w:u w:val="single"/>
        </w:rPr>
      </w:pPr>
      <w:r w:rsidRPr="00AF3CFB">
        <w:rPr>
          <w:rFonts w:ascii="Times New Roman" w:hAnsi="Times New Roman" w:cs="Times New Roman"/>
          <w:color w:val="000000" w:themeColor="text1"/>
          <w:u w:val="single"/>
        </w:rPr>
        <w:t>Expanding Historic Preservation Education</w:t>
      </w:r>
    </w:p>
    <w:p w14:paraId="21965130" w14:textId="77777777" w:rsidR="00F031E5" w:rsidRPr="00AF3CFB" w:rsidRDefault="00F031E5" w:rsidP="00F031E5">
      <w:pPr>
        <w:spacing w:line="480" w:lineRule="auto"/>
        <w:ind w:firstLine="720"/>
        <w:rPr>
          <w:rFonts w:ascii="Times New Roman" w:hAnsi="Times New Roman" w:cs="Times New Roman"/>
          <w:color w:val="000000" w:themeColor="text1"/>
        </w:rPr>
      </w:pPr>
      <w:r w:rsidRPr="00AF3CFB">
        <w:rPr>
          <w:rFonts w:ascii="Times New Roman" w:hAnsi="Times New Roman" w:cs="Times New Roman"/>
          <w:color w:val="000000" w:themeColor="text1"/>
        </w:rPr>
        <w:t xml:space="preserve">Training current preservationists, and those of the future, to better understand when, how, and why to focus their skills on culturally sustainable preservation will necessitate an expansion of education, and a continued willingness to engage with people. For current preservationists, the most effectual shift would be to seek opportunities to collaborate with people working or volunteering in adjacent, non-preservation practices. This will cultivate an understanding about where historic preservation intersects with the missions of other citizen advocacy groups, and will help educate members of those groups on how their work overlaps with historic preservation. These types of collaborations can increase the potential viability of preservation advocacy and preservation projects. To work with people in groups outside of the preservation field toward a common goal, one must be able to gain trust and work with others as colleagues. Recognizing that historic preservation is a more nuanced action than just structural preservation, historic preservation professionals should acknowledge and utilize the expertise of other professionals and stakeholders. This type of collaborative work fosters the preservation of culturally significant resources, and will generate an expansion of the historic preservation profession. </w:t>
      </w:r>
    </w:p>
    <w:p w14:paraId="1EB55B0F" w14:textId="77777777" w:rsidR="00F031E5" w:rsidRPr="00AF3CFB" w:rsidRDefault="00F031E5" w:rsidP="00F031E5">
      <w:pPr>
        <w:spacing w:line="480" w:lineRule="auto"/>
        <w:rPr>
          <w:rFonts w:ascii="Times New Roman" w:hAnsi="Times New Roman" w:cs="Times New Roman"/>
          <w:color w:val="000000" w:themeColor="text1"/>
        </w:rPr>
      </w:pPr>
      <w:r w:rsidRPr="00AF3CFB">
        <w:rPr>
          <w:rFonts w:ascii="Times New Roman" w:hAnsi="Times New Roman" w:cs="Times New Roman"/>
          <w:color w:val="FF0000"/>
        </w:rPr>
        <w:tab/>
      </w:r>
      <w:r w:rsidRPr="00AF3CFB">
        <w:rPr>
          <w:rFonts w:ascii="Times New Roman" w:hAnsi="Times New Roman" w:cs="Times New Roman"/>
          <w:color w:val="000000" w:themeColor="text1"/>
        </w:rPr>
        <w:t xml:space="preserve">For future historic preservation professionals, curriculum for students should continue to include the opportunity to learn the foundations of the preservation field, and further examination into how and where those foundations intersect with the professional expertise of other important disciplines. For example, students should have classes that expand their knowledge base in history—certainly in architectural history—but also in public history, American urban history, </w:t>
      </w:r>
      <w:r w:rsidRPr="00AF3CFB">
        <w:rPr>
          <w:rFonts w:ascii="Times New Roman" w:hAnsi="Times New Roman" w:cs="Times New Roman"/>
          <w:color w:val="000000" w:themeColor="text1"/>
        </w:rPr>
        <w:lastRenderedPageBreak/>
        <w:t>and planning and land use history. Students should also understand cultural sustainability, cultural landscapes, and preservation planning for people. Knowledge of ethnography, and how to engage with a diversity of people is also a necessary skill, and will help professional preservationists working in neighborhoods to accompany residents as they use placekeeping strategies to stabilize and revitalize their neighborhood. A general knowledge base in the urban planning profession, and the common tools planners use, would help preservationists learn the language of planning, and better comprehend how planning choices impact a neighborhood and its residents. Whether the learning comes during initial preservation education, or is part of a continuing education in current preservation theory, future historic preservation professionals need to be ready to work with a flexible, collaborative methodology.</w:t>
      </w:r>
    </w:p>
    <w:p w14:paraId="2E72FFE7" w14:textId="77777777" w:rsidR="00F031E5" w:rsidRPr="00AF3CFB" w:rsidRDefault="00F031E5" w:rsidP="00F031E5">
      <w:pPr>
        <w:spacing w:line="480" w:lineRule="auto"/>
        <w:rPr>
          <w:rFonts w:ascii="Times New Roman" w:hAnsi="Times New Roman" w:cs="Times New Roman"/>
          <w:color w:val="000000" w:themeColor="text1"/>
        </w:rPr>
      </w:pPr>
    </w:p>
    <w:p w14:paraId="0CD01644" w14:textId="77777777" w:rsidR="00F031E5" w:rsidRPr="00AF3CFB" w:rsidRDefault="00F031E5" w:rsidP="00F031E5">
      <w:pPr>
        <w:spacing w:line="480" w:lineRule="auto"/>
        <w:jc w:val="center"/>
        <w:rPr>
          <w:rFonts w:ascii="Times New Roman" w:hAnsi="Times New Roman" w:cs="Times New Roman"/>
          <w:color w:val="000000" w:themeColor="text1"/>
          <w:u w:val="single"/>
        </w:rPr>
      </w:pPr>
      <w:r w:rsidRPr="00AF3CFB">
        <w:rPr>
          <w:rFonts w:ascii="Times New Roman" w:hAnsi="Times New Roman" w:cs="Times New Roman"/>
          <w:color w:val="000000" w:themeColor="text1"/>
          <w:u w:val="single"/>
        </w:rPr>
        <w:t>Conclusion</w:t>
      </w:r>
    </w:p>
    <w:p w14:paraId="25F2DDE9" w14:textId="6E05E3E9" w:rsidR="00F031E5" w:rsidRPr="00AF3CFB" w:rsidRDefault="00F031E5" w:rsidP="00F031E5">
      <w:pPr>
        <w:spacing w:line="480" w:lineRule="auto"/>
        <w:ind w:firstLine="720"/>
        <w:rPr>
          <w:rFonts w:ascii="Times New Roman" w:hAnsi="Times New Roman" w:cs="Times New Roman"/>
          <w:color w:val="000000" w:themeColor="text1"/>
        </w:rPr>
      </w:pPr>
      <w:r w:rsidRPr="00AF3CFB">
        <w:rPr>
          <w:rFonts w:ascii="Times New Roman" w:hAnsi="Times New Roman" w:cs="Times New Roman"/>
          <w:color w:val="000000" w:themeColor="text1"/>
        </w:rPr>
        <w:t xml:space="preserve">This paper has looked at how </w:t>
      </w:r>
      <w:r w:rsidR="00B121D7">
        <w:rPr>
          <w:rFonts w:ascii="Times New Roman" w:hAnsi="Times New Roman" w:cs="Times New Roman"/>
          <w:color w:val="000000" w:themeColor="text1"/>
        </w:rPr>
        <w:t>some American cities</w:t>
      </w:r>
      <w:r w:rsidRPr="00AF3CFB">
        <w:rPr>
          <w:rFonts w:ascii="Times New Roman" w:hAnsi="Times New Roman" w:cs="Times New Roman"/>
          <w:color w:val="000000" w:themeColor="text1"/>
        </w:rPr>
        <w:t xml:space="preserve"> and preservatio</w:t>
      </w:r>
      <w:r w:rsidR="00B121D7">
        <w:rPr>
          <w:rFonts w:ascii="Times New Roman" w:hAnsi="Times New Roman" w:cs="Times New Roman"/>
          <w:color w:val="000000" w:themeColor="text1"/>
        </w:rPr>
        <w:t>n programs from other countries</w:t>
      </w:r>
      <w:r w:rsidRPr="00AF3CFB">
        <w:rPr>
          <w:rFonts w:ascii="Times New Roman" w:hAnsi="Times New Roman" w:cs="Times New Roman"/>
          <w:color w:val="000000" w:themeColor="text1"/>
        </w:rPr>
        <w:t xml:space="preserve"> are using a people-centered, cultural approach to better understand the needs of residents and make space for communities to become more than just stakeholders, but decision-makers. Beginning with the expansion of thought brought by the </w:t>
      </w:r>
      <w:r w:rsidRPr="00AF3CFB">
        <w:rPr>
          <w:rFonts w:ascii="Times New Roman" w:hAnsi="Times New Roman" w:cs="Times New Roman"/>
          <w:i/>
          <w:color w:val="000000" w:themeColor="text1"/>
        </w:rPr>
        <w:t>Burra Charter</w:t>
      </w:r>
      <w:r w:rsidRPr="00AF3CFB">
        <w:rPr>
          <w:rFonts w:ascii="Times New Roman" w:hAnsi="Times New Roman" w:cs="Times New Roman"/>
          <w:color w:val="000000" w:themeColor="text1"/>
        </w:rPr>
        <w:t xml:space="preserve"> in 1979, to more recent documents pushing for culture to have a role in public planning like </w:t>
      </w:r>
      <w:r w:rsidRPr="00AF3CFB">
        <w:rPr>
          <w:rFonts w:ascii="Times New Roman" w:hAnsi="Times New Roman" w:cs="Times New Roman"/>
          <w:i/>
          <w:color w:val="000000" w:themeColor="text1"/>
        </w:rPr>
        <w:t>The Fourth Pillar of Sustainability</w:t>
      </w:r>
      <w:r w:rsidRPr="00AF3CFB">
        <w:rPr>
          <w:rFonts w:ascii="Times New Roman" w:hAnsi="Times New Roman" w:cs="Times New Roman"/>
          <w:color w:val="000000" w:themeColor="text1"/>
        </w:rPr>
        <w:t>, history, and the preservation of it, is a constantly changing field. We have also seen how current i</w:t>
      </w:r>
      <w:r w:rsidR="00B121D7">
        <w:rPr>
          <w:rFonts w:ascii="Times New Roman" w:hAnsi="Times New Roman" w:cs="Times New Roman"/>
          <w:color w:val="000000" w:themeColor="text1"/>
        </w:rPr>
        <w:t>ssues with gentrification, over</w:t>
      </w:r>
      <w:r w:rsidRPr="00AF3CFB">
        <w:rPr>
          <w:rFonts w:ascii="Times New Roman" w:hAnsi="Times New Roman" w:cs="Times New Roman"/>
          <w:color w:val="000000" w:themeColor="text1"/>
        </w:rPr>
        <w:t xml:space="preserve">zealous development, and displacement have disrupted neighborhood cultures in Legacy Cities. Neighborhoods are not static, but foundational cultural identity often remains even when the physical environment changes, and this identity is what roots people to a place. Place and sense of place also play a strong part in cultural identity. Managing change over time to places that reflect cultural significance, and nurturing new ways </w:t>
      </w:r>
      <w:r w:rsidRPr="00AF3CFB">
        <w:rPr>
          <w:rFonts w:ascii="Times New Roman" w:hAnsi="Times New Roman" w:cs="Times New Roman"/>
          <w:color w:val="000000" w:themeColor="text1"/>
        </w:rPr>
        <w:lastRenderedPageBreak/>
        <w:t xml:space="preserve">to identify significance, will be the job of the future historic preservationist. Through these changes to the field, historic inequities can be addressed, and power restored to those who have borne the greatest impact. </w:t>
      </w:r>
      <w:r w:rsidR="009230FC">
        <w:rPr>
          <w:rFonts w:ascii="Times New Roman" w:hAnsi="Times New Roman" w:cs="Times New Roman"/>
          <w:color w:val="000000" w:themeColor="text1"/>
        </w:rPr>
        <w:t>M</w:t>
      </w:r>
      <w:r w:rsidRPr="00AF3CFB">
        <w:rPr>
          <w:rFonts w:ascii="Times New Roman" w:hAnsi="Times New Roman" w:cs="Times New Roman"/>
          <w:color w:val="000000" w:themeColor="text1"/>
        </w:rPr>
        <w:t xml:space="preserve">anaging cultural </w:t>
      </w:r>
      <w:r w:rsidR="002C4763">
        <w:rPr>
          <w:rFonts w:ascii="Times New Roman" w:hAnsi="Times New Roman" w:cs="Times New Roman"/>
          <w:color w:val="000000" w:themeColor="text1"/>
        </w:rPr>
        <w:t>sustainability is placekeeping.</w:t>
      </w:r>
    </w:p>
    <w:p w14:paraId="04A7552A" w14:textId="0059E7CB" w:rsidR="007B366A" w:rsidRDefault="00F031E5" w:rsidP="00E901F0">
      <w:pPr>
        <w:spacing w:line="480" w:lineRule="auto"/>
        <w:rPr>
          <w:rFonts w:ascii="Times New Roman" w:hAnsi="Times New Roman" w:cs="Times New Roman"/>
          <w:color w:val="000000" w:themeColor="text1"/>
        </w:rPr>
      </w:pPr>
      <w:r w:rsidRPr="00AF3CFB">
        <w:rPr>
          <w:rFonts w:ascii="Times New Roman" w:hAnsi="Times New Roman" w:cs="Times New Roman"/>
          <w:color w:val="000000" w:themeColor="text1"/>
        </w:rPr>
        <w:tab/>
        <w:t xml:space="preserve">There is a people-centered movement occurring within the historic preservation profession that makes this work timely, and can help the historic preservation field consider preservation from a different viewpoint than in the past. This work understands that the challenge of continually shrinking Legacy Cities is one that will require all scholars of urban theory to expand their perceptions of the problem, how to solve it, and measurements of success. The status quo of urban revitalization methodology currently requires change. Historic preservationists have a skillset that makes them uniquely qualified to bridge the gap between necessary development and progress, and the preservation of significant cultural resources. This paper by no means covers every aspect of placekeeping and culturally sustainable preservation. However, the topic needs to gain a foothold in the theories and language preservationists use, and the methodologies we choose. Future work needs to be done to identify with which other professions historic preservationists can collaborate, and how </w:t>
      </w:r>
      <w:r w:rsidR="002C4763">
        <w:rPr>
          <w:rFonts w:ascii="Times New Roman" w:hAnsi="Times New Roman" w:cs="Times New Roman"/>
          <w:color w:val="000000" w:themeColor="text1"/>
        </w:rPr>
        <w:t>we</w:t>
      </w:r>
      <w:r w:rsidRPr="00AF3CFB">
        <w:rPr>
          <w:rFonts w:ascii="Times New Roman" w:hAnsi="Times New Roman" w:cs="Times New Roman"/>
          <w:color w:val="000000" w:themeColor="text1"/>
        </w:rPr>
        <w:t xml:space="preserve"> can effectively merge </w:t>
      </w:r>
      <w:r w:rsidR="002C4763">
        <w:rPr>
          <w:rFonts w:ascii="Times New Roman" w:hAnsi="Times New Roman" w:cs="Times New Roman"/>
          <w:color w:val="000000" w:themeColor="text1"/>
        </w:rPr>
        <w:t>our</w:t>
      </w:r>
      <w:r w:rsidRPr="00AF3CFB">
        <w:rPr>
          <w:rFonts w:ascii="Times New Roman" w:hAnsi="Times New Roman" w:cs="Times New Roman"/>
          <w:color w:val="000000" w:themeColor="text1"/>
        </w:rPr>
        <w:t xml:space="preserve"> work to garner best practices. The profession of historic preservation will also need to learn how to better work with residents, and make space for other voices in the decision-making process. It is time to move forward, taking all we have learned from the historic preservation of the past, and refocus our efforts on the depth of the field by working to preserve and protect places that represent the full breadth of American culture. A culturally sustainable preservation model is one tool to reach depth </w:t>
      </w:r>
      <w:r w:rsidRPr="002C4763">
        <w:rPr>
          <w:rFonts w:ascii="Times New Roman" w:hAnsi="Times New Roman" w:cs="Times New Roman"/>
          <w:i/>
          <w:color w:val="000000" w:themeColor="text1"/>
        </w:rPr>
        <w:t>and</w:t>
      </w:r>
      <w:r w:rsidRPr="00AF3CFB">
        <w:rPr>
          <w:rFonts w:ascii="Times New Roman" w:hAnsi="Times New Roman" w:cs="Times New Roman"/>
          <w:color w:val="000000" w:themeColor="text1"/>
        </w:rPr>
        <w:t xml:space="preserve"> breadth in the historic preservation profession</w:t>
      </w:r>
      <w:r w:rsidR="00E901F0" w:rsidRPr="00AF3CFB">
        <w:rPr>
          <w:rFonts w:ascii="Times New Roman" w:hAnsi="Times New Roman" w:cs="Times New Roman"/>
          <w:color w:val="000000" w:themeColor="text1"/>
        </w:rPr>
        <w:t>, and achieve greater success in the future prese</w:t>
      </w:r>
      <w:r w:rsidR="00F62D28">
        <w:rPr>
          <w:rFonts w:ascii="Times New Roman" w:hAnsi="Times New Roman" w:cs="Times New Roman"/>
          <w:color w:val="000000" w:themeColor="text1"/>
        </w:rPr>
        <w:t xml:space="preserve">rvation of cultural resources. </w:t>
      </w:r>
    </w:p>
    <w:p w14:paraId="35FB2F7F" w14:textId="141E0342" w:rsidR="00F62D28" w:rsidRDefault="00F62D28">
      <w:pPr>
        <w:rPr>
          <w:rFonts w:ascii="Times New Roman" w:hAnsi="Times New Roman" w:cs="Times New Roman"/>
          <w:color w:val="000000" w:themeColor="text1"/>
        </w:rPr>
      </w:pPr>
      <w:r>
        <w:rPr>
          <w:rFonts w:ascii="Times New Roman" w:hAnsi="Times New Roman" w:cs="Times New Roman"/>
          <w:color w:val="000000" w:themeColor="text1"/>
        </w:rPr>
        <w:br w:type="page"/>
      </w:r>
    </w:p>
    <w:p w14:paraId="5E6FAA68" w14:textId="2820A3E3" w:rsidR="00F62D28" w:rsidRDefault="00ED1151" w:rsidP="00ED1151">
      <w:pPr>
        <w:spacing w:line="48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BIBLIOGRAPHY</w:t>
      </w:r>
    </w:p>
    <w:p w14:paraId="35EB8C46"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themeColor="text1"/>
        </w:rPr>
        <w:fldChar w:fldCharType="begin"/>
      </w:r>
      <w:r w:rsidRPr="00ED1151">
        <w:rPr>
          <w:rFonts w:ascii="Times New Roman" w:hAnsi="Times New Roman" w:cs="Times New Roman"/>
          <w:color w:val="000000" w:themeColor="text1"/>
        </w:rPr>
        <w:instrText xml:space="preserve"> ADDIN ZOTERO_BIBL {"uncited":[],"omitted":[],"custom":[]} CSL_BIBLIOGRAPHY </w:instrText>
      </w:r>
      <w:r w:rsidRPr="00ED1151">
        <w:rPr>
          <w:rFonts w:ascii="Times New Roman" w:hAnsi="Times New Roman" w:cs="Times New Roman"/>
          <w:color w:val="000000" w:themeColor="text1"/>
        </w:rPr>
        <w:fldChar w:fldCharType="separate"/>
      </w:r>
      <w:r w:rsidRPr="00ED1151">
        <w:rPr>
          <w:rFonts w:ascii="Times New Roman" w:hAnsi="Times New Roman" w:cs="Times New Roman"/>
          <w:color w:val="000000"/>
        </w:rPr>
        <w:t>“A Plan That Bears Fruit: A Community Land Trust and Other Tools For Neighborhood Revitalization in the Fruit Belt.” Partnership for the Public Good, June 22, 2016.</w:t>
      </w:r>
    </w:p>
    <w:p w14:paraId="1E8B3525" w14:textId="77777777" w:rsidR="005A3CCF" w:rsidRPr="005A3CCF" w:rsidRDefault="005A3CCF" w:rsidP="005A3CCF"/>
    <w:p w14:paraId="28713106" w14:textId="7D4F2FBB"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“About Buffalo Billion</w:t>
      </w:r>
      <w:r w:rsidR="00A53FE0">
        <w:rPr>
          <w:rFonts w:ascii="Times New Roman" w:hAnsi="Times New Roman" w:cs="Times New Roman"/>
          <w:color w:val="000000"/>
        </w:rPr>
        <w:t>.</w:t>
      </w:r>
      <w:r w:rsidRPr="00ED1151">
        <w:rPr>
          <w:rFonts w:ascii="Times New Roman" w:hAnsi="Times New Roman" w:cs="Times New Roman"/>
          <w:color w:val="000000"/>
        </w:rPr>
        <w:t>” New York State. Accessed March 7, 2019. https://buffalobillion.ny.gov/about-buffalo-billion.</w:t>
      </w:r>
    </w:p>
    <w:p w14:paraId="3E63ED19" w14:textId="77777777" w:rsidR="00A53FE0" w:rsidRPr="00A53FE0" w:rsidRDefault="00A53FE0" w:rsidP="00A53FE0"/>
    <w:p w14:paraId="1972739F"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“About Us.” Orton Family Foundation. Accessed April 4, 2019. https://www.orton.org/about-us/.</w:t>
      </w:r>
    </w:p>
    <w:p w14:paraId="61E70474" w14:textId="77777777" w:rsidR="00A53FE0" w:rsidRPr="00A53FE0" w:rsidRDefault="00A53FE0" w:rsidP="00A53FE0"/>
    <w:p w14:paraId="56CA5654"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Alpert, Sara. “Fruit Belt Neighborhood Asset Inventory.” Partnership for the Public Good, October 27, 2016.</w:t>
      </w:r>
    </w:p>
    <w:p w14:paraId="76A2C927" w14:textId="77777777" w:rsidR="00A53FE0" w:rsidRPr="00A53FE0" w:rsidRDefault="00A53FE0" w:rsidP="00A53FE0"/>
    <w:p w14:paraId="2B5EBDDE"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Australia ICOMOS, and International Council on Monuments and Sites. </w:t>
      </w:r>
      <w:r w:rsidRPr="00ED1151">
        <w:rPr>
          <w:rFonts w:ascii="Times New Roman" w:hAnsi="Times New Roman" w:cs="Times New Roman"/>
          <w:i/>
          <w:iCs/>
          <w:color w:val="000000"/>
        </w:rPr>
        <w:t>The Burra Charter: The Australia ICOMOS Charter for Places of Cultural Significance</w:t>
      </w:r>
      <w:r w:rsidRPr="00ED1151">
        <w:rPr>
          <w:rFonts w:ascii="Times New Roman" w:hAnsi="Times New Roman" w:cs="Times New Roman"/>
          <w:color w:val="000000"/>
        </w:rPr>
        <w:t>, 2013. http://australia.icomos.org/wp-content/uploads/The-Burra-Charter-2013-Adopted-31.10.2013.pdf.</w:t>
      </w:r>
    </w:p>
    <w:p w14:paraId="5E0BD667" w14:textId="77777777" w:rsidR="00A53FE0" w:rsidRPr="00A53FE0" w:rsidRDefault="00A53FE0" w:rsidP="00A53FE0"/>
    <w:p w14:paraId="6CA6AFF5"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Author interview with Christiana Limniatis, Director of Preservation Services, Preservation Buffalo Niagara, March 21, 2019.</w:t>
      </w:r>
    </w:p>
    <w:p w14:paraId="072D035D" w14:textId="77777777" w:rsidR="00A53FE0" w:rsidRPr="00A53FE0" w:rsidRDefault="00A53FE0" w:rsidP="00A53FE0"/>
    <w:p w14:paraId="51B940B1" w14:textId="0F9FA559" w:rsidR="00ED1151" w:rsidRDefault="00ED1151" w:rsidP="00A53FE0">
      <w:pPr>
        <w:pStyle w:val="Bibliography"/>
        <w:rPr>
          <w:rFonts w:ascii="Times New Roman" w:hAnsi="Times New Roman" w:cs="Times New Roman"/>
          <w:color w:val="000000"/>
        </w:rPr>
      </w:pPr>
      <w:r w:rsidRPr="00ED1151">
        <w:rPr>
          <w:rFonts w:ascii="Times New Roman" w:hAnsi="Times New Roman" w:cs="Times New Roman"/>
          <w:color w:val="000000"/>
        </w:rPr>
        <w:t xml:space="preserve">Avrami, Erica. “Making Historic Preservation Sustainable.” </w:t>
      </w:r>
      <w:r w:rsidRPr="00ED1151">
        <w:rPr>
          <w:rFonts w:ascii="Times New Roman" w:hAnsi="Times New Roman" w:cs="Times New Roman"/>
          <w:i/>
          <w:iCs/>
          <w:color w:val="000000"/>
        </w:rPr>
        <w:t>Journal of the American Planning Association</w:t>
      </w:r>
      <w:r w:rsidRPr="00ED1151">
        <w:rPr>
          <w:rFonts w:ascii="Times New Roman" w:hAnsi="Times New Roman" w:cs="Times New Roman"/>
          <w:color w:val="000000"/>
        </w:rPr>
        <w:t xml:space="preserve"> 82, no. 2 (Spring 2016): 104–12. https://doi.org/10.1080/01944363.2015.1126196.</w:t>
      </w:r>
    </w:p>
    <w:p w14:paraId="57A160B5" w14:textId="77777777" w:rsidR="00A53FE0" w:rsidRPr="00A53FE0" w:rsidRDefault="00A53FE0" w:rsidP="00A53FE0"/>
    <w:p w14:paraId="4AF3955A"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Beauregard, Robert. “Growth and Depopulation in the United States.” In </w:t>
      </w:r>
      <w:r w:rsidRPr="00ED1151">
        <w:rPr>
          <w:rFonts w:ascii="Times New Roman" w:hAnsi="Times New Roman" w:cs="Times New Roman"/>
          <w:i/>
          <w:iCs/>
          <w:color w:val="000000"/>
        </w:rPr>
        <w:t>Rebuilding America’s Legacy Cities: New Directions for the Industrial Heartland</w:t>
      </w:r>
      <w:r w:rsidRPr="00ED1151">
        <w:rPr>
          <w:rFonts w:ascii="Times New Roman" w:hAnsi="Times New Roman" w:cs="Times New Roman"/>
          <w:color w:val="000000"/>
        </w:rPr>
        <w:t>, edited by Alan Mallach. Columbia University: The American Assembly, 2012.</w:t>
      </w:r>
    </w:p>
    <w:p w14:paraId="6507DF49" w14:textId="77777777" w:rsidR="00A53FE0" w:rsidRPr="00A53FE0" w:rsidRDefault="00A53FE0" w:rsidP="00A53FE0"/>
    <w:p w14:paraId="7DB5695F"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Bedoya, Roberto. “Spatial Justice: Rasquachification, Race and the City.” Creative Time Reports, September 15, 2014. http://creativetimereports.org/2014/09/15/spatial-justice-rasquachification-race-and-the-city/.</w:t>
      </w:r>
    </w:p>
    <w:p w14:paraId="7A0DE40F" w14:textId="77777777" w:rsidR="00A53FE0" w:rsidRPr="00A53FE0" w:rsidRDefault="00A53FE0" w:rsidP="00A53FE0"/>
    <w:p w14:paraId="33984CE3"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Billingham, Chase M. “Waiting for Bobos: Displacement and Impeded Gentrification in a Midwestern City.” </w:t>
      </w:r>
      <w:r w:rsidRPr="00ED1151">
        <w:rPr>
          <w:rFonts w:ascii="Times New Roman" w:hAnsi="Times New Roman" w:cs="Times New Roman"/>
          <w:i/>
          <w:iCs/>
          <w:color w:val="000000"/>
        </w:rPr>
        <w:t>City &amp; Community</w:t>
      </w:r>
      <w:r w:rsidRPr="00ED1151">
        <w:rPr>
          <w:rFonts w:ascii="Times New Roman" w:hAnsi="Times New Roman" w:cs="Times New Roman"/>
          <w:color w:val="000000"/>
        </w:rPr>
        <w:t xml:space="preserve"> 16, no. 2 (June 2017): 145–68. https://doi.org/10.1111/cico.12235.</w:t>
      </w:r>
    </w:p>
    <w:p w14:paraId="01F30CE9" w14:textId="77777777" w:rsidR="00A53FE0" w:rsidRPr="00A53FE0" w:rsidRDefault="00A53FE0" w:rsidP="00A53FE0"/>
    <w:p w14:paraId="74CA5F2D"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Brecher, Erica. “Fruit Belt ‘Strategic Plan’ Ready for Review.” WGRZ, May 19, 2018. https://www.wgrz.com/article/news/local/buffalo/fruit-belt-strategic-plan-ready-for-review/71-556130093.</w:t>
      </w:r>
    </w:p>
    <w:p w14:paraId="64430B0D" w14:textId="77777777" w:rsidR="00A53FE0" w:rsidRPr="00A53FE0" w:rsidRDefault="00A53FE0" w:rsidP="00A53FE0"/>
    <w:p w14:paraId="12B242D4" w14:textId="77777777" w:rsidR="00ED1151" w:rsidRP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Brown, Byron W, and Timothy E Wanamaker. “Buffalo’s Comprehensive Plan: Queen City in the 21st Century,” February 7, 2006.</w:t>
      </w:r>
    </w:p>
    <w:p w14:paraId="5BBA6DB2"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lastRenderedPageBreak/>
        <w:t xml:space="preserve">Brown-Saracino, Japonica. “Social Preservationists and the Quest for Authentic Community.” </w:t>
      </w:r>
      <w:r w:rsidRPr="00ED1151">
        <w:rPr>
          <w:rFonts w:ascii="Times New Roman" w:hAnsi="Times New Roman" w:cs="Times New Roman"/>
          <w:i/>
          <w:iCs/>
          <w:color w:val="000000"/>
        </w:rPr>
        <w:t>City &amp; Community</w:t>
      </w:r>
      <w:r w:rsidRPr="00ED1151">
        <w:rPr>
          <w:rFonts w:ascii="Times New Roman" w:hAnsi="Times New Roman" w:cs="Times New Roman"/>
          <w:color w:val="000000"/>
        </w:rPr>
        <w:t xml:space="preserve"> 3, no. 2 (June 2004): 135–56. https://doi.org/10.1111/j.1535-6841.2004.00073.x.</w:t>
      </w:r>
    </w:p>
    <w:p w14:paraId="7B0BEBB4" w14:textId="77777777" w:rsidR="00A53FE0" w:rsidRPr="00A53FE0" w:rsidRDefault="00A53FE0" w:rsidP="00A53FE0"/>
    <w:p w14:paraId="1A0F25BA"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“Buffalo Billion Process and Implementation.” State of New York, January 2016.</w:t>
      </w:r>
    </w:p>
    <w:p w14:paraId="135E6482" w14:textId="77777777" w:rsidR="00A53FE0" w:rsidRPr="00A53FE0" w:rsidRDefault="00A53FE0" w:rsidP="00A53FE0"/>
    <w:p w14:paraId="5226FECD"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Carter, Donald K. “Hope for the Future of the Postindustrial City.” In </w:t>
      </w:r>
      <w:r w:rsidRPr="00ED1151">
        <w:rPr>
          <w:rFonts w:ascii="Times New Roman" w:hAnsi="Times New Roman" w:cs="Times New Roman"/>
          <w:i/>
          <w:iCs/>
          <w:color w:val="000000"/>
        </w:rPr>
        <w:t>SynergiCity: Reinventing the Postindustrial City</w:t>
      </w:r>
      <w:r w:rsidRPr="00ED1151">
        <w:rPr>
          <w:rFonts w:ascii="Times New Roman" w:hAnsi="Times New Roman" w:cs="Times New Roman"/>
          <w:color w:val="000000"/>
        </w:rPr>
        <w:t>, edited by Paul Hardin Kapp and Paul J. Armstrong. Urbana: University of Illinois Press, 2012. http://eds.a.ebscohost.com.goucher.idm.oclc.org/ehost/ebookviewer/ebook?sid=437740f1-24a5-4dcd-bd65-1f3445093762%40sdc-v-sessmgr03&amp;vid=0&amp;format=EB.</w:t>
      </w:r>
    </w:p>
    <w:p w14:paraId="27429C7B" w14:textId="77777777" w:rsidR="00A53FE0" w:rsidRPr="00A53FE0" w:rsidRDefault="00A53FE0" w:rsidP="00A53FE0"/>
    <w:p w14:paraId="3D09DB16"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Chiarini, Andrea, ed. “The Role of Culture in a Sustainable Built Environment.” In </w:t>
      </w:r>
      <w:r w:rsidRPr="00ED1151">
        <w:rPr>
          <w:rFonts w:ascii="Times New Roman" w:hAnsi="Times New Roman" w:cs="Times New Roman"/>
          <w:i/>
          <w:iCs/>
          <w:color w:val="000000"/>
        </w:rPr>
        <w:t>Sustainable Operations Management</w:t>
      </w:r>
      <w:r w:rsidRPr="00ED1151">
        <w:rPr>
          <w:rFonts w:ascii="Times New Roman" w:hAnsi="Times New Roman" w:cs="Times New Roman"/>
          <w:color w:val="000000"/>
        </w:rPr>
        <w:t>, 37–52. Switzerland: Springer International Publishing, 2015. http://www.academia.edu/14112304/The_Role_of_Culture_in_a_Sustainable_Built_Environment.</w:t>
      </w:r>
    </w:p>
    <w:p w14:paraId="4179D893" w14:textId="77777777" w:rsidR="00A53FE0" w:rsidRPr="00A53FE0" w:rsidRDefault="00A53FE0" w:rsidP="00A53FE0"/>
    <w:p w14:paraId="3E26A1F3"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“City of Buffalo - Neighborhoods - University at Buffalo Libraries.” Accessed March 2, 2019. https://library.buffalo.edu/maps/buffalo-wnymaps/buffalo-neighborhoods.html.</w:t>
      </w:r>
    </w:p>
    <w:p w14:paraId="7A765A96" w14:textId="77777777" w:rsidR="00A53FE0" w:rsidRPr="00A53FE0" w:rsidRDefault="00A53FE0" w:rsidP="00A53FE0"/>
    <w:p w14:paraId="6B1FC1A3"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“Community Heart &amp; Soul Field Guide, 2nd Edition.” Orton Family Foundation, 2015.</w:t>
      </w:r>
    </w:p>
    <w:p w14:paraId="297E2EDE" w14:textId="77777777" w:rsidR="00A53FE0" w:rsidRPr="00A53FE0" w:rsidRDefault="00A53FE0" w:rsidP="00A53FE0"/>
    <w:p w14:paraId="3C548CAA"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“Cultural Heritage.” San Francisco Planning. Accessed April 2, 2019. https://sfplanning.org/cultural-heritage.</w:t>
      </w:r>
    </w:p>
    <w:p w14:paraId="68D8D695" w14:textId="77777777" w:rsidR="00A53FE0" w:rsidRPr="00A53FE0" w:rsidRDefault="00A53FE0" w:rsidP="00A53FE0"/>
    <w:p w14:paraId="12A538BE"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“Culture &amp; Community.” City of San Antonio. Accessed April 3, 2019. https://www.sanantonio.gov/historic/Programs/Culture.</w:t>
      </w:r>
    </w:p>
    <w:p w14:paraId="61AD0D76" w14:textId="77777777" w:rsidR="00A53FE0" w:rsidRPr="00A53FE0" w:rsidRDefault="00A53FE0" w:rsidP="00A53FE0"/>
    <w:p w14:paraId="677E8279"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Deto, Ryan. “Recent Penn Plaza Evictions Highlight East Liberty’s Severe Lack of Affordable Housing.” Pittsburgh City Paper, July 22, 2015. https://www.pghcitypaper.com/pittsburgh/recent-penn-plaza-evictions-highlight-east-libertys-severe-lack-of-affordable-housing/Content?oid=1841883.</w:t>
      </w:r>
    </w:p>
    <w:p w14:paraId="46EA40F5" w14:textId="77777777" w:rsidR="00A53FE0" w:rsidRPr="00A53FE0" w:rsidRDefault="00A53FE0" w:rsidP="00A53FE0"/>
    <w:p w14:paraId="7B6057A9"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Devaraj, Srikant, and Michael J. Hicks. “The Myth and Reality of Manufacturing in America.” Ball State University Center for Business and Economic Research, April 2017.</w:t>
      </w:r>
    </w:p>
    <w:p w14:paraId="23CACFB9" w14:textId="77777777" w:rsidR="00A53FE0" w:rsidRPr="00A53FE0" w:rsidRDefault="00A53FE0" w:rsidP="00A53FE0"/>
    <w:p w14:paraId="3A0FEA54"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Dewey, Caitlin. “Fruit Belt Fights For Its Name Over Fears Big Tech Is Erasing It.” </w:t>
      </w:r>
      <w:r w:rsidRPr="00ED1151">
        <w:rPr>
          <w:rFonts w:ascii="Times New Roman" w:hAnsi="Times New Roman" w:cs="Times New Roman"/>
          <w:i/>
          <w:iCs/>
          <w:color w:val="000000"/>
        </w:rPr>
        <w:t>The Buffalo News</w:t>
      </w:r>
      <w:r w:rsidRPr="00ED1151">
        <w:rPr>
          <w:rFonts w:ascii="Times New Roman" w:hAnsi="Times New Roman" w:cs="Times New Roman"/>
          <w:color w:val="000000"/>
        </w:rPr>
        <w:t xml:space="preserve"> (blog), March 17, 2019. https://buffalonews.com/2019/03/17/fruit-belt-fights-for-its-name-over-fears-big-tech-is-erasing-it/.</w:t>
      </w:r>
    </w:p>
    <w:p w14:paraId="368FA215" w14:textId="77777777" w:rsidR="00A53FE0" w:rsidRPr="00A53FE0" w:rsidRDefault="00A53FE0" w:rsidP="00A53FE0"/>
    <w:p w14:paraId="0F9D5CC7"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Ding, Lei, and Jackelyn Hwang. “The Consequences of Gentrification: A Focus on Residents’ Financial Health in Philadelphia.” </w:t>
      </w:r>
      <w:r w:rsidRPr="00ED1151">
        <w:rPr>
          <w:rFonts w:ascii="Times New Roman" w:hAnsi="Times New Roman" w:cs="Times New Roman"/>
          <w:i/>
          <w:iCs/>
          <w:color w:val="000000"/>
        </w:rPr>
        <w:t>Cityscape</w:t>
      </w:r>
      <w:r w:rsidRPr="00ED1151">
        <w:rPr>
          <w:rFonts w:ascii="Times New Roman" w:hAnsi="Times New Roman" w:cs="Times New Roman"/>
          <w:color w:val="000000"/>
        </w:rPr>
        <w:t xml:space="preserve"> 18, no. 3 (2016): 27–55.</w:t>
      </w:r>
    </w:p>
    <w:p w14:paraId="3F49CA1C" w14:textId="77777777" w:rsidR="00A53FE0" w:rsidRPr="00A53FE0" w:rsidRDefault="00A53FE0" w:rsidP="00A53FE0"/>
    <w:p w14:paraId="22FD03FA" w14:textId="77777777" w:rsidR="00ED1151" w:rsidRP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“Elmwood Historic District (East).” National Park Service, National Register of Historic Places Program. Accessed March 7, 2019. https://www.nps.gov/nr/feature/places/16000108.htm.</w:t>
      </w:r>
    </w:p>
    <w:p w14:paraId="74BE54FA" w14:textId="0CDB5CC8" w:rsidR="00ED1151" w:rsidRDefault="00A53FE0" w:rsidP="00ED1151">
      <w:pPr>
        <w:pStyle w:val="Bibliography"/>
        <w:rPr>
          <w:rFonts w:ascii="Times New Roman" w:hAnsi="Times New Roman" w:cs="Times New Roman"/>
          <w:color w:val="000000"/>
        </w:rPr>
      </w:pPr>
      <w:r w:rsidRPr="00ED1151">
        <w:rPr>
          <w:rFonts w:ascii="Times New Roman" w:hAnsi="Times New Roman" w:cs="Times New Roman"/>
          <w:color w:val="000000"/>
        </w:rPr>
        <w:lastRenderedPageBreak/>
        <w:t xml:space="preserve"> </w:t>
      </w:r>
      <w:r w:rsidR="00ED1151" w:rsidRPr="00ED1151">
        <w:rPr>
          <w:rFonts w:ascii="Times New Roman" w:hAnsi="Times New Roman" w:cs="Times New Roman"/>
          <w:color w:val="000000"/>
        </w:rPr>
        <w:t>“Elmwood Village: Buffalo, New York.” American Planning Association. Accessed March 7, 2019. https://www.planning.org/greatplaces/neighborhoods/2007/elmwoodvillage.htm.</w:t>
      </w:r>
    </w:p>
    <w:p w14:paraId="56831881" w14:textId="77777777" w:rsidR="00A53FE0" w:rsidRPr="00A53FE0" w:rsidRDefault="00A53FE0" w:rsidP="00A53FE0"/>
    <w:p w14:paraId="44CEFDB8"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“Engagement Opportunities &gt; Buffalo Commons &gt; Partnership for the Public Good (PPG) - Buffalo, NY.” Accessed March 7, 2019. https://ppgbuffalo.org/buffalo-commons/engagement/.</w:t>
      </w:r>
    </w:p>
    <w:p w14:paraId="7E500160" w14:textId="77777777" w:rsidR="00A53FE0" w:rsidRPr="00A53FE0" w:rsidRDefault="00A53FE0" w:rsidP="00A53FE0"/>
    <w:p w14:paraId="53E86245"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“Federal Tax Incentives for Rehabilitating Historic Buildings: 35th Anniversary.” Washington D.C.: National Park Service, Department of the Interior, Technical Preservation Services, March 2013. https://www.nps.gov/tps/tax-incentives/taxdocs/tax-incentives-35anniversary.pdf.</w:t>
      </w:r>
    </w:p>
    <w:p w14:paraId="5E51AB05" w14:textId="77777777" w:rsidR="00A53FE0" w:rsidRPr="00A53FE0" w:rsidRDefault="00A53FE0" w:rsidP="00A53FE0"/>
    <w:p w14:paraId="150ED686"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“Federal Tax Incentives for Rehabilitating Historic Buildings Annual Report for Fiscal Year 2018.” Technical Preservation Services, National Park Service, U.S. Department of the Interior, March 2019.</w:t>
      </w:r>
    </w:p>
    <w:p w14:paraId="7E1AD56D" w14:textId="77777777" w:rsidR="00A53FE0" w:rsidRPr="00A53FE0" w:rsidRDefault="00A53FE0" w:rsidP="00A53FE0"/>
    <w:p w14:paraId="754883E8"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Florida, Richard. “Why Cities and Their Anchor Institutions Still Need to Learn to Work Together.” CityLab, October 5, 2015. http://www.citylab.com/politics/2015/10/the-new-grand-bargain-between-cities-and-anchor-institutions/408943/.</w:t>
      </w:r>
    </w:p>
    <w:p w14:paraId="667AA50A" w14:textId="77777777" w:rsidR="00A53FE0" w:rsidRPr="00A53FE0" w:rsidRDefault="00A53FE0" w:rsidP="00A53FE0"/>
    <w:p w14:paraId="79F94214"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Freeman, Lance, and Frank Braconi. “Gentrification and Displacement.” </w:t>
      </w:r>
      <w:r w:rsidRPr="00ED1151">
        <w:rPr>
          <w:rFonts w:ascii="Times New Roman" w:hAnsi="Times New Roman" w:cs="Times New Roman"/>
          <w:i/>
          <w:iCs/>
          <w:color w:val="000000"/>
        </w:rPr>
        <w:t>Journal of the American Planning Association</w:t>
      </w:r>
      <w:r w:rsidRPr="00ED1151">
        <w:rPr>
          <w:rFonts w:ascii="Times New Roman" w:hAnsi="Times New Roman" w:cs="Times New Roman"/>
          <w:color w:val="000000"/>
        </w:rPr>
        <w:t xml:space="preserve"> 70, no. 1 (Winter 2004): 39–52. https://doi.org/10.1080/01944360408976337.</w:t>
      </w:r>
    </w:p>
    <w:p w14:paraId="0A1A66F3" w14:textId="77777777" w:rsidR="00A53FE0" w:rsidRPr="00A53FE0" w:rsidRDefault="00A53FE0" w:rsidP="00A53FE0"/>
    <w:p w14:paraId="6A69018F"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Grossman, James R. </w:t>
      </w:r>
      <w:r w:rsidRPr="00ED1151">
        <w:rPr>
          <w:rFonts w:ascii="Times New Roman" w:hAnsi="Times New Roman" w:cs="Times New Roman"/>
          <w:i/>
          <w:iCs/>
          <w:color w:val="000000"/>
        </w:rPr>
        <w:t>Land of Hope: Chicago, Black Southerners, and the Great Migration</w:t>
      </w:r>
      <w:r w:rsidRPr="00ED1151">
        <w:rPr>
          <w:rFonts w:ascii="Times New Roman" w:hAnsi="Times New Roman" w:cs="Times New Roman"/>
          <w:color w:val="000000"/>
        </w:rPr>
        <w:t>. Chicago: The University of Chicago Press, 1989. http://eds.a.ebscohost.com.goucher.idm.oclc.org/ehost/ebookviewer/ebook?sid=e1f60026-ae61-4dd2-be66-d62c09ba35e0%40sdc-v-sessmgr02&amp;vid=0&amp;format=EB.</w:t>
      </w:r>
    </w:p>
    <w:p w14:paraId="31EC247C" w14:textId="77777777" w:rsidR="00A53FE0" w:rsidRPr="00A53FE0" w:rsidRDefault="00A53FE0" w:rsidP="00A53FE0"/>
    <w:p w14:paraId="596DB45F"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Hamilton, Nicholas. “Brain Gain in Legacy Cities.” Legacy Cities Initiative, August 31, 2015. https://www.legacycities.org/2015/08/brain-gain-in-legacy-cities/.</w:t>
      </w:r>
    </w:p>
    <w:p w14:paraId="4B408954" w14:textId="77777777" w:rsidR="00A53FE0" w:rsidRPr="00A53FE0" w:rsidRDefault="00A53FE0" w:rsidP="00A53FE0"/>
    <w:p w14:paraId="60AD9027"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Harrison, Jill Ann. “Rust Belt Boomerang: The Pull of Place in Moving Back to a Legacy City.” </w:t>
      </w:r>
      <w:r w:rsidRPr="00ED1151">
        <w:rPr>
          <w:rFonts w:ascii="Times New Roman" w:hAnsi="Times New Roman" w:cs="Times New Roman"/>
          <w:i/>
          <w:iCs/>
          <w:color w:val="000000"/>
        </w:rPr>
        <w:t>City &amp; Community</w:t>
      </w:r>
      <w:r w:rsidRPr="00ED1151">
        <w:rPr>
          <w:rFonts w:ascii="Times New Roman" w:hAnsi="Times New Roman" w:cs="Times New Roman"/>
          <w:color w:val="000000"/>
        </w:rPr>
        <w:t xml:space="preserve"> 16, no. 3 (2017): 263–83. https://doi.org/10.1111/cico.12245.</w:t>
      </w:r>
    </w:p>
    <w:p w14:paraId="05E14505" w14:textId="77777777" w:rsidR="00A53FE0" w:rsidRPr="00A53FE0" w:rsidRDefault="00A53FE0" w:rsidP="00A53FE0"/>
    <w:p w14:paraId="7D801ABB"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Hawkes, Jon. </w:t>
      </w:r>
      <w:r w:rsidRPr="00ED1151">
        <w:rPr>
          <w:rFonts w:ascii="Times New Roman" w:hAnsi="Times New Roman" w:cs="Times New Roman"/>
          <w:i/>
          <w:iCs/>
          <w:color w:val="000000"/>
        </w:rPr>
        <w:t>The Fourth Pillar of Sustainability: Culture’s Essential Role in Public Planning</w:t>
      </w:r>
      <w:r w:rsidRPr="00ED1151">
        <w:rPr>
          <w:rFonts w:ascii="Times New Roman" w:hAnsi="Times New Roman" w:cs="Times New Roman"/>
          <w:color w:val="000000"/>
        </w:rPr>
        <w:t>. Melbourne: Cultural Development Network: Common Ground, 2001.</w:t>
      </w:r>
    </w:p>
    <w:p w14:paraId="2E217AB4" w14:textId="77777777" w:rsidR="00A53FE0" w:rsidRPr="00A53FE0" w:rsidRDefault="00A53FE0" w:rsidP="00A53FE0"/>
    <w:p w14:paraId="368E6DB9"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“Heart Bombs: Young Preservationists Spreading the Love – Design*Sponge.” Accessed March 2, 2019. https://www.designsponge.com/2013/02/heart-bombs-young-preservationists-spreading-the-love.html.</w:t>
      </w:r>
    </w:p>
    <w:p w14:paraId="556D1378" w14:textId="77777777" w:rsidR="00A53FE0" w:rsidRPr="00A53FE0" w:rsidRDefault="00A53FE0" w:rsidP="00A53FE0"/>
    <w:p w14:paraId="11141A5E" w14:textId="77777777" w:rsidR="00ED1151" w:rsidRP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Helmore, Edward. “Detroit Redefined: City Hires America’s First Official ‘Chief Storyteller.’” </w:t>
      </w:r>
      <w:r w:rsidRPr="00ED1151">
        <w:rPr>
          <w:rFonts w:ascii="Times New Roman" w:hAnsi="Times New Roman" w:cs="Times New Roman"/>
          <w:i/>
          <w:iCs/>
          <w:color w:val="000000"/>
        </w:rPr>
        <w:t>The Guardian</w:t>
      </w:r>
      <w:r w:rsidRPr="00ED1151">
        <w:rPr>
          <w:rFonts w:ascii="Times New Roman" w:hAnsi="Times New Roman" w:cs="Times New Roman"/>
          <w:color w:val="000000"/>
        </w:rPr>
        <w:t>, September 5, 2017, sec. Cities. https://www.theguardian.com/cities/2017/sep/05/detroit-redefined-america-first-official-chief-storyteller.</w:t>
      </w:r>
    </w:p>
    <w:p w14:paraId="4B44388D"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lastRenderedPageBreak/>
        <w:t xml:space="preserve">Herbst, Julia. “Guillermo Uribe on the ‘Gentefication’ of East L.A. Los Angeles Magazine.” </w:t>
      </w:r>
      <w:r w:rsidRPr="00ED1151">
        <w:rPr>
          <w:rFonts w:ascii="Times New Roman" w:hAnsi="Times New Roman" w:cs="Times New Roman"/>
          <w:i/>
          <w:iCs/>
          <w:color w:val="000000"/>
        </w:rPr>
        <w:t>Los Angeles Magazine</w:t>
      </w:r>
      <w:r w:rsidRPr="00ED1151">
        <w:rPr>
          <w:rFonts w:ascii="Times New Roman" w:hAnsi="Times New Roman" w:cs="Times New Roman"/>
          <w:color w:val="000000"/>
        </w:rPr>
        <w:t xml:space="preserve"> (blog), September 14, 2014. https://www.lamag.com/citythinkblog/guillermo-uribe-on-the-gentrification-of-east-l-a/.</w:t>
      </w:r>
    </w:p>
    <w:p w14:paraId="1B2CB67A" w14:textId="77777777" w:rsidR="00A53FE0" w:rsidRPr="00A53FE0" w:rsidRDefault="00A53FE0" w:rsidP="00A53FE0"/>
    <w:p w14:paraId="133A601A"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Hirschman, Charles, and Elizabeth Mogford. “Immigration and the American Industrial Revolution From 1880 to 1920.” </w:t>
      </w:r>
      <w:r w:rsidRPr="00ED1151">
        <w:rPr>
          <w:rFonts w:ascii="Times New Roman" w:hAnsi="Times New Roman" w:cs="Times New Roman"/>
          <w:i/>
          <w:iCs/>
          <w:color w:val="000000"/>
        </w:rPr>
        <w:t>Social Science Research</w:t>
      </w:r>
      <w:r w:rsidRPr="00ED1151">
        <w:rPr>
          <w:rFonts w:ascii="Times New Roman" w:hAnsi="Times New Roman" w:cs="Times New Roman"/>
          <w:color w:val="000000"/>
        </w:rPr>
        <w:t xml:space="preserve"> 38, no. 4 (December 1, 2009): 897–920. https://doi.org/10.1016/j.ssresearch.2009.04.001.</w:t>
      </w:r>
    </w:p>
    <w:p w14:paraId="1D613958" w14:textId="77777777" w:rsidR="00A53FE0" w:rsidRPr="00A53FE0" w:rsidRDefault="00A53FE0" w:rsidP="00A53FE0"/>
    <w:p w14:paraId="418587FB"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Hiss, Tony. </w:t>
      </w:r>
      <w:r w:rsidRPr="00ED1151">
        <w:rPr>
          <w:rFonts w:ascii="Times New Roman" w:hAnsi="Times New Roman" w:cs="Times New Roman"/>
          <w:i/>
          <w:iCs/>
          <w:color w:val="000000"/>
        </w:rPr>
        <w:t>The Experience of Place</w:t>
      </w:r>
      <w:r w:rsidRPr="00ED1151">
        <w:rPr>
          <w:rFonts w:ascii="Times New Roman" w:hAnsi="Times New Roman" w:cs="Times New Roman"/>
          <w:color w:val="000000"/>
        </w:rPr>
        <w:t>. Vintage Books Edition. New York: Knopf, 1990.</w:t>
      </w:r>
    </w:p>
    <w:p w14:paraId="35E1A256" w14:textId="77777777" w:rsidR="00A53FE0" w:rsidRPr="00A53FE0" w:rsidRDefault="00A53FE0" w:rsidP="00A53FE0"/>
    <w:p w14:paraId="3ABE8D6A"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“Historic Preservation.” University at Buffalo School of Architecture and Planning. Accessed March 2, 2019. http://ap.buffalo.edu/content/ap/academics/graduate-degrees/programs-in-historic-preservation.html.</w:t>
      </w:r>
    </w:p>
    <w:p w14:paraId="2C1D8E04" w14:textId="77777777" w:rsidR="00A53FE0" w:rsidRPr="00A53FE0" w:rsidRDefault="00A53FE0" w:rsidP="00A53FE0"/>
    <w:p w14:paraId="3B43DE32"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“How Ruth Glass Shaped the Way We Approach Our Cities.” University College London Urban Laboratory, January 13, 2015. https://www.ucl.ac.uk/urbanlab/news/ruth-glass-seminar.</w:t>
      </w:r>
    </w:p>
    <w:p w14:paraId="04DE01F4" w14:textId="77777777" w:rsidR="00A53FE0" w:rsidRPr="00A53FE0" w:rsidRDefault="00A53FE0" w:rsidP="00A53FE0"/>
    <w:p w14:paraId="35AFF0F7"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“How to Navigate TheNeighborhoods.Org.” The Neighborhoods, The Spirit of Detroit. Accessed April 3, 2019. http://theneighborhoods.org/how-to.</w:t>
      </w:r>
    </w:p>
    <w:p w14:paraId="53FDA097" w14:textId="77777777" w:rsidR="00A53FE0" w:rsidRPr="00A53FE0" w:rsidRDefault="00A53FE0" w:rsidP="00A53FE0"/>
    <w:p w14:paraId="39BC148A"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Hwang, Jackelyn, and Jeffrey Lin. “What Have We Learned About the Causes of Recent Gentrification?” </w:t>
      </w:r>
      <w:r w:rsidRPr="00ED1151">
        <w:rPr>
          <w:rFonts w:ascii="Times New Roman" w:hAnsi="Times New Roman" w:cs="Times New Roman"/>
          <w:i/>
          <w:iCs/>
          <w:color w:val="000000"/>
        </w:rPr>
        <w:t>Cityscape</w:t>
      </w:r>
      <w:r w:rsidRPr="00ED1151">
        <w:rPr>
          <w:rFonts w:ascii="Times New Roman" w:hAnsi="Times New Roman" w:cs="Times New Roman"/>
          <w:color w:val="000000"/>
        </w:rPr>
        <w:t xml:space="preserve"> 18, no. 3 (2016): 9–26.</w:t>
      </w:r>
    </w:p>
    <w:p w14:paraId="4406AE7A" w14:textId="77777777" w:rsidR="00A53FE0" w:rsidRPr="00A53FE0" w:rsidRDefault="00A53FE0" w:rsidP="00A53FE0"/>
    <w:p w14:paraId="7F6CBFAE"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Hwang, Jackelyn, and Robert J. Sampson. “Divergent Pathways of Gentrification: Racial Inequality and the Social Order of Renewal in Chicago Neighborhoods.” </w:t>
      </w:r>
      <w:r w:rsidRPr="00ED1151">
        <w:rPr>
          <w:rFonts w:ascii="Times New Roman" w:hAnsi="Times New Roman" w:cs="Times New Roman"/>
          <w:i/>
          <w:iCs/>
          <w:color w:val="000000"/>
        </w:rPr>
        <w:t>American Sociological Review</w:t>
      </w:r>
      <w:r w:rsidRPr="00ED1151">
        <w:rPr>
          <w:rFonts w:ascii="Times New Roman" w:hAnsi="Times New Roman" w:cs="Times New Roman"/>
          <w:color w:val="000000"/>
        </w:rPr>
        <w:t xml:space="preserve"> 79, no. 4 (August 2014): 726–51. https://doi.org/10.1177/0003122414535774.</w:t>
      </w:r>
    </w:p>
    <w:p w14:paraId="4F604E31" w14:textId="77777777" w:rsidR="00A53FE0" w:rsidRPr="00A53FE0" w:rsidRDefault="00A53FE0" w:rsidP="00A53FE0"/>
    <w:p w14:paraId="0A027658"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Johnston, Chris. </w:t>
      </w:r>
      <w:r w:rsidRPr="00ED1151">
        <w:rPr>
          <w:rFonts w:ascii="Times New Roman" w:hAnsi="Times New Roman" w:cs="Times New Roman"/>
          <w:i/>
          <w:iCs/>
          <w:color w:val="000000"/>
        </w:rPr>
        <w:t>What Is Social Value: A Discussion Paper</w:t>
      </w:r>
      <w:r w:rsidRPr="00ED1151">
        <w:rPr>
          <w:rFonts w:ascii="Times New Roman" w:hAnsi="Times New Roman" w:cs="Times New Roman"/>
          <w:color w:val="000000"/>
        </w:rPr>
        <w:t>. Technical Publication Series 3. Canberra: Australian Government Publication Services, 1992.</w:t>
      </w:r>
    </w:p>
    <w:p w14:paraId="3CA49FC4" w14:textId="77777777" w:rsidR="00A53FE0" w:rsidRPr="00A53FE0" w:rsidRDefault="00A53FE0" w:rsidP="00A53FE0"/>
    <w:p w14:paraId="1B82B276"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Karas, David. “One Man’s Mission to Revitalize Small-Town America.” </w:t>
      </w:r>
      <w:r w:rsidRPr="00ED1151">
        <w:rPr>
          <w:rFonts w:ascii="Times New Roman" w:hAnsi="Times New Roman" w:cs="Times New Roman"/>
          <w:i/>
          <w:iCs/>
          <w:color w:val="000000"/>
        </w:rPr>
        <w:t>Christian Science Monitor</w:t>
      </w:r>
      <w:r w:rsidRPr="00ED1151">
        <w:rPr>
          <w:rFonts w:ascii="Times New Roman" w:hAnsi="Times New Roman" w:cs="Times New Roman"/>
          <w:color w:val="000000"/>
        </w:rPr>
        <w:t>, January 6, 2019. https://www.csmonitor.com/World/Making-a-difference/2019/0106/One-man-s-mission-to-revitalize-small-town-America?fbclid=IwAR20VC-3fE5kxxbOEn3wRfoh2HlTzz7dKs3lvQn7XD-cJuTPipBQrQLsDto.</w:t>
      </w:r>
    </w:p>
    <w:p w14:paraId="1292069C" w14:textId="77777777" w:rsidR="00A53FE0" w:rsidRPr="00A53FE0" w:rsidRDefault="00A53FE0" w:rsidP="00A53FE0"/>
    <w:p w14:paraId="00051DF5"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Kaufman, Ned. </w:t>
      </w:r>
      <w:r w:rsidRPr="00ED1151">
        <w:rPr>
          <w:rFonts w:ascii="Times New Roman" w:hAnsi="Times New Roman" w:cs="Times New Roman"/>
          <w:i/>
          <w:iCs/>
          <w:color w:val="000000"/>
        </w:rPr>
        <w:t>Place, Race, and Story: Essays on the Past and Future of Historic Preservation</w:t>
      </w:r>
      <w:r w:rsidRPr="00ED1151">
        <w:rPr>
          <w:rFonts w:ascii="Times New Roman" w:hAnsi="Times New Roman" w:cs="Times New Roman"/>
          <w:color w:val="000000"/>
        </w:rPr>
        <w:t>. New York: Routledge, 2009.</w:t>
      </w:r>
    </w:p>
    <w:p w14:paraId="07145170" w14:textId="77777777" w:rsidR="00A53FE0" w:rsidRPr="00A53FE0" w:rsidRDefault="00A53FE0" w:rsidP="00A53FE0"/>
    <w:p w14:paraId="5F5ADF3F"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King, Thomas F. “Rethinking Traditional Cultural Properties.” </w:t>
      </w:r>
      <w:r w:rsidRPr="00ED1151">
        <w:rPr>
          <w:rFonts w:ascii="Times New Roman" w:hAnsi="Times New Roman" w:cs="Times New Roman"/>
          <w:i/>
          <w:iCs/>
          <w:color w:val="000000"/>
        </w:rPr>
        <w:t>The George Wright Forum</w:t>
      </w:r>
      <w:r w:rsidRPr="00ED1151">
        <w:rPr>
          <w:rFonts w:ascii="Times New Roman" w:hAnsi="Times New Roman" w:cs="Times New Roman"/>
          <w:color w:val="000000"/>
        </w:rPr>
        <w:t xml:space="preserve"> 26, no. 1 (2009): 28–36.</w:t>
      </w:r>
    </w:p>
    <w:p w14:paraId="3184E318" w14:textId="77777777" w:rsidR="00A53FE0" w:rsidRPr="00A53FE0" w:rsidRDefault="00A53FE0" w:rsidP="00A53FE0"/>
    <w:p w14:paraId="3C336A46" w14:textId="77777777" w:rsidR="00ED1151" w:rsidRP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Lees, Loretta. “Super-Gentrification: The Case of Brooklyn Heights, New York City.” </w:t>
      </w:r>
      <w:r w:rsidRPr="00ED1151">
        <w:rPr>
          <w:rFonts w:ascii="Times New Roman" w:hAnsi="Times New Roman" w:cs="Times New Roman"/>
          <w:i/>
          <w:iCs/>
          <w:color w:val="000000"/>
        </w:rPr>
        <w:t>Urban Studies (Routledge)</w:t>
      </w:r>
      <w:r w:rsidRPr="00ED1151">
        <w:rPr>
          <w:rFonts w:ascii="Times New Roman" w:hAnsi="Times New Roman" w:cs="Times New Roman"/>
          <w:color w:val="000000"/>
        </w:rPr>
        <w:t xml:space="preserve"> 40, no. 12 (November 2003): 2487–2509. https://doi.org/10.1080/0042098032000136174.</w:t>
      </w:r>
    </w:p>
    <w:p w14:paraId="1B80E6D5"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lastRenderedPageBreak/>
        <w:t>Lemaire, Raymond, and Stovel Stovel. “The Nara Document on Authenticity (1994).” Nara, Japan: ICOMOS, November 1994.</w:t>
      </w:r>
    </w:p>
    <w:p w14:paraId="5208EC67" w14:textId="77777777" w:rsidR="00A53FE0" w:rsidRPr="00A53FE0" w:rsidRDefault="00A53FE0" w:rsidP="00A53FE0"/>
    <w:p w14:paraId="3B244655"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“Library &gt; Buffalo Commons &gt; Partnership for the Public Good (PPG) - Buffalo, NY.” Accessed March 7, 2019. https://ppgbuffalo.org/buffalo-commons/library/p:1/.</w:t>
      </w:r>
    </w:p>
    <w:p w14:paraId="3B621FB5" w14:textId="77777777" w:rsidR="00A53FE0" w:rsidRPr="00A53FE0" w:rsidRDefault="00A53FE0" w:rsidP="00A53FE0"/>
    <w:p w14:paraId="79AAF342"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Mallach, Alan. “Depopulation, Market Collapse and Property Abandonment: Surplus Land and Buildings in Legacy Cities.” In </w:t>
      </w:r>
      <w:r w:rsidRPr="00ED1151">
        <w:rPr>
          <w:rFonts w:ascii="Times New Roman" w:hAnsi="Times New Roman" w:cs="Times New Roman"/>
          <w:i/>
          <w:iCs/>
          <w:color w:val="000000"/>
        </w:rPr>
        <w:t>Rebuilding America’s Legacy Cities: New Directions for the Industrial Heartland</w:t>
      </w:r>
      <w:r w:rsidRPr="00ED1151">
        <w:rPr>
          <w:rFonts w:ascii="Times New Roman" w:hAnsi="Times New Roman" w:cs="Times New Roman"/>
          <w:color w:val="000000"/>
        </w:rPr>
        <w:t>, edited by Alan Mallach. Columbia University: The American Assembly, 2012.</w:t>
      </w:r>
    </w:p>
    <w:p w14:paraId="3E6738FF" w14:textId="77777777" w:rsidR="00A53FE0" w:rsidRPr="00A53FE0" w:rsidRDefault="00A53FE0" w:rsidP="00A53FE0"/>
    <w:p w14:paraId="2E4316A6"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 </w:t>
      </w:r>
      <w:r w:rsidRPr="00ED1151">
        <w:rPr>
          <w:rFonts w:ascii="Times New Roman" w:hAnsi="Times New Roman" w:cs="Times New Roman"/>
          <w:i/>
          <w:iCs/>
          <w:color w:val="000000"/>
        </w:rPr>
        <w:t>The Divided City: Poverty and Prosperity in Urban America</w:t>
      </w:r>
      <w:r w:rsidRPr="00ED1151">
        <w:rPr>
          <w:rFonts w:ascii="Times New Roman" w:hAnsi="Times New Roman" w:cs="Times New Roman"/>
          <w:color w:val="000000"/>
        </w:rPr>
        <w:t>. Washington D.C.: Island Press, 2018.</w:t>
      </w:r>
    </w:p>
    <w:p w14:paraId="19026B1A" w14:textId="77777777" w:rsidR="00A53FE0" w:rsidRPr="00A53FE0" w:rsidRDefault="00A53FE0" w:rsidP="00A53FE0"/>
    <w:p w14:paraId="5EC8B8E4"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“Mapping America’s Legacy Cities 2015.” J. Max Bond Center at The City College of New York, September 14, 2015. https://ssa.ccny.cuny.edu/wp-content/uploads/2015/12/MappingAmericanLegacyCities_15Dec2015.pdf.</w:t>
      </w:r>
    </w:p>
    <w:p w14:paraId="0CD37D78" w14:textId="77777777" w:rsidR="00A53FE0" w:rsidRPr="00A53FE0" w:rsidRDefault="00A53FE0" w:rsidP="00A53FE0"/>
    <w:p w14:paraId="5569F3D2"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Mason, Randall. “Fixing Historic Preservation: A Constructive Critique of ‘Significance.’” </w:t>
      </w:r>
      <w:r w:rsidRPr="00ED1151">
        <w:rPr>
          <w:rFonts w:ascii="Times New Roman" w:hAnsi="Times New Roman" w:cs="Times New Roman"/>
          <w:i/>
          <w:iCs/>
          <w:color w:val="000000"/>
        </w:rPr>
        <w:t>Places</w:t>
      </w:r>
      <w:r w:rsidRPr="00ED1151">
        <w:rPr>
          <w:rFonts w:ascii="Times New Roman" w:hAnsi="Times New Roman" w:cs="Times New Roman"/>
          <w:color w:val="000000"/>
        </w:rPr>
        <w:t xml:space="preserve"> 16, no. 1 (2004): 64–71.</w:t>
      </w:r>
    </w:p>
    <w:p w14:paraId="288120D6" w14:textId="77777777" w:rsidR="00A53FE0" w:rsidRPr="00A53FE0" w:rsidRDefault="00A53FE0" w:rsidP="00A53FE0"/>
    <w:p w14:paraId="5CBB95D4"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Mayes, Thompson. </w:t>
      </w:r>
      <w:r w:rsidRPr="00ED1151">
        <w:rPr>
          <w:rFonts w:ascii="Times New Roman" w:hAnsi="Times New Roman" w:cs="Times New Roman"/>
          <w:i/>
          <w:iCs/>
          <w:color w:val="000000"/>
        </w:rPr>
        <w:t>Why Old Places Matter: How Historic Places Affect Our Identity and Well-Being</w:t>
      </w:r>
      <w:r w:rsidRPr="00ED1151">
        <w:rPr>
          <w:rFonts w:ascii="Times New Roman" w:hAnsi="Times New Roman" w:cs="Times New Roman"/>
          <w:color w:val="000000"/>
        </w:rPr>
        <w:t>. American Association for State and Local History. Lanham, Maryland: Rowman &amp; Littlefield, 2018.</w:t>
      </w:r>
    </w:p>
    <w:p w14:paraId="7CD58D14" w14:textId="77777777" w:rsidR="00A53FE0" w:rsidRPr="00A53FE0" w:rsidRDefault="00A53FE0" w:rsidP="00A53FE0"/>
    <w:p w14:paraId="236FDE5A"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McCormick, Kathleen. “Planning for Social Equity: How Baltimore and Dallas Are Connecting Segregated Neighborhoods to Opportunity.” </w:t>
      </w:r>
      <w:r w:rsidRPr="00ED1151">
        <w:rPr>
          <w:rFonts w:ascii="Times New Roman" w:hAnsi="Times New Roman" w:cs="Times New Roman"/>
          <w:i/>
          <w:iCs/>
          <w:color w:val="000000"/>
        </w:rPr>
        <w:t>Landlines</w:t>
      </w:r>
      <w:r w:rsidRPr="00ED1151">
        <w:rPr>
          <w:rFonts w:ascii="Times New Roman" w:hAnsi="Times New Roman" w:cs="Times New Roman"/>
          <w:color w:val="000000"/>
        </w:rPr>
        <w:t>, February 2017, 26–35.</w:t>
      </w:r>
    </w:p>
    <w:p w14:paraId="27922237" w14:textId="77777777" w:rsidR="00A53FE0" w:rsidRPr="00A53FE0" w:rsidRDefault="00A53FE0" w:rsidP="00A53FE0"/>
    <w:p w14:paraId="15B1F199"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McDonald, John F. </w:t>
      </w:r>
      <w:r w:rsidRPr="00ED1151">
        <w:rPr>
          <w:rFonts w:ascii="Times New Roman" w:hAnsi="Times New Roman" w:cs="Times New Roman"/>
          <w:i/>
          <w:iCs/>
          <w:color w:val="000000"/>
        </w:rPr>
        <w:t>Urban America: Growth, Crisis, and Rebirth</w:t>
      </w:r>
      <w:r w:rsidRPr="00ED1151">
        <w:rPr>
          <w:rFonts w:ascii="Times New Roman" w:hAnsi="Times New Roman" w:cs="Times New Roman"/>
          <w:color w:val="000000"/>
        </w:rPr>
        <w:t>. Armonk, New York: M.E. Sharpe, 2008. http://eds.a.ebscohost.com.goucher.idm.oclc.org/ehost/ebookviewer/ebook?sid=e82e888e-f6f8-4195-9bb4-19af071bf298%40sdc-v-sessmgr05&amp;vid=0&amp;format=EB.</w:t>
      </w:r>
    </w:p>
    <w:p w14:paraId="2C376BD4" w14:textId="77777777" w:rsidR="00A53FE0" w:rsidRPr="00A53FE0" w:rsidRDefault="00A53FE0" w:rsidP="00A53FE0"/>
    <w:p w14:paraId="668E3852"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Mengbing, Du, Louis Gravely, Jr., Claire Meyer, Andrew Varuzzo, and Olivia White. “Elmwood Village.” In </w:t>
      </w:r>
      <w:r w:rsidRPr="00ED1151">
        <w:rPr>
          <w:rFonts w:ascii="Times New Roman" w:hAnsi="Times New Roman" w:cs="Times New Roman"/>
          <w:i/>
          <w:iCs/>
          <w:color w:val="000000"/>
        </w:rPr>
        <w:t>Equity Preservation Workshop, Buffalo, NY</w:t>
      </w:r>
      <w:r w:rsidRPr="00ED1151">
        <w:rPr>
          <w:rFonts w:ascii="Times New Roman" w:hAnsi="Times New Roman" w:cs="Times New Roman"/>
          <w:color w:val="000000"/>
        </w:rPr>
        <w:t>, 151. Cornell University, Engaged Cornell, 2017.</w:t>
      </w:r>
    </w:p>
    <w:p w14:paraId="6530614E" w14:textId="77777777" w:rsidR="00A53FE0" w:rsidRPr="00A53FE0" w:rsidRDefault="00A53FE0" w:rsidP="00A53FE0"/>
    <w:p w14:paraId="79139566"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Morgan, Richard. “Bronx Food Revival Is Rewriting The Playbook On Gentrification.” NPR.org, October 26, 2018. https://www.npr.org/sections/thesalt/2018/10/26/660231987/bronx-food-revival-is-rewriting-the-playbook-on-gentrification.</w:t>
      </w:r>
    </w:p>
    <w:p w14:paraId="0C11DD82" w14:textId="77777777" w:rsidR="00A53FE0" w:rsidRPr="00A53FE0" w:rsidRDefault="00A53FE0" w:rsidP="00A53FE0"/>
    <w:p w14:paraId="7F5774AB" w14:textId="77777777" w:rsidR="00ED1151" w:rsidRP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Najafi M., and Mohd Shariff M.K.B. “The Concept of Place and Sense of Place in Architectural Studies.” </w:t>
      </w:r>
      <w:r w:rsidRPr="00ED1151">
        <w:rPr>
          <w:rFonts w:ascii="Times New Roman" w:hAnsi="Times New Roman" w:cs="Times New Roman"/>
          <w:i/>
          <w:iCs/>
          <w:color w:val="000000"/>
        </w:rPr>
        <w:t>World Academy of Science, Engineering and Technology</w:t>
      </w:r>
      <w:r w:rsidRPr="00ED1151">
        <w:rPr>
          <w:rFonts w:ascii="Times New Roman" w:hAnsi="Times New Roman" w:cs="Times New Roman"/>
          <w:color w:val="000000"/>
        </w:rPr>
        <w:t xml:space="preserve"> 5, no. 8 (2011): 1100–1106.</w:t>
      </w:r>
    </w:p>
    <w:p w14:paraId="5923C5D2"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lastRenderedPageBreak/>
        <w:t>“National Historic Preservation Act - Historic Preservation (U.S. National Park Service).” National Park Service, December 2, 2018. https://www.nps.gov/subjects/historicpreservation/national-historic-preservation-act.htm.</w:t>
      </w:r>
    </w:p>
    <w:p w14:paraId="246B747B" w14:textId="77777777" w:rsidR="00A53FE0" w:rsidRPr="00A53FE0" w:rsidRDefault="00A53FE0" w:rsidP="00A53FE0"/>
    <w:p w14:paraId="4C68F350"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“National Main Street Center to Do Market Analysis of Elmwood Village.” Preservation Buffalo Niagara, August 30, 2018. https://preservationbuffaloniagara.org/national-main-street-center-to-do-market-analysis-of-elmwood-village/.</w:t>
      </w:r>
    </w:p>
    <w:p w14:paraId="49606BA0" w14:textId="77777777" w:rsidR="00A53FE0" w:rsidRPr="00A53FE0" w:rsidRDefault="00A53FE0" w:rsidP="00A53FE0"/>
    <w:p w14:paraId="714B1EB9"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New Solutions Group, LLC. “Placemaking in Legacy Cities: Opportunities and Good Practices.” Center for Community Progress, December 2013.</w:t>
      </w:r>
    </w:p>
    <w:p w14:paraId="130DA3E8" w14:textId="77777777" w:rsidR="00A53FE0" w:rsidRPr="00A53FE0" w:rsidRDefault="00A53FE0" w:rsidP="00A53FE0"/>
    <w:p w14:paraId="69E6972A"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“Overview &gt; Who We Are &gt; Partnership for the Public Good (PPG) - Buffalo, NY.” Accessed March 7, 2019. https://ppgbuffalo.org/who-we-are/overview/.</w:t>
      </w:r>
    </w:p>
    <w:p w14:paraId="0D55B966" w14:textId="77777777" w:rsidR="00A53FE0" w:rsidRPr="00A53FE0" w:rsidRDefault="00A53FE0" w:rsidP="00A53FE0"/>
    <w:p w14:paraId="4E421F1E"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Page, Max, and Marla R. Miller, eds. </w:t>
      </w:r>
      <w:r w:rsidRPr="00ED1151">
        <w:rPr>
          <w:rFonts w:ascii="Times New Roman" w:hAnsi="Times New Roman" w:cs="Times New Roman"/>
          <w:i/>
          <w:iCs/>
          <w:color w:val="000000"/>
        </w:rPr>
        <w:t>Bending the Future: Fifty Ideas for the Next Fifty Years of Historic Preservation in the United States</w:t>
      </w:r>
      <w:r w:rsidRPr="00ED1151">
        <w:rPr>
          <w:rFonts w:ascii="Times New Roman" w:hAnsi="Times New Roman" w:cs="Times New Roman"/>
          <w:color w:val="000000"/>
        </w:rPr>
        <w:t>. Boston: University of Massachusetts Press, 2016. http://eds.a.ebscohost.com.goucher.idm.oclc.org/ehost/ebookviewer/ebook?sid=dd85b92b-a817-4974-990d-2ca181ebb3d8%40sessionmgr4010&amp;vid=0&amp;format=EB.</w:t>
      </w:r>
    </w:p>
    <w:p w14:paraId="2CB647C9" w14:textId="77777777" w:rsidR="00A53FE0" w:rsidRPr="00A53FE0" w:rsidRDefault="00A53FE0" w:rsidP="00A53FE0"/>
    <w:p w14:paraId="59B09B36"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Parker, Patricia L., and Thomas F. King. “Guidelines for Evaluating and Documenting Traditional Cultural Properties.” National Register Bulletin. U.S. Department of the Interior, National Park Service, 1998. https://www.scribd.com/document/3328643/National-Register-Bulletin-38-Traditional-Cultural-Properties.</w:t>
      </w:r>
    </w:p>
    <w:p w14:paraId="67ECB9AB" w14:textId="77777777" w:rsidR="00A53FE0" w:rsidRPr="00A53FE0" w:rsidRDefault="00A53FE0" w:rsidP="00A53FE0"/>
    <w:p w14:paraId="673F543C"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“People United for Sustainable Housing, Annual Report, 2017.” PUSH Buffalo, 2017.</w:t>
      </w:r>
    </w:p>
    <w:p w14:paraId="7F9BB22E" w14:textId="77777777" w:rsidR="00A53FE0" w:rsidRPr="00A53FE0" w:rsidRDefault="00A53FE0" w:rsidP="00A53FE0"/>
    <w:p w14:paraId="038F780A"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Piiparinen, Richey. “Note to Cities: Rising Inequality Is Not a Sign of Success.” CityLab, May 14, 2017. https://www.citylab.com/politics/2017/05/the-wrong-way-to-grow-a-city/526653/.</w:t>
      </w:r>
    </w:p>
    <w:p w14:paraId="130F7F7B" w14:textId="77777777" w:rsidR="00A53FE0" w:rsidRPr="00A53FE0" w:rsidRDefault="00A53FE0" w:rsidP="00A53FE0"/>
    <w:p w14:paraId="31FCBCE0"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“Placemaking: What If We Built Our Cities around Places?” Project for Public Spaces, 2018.</w:t>
      </w:r>
    </w:p>
    <w:p w14:paraId="549A5365" w14:textId="77777777" w:rsidR="00A53FE0" w:rsidRPr="00A53FE0" w:rsidRDefault="00A53FE0" w:rsidP="00A53FE0"/>
    <w:p w14:paraId="47E69B6A"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“Preservation Board | Buffalo, NY.” Accessed February 23, 2019. https://www.buffalony.gov/361/Preservation-Board.</w:t>
      </w:r>
    </w:p>
    <w:p w14:paraId="3F7E2EFF" w14:textId="77777777" w:rsidR="00A53FE0" w:rsidRPr="00A53FE0" w:rsidRDefault="00A53FE0" w:rsidP="00A53FE0"/>
    <w:p w14:paraId="74E51AA1"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“Preservation Buffalo Niagara.” Preservation Buffalo Niagara. Accessed March 2, 2019. https://preservationbuffaloniagara.org/.</w:t>
      </w:r>
    </w:p>
    <w:p w14:paraId="66DDB64A" w14:textId="77777777" w:rsidR="00A53FE0" w:rsidRPr="00A53FE0" w:rsidRDefault="00A53FE0" w:rsidP="00A53FE0"/>
    <w:p w14:paraId="143B8CA0"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“Preservation for People: A Vision for the Future.” Washington D.C.: National Trust for Historic Preservation, May 2017.</w:t>
      </w:r>
    </w:p>
    <w:p w14:paraId="62A723ED" w14:textId="77777777" w:rsidR="00A53FE0" w:rsidRPr="00A53FE0" w:rsidRDefault="00A53FE0" w:rsidP="00A53FE0"/>
    <w:p w14:paraId="4B8E8C99" w14:textId="77777777" w:rsidR="00ED1151" w:rsidRP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Quaide, Rustin A. “Section VI: How to Apply the National Register Criteria for Evaluation, National Register of Historic Places Bulletin (NRB 15),” November 28, 2001. https://www.nps.gov/nr/publications/bulletins/nrb15/nrb15_6.htm.</w:t>
      </w:r>
    </w:p>
    <w:p w14:paraId="36B4A572"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lastRenderedPageBreak/>
        <w:t>“Rehabilitation Standards and Guidelines—Technical Preservation Services, National Park Service.” Accessed March 15, 2019. https://www.nps.gov/tps/standards/rehabilitation.htm.</w:t>
      </w:r>
    </w:p>
    <w:p w14:paraId="411A1C48" w14:textId="77777777" w:rsidR="00A53FE0" w:rsidRPr="00A53FE0" w:rsidRDefault="00A53FE0" w:rsidP="00A53FE0"/>
    <w:p w14:paraId="4B3BD46A"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“Rising Tide: A Blueprint for Community Benefits from the Buffalo Niagara Medical Campus.” Community First Alliance, 2016.</w:t>
      </w:r>
    </w:p>
    <w:p w14:paraId="21BBC030" w14:textId="77777777" w:rsidR="00A53FE0" w:rsidRPr="00A53FE0" w:rsidRDefault="00A53FE0" w:rsidP="00A53FE0"/>
    <w:p w14:paraId="5150C3B8"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Rothstein, Richard. </w:t>
      </w:r>
      <w:r w:rsidRPr="00ED1151">
        <w:rPr>
          <w:rFonts w:ascii="Times New Roman" w:hAnsi="Times New Roman" w:cs="Times New Roman"/>
          <w:i/>
          <w:iCs/>
          <w:color w:val="000000"/>
        </w:rPr>
        <w:t>The Color of Law</w:t>
      </w:r>
      <w:r w:rsidRPr="00ED1151">
        <w:rPr>
          <w:rFonts w:ascii="Times New Roman" w:hAnsi="Times New Roman" w:cs="Times New Roman"/>
          <w:color w:val="000000"/>
        </w:rPr>
        <w:t>. New York: Liveright Publishing Corporation, 2017.</w:t>
      </w:r>
    </w:p>
    <w:p w14:paraId="3AC8B699" w14:textId="77777777" w:rsidR="00A53FE0" w:rsidRPr="00A53FE0" w:rsidRDefault="00A53FE0" w:rsidP="00A53FE0"/>
    <w:p w14:paraId="22714230"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“Rust Belt Coalition of Young Preservationists!” RBCoYP! Accessed April 22, 2019. https://rustbeltcoalitionofyoungpreservationists.com/.</w:t>
      </w:r>
    </w:p>
    <w:p w14:paraId="4111D829" w14:textId="77777777" w:rsidR="00A53FE0" w:rsidRPr="00A53FE0" w:rsidRDefault="00A53FE0" w:rsidP="00A53FE0"/>
    <w:p w14:paraId="6E04E4D5"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Schlichtman, John Joe. “Four Types of Gentrifiers You See in Your Neighborhood.” Accessed October 16, 2018. https://nextcity.org/daily/entry/types-of-gentrifiers-you-see-in-your-neighborhood.</w:t>
      </w:r>
    </w:p>
    <w:p w14:paraId="649E68CC" w14:textId="77777777" w:rsidR="00A53FE0" w:rsidRPr="00A53FE0" w:rsidRDefault="00A53FE0" w:rsidP="00A53FE0"/>
    <w:p w14:paraId="4CCB9E76"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Schulman, Susan. “City Lifts Fruit Belt Moratorium after Adopting Strategic Development Plan.” </w:t>
      </w:r>
      <w:r w:rsidRPr="00ED1151">
        <w:rPr>
          <w:rFonts w:ascii="Times New Roman" w:hAnsi="Times New Roman" w:cs="Times New Roman"/>
          <w:i/>
          <w:iCs/>
          <w:color w:val="000000"/>
        </w:rPr>
        <w:t>The Buffalo News</w:t>
      </w:r>
      <w:r w:rsidRPr="00ED1151">
        <w:rPr>
          <w:rFonts w:ascii="Times New Roman" w:hAnsi="Times New Roman" w:cs="Times New Roman"/>
          <w:color w:val="000000"/>
        </w:rPr>
        <w:t xml:space="preserve"> (blog), March 29, 2018. https://buffalonews.com/2018/05/29/city-lifts-fruit-belt-moratorium-after-adopting-strategic-development-plan/.</w:t>
      </w:r>
    </w:p>
    <w:p w14:paraId="36ED35FC" w14:textId="77777777" w:rsidR="006432A2" w:rsidRPr="006432A2" w:rsidRDefault="006432A2" w:rsidP="006432A2"/>
    <w:p w14:paraId="3A8B020A"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Schwartzman, Amy. “Cultural Placekeeping Guide.” National Coalition for Arts’ Preparedness and Emergency Response, 2017. https://www.arts.gov/sites/default/files/CreativePlacemaking-Paper.pdf.</w:t>
      </w:r>
    </w:p>
    <w:p w14:paraId="453CE2F5" w14:textId="77777777" w:rsidR="006432A2" w:rsidRPr="006432A2" w:rsidRDefault="006432A2" w:rsidP="006432A2"/>
    <w:p w14:paraId="01DA0610"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Sheehan, Andy. “Outcry Over ‘Black People In The Future’ Billboard Reveals Simmering Tensions Over Gentrification,” April 6, 2018. https://pittsburgh.cbslocal.com/2018/04/06/east-liberty-billboard-gentrification/.</w:t>
      </w:r>
    </w:p>
    <w:p w14:paraId="4BDBA5BF" w14:textId="77777777" w:rsidR="006432A2" w:rsidRPr="006432A2" w:rsidRDefault="006432A2" w:rsidP="006432A2"/>
    <w:p w14:paraId="242751C8"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Sherman, Danya. “Gentrification Can’t Be the Theme of Rust Belt City Recovery.” Next City, December 4, 2017. https://nextcity.org/features/view/gentrification-rust-belt-recovery-buffalo-new-york.</w:t>
      </w:r>
    </w:p>
    <w:p w14:paraId="44727AEF" w14:textId="77777777" w:rsidR="006432A2" w:rsidRPr="006432A2" w:rsidRDefault="006432A2" w:rsidP="006432A2"/>
    <w:p w14:paraId="13792174"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Stovel, Herb. “Origins and Influence of the Nara Document on Authenticity.” </w:t>
      </w:r>
      <w:r w:rsidRPr="00ED1151">
        <w:rPr>
          <w:rFonts w:ascii="Times New Roman" w:hAnsi="Times New Roman" w:cs="Times New Roman"/>
          <w:i/>
          <w:iCs/>
          <w:color w:val="000000"/>
        </w:rPr>
        <w:t>APT Bulletin</w:t>
      </w:r>
      <w:r w:rsidRPr="00ED1151">
        <w:rPr>
          <w:rFonts w:ascii="Times New Roman" w:hAnsi="Times New Roman" w:cs="Times New Roman"/>
          <w:color w:val="000000"/>
        </w:rPr>
        <w:t xml:space="preserve"> 39, no. 2/3 (2008): 9–17.</w:t>
      </w:r>
    </w:p>
    <w:p w14:paraId="76E307E6" w14:textId="77777777" w:rsidR="006432A2" w:rsidRPr="006432A2" w:rsidRDefault="006432A2" w:rsidP="006432A2"/>
    <w:p w14:paraId="290527AC"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Tainter, Joseph A., and John G. Lucas. “Epistemology of the Significance Concept.” </w:t>
      </w:r>
      <w:r w:rsidRPr="00ED1151">
        <w:rPr>
          <w:rFonts w:ascii="Times New Roman" w:hAnsi="Times New Roman" w:cs="Times New Roman"/>
          <w:i/>
          <w:iCs/>
          <w:color w:val="000000"/>
        </w:rPr>
        <w:t>American Antiquity</w:t>
      </w:r>
      <w:r w:rsidRPr="00ED1151">
        <w:rPr>
          <w:rFonts w:ascii="Times New Roman" w:hAnsi="Times New Roman" w:cs="Times New Roman"/>
          <w:color w:val="000000"/>
        </w:rPr>
        <w:t xml:space="preserve"> 48, no. 4 (1983): 707–19. https://doi.org/10.2307/279772.</w:t>
      </w:r>
    </w:p>
    <w:p w14:paraId="7EB30407" w14:textId="77777777" w:rsidR="006432A2" w:rsidRPr="006432A2" w:rsidRDefault="006432A2" w:rsidP="006432A2"/>
    <w:p w14:paraId="45CFC4BB"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“The Antiquities Act of 1906 - Legislative and Congressional Affairs (U.S. National Park Service).” Accessed April 22, 2019. https://www.nps.gov/subjects/legal/the-antiquities-act-of-1906.htm.</w:t>
      </w:r>
    </w:p>
    <w:p w14:paraId="34AE7BF3" w14:textId="77777777" w:rsidR="006432A2" w:rsidRPr="006432A2" w:rsidRDefault="006432A2" w:rsidP="006432A2"/>
    <w:p w14:paraId="4EBB0C34"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“The Green Code: Land Use Plan, City of Buffalo.” City of Buffalo, Office of Strategic Planning, 2016.</w:t>
      </w:r>
    </w:p>
    <w:p w14:paraId="24D5F96A" w14:textId="77777777" w:rsidR="006432A2" w:rsidRPr="006432A2" w:rsidRDefault="006432A2" w:rsidP="006432A2"/>
    <w:p w14:paraId="78D011A9"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lastRenderedPageBreak/>
        <w:t>Treuhaft, Sarah. “Equitable Development: The Path to an All-In Pittsburgh.” PolicyLink, 2016.</w:t>
      </w:r>
    </w:p>
    <w:p w14:paraId="3FCE0CB5" w14:textId="77777777" w:rsidR="006432A2" w:rsidRPr="006432A2" w:rsidRDefault="006432A2" w:rsidP="006432A2"/>
    <w:p w14:paraId="61427A60"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Tuan, Yi-Fu. “Place: An Experiential Perspective.” </w:t>
      </w:r>
      <w:r w:rsidRPr="00ED1151">
        <w:rPr>
          <w:rFonts w:ascii="Times New Roman" w:hAnsi="Times New Roman" w:cs="Times New Roman"/>
          <w:i/>
          <w:iCs/>
          <w:color w:val="000000"/>
        </w:rPr>
        <w:t>Geographical Review</w:t>
      </w:r>
      <w:r w:rsidRPr="00ED1151">
        <w:rPr>
          <w:rFonts w:ascii="Times New Roman" w:hAnsi="Times New Roman" w:cs="Times New Roman"/>
          <w:color w:val="000000"/>
        </w:rPr>
        <w:t xml:space="preserve"> 65, no. 2 (1975): 151–65. https://doi.org/10.2307/213970.</w:t>
      </w:r>
    </w:p>
    <w:p w14:paraId="5ECA543E" w14:textId="77777777" w:rsidR="006432A2" w:rsidRPr="006432A2" w:rsidRDefault="006432A2" w:rsidP="006432A2"/>
    <w:p w14:paraId="4E5DA9FD"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 “Space and Place: Humanistic Perspective.” In </w:t>
      </w:r>
      <w:r w:rsidRPr="00ED1151">
        <w:rPr>
          <w:rFonts w:ascii="Times New Roman" w:hAnsi="Times New Roman" w:cs="Times New Roman"/>
          <w:i/>
          <w:iCs/>
          <w:color w:val="000000"/>
        </w:rPr>
        <w:t>Philosophy in Geography</w:t>
      </w:r>
      <w:r w:rsidRPr="00ED1151">
        <w:rPr>
          <w:rFonts w:ascii="Times New Roman" w:hAnsi="Times New Roman" w:cs="Times New Roman"/>
          <w:color w:val="000000"/>
        </w:rPr>
        <w:t>, edited by Stephen Gale and Gunnar Olssen, 387–428. Theory and Decision Library. Dordrecht, Holland: D. Reidel Publishing Company, 1979.</w:t>
      </w:r>
    </w:p>
    <w:p w14:paraId="130EBC39" w14:textId="77777777" w:rsidR="006432A2" w:rsidRPr="006432A2" w:rsidRDefault="006432A2" w:rsidP="006432A2"/>
    <w:p w14:paraId="7A4F2513"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Turnbull, Lornet. “To Combat Gentrification, One City Is Changing How Homes Are Bought and Sold.” </w:t>
      </w:r>
      <w:r w:rsidRPr="00ED1151">
        <w:rPr>
          <w:rFonts w:ascii="Times New Roman" w:hAnsi="Times New Roman" w:cs="Times New Roman"/>
          <w:i/>
          <w:iCs/>
          <w:color w:val="000000"/>
        </w:rPr>
        <w:t>YES! Magazine</w:t>
      </w:r>
      <w:r w:rsidRPr="00ED1151">
        <w:rPr>
          <w:rFonts w:ascii="Times New Roman" w:hAnsi="Times New Roman" w:cs="Times New Roman"/>
          <w:color w:val="000000"/>
        </w:rPr>
        <w:t>, July 13, 2018. https://www.yesmagazine.org/issues/affordable-housing/to-combat-gentrification-one-city-is-changing-how-homes-are-bought-and-sold-20180713.</w:t>
      </w:r>
    </w:p>
    <w:p w14:paraId="37578730" w14:textId="77777777" w:rsidR="006432A2" w:rsidRPr="006432A2" w:rsidRDefault="006432A2" w:rsidP="006432A2"/>
    <w:p w14:paraId="494E45C2"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Tyler, Norman. </w:t>
      </w:r>
      <w:r w:rsidRPr="00ED1151">
        <w:rPr>
          <w:rFonts w:ascii="Times New Roman" w:hAnsi="Times New Roman" w:cs="Times New Roman"/>
          <w:i/>
          <w:iCs/>
          <w:color w:val="000000"/>
        </w:rPr>
        <w:t>Historic Preservation: An Introduction to Its History, Principles, and Practice</w:t>
      </w:r>
      <w:r w:rsidRPr="00ED1151">
        <w:rPr>
          <w:rFonts w:ascii="Times New Roman" w:hAnsi="Times New Roman" w:cs="Times New Roman"/>
          <w:color w:val="000000"/>
        </w:rPr>
        <w:t>. New York: W.W. Norton &amp; Company, 2000.</w:t>
      </w:r>
    </w:p>
    <w:p w14:paraId="33EA03EC" w14:textId="77777777" w:rsidR="006432A2" w:rsidRPr="006432A2" w:rsidRDefault="006432A2" w:rsidP="006432A2"/>
    <w:p w14:paraId="5AD7070E"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“UB Architecture Students Win Theatre Renovation Prize.” Accessed March 2, 2019. http://ap.buffalo.edu/academics/graduate-degrees/ms-architecture/historic-preservation.host.html/content/shared/ap/articles/news/2016/cyclorama_theatre.detail.html.</w:t>
      </w:r>
    </w:p>
    <w:p w14:paraId="33A53327" w14:textId="77777777" w:rsidR="006432A2" w:rsidRPr="006432A2" w:rsidRDefault="006432A2" w:rsidP="006432A2"/>
    <w:p w14:paraId="06368D4A"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“Using Storytelling in Community Heart &amp; Soul.” Orton Family Foundation, 2015. https://www.orton.org/wp-content/uploads/2017/03/using-storytelling-in-heart-soul.pdf.</w:t>
      </w:r>
    </w:p>
    <w:p w14:paraId="63A81E68" w14:textId="77777777" w:rsidR="006432A2" w:rsidRPr="006432A2" w:rsidRDefault="006432A2" w:rsidP="006432A2"/>
    <w:p w14:paraId="75D70441"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Vock, Daniel C., J. Brian Charles, and Mike Maciag. “How States and Cities Reinforce Racial Segregation in America.” Governing, January 23, 2019. https://www.governing.com/topics/public-justice-safety/gov-segregation-main-feature.html.</w:t>
      </w:r>
    </w:p>
    <w:p w14:paraId="43A3614F" w14:textId="77777777" w:rsidR="006432A2" w:rsidRPr="006432A2" w:rsidRDefault="006432A2" w:rsidP="006432A2"/>
    <w:p w14:paraId="54CB308A"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“We Heart Saving Places: Heart Bombing Across America | National Trust for Historic Preservation.” Accessed March 2, 2019. https://savingplaces.org/guides/we-heart-saving-places-heart-bombing-across-america.</w:t>
      </w:r>
    </w:p>
    <w:p w14:paraId="6DD8F242" w14:textId="77777777" w:rsidR="006432A2" w:rsidRPr="006432A2" w:rsidRDefault="006432A2" w:rsidP="006432A2"/>
    <w:p w14:paraId="121212F3"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Weingroff, Richard F. “Original Intent: Purpose of the Interstate System - Interstate System - Highway History - Federal Highway Administration.” U.S. Department of Transportation Federal Highway Administration. Accessed February 11, 2019. https://www.fhwa.dot.gov/infrastructure/originalintent.cfm.</w:t>
      </w:r>
    </w:p>
    <w:p w14:paraId="36D2B0A8" w14:textId="77777777" w:rsidR="006432A2" w:rsidRPr="006432A2" w:rsidRDefault="006432A2" w:rsidP="006432A2"/>
    <w:p w14:paraId="5A6DAE92"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Wells, Jeremy C., and Barry L. Stiefel. </w:t>
      </w:r>
      <w:r w:rsidRPr="00ED1151">
        <w:rPr>
          <w:rFonts w:ascii="Times New Roman" w:hAnsi="Times New Roman" w:cs="Times New Roman"/>
          <w:i/>
          <w:iCs/>
          <w:color w:val="000000"/>
        </w:rPr>
        <w:t>Human-Centered Built Environment Heritage Preservation: Theory and Evidence-Based Practice</w:t>
      </w:r>
      <w:r w:rsidRPr="00ED1151">
        <w:rPr>
          <w:rFonts w:ascii="Times New Roman" w:hAnsi="Times New Roman" w:cs="Times New Roman"/>
          <w:color w:val="000000"/>
        </w:rPr>
        <w:t>. New York: Routledge, 2019. https://www-taylorfrancis-com.goucher.idm.oclc.org/books/e/9780429014079.</w:t>
      </w:r>
    </w:p>
    <w:p w14:paraId="4BCFFF69" w14:textId="77777777" w:rsidR="006432A2" w:rsidRPr="006432A2" w:rsidRDefault="006432A2" w:rsidP="006432A2"/>
    <w:p w14:paraId="3CCEFD04" w14:textId="77777777" w:rsidR="00ED1151" w:rsidRP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“What Are Tribal Historic Preservation Officers.” NATHPO, National Association of Tribal Historic Preservation Officers, 2019. https://www.nathpo.org/thpos/what-are-thpos/.</w:t>
      </w:r>
    </w:p>
    <w:p w14:paraId="6BCD6475"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lastRenderedPageBreak/>
        <w:t>“What We Do.” Preservation Buffalo Niagara, August 4, 2017. https://preservationbuffaloniagara.org/what-we-do/.</w:t>
      </w:r>
    </w:p>
    <w:p w14:paraId="05864BF2" w14:textId="77777777" w:rsidR="006432A2" w:rsidRPr="006432A2" w:rsidRDefault="006432A2" w:rsidP="006432A2"/>
    <w:p w14:paraId="4193CCD2"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“What We Do &gt; About &gt; Open Buffalo.” Accessed March 3, 2019. https://openbuffalo.org/about/open-buffalo/.</w:t>
      </w:r>
    </w:p>
    <w:p w14:paraId="0C1C2C81" w14:textId="77777777" w:rsidR="006432A2" w:rsidRPr="006432A2" w:rsidRDefault="006432A2" w:rsidP="006432A2"/>
    <w:p w14:paraId="5E2578EB" w14:textId="77777777" w:rsid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Woods II, Louis Lee. “Almost ‘No Negro Veteran...Could Get A Loan’: African Americans, The GI Bill, and the NAACP Campaign Against Residential Segregation, 1917-1960.” </w:t>
      </w:r>
      <w:r w:rsidRPr="00ED1151">
        <w:rPr>
          <w:rFonts w:ascii="Times New Roman" w:hAnsi="Times New Roman" w:cs="Times New Roman"/>
          <w:i/>
          <w:iCs/>
          <w:color w:val="000000"/>
        </w:rPr>
        <w:t>The Journal of African American History</w:t>
      </w:r>
      <w:r w:rsidRPr="00ED1151">
        <w:rPr>
          <w:rFonts w:ascii="Times New Roman" w:hAnsi="Times New Roman" w:cs="Times New Roman"/>
          <w:color w:val="000000"/>
        </w:rPr>
        <w:t xml:space="preserve"> 98, no. 3 (2013): 392–417. https://doi.org/10.5323/jafriamerhist.98.3.0392.</w:t>
      </w:r>
    </w:p>
    <w:p w14:paraId="2FE3FD13" w14:textId="77777777" w:rsidR="006432A2" w:rsidRPr="001A2C7D" w:rsidRDefault="006432A2" w:rsidP="006432A2">
      <w:pPr>
        <w:rPr>
          <w:rFonts w:ascii="Times New Roman" w:hAnsi="Times New Roman" w:cs="Times New Roman"/>
        </w:rPr>
      </w:pPr>
    </w:p>
    <w:p w14:paraId="5E9CA709" w14:textId="77777777" w:rsidR="00ED1151" w:rsidRPr="00ED1151" w:rsidRDefault="00ED1151" w:rsidP="00ED1151">
      <w:pPr>
        <w:pStyle w:val="Bibliography"/>
        <w:rPr>
          <w:rFonts w:ascii="Times New Roman" w:hAnsi="Times New Roman" w:cs="Times New Roman"/>
          <w:color w:val="000000"/>
        </w:rPr>
      </w:pPr>
      <w:r w:rsidRPr="00ED1151">
        <w:rPr>
          <w:rFonts w:ascii="Times New Roman" w:hAnsi="Times New Roman" w:cs="Times New Roman"/>
          <w:color w:val="000000"/>
        </w:rPr>
        <w:t xml:space="preserve">Yin, Li, and Robert Mark Silverman. “Housing Abandonment and Demolition: Exploring the Use of Micro-Level and Multi-Year Models.” </w:t>
      </w:r>
      <w:r w:rsidRPr="00ED1151">
        <w:rPr>
          <w:rFonts w:ascii="Times New Roman" w:hAnsi="Times New Roman" w:cs="Times New Roman"/>
          <w:i/>
          <w:iCs/>
          <w:color w:val="000000"/>
        </w:rPr>
        <w:t>ISPRS Int. J. Geo-Information</w:t>
      </w:r>
      <w:r w:rsidRPr="00ED1151">
        <w:rPr>
          <w:rFonts w:ascii="Times New Roman" w:hAnsi="Times New Roman" w:cs="Times New Roman"/>
          <w:color w:val="000000"/>
        </w:rPr>
        <w:t xml:space="preserve"> 4 (2015): 1184–1200. https://doi.org/10.3390/ijgi4031184.</w:t>
      </w:r>
    </w:p>
    <w:p w14:paraId="7315D887" w14:textId="613D25F6" w:rsidR="00ED1151" w:rsidRPr="00ED1151" w:rsidRDefault="00ED1151" w:rsidP="00ED1151">
      <w:pPr>
        <w:spacing w:line="480" w:lineRule="auto"/>
        <w:rPr>
          <w:rFonts w:ascii="Times New Roman" w:hAnsi="Times New Roman" w:cs="Times New Roman"/>
          <w:color w:val="000000" w:themeColor="text1"/>
        </w:rPr>
      </w:pPr>
      <w:r w:rsidRPr="00ED1151">
        <w:rPr>
          <w:rFonts w:ascii="Times New Roman" w:hAnsi="Times New Roman" w:cs="Times New Roman"/>
          <w:color w:val="000000" w:themeColor="text1"/>
        </w:rPr>
        <w:fldChar w:fldCharType="end"/>
      </w:r>
    </w:p>
    <w:sectPr w:rsidR="00ED1151" w:rsidRPr="00ED1151" w:rsidSect="00BB50CA">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B2FC18" w14:textId="77777777" w:rsidR="00D95868" w:rsidRDefault="00D95868" w:rsidP="00C56B8E">
      <w:r>
        <w:separator/>
      </w:r>
    </w:p>
  </w:endnote>
  <w:endnote w:type="continuationSeparator" w:id="0">
    <w:p w14:paraId="118AC8EE" w14:textId="77777777" w:rsidR="00D95868" w:rsidRDefault="00D95868" w:rsidP="00C56B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Arial">
    <w:panose1 w:val="020B0604020202020204"/>
    <w:charset w:val="00"/>
    <w:family w:val="auto"/>
    <w:pitch w:val="variable"/>
    <w:sig w:usb0="E0002AFF" w:usb1="C0007843" w:usb2="00000009" w:usb3="00000000" w:csb0="000001FF" w:csb1="00000000"/>
  </w:font>
  <w:font w:name="-webkit-standard">
    <w:altName w:val="Times New Roman"/>
    <w:panose1 w:val="00000000000000000000"/>
    <w:charset w:val="0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F5C59C" w14:textId="77777777" w:rsidR="000C0771" w:rsidRDefault="000C0771" w:rsidP="0042313D">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CCD1D9C" w14:textId="77777777" w:rsidR="000C0771" w:rsidRDefault="000C0771" w:rsidP="009F565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0A2AD6" w14:textId="77777777" w:rsidR="000C0771" w:rsidRPr="005E1B55" w:rsidRDefault="000C0771" w:rsidP="009F565C">
    <w:pPr>
      <w:pStyle w:val="Footer"/>
      <w:framePr w:wrap="none" w:vAnchor="text" w:hAnchor="margin" w:xAlign="center" w:y="1"/>
      <w:rPr>
        <w:rStyle w:val="PageNumber"/>
        <w:rFonts w:ascii="Times New Roman" w:hAnsi="Times New Roman" w:cs="Times New Roman"/>
        <w:sz w:val="22"/>
        <w:szCs w:val="22"/>
      </w:rPr>
    </w:pPr>
    <w:r w:rsidRPr="005E1B55">
      <w:rPr>
        <w:rStyle w:val="PageNumber"/>
        <w:rFonts w:ascii="Times New Roman" w:hAnsi="Times New Roman" w:cs="Times New Roman"/>
        <w:sz w:val="22"/>
        <w:szCs w:val="22"/>
      </w:rPr>
      <w:fldChar w:fldCharType="begin"/>
    </w:r>
    <w:r w:rsidRPr="005E1B55">
      <w:rPr>
        <w:rStyle w:val="PageNumber"/>
        <w:rFonts w:ascii="Times New Roman" w:hAnsi="Times New Roman" w:cs="Times New Roman"/>
        <w:sz w:val="22"/>
        <w:szCs w:val="22"/>
      </w:rPr>
      <w:instrText xml:space="preserve">PAGE  </w:instrText>
    </w:r>
    <w:r w:rsidRPr="005E1B55">
      <w:rPr>
        <w:rStyle w:val="PageNumber"/>
        <w:rFonts w:ascii="Times New Roman" w:hAnsi="Times New Roman" w:cs="Times New Roman"/>
        <w:sz w:val="22"/>
        <w:szCs w:val="22"/>
      </w:rPr>
      <w:fldChar w:fldCharType="separate"/>
    </w:r>
    <w:r>
      <w:rPr>
        <w:rStyle w:val="PageNumber"/>
        <w:rFonts w:ascii="Times New Roman" w:hAnsi="Times New Roman" w:cs="Times New Roman"/>
        <w:noProof/>
        <w:sz w:val="22"/>
        <w:szCs w:val="22"/>
      </w:rPr>
      <w:t>ii</w:t>
    </w:r>
    <w:r w:rsidRPr="005E1B55">
      <w:rPr>
        <w:rStyle w:val="PageNumber"/>
        <w:rFonts w:ascii="Times New Roman" w:hAnsi="Times New Roman" w:cs="Times New Roman"/>
        <w:sz w:val="22"/>
        <w:szCs w:val="22"/>
      </w:rPr>
      <w:fldChar w:fldCharType="end"/>
    </w:r>
  </w:p>
  <w:p w14:paraId="20935AAC" w14:textId="77777777" w:rsidR="000C0771" w:rsidRPr="005E1B55" w:rsidRDefault="000C0771" w:rsidP="009F565C">
    <w:pPr>
      <w:pStyle w:val="Footer"/>
      <w:ind w:right="360"/>
      <w:rPr>
        <w:rFonts w:ascii="Times New Roman" w:hAnsi="Times New Roman" w:cs="Times New Roman"/>
        <w:sz w:val="22"/>
        <w:szCs w:val="22"/>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33CDCC" w14:textId="59142DF4" w:rsidR="000C0771" w:rsidRDefault="000C0771" w:rsidP="005E1B55">
    <w:pPr>
      <w:pStyle w:val="Footer"/>
      <w:tabs>
        <w:tab w:val="clear" w:pos="4680"/>
        <w:tab w:val="clear" w:pos="9360"/>
        <w:tab w:val="left" w:pos="1296"/>
      </w:tabs>
      <w:ind w:right="360"/>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937C78" w14:textId="77777777" w:rsidR="000C0771" w:rsidRPr="005E1B55" w:rsidRDefault="000C0771" w:rsidP="009F565C">
    <w:pPr>
      <w:pStyle w:val="Footer"/>
      <w:ind w:right="360"/>
      <w:rPr>
        <w:rFonts w:ascii="Times New Roman" w:hAnsi="Times New Roman" w:cs="Times New Roman"/>
        <w:sz w:val="22"/>
        <w:szCs w:val="22"/>
      </w:rPr>
    </w:pP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992B48" w14:textId="77777777" w:rsidR="000C0771" w:rsidRDefault="000C0771" w:rsidP="005E1B55">
    <w:pPr>
      <w:pStyle w:val="Footer"/>
      <w:tabs>
        <w:tab w:val="clear" w:pos="4680"/>
        <w:tab w:val="clear" w:pos="9360"/>
        <w:tab w:val="left" w:pos="1296"/>
      </w:tabs>
      <w:ind w:right="360"/>
    </w:pPr>
  </w:p>
</w:ftr>
</file>

<file path=word/footer6.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333874" w14:textId="77777777" w:rsidR="000C0771" w:rsidRPr="0042313D" w:rsidRDefault="000C0771" w:rsidP="000C0771">
    <w:pPr>
      <w:pStyle w:val="Footer"/>
      <w:framePr w:wrap="none" w:vAnchor="text" w:hAnchor="margin" w:xAlign="center" w:y="1"/>
      <w:rPr>
        <w:rStyle w:val="PageNumber"/>
        <w:rFonts w:ascii="Times New Roman" w:hAnsi="Times New Roman" w:cs="Times New Roman"/>
        <w:sz w:val="22"/>
        <w:szCs w:val="22"/>
      </w:rPr>
    </w:pPr>
    <w:r w:rsidRPr="0042313D">
      <w:rPr>
        <w:rStyle w:val="PageNumber"/>
        <w:rFonts w:ascii="Times New Roman" w:hAnsi="Times New Roman" w:cs="Times New Roman"/>
        <w:sz w:val="22"/>
        <w:szCs w:val="22"/>
      </w:rPr>
      <w:fldChar w:fldCharType="begin"/>
    </w:r>
    <w:r w:rsidRPr="0042313D">
      <w:rPr>
        <w:rStyle w:val="PageNumber"/>
        <w:rFonts w:ascii="Times New Roman" w:hAnsi="Times New Roman" w:cs="Times New Roman"/>
        <w:sz w:val="22"/>
        <w:szCs w:val="22"/>
      </w:rPr>
      <w:instrText xml:space="preserve">PAGE  </w:instrText>
    </w:r>
    <w:r w:rsidRPr="0042313D">
      <w:rPr>
        <w:rStyle w:val="PageNumber"/>
        <w:rFonts w:ascii="Times New Roman" w:hAnsi="Times New Roman" w:cs="Times New Roman"/>
        <w:sz w:val="22"/>
        <w:szCs w:val="22"/>
      </w:rPr>
      <w:fldChar w:fldCharType="separate"/>
    </w:r>
    <w:r w:rsidR="004C4736">
      <w:rPr>
        <w:rStyle w:val="PageNumber"/>
        <w:rFonts w:ascii="Times New Roman" w:hAnsi="Times New Roman" w:cs="Times New Roman"/>
        <w:noProof/>
        <w:sz w:val="22"/>
        <w:szCs w:val="22"/>
      </w:rPr>
      <w:t>iv</w:t>
    </w:r>
    <w:r w:rsidRPr="0042313D">
      <w:rPr>
        <w:rStyle w:val="PageNumber"/>
        <w:rFonts w:ascii="Times New Roman" w:hAnsi="Times New Roman" w:cs="Times New Roman"/>
        <w:sz w:val="22"/>
        <w:szCs w:val="22"/>
      </w:rPr>
      <w:fldChar w:fldCharType="end"/>
    </w:r>
  </w:p>
  <w:p w14:paraId="0509A00C" w14:textId="77777777" w:rsidR="000C0771" w:rsidRPr="005E1B55" w:rsidRDefault="000C0771" w:rsidP="009F565C">
    <w:pPr>
      <w:pStyle w:val="Footer"/>
      <w:ind w:right="360"/>
      <w:rPr>
        <w:rFonts w:ascii="Times New Roman" w:hAnsi="Times New Roman" w:cs="Times New Roman"/>
        <w:sz w:val="22"/>
        <w:szCs w:val="22"/>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FE9360" w14:textId="77777777" w:rsidR="00D95868" w:rsidRDefault="00D95868" w:rsidP="00C56B8E">
      <w:r>
        <w:separator/>
      </w:r>
    </w:p>
  </w:footnote>
  <w:footnote w:type="continuationSeparator" w:id="0">
    <w:p w14:paraId="3676FCF8" w14:textId="77777777" w:rsidR="00D95868" w:rsidRDefault="00D95868" w:rsidP="00C56B8E">
      <w:r>
        <w:continuationSeparator/>
      </w:r>
    </w:p>
  </w:footnote>
  <w:footnote w:id="1">
    <w:p w14:paraId="45898D6D" w14:textId="432EC61C" w:rsidR="000C0771" w:rsidRDefault="000C0771">
      <w:pPr>
        <w:pStyle w:val="FootnoteText"/>
      </w:pPr>
      <w:r>
        <w:rPr>
          <w:rStyle w:val="FootnoteReference"/>
        </w:rPr>
        <w:footnoteRef/>
      </w:r>
      <w:r>
        <w:t xml:space="preserve"> </w:t>
      </w:r>
      <w:r>
        <w:fldChar w:fldCharType="begin"/>
      </w:r>
      <w:r>
        <w:instrText xml:space="preserve"> ADDIN ZOTERO_ITEM CSL_CITATION {"citationID":"7VS5lR16","properties":{"formattedCitation":"Rustin A. Quaide, \\uc0\\u8220{}Section VI: How to Apply the National Register Criteria for Evaluation, National Register of Historic Places Bulletin (NRB 15),\\uc0\\u8221{} November 28, 2001, https://www.nps.gov/nr/publications/bulletins/nrb15/nrb15_6.htm.","plainCitation":"Rustin A. Quaide, “Section VI: How to Apply the National Register Criteria for Evaluation, National Register of Historic Places Bulletin (NRB 15),” November 28, 2001, https://www.nps.gov/nr/publications/bulletins/nrb15/nrb15_6.htm.","noteIndex":1},"citationItems":[{"id":580,"uris":["http://zotero.org/users/5043758/items/RIHR7SU5"],"uri":["http://zotero.org/users/5043758/items/RIHR7SU5"],"itemData":{"id":580,"type":"webpage","title":"Section VI: How to Apply the National Register Criteria for Evaluation, National Register of Historic Places Bulletin (NRB 15)","abstract":"The purpose of this bulletin is to introduce the beginner to understand the National Park Service's use of the Criteria for Evaluation, historic contexts, integrity, and Criteria Considerations, and how they apply to properties under consideration for listing in the National Register of Historic Places.","URL":"https://www.nps.gov/nr/publications/bulletins/nrb15/nrb15_6.htm","title-short":"Section VI","language":"Eng: English","author":[{"family":"Quaide","given":"Rustin A."}],"issued":{"date-parts":[["2001",11,28]]},"accessed":{"date-parts":[["2019",5,4]]}}}],"schema":"https://github.com/citation-style-language/schema/raw/master/csl-citation.json"} </w:instrText>
      </w:r>
      <w:r>
        <w:fldChar w:fldCharType="separate"/>
      </w:r>
      <w:r w:rsidRPr="005C6707">
        <w:rPr>
          <w:rFonts w:eastAsia="Times New Roman" w:cs="Times New Roman"/>
        </w:rPr>
        <w:t>Rustin A. Quaide, “Section VI: How to Apply the National Register Criteria for Evaluation, National Register of Historic Places Bulletin (NRB 15),” November 28, 2001, https://www.nps.gov/nr/publications/bulletins/nrb15/nrb15_6.htm.</w:t>
      </w:r>
      <w:r>
        <w:fldChar w:fldCharType="end"/>
      </w:r>
    </w:p>
  </w:footnote>
  <w:footnote w:id="2">
    <w:p w14:paraId="4639B902" w14:textId="77777777" w:rsidR="000C0771" w:rsidRPr="00942F37" w:rsidRDefault="000C0771" w:rsidP="00C8103C">
      <w:pPr>
        <w:rPr>
          <w:rFonts w:ascii="Times New Roman" w:hAnsi="Times New Roman" w:cs="Times New Roman"/>
          <w:color w:val="000000"/>
          <w:sz w:val="22"/>
          <w:szCs w:val="22"/>
        </w:rPr>
      </w:pPr>
      <w:r w:rsidRPr="00F3497A">
        <w:rPr>
          <w:rStyle w:val="FootnoteReference"/>
        </w:rPr>
        <w:footnoteRef/>
      </w:r>
      <w:r w:rsidRPr="00942F37">
        <w:rPr>
          <w:rFonts w:ascii="Times New Roman" w:hAnsi="Times New Roman" w:cs="Times New Roman"/>
          <w:sz w:val="22"/>
          <w:szCs w:val="22"/>
        </w:rPr>
        <w:t xml:space="preserve"> </w:t>
      </w:r>
      <w:r w:rsidRPr="00942F37">
        <w:rPr>
          <w:rFonts w:ascii="Times New Roman" w:hAnsi="Times New Roman" w:cs="Times New Roman"/>
          <w:color w:val="000000"/>
          <w:sz w:val="22"/>
          <w:szCs w:val="22"/>
        </w:rPr>
        <w:t xml:space="preserve">Roberto Bedoya, “Spatial Justice: Rasquachification, Race and the City,” Creative Time Reports, September 15, 2014, </w:t>
      </w:r>
      <w:hyperlink r:id="rId1" w:history="1">
        <w:r w:rsidRPr="00942F37">
          <w:rPr>
            <w:rStyle w:val="Hyperlink"/>
            <w:rFonts w:ascii="Times New Roman" w:hAnsi="Times New Roman" w:cs="Times New Roman"/>
            <w:sz w:val="22"/>
            <w:szCs w:val="22"/>
          </w:rPr>
          <w:t>http://creativetimereports.org/2014/09/15/spatial-justice-rasquachification-race-and-the-city/</w:t>
        </w:r>
      </w:hyperlink>
      <w:r w:rsidRPr="00942F37">
        <w:rPr>
          <w:rFonts w:ascii="Times New Roman" w:hAnsi="Times New Roman" w:cs="Times New Roman"/>
          <w:color w:val="000000"/>
          <w:sz w:val="22"/>
          <w:szCs w:val="22"/>
        </w:rPr>
        <w:t>.</w:t>
      </w:r>
    </w:p>
    <w:p w14:paraId="2F7B4A7C" w14:textId="77777777" w:rsidR="000C0771" w:rsidRPr="006E6329" w:rsidRDefault="000C0771" w:rsidP="00C8103C">
      <w:pPr>
        <w:rPr>
          <w:rFonts w:ascii="Times New Roman" w:hAnsi="Times New Roman" w:cs="Times New Roman"/>
          <w:color w:val="000000"/>
        </w:rPr>
      </w:pPr>
    </w:p>
  </w:footnote>
  <w:footnote w:id="3">
    <w:p w14:paraId="7608ED0F" w14:textId="66834A37" w:rsidR="000C0771" w:rsidRPr="00942F37" w:rsidRDefault="000C0771">
      <w:pPr>
        <w:pStyle w:val="FootnoteText"/>
        <w:rPr>
          <w:rFonts w:cs="Times New Roman"/>
          <w:szCs w:val="22"/>
        </w:rPr>
      </w:pPr>
      <w:r w:rsidRPr="00F3497A">
        <w:rPr>
          <w:rStyle w:val="FootnoteReference"/>
        </w:rPr>
        <w:footnoteRef/>
      </w:r>
      <w:r w:rsidRPr="00942F37">
        <w:rPr>
          <w:rFonts w:cs="Times New Roman"/>
          <w:szCs w:val="22"/>
        </w:rPr>
        <w:t xml:space="preserve"> </w:t>
      </w:r>
      <w:r w:rsidRPr="00942F37">
        <w:rPr>
          <w:rFonts w:cs="Times New Roman"/>
          <w:szCs w:val="22"/>
        </w:rPr>
        <w:fldChar w:fldCharType="begin"/>
      </w:r>
      <w:r w:rsidRPr="00942F37">
        <w:rPr>
          <w:rFonts w:cs="Times New Roman"/>
          <w:szCs w:val="22"/>
        </w:rPr>
        <w:instrText xml:space="preserve"> ADDIN ZOTERO_ITEM CSL_CITATION {"citationID":"cqK6dynf","properties":{"formattedCitation":"Thompson Mayes, {\\i{}Why Old Places Matter: How Historic Places Affect Our Identity and Well-Being}, American Association for State and Local History (Lanham, Maryland: Rowman &amp; Littlefield, 2018), xxi.","plainCitation":"Thompson Mayes, Why Old Places Matter: How Historic Places Affect Our Identity and Well-Being, American Association for State and Local History (Lanham, Maryland: Rowman &amp; Littlefield, 2018), xxi.","noteIndex":3},"citationItems":[{"id":213,"uris":["http://zotero.org/users/5043758/items/SKCMUF23"],"uri":["http://zotero.org/users/5043758/items/SKCMUF23"],"itemData":{"id":213,"type":"book","title":"Why Old Places Matter: How Historic Places Affect our Identity and Well-Being","collection-title":"American Association for State and Local History","publisher":"Rowman &amp; Littlefield","publisher-place":"Lanham, Maryland","event-place":"Lanham, Maryland","title-short":"Why Old Places Matter","author":[{"family":"Mayes","given":"Thompson"}],"issued":{"date-parts":[["2018"]]}},"locator":"xxi","label":"page"}],"schema":"https://github.com/citation-style-language/schema/raw/master/csl-citation.json"} </w:instrText>
      </w:r>
      <w:r w:rsidRPr="00942F37">
        <w:rPr>
          <w:rFonts w:cs="Times New Roman"/>
          <w:szCs w:val="22"/>
        </w:rPr>
        <w:fldChar w:fldCharType="separate"/>
      </w:r>
      <w:r w:rsidRPr="00942F37">
        <w:rPr>
          <w:rFonts w:eastAsia="Times New Roman" w:cs="Times New Roman"/>
          <w:szCs w:val="22"/>
        </w:rPr>
        <w:t xml:space="preserve">Thompson Mayes, </w:t>
      </w:r>
      <w:r w:rsidRPr="00942F37">
        <w:rPr>
          <w:rFonts w:eastAsia="Times New Roman" w:cs="Times New Roman"/>
          <w:i/>
          <w:iCs/>
          <w:szCs w:val="22"/>
        </w:rPr>
        <w:t>Why Old Places Matter: How Historic Places Affect Our Identity and Well-Being</w:t>
      </w:r>
      <w:r w:rsidRPr="00942F37">
        <w:rPr>
          <w:rFonts w:eastAsia="Times New Roman" w:cs="Times New Roman"/>
          <w:szCs w:val="22"/>
        </w:rPr>
        <w:t>, American Association for State and Local History (Lanham, Maryland: Rowman &amp; Littlefield, 2018), xxi.</w:t>
      </w:r>
      <w:r w:rsidRPr="00942F37">
        <w:rPr>
          <w:rFonts w:cs="Times New Roman"/>
          <w:szCs w:val="22"/>
        </w:rPr>
        <w:fldChar w:fldCharType="end"/>
      </w:r>
    </w:p>
  </w:footnote>
  <w:footnote w:id="4">
    <w:p w14:paraId="31A08F9E" w14:textId="6F4CE8C6" w:rsidR="000C0771" w:rsidRDefault="000C0771">
      <w:pPr>
        <w:pStyle w:val="FootnoteText"/>
      </w:pPr>
      <w:r w:rsidRPr="00F3497A">
        <w:rPr>
          <w:rStyle w:val="FootnoteReference"/>
        </w:rPr>
        <w:footnoteRef/>
      </w:r>
      <w:r>
        <w:t xml:space="preserve"> </w:t>
      </w:r>
      <w:r>
        <w:fldChar w:fldCharType="begin"/>
      </w:r>
      <w:r>
        <w:instrText xml:space="preserve"> ADDIN ZOTERO_ITEM CSL_CITATION {"citationID":"dYnKEbeC","properties":{"formattedCitation":"Randall Mason, \\uc0\\u8220{}Fixing Historic Preservation: A Constructive Critique of \\uc0\\u8216{}Significance,\\uc0\\u8217{}\\uc0\\u8221{} {\\i{}Places} 16, no. 1 (2004): 64.","plainCitation":"Randall Mason, “Fixing Historic Preservation: A Constructive Critique of ‘Significance,’” Places 16, no. 1 (2004): 64.","noteIndex":4},"citationItems":[{"id":139,"uris":["http://zotero.org/users/5043758/items/BKFHE6TT"],"uri":["http://zotero.org/users/5043758/items/BKFHE6TT"],"itemData":{"id":139,"type":"article-journal","title":"Fixing Historic Preservation: A Constructive Critique of \"Significance\"","container-title":"Places","page":"64-71","volume":"16","issue":"1","author":[{"family":"Mason","given":"Randall"}],"issued":{"date-parts":[["2004"]]}},"locator":"64","label":"page"}],"schema":"https://github.com/citation-style-language/schema/raw/master/csl-citation.json"} </w:instrText>
      </w:r>
      <w:r>
        <w:fldChar w:fldCharType="separate"/>
      </w:r>
      <w:r w:rsidRPr="00942F37">
        <w:rPr>
          <w:rFonts w:eastAsia="Times New Roman" w:cs="Times New Roman"/>
        </w:rPr>
        <w:t xml:space="preserve">Randall Mason, “Fixing Historic Preservation: A Constructive Critique of ‘Significance,’” </w:t>
      </w:r>
      <w:r w:rsidRPr="00942F37">
        <w:rPr>
          <w:rFonts w:eastAsia="Times New Roman" w:cs="Times New Roman"/>
          <w:i/>
          <w:iCs/>
        </w:rPr>
        <w:t>Places</w:t>
      </w:r>
      <w:r w:rsidRPr="00942F37">
        <w:rPr>
          <w:rFonts w:eastAsia="Times New Roman" w:cs="Times New Roman"/>
        </w:rPr>
        <w:t xml:space="preserve"> 16, no. 1 (2004): 64.</w:t>
      </w:r>
      <w:r>
        <w:fldChar w:fldCharType="end"/>
      </w:r>
    </w:p>
  </w:footnote>
  <w:footnote w:id="5">
    <w:p w14:paraId="7C489FA5" w14:textId="54237BD7" w:rsidR="000C0771" w:rsidRPr="00942F37" w:rsidRDefault="000C0771" w:rsidP="00C8103C">
      <w:pPr>
        <w:pStyle w:val="FootnoteText"/>
        <w:rPr>
          <w:rFonts w:cs="Times New Roman"/>
          <w:szCs w:val="22"/>
        </w:rPr>
      </w:pPr>
      <w:r w:rsidRPr="00F3497A">
        <w:rPr>
          <w:rStyle w:val="FootnoteReference"/>
        </w:rPr>
        <w:footnoteRef/>
      </w:r>
      <w:r w:rsidRPr="00942F37">
        <w:rPr>
          <w:rFonts w:cs="Times New Roman"/>
          <w:szCs w:val="22"/>
        </w:rPr>
        <w:t xml:space="preserve"> </w:t>
      </w:r>
      <w:r w:rsidRPr="00942F37">
        <w:rPr>
          <w:rFonts w:cs="Times New Roman"/>
          <w:i/>
          <w:szCs w:val="22"/>
        </w:rPr>
        <w:t xml:space="preserve">For a brief consideration of the issues surrounding existing neighborhoods and gentrification in </w:t>
      </w:r>
      <w:r>
        <w:rPr>
          <w:rFonts w:cs="Times New Roman"/>
          <w:i/>
          <w:szCs w:val="22"/>
        </w:rPr>
        <w:t>Legacy Cities</w:t>
      </w:r>
      <w:r w:rsidRPr="00942F37">
        <w:rPr>
          <w:rFonts w:cs="Times New Roman"/>
          <w:i/>
          <w:szCs w:val="22"/>
        </w:rPr>
        <w:t>, see:</w:t>
      </w:r>
      <w:r w:rsidRPr="00942F37">
        <w:rPr>
          <w:rFonts w:cs="Times New Roman"/>
          <w:szCs w:val="22"/>
        </w:rPr>
        <w:t xml:space="preserve"> </w:t>
      </w:r>
      <w:r w:rsidRPr="00942F37">
        <w:rPr>
          <w:rFonts w:cs="Times New Roman"/>
          <w:szCs w:val="22"/>
        </w:rPr>
        <w:fldChar w:fldCharType="begin"/>
      </w:r>
      <w:r w:rsidRPr="00942F37">
        <w:rPr>
          <w:rFonts w:cs="Times New Roman"/>
          <w:szCs w:val="22"/>
        </w:rPr>
        <w:instrText xml:space="preserve"> ADDIN ZOTERO_ITEM CSL_CITATION {"citationID":"2FhitYkG","properties":{"formattedCitation":"Danya Sherman, \\uc0\\u8220{}Gentrification Can\\uc0\\u8217{}t Be the Theme of Rust Belt City Recovery,\\uc0\\u8221{} Next City, December 4, 2017, https://nextcity.org/features/view/gentrification-rust-belt-recovery-buffalo-new-york; Andy Sheehan, \\uc0\\u8220{}Outcry Over \\uc0\\u8216{}Black People In The Future\\uc0\\u8217{} Billboard Reveals Simmering Tensions Over Gentrification,\\uc0\\u8221{} April 6, 2018, https://pittsburgh.cbslocal.com/2018/04/06/east-liberty-billboard-gentrification/; Richey Piiparinen, \\uc0\\u8220{}Note to Cities: Rising Inequality Is Not a Sign of Success,\\uc0\\u8221{} CityLab, May 14, 2017, https://www.citylab.com/politics/2017/05/the-wrong-way-to-grow-a-city/526653/.","plainCitation":"Danya Sherman, “Gentrification Can’t Be the Theme of Rust Belt City Recovery,” Next City, December 4, 2017, https://nextcity.org/features/view/gentrification-rust-belt-recovery-buffalo-new-york; Andy Sheehan, “Outcry Over ‘Black People In The Future’ Billboard Reveals Simmering Tensions Over Gentrification,” April 6, 2018, https://pittsburgh.cbslocal.com/2018/04/06/east-liberty-billboard-gentrification/; Richey Piiparinen, “Note to Cities: Rising Inequality Is Not a Sign of Success,” CityLab, May 14, 2017, https://www.citylab.com/politics/2017/05/the-wrong-way-to-grow-a-city/526653/.","noteIndex":5},"citationItems":[{"id":116,"uris":["http://zotero.org/users/5043758/items/8QFTSPQ9"],"uri":["http://zotero.org/users/5043758/items/8QFTSPQ9"],"itemData":{"id":116,"type":"webpage","title":"Gentrification Can’t Be the Theme of Rust Belt City Recovery","container-title":"Next City","abstract":"In Buffalo, organizers are fighting for development without displacement, parcel by parcel.","URL":"https://nextcity.org/features/view/gentrification-rust-belt-recovery-buffalo-new-york","language":"en","author":[{"family":"Sherman","given":"Danya"}],"issued":{"date-parts":[["2017",12,4]]},"accessed":{"date-parts":[["2018",8,14]]}}},{"id":178,"uris":["http://zotero.org/users/5043758/items/HNCE5CCH"],"uri":["http://zotero.org/users/5043758/items/HNCE5CCH"],"itemData":{"id":178,"type":"broadcast","title":"Outcry Over ‘Black People In The Future’ Billboard Reveals Simmering Tensions Over Gentrification","abstract":"Tensions have long been simmering over gentrification in East Liberty, but they boiled over recently with removal of a controversial billboard.","URL":"https://pittsburgh.cbslocal.com/2018/04/06/east-liberty-billboard-gentrification/","language":"en","author":[{"family":"Sheehan","given":"Andy"}],"issued":{"date-parts":[["2018",4,6]]},"accessed":{"date-parts":[["2018",10,14]]}}},{"id":204,"uris":["http://zotero.org/users/5043758/items/PVT9V3E7"],"uri":["http://zotero.org/users/5043758/items/PVT9V3E7"],"itemData":{"id":204,"type":"webpage","title":"Note to Cities: Rising Inequality Is Not a Sign of Success","container-title":"CityLab","abstract":"From Cleveland, an experiment in preparing for growth—and avoiding \"the New Urban Crisis\" before it starts.","URL":"https://www.citylab.com/politics/2017/05/the-wrong-way-to-grow-a-city/526653/","language":"en","author":[{"family":"Piiparinen","given":"Richey"}],"issued":{"date-parts":[["2017",5,14]]},"accessed":{"date-parts":[["2018",10,16]]}}}],"schema":"https://github.com/citation-style-language/schema/raw/master/csl-citation.json"} </w:instrText>
      </w:r>
      <w:r w:rsidRPr="00942F37">
        <w:rPr>
          <w:rFonts w:cs="Times New Roman"/>
          <w:szCs w:val="22"/>
        </w:rPr>
        <w:fldChar w:fldCharType="separate"/>
      </w:r>
      <w:r w:rsidRPr="00942F37">
        <w:rPr>
          <w:rFonts w:eastAsia="Times New Roman" w:cs="Times New Roman"/>
          <w:szCs w:val="22"/>
        </w:rPr>
        <w:t>Danya Sherman, “Gentrification Can’t Be the Theme of Rust Belt City Recovery,” Next City, December 4, 2017, https://nextcity.org/features/view/gentrification-rust-belt-recovery-buffalo-new-york; Andy Sheehan, “Outcry Over ‘Black People In The Future’ Billboard Reveals Simmering Tensions Over Gentrification,” April 6, 2018, https://pittsburgh.cbslocal.com/2018/04/06/east-liberty-billboard-gentrification/; Richey Piiparinen, “Note to Cities: Rising Inequality Is Not a Sign of Success,” CityLab, May 14, 2017, https://www.citylab.com/politics/2017/05/the-wrong-way-to-grow-a-city/526653/.</w:t>
      </w:r>
      <w:r w:rsidRPr="00942F37">
        <w:rPr>
          <w:rFonts w:cs="Times New Roman"/>
          <w:szCs w:val="22"/>
        </w:rPr>
        <w:fldChar w:fldCharType="end"/>
      </w:r>
    </w:p>
  </w:footnote>
  <w:footnote w:id="6">
    <w:p w14:paraId="469314F9" w14:textId="5ABAC629" w:rsidR="000C0771" w:rsidRDefault="000C0771">
      <w:pPr>
        <w:pStyle w:val="FootnoteText"/>
        <w:rPr>
          <w:rFonts w:cs="Times New Roman"/>
          <w:szCs w:val="22"/>
        </w:rPr>
      </w:pPr>
      <w:r w:rsidRPr="00F3497A">
        <w:rPr>
          <w:rStyle w:val="FootnoteReference"/>
        </w:rPr>
        <w:footnoteRef/>
      </w:r>
      <w:r w:rsidRPr="00864DA6">
        <w:rPr>
          <w:rFonts w:cs="Times New Roman"/>
          <w:szCs w:val="22"/>
        </w:rPr>
        <w:t xml:space="preserve"> </w:t>
      </w:r>
      <w:r w:rsidRPr="00864DA6">
        <w:rPr>
          <w:rFonts w:cs="Times New Roman"/>
          <w:szCs w:val="22"/>
        </w:rPr>
        <w:fldChar w:fldCharType="begin"/>
      </w:r>
      <w:r>
        <w:rPr>
          <w:rFonts w:cs="Times New Roman"/>
          <w:szCs w:val="22"/>
        </w:rPr>
        <w:instrText xml:space="preserve"> ADDIN ZOTERO_ITEM CSL_CITATION {"citationID":"BRu0wcxt","properties":{"formattedCitation":"Alan Mallach, ed., {\\i{}Rebuilding America\\uc0\\u8217{}s Legacy Cities: New Directions for the Industrial Heartland} (Columbia University: The American Assembly, 2012).","plainCitation":"Alan Mallach, ed., Rebuilding America’s Legacy Cities: New Directions for the Industrial Heartland (Columbia University: The American Assembly, 2012).","dontUpdate":true,"noteIndex":6},"citationItems":[{"id":259,"uris":["http://zotero.org/users/5043758/items/36F26R5P"],"uri":["http://zotero.org/users/5043758/items/36F26R5P"],"itemData":{"id":259,"type":"chapter","title":"Growth and Depopulation in the United States","container-title":"Rebuilding America's Legacy Cities: New Directions for the Industrial Heartland","publisher":"The American Assembly","publisher-place":"Columbia University","event-place":"Columbia University","editor":[{"family":"Mallach","given":"Alan"}],"author":[{"family":"Beauregard","given":"Robert"}],"issued":{"date-parts":[["2012"]]}}}],"schema":"https://github.com/citation-style-language/schema/raw/master/csl-citation.json"} </w:instrText>
      </w:r>
      <w:r w:rsidRPr="00864DA6">
        <w:rPr>
          <w:rFonts w:cs="Times New Roman"/>
          <w:szCs w:val="22"/>
        </w:rPr>
        <w:fldChar w:fldCharType="separate"/>
      </w:r>
      <w:r w:rsidRPr="00864DA6">
        <w:rPr>
          <w:rFonts w:eastAsia="Times New Roman" w:cs="Times New Roman"/>
          <w:szCs w:val="22"/>
        </w:rPr>
        <w:t xml:space="preserve">Alan Mallach, ed., </w:t>
      </w:r>
      <w:r w:rsidRPr="00864DA6">
        <w:rPr>
          <w:rFonts w:eastAsia="Times New Roman" w:cs="Times New Roman"/>
          <w:i/>
          <w:iCs/>
          <w:szCs w:val="22"/>
        </w:rPr>
        <w:t>Rebuilding America’s Legacy Cities: New Directions for the Industrial Heartland</w:t>
      </w:r>
      <w:r w:rsidRPr="00864DA6">
        <w:rPr>
          <w:rFonts w:eastAsia="Times New Roman" w:cs="Times New Roman"/>
          <w:szCs w:val="22"/>
        </w:rPr>
        <w:t xml:space="preserve"> (Columbia University: The American Assembly, 2012), xvi.</w:t>
      </w:r>
      <w:r w:rsidRPr="00864DA6">
        <w:rPr>
          <w:rFonts w:cs="Times New Roman"/>
          <w:szCs w:val="22"/>
        </w:rPr>
        <w:fldChar w:fldCharType="end"/>
      </w:r>
    </w:p>
    <w:p w14:paraId="650685B2" w14:textId="77777777" w:rsidR="000C0771" w:rsidRPr="00864DA6" w:rsidRDefault="000C0771">
      <w:pPr>
        <w:pStyle w:val="FootnoteText"/>
        <w:rPr>
          <w:rFonts w:cs="Times New Roman"/>
          <w:szCs w:val="22"/>
        </w:rPr>
      </w:pPr>
    </w:p>
  </w:footnote>
  <w:footnote w:id="7">
    <w:p w14:paraId="487BF872" w14:textId="3A033AF0" w:rsidR="000C0771" w:rsidRDefault="000C0771">
      <w:pPr>
        <w:pStyle w:val="FootnoteText"/>
        <w:rPr>
          <w:rFonts w:cs="Times New Roman"/>
          <w:szCs w:val="22"/>
        </w:rPr>
      </w:pPr>
      <w:r w:rsidRPr="00F3497A">
        <w:rPr>
          <w:rStyle w:val="FootnoteReference"/>
        </w:rPr>
        <w:footnoteRef/>
      </w:r>
      <w:r w:rsidRPr="00C6564F">
        <w:rPr>
          <w:rFonts w:cs="Times New Roman"/>
          <w:szCs w:val="22"/>
        </w:rPr>
        <w:t xml:space="preserve"> </w:t>
      </w:r>
      <w:r w:rsidRPr="00C6564F">
        <w:rPr>
          <w:rFonts w:cs="Times New Roman"/>
          <w:szCs w:val="22"/>
        </w:rPr>
        <w:fldChar w:fldCharType="begin"/>
      </w:r>
      <w:r>
        <w:rPr>
          <w:rFonts w:cs="Times New Roman"/>
          <w:szCs w:val="22"/>
        </w:rPr>
        <w:instrText xml:space="preserve"> ADDIN ZOTERO_ITEM CSL_CITATION {"citationID":"cZMFe2rH","properties":{"formattedCitation":"Yi-Fu Tuan, \\uc0\\u8220{}Place: An Experiential Perspective,\\uc0\\u8221{} {\\i{}Geographical Review} 65, no. 2 (1975): 151\\uc0\\u8211{}65, https://doi.org/10.2307/213970.","plainCitation":"Yi-Fu Tuan, “Place: An Experiential Perspective,” Geographical Review 65, no. 2 (1975): 151–65, https://doi.org/10.2307/213970.","dontUpdate":true,"noteIndex":7},"citationItems":[{"id":262,"uris":["http://zotero.org/users/5043758/items/4BHX5I27"],"uri":["http://zotero.org/users/5043758/items/4BHX5I27"],"itemData":{"id":262,"type":"article-journal","title":"Place: An Experiential Perspective","container-title":"Geographical Review","page":"151-165","volume":"65","issue":"2","source":"JSTOR","archive":"JSTOR","abstract":"[Place is a center of meaning. In size it ranges from a rocking chair or a fireplace within the home to a neighborhood, town, city, region, and the nation-state. Experience occurs in different modes, relatively passive ones like touch and smell and active ones like seeing and thinking. Place is a construct of experience in all its modes. Small places can be known directly and intimately through the senses. The reality of the larger place depends more on indirect experience gained through concepts and symbols. For a fully developed sense of place, passive experiences must be supplemented by active perception and awareness. Art, education, and politics are different ways of promoting the visibility of places.]","DOI":"10.2307/213970","ISSN":"0016-7428","title-short":"Place","author":[{"family":"Tuan","given":"Yi-Fu"}],"issued":{"date-parts":[["1975"]]}}}],"schema":"https://github.com/citation-style-language/schema/raw/master/csl-citation.json"} </w:instrText>
      </w:r>
      <w:r w:rsidRPr="00C6564F">
        <w:rPr>
          <w:rFonts w:cs="Times New Roman"/>
          <w:szCs w:val="22"/>
        </w:rPr>
        <w:fldChar w:fldCharType="separate"/>
      </w:r>
      <w:r w:rsidRPr="00C6564F">
        <w:rPr>
          <w:rFonts w:eastAsia="Times New Roman" w:cs="Times New Roman"/>
          <w:szCs w:val="22"/>
        </w:rPr>
        <w:t xml:space="preserve">Yi-Fu Tuan, “Place: An Experiential Perspective,” </w:t>
      </w:r>
      <w:r w:rsidRPr="00C6564F">
        <w:rPr>
          <w:rFonts w:eastAsia="Times New Roman" w:cs="Times New Roman"/>
          <w:i/>
          <w:iCs/>
          <w:szCs w:val="22"/>
        </w:rPr>
        <w:t>Geographical Review</w:t>
      </w:r>
      <w:r w:rsidRPr="00C6564F">
        <w:rPr>
          <w:rFonts w:eastAsia="Times New Roman" w:cs="Times New Roman"/>
          <w:szCs w:val="22"/>
        </w:rPr>
        <w:t xml:space="preserve"> 65, no. 2 (1975): 151–52, https://doi.org/10.2307/213970.</w:t>
      </w:r>
      <w:r w:rsidRPr="00C6564F">
        <w:rPr>
          <w:rFonts w:cs="Times New Roman"/>
          <w:szCs w:val="22"/>
        </w:rPr>
        <w:fldChar w:fldCharType="end"/>
      </w:r>
    </w:p>
    <w:p w14:paraId="19A1CDF2" w14:textId="77777777" w:rsidR="000C0771" w:rsidRPr="00C6564F" w:rsidRDefault="000C0771">
      <w:pPr>
        <w:pStyle w:val="FootnoteText"/>
        <w:rPr>
          <w:rFonts w:cs="Times New Roman"/>
          <w:szCs w:val="22"/>
        </w:rPr>
      </w:pPr>
    </w:p>
  </w:footnote>
  <w:footnote w:id="8">
    <w:p w14:paraId="4DE30988" w14:textId="67A01E6E" w:rsidR="000C0771" w:rsidRDefault="000C0771">
      <w:pPr>
        <w:pStyle w:val="FootnoteText"/>
        <w:rPr>
          <w:rFonts w:cs="Times New Roman"/>
          <w:szCs w:val="22"/>
        </w:rPr>
      </w:pPr>
      <w:r w:rsidRPr="00F3497A">
        <w:rPr>
          <w:rStyle w:val="FootnoteReference"/>
        </w:rPr>
        <w:footnoteRef/>
      </w:r>
      <w:r w:rsidRPr="00C6564F">
        <w:rPr>
          <w:rFonts w:cs="Times New Roman"/>
          <w:szCs w:val="22"/>
        </w:rPr>
        <w:t xml:space="preserve"> </w:t>
      </w:r>
      <w:r w:rsidRPr="00C6564F">
        <w:rPr>
          <w:rFonts w:cs="Times New Roman"/>
          <w:szCs w:val="22"/>
        </w:rPr>
        <w:fldChar w:fldCharType="begin"/>
      </w:r>
      <w:r>
        <w:rPr>
          <w:rFonts w:cs="Times New Roman"/>
          <w:szCs w:val="22"/>
        </w:rPr>
        <w:instrText xml:space="preserve"> ADDIN ZOTERO_ITEM CSL_CITATION {"citationID":"AQnYA0Br","properties":{"formattedCitation":"Tony Hiss, {\\i{}The Experience of Place}, Vintage Books Edition (New York: Knopf, 1990).","plainCitation":"Tony Hiss, The Experience of Place, Vintage Books Edition (New York: Knopf, 1990).","dontUpdate":true,"noteIndex":8},"citationItems":[{"id":264,"uris":["http://zotero.org/users/5043758/items/QPMUGCS6"],"uri":["http://zotero.org/users/5043758/items/QPMUGCS6"],"itemData":{"id":264,"type":"book","title":"The Experience of Place","publisher":"Knopf","publisher-place":"New York","edition":"Vintage Books Edition","event-place":"New York","author":[{"family":"Hiss","given":"Tony"}],"issued":{"date-parts":[["1990"]]}}}],"schema":"https://github.com/citation-style-language/schema/raw/master/csl-citation.json"} </w:instrText>
      </w:r>
      <w:r w:rsidRPr="00C6564F">
        <w:rPr>
          <w:rFonts w:cs="Times New Roman"/>
          <w:szCs w:val="22"/>
        </w:rPr>
        <w:fldChar w:fldCharType="separate"/>
      </w:r>
      <w:r w:rsidRPr="00C6564F">
        <w:rPr>
          <w:rFonts w:eastAsia="Times New Roman" w:cs="Times New Roman"/>
          <w:szCs w:val="22"/>
        </w:rPr>
        <w:t xml:space="preserve">Tony Hiss, </w:t>
      </w:r>
      <w:r w:rsidRPr="00C6564F">
        <w:rPr>
          <w:rFonts w:eastAsia="Times New Roman" w:cs="Times New Roman"/>
          <w:i/>
          <w:iCs/>
          <w:szCs w:val="22"/>
        </w:rPr>
        <w:t>The Experience of Place</w:t>
      </w:r>
      <w:r w:rsidRPr="00C6564F">
        <w:rPr>
          <w:rFonts w:eastAsia="Times New Roman" w:cs="Times New Roman"/>
          <w:szCs w:val="22"/>
        </w:rPr>
        <w:t>, Vintage Books Edition (New York: Knopf, 1990), 15.</w:t>
      </w:r>
      <w:r w:rsidRPr="00C6564F">
        <w:rPr>
          <w:rFonts w:cs="Times New Roman"/>
          <w:szCs w:val="22"/>
        </w:rPr>
        <w:fldChar w:fldCharType="end"/>
      </w:r>
    </w:p>
    <w:p w14:paraId="6DDA426B" w14:textId="77777777" w:rsidR="000C0771" w:rsidRPr="00C6564F" w:rsidRDefault="000C0771">
      <w:pPr>
        <w:pStyle w:val="FootnoteText"/>
        <w:rPr>
          <w:rFonts w:cs="Times New Roman"/>
          <w:szCs w:val="22"/>
        </w:rPr>
      </w:pPr>
    </w:p>
  </w:footnote>
  <w:footnote w:id="9">
    <w:p w14:paraId="0DB0F4C1" w14:textId="2D105469" w:rsidR="000C0771" w:rsidRDefault="000C0771">
      <w:pPr>
        <w:pStyle w:val="FootnoteText"/>
        <w:rPr>
          <w:rFonts w:cs="Times New Roman"/>
          <w:szCs w:val="22"/>
        </w:rPr>
      </w:pPr>
      <w:r w:rsidRPr="00F3497A">
        <w:rPr>
          <w:rStyle w:val="FootnoteReference"/>
        </w:rPr>
        <w:footnoteRef/>
      </w:r>
      <w:r w:rsidRPr="00C6564F">
        <w:rPr>
          <w:rFonts w:cs="Times New Roman"/>
          <w:szCs w:val="22"/>
        </w:rPr>
        <w:t xml:space="preserve"> </w:t>
      </w:r>
      <w:r w:rsidRPr="00C6564F">
        <w:rPr>
          <w:rFonts w:cs="Times New Roman"/>
          <w:szCs w:val="22"/>
        </w:rPr>
        <w:fldChar w:fldCharType="begin"/>
      </w:r>
      <w:r>
        <w:rPr>
          <w:rFonts w:cs="Times New Roman"/>
          <w:szCs w:val="22"/>
        </w:rPr>
        <w:instrText xml:space="preserve"> ADDIN ZOTERO_ITEM CSL_CITATION {"citationID":"y1q1W8vp","properties":{"formattedCitation":"Ned. Kaufman, {\\i{}Place, Race, and Story: Essays on the Past and Future of Historic Preservation} (New York: Routledge, 2009).","plainCitation":"Ned. Kaufman, Place, Race, and Story: Essays on the Past and Future of Historic Preservation (New York: Routledge, 2009).","dontUpdate":true,"noteIndex":9},"citationItems":[{"id":74,"uris":["http://zotero.org/users/5043758/items/8RCKQNMP"],"uri":["http://zotero.org/users/5043758/items/8RCKQNMP"],"itemData":{"id":74,"type":"book","title":"Place, race, and story: essays on the past and future of historic preservation","publisher":"Routledge","publisher-place":"New York","archive":"WorldCat","event-place":"New York","ISBN":"978-0-415-96539-2","language":"English","author":[{"family":"Kaufman","given":"Ned."}],"issued":{"date-parts":[["2009"]]}}}],"schema":"https://github.com/citation-style-language/schema/raw/master/csl-citation.json"} </w:instrText>
      </w:r>
      <w:r w:rsidRPr="00C6564F">
        <w:rPr>
          <w:rFonts w:cs="Times New Roman"/>
          <w:szCs w:val="22"/>
        </w:rPr>
        <w:fldChar w:fldCharType="separate"/>
      </w:r>
      <w:r w:rsidRPr="00C6564F">
        <w:rPr>
          <w:rFonts w:eastAsia="Times New Roman" w:cs="Times New Roman"/>
          <w:szCs w:val="22"/>
        </w:rPr>
        <w:t xml:space="preserve">Ned. Kaufman, </w:t>
      </w:r>
      <w:r w:rsidRPr="00C6564F">
        <w:rPr>
          <w:rFonts w:eastAsia="Times New Roman" w:cs="Times New Roman"/>
          <w:i/>
          <w:iCs/>
          <w:szCs w:val="22"/>
        </w:rPr>
        <w:t>Place, Race, and Story: Essays on the Past and Future of Historic Preservation</w:t>
      </w:r>
      <w:r w:rsidRPr="00C6564F">
        <w:rPr>
          <w:rFonts w:eastAsia="Times New Roman" w:cs="Times New Roman"/>
          <w:szCs w:val="22"/>
        </w:rPr>
        <w:t xml:space="preserve"> (New York: Routledge, 2009), 27.</w:t>
      </w:r>
      <w:r w:rsidRPr="00C6564F">
        <w:rPr>
          <w:rFonts w:cs="Times New Roman"/>
          <w:szCs w:val="22"/>
        </w:rPr>
        <w:fldChar w:fldCharType="end"/>
      </w:r>
    </w:p>
    <w:p w14:paraId="51C74748" w14:textId="77777777" w:rsidR="000C0771" w:rsidRPr="00C6564F" w:rsidRDefault="000C0771">
      <w:pPr>
        <w:pStyle w:val="FootnoteText"/>
        <w:rPr>
          <w:rFonts w:cs="Times New Roman"/>
          <w:szCs w:val="22"/>
        </w:rPr>
      </w:pPr>
    </w:p>
  </w:footnote>
  <w:footnote w:id="10">
    <w:p w14:paraId="309EB27C" w14:textId="65905FA4" w:rsidR="000C0771" w:rsidRDefault="000C0771">
      <w:pPr>
        <w:pStyle w:val="FootnoteText"/>
      </w:pPr>
      <w:r w:rsidRPr="00F3497A">
        <w:rPr>
          <w:rStyle w:val="FootnoteReference"/>
        </w:rPr>
        <w:footnoteRef/>
      </w:r>
      <w:r>
        <w:t xml:space="preserve"> </w:t>
      </w:r>
      <w:r>
        <w:fldChar w:fldCharType="begin"/>
      </w:r>
      <w:r>
        <w:instrText xml:space="preserve"> ADDIN ZOTERO_ITEM CSL_CITATION {"citationID":"gXcpws6S","properties":{"formattedCitation":"Najafi M. and Mohd Shariff M.K.B., \\uc0\\u8220{}The Concept of Place and Sense of Place in Architectural Studies,\\uc0\\u8221{} {\\i{}World Academy of Science, Engineering and Technology} 5, no. 8 (2011): 1105.","plainCitation":"Najafi M. and Mohd Shariff M.K.B., “The Concept of Place and Sense of Place in Architectural Studies,” World Academy of Science, Engineering and Technology 5, no. 8 (2011): 1105.","noteIndex":10},"citationItems":[{"id":63,"uris":["http://zotero.org/users/5043758/items/65DSMNM9"],"uri":["http://zotero.org/users/5043758/items/65DSMNM9"],"itemData":{"id":63,"type":"article-journal","title":"The concept of place and sense of place in architectural studies","container-title":"World Academy of Science, Engineering and Technology","page":"1100-1106","volume":"5","issue":"8","archive":"WorldCat.org","ISSN":"2010-376X","note":"1100","author":[{"literal":"Najafi M."},{"literal":"Mohd Shariff M.K.B."}],"issued":{"date-parts":[["2011"]]}},"locator":"1105","label":"page"}],"schema":"https://github.com/citation-style-language/schema/raw/master/csl-citation.json"} </w:instrText>
      </w:r>
      <w:r>
        <w:fldChar w:fldCharType="separate"/>
      </w:r>
      <w:r w:rsidRPr="00971BAC">
        <w:rPr>
          <w:rFonts w:eastAsia="Times New Roman" w:cs="Times New Roman"/>
        </w:rPr>
        <w:t xml:space="preserve">Najafi M. and Mohd Shariff M.K.B., “The Concept of Place and Sense of Place in Architectural Studies,” </w:t>
      </w:r>
      <w:r w:rsidRPr="00971BAC">
        <w:rPr>
          <w:rFonts w:eastAsia="Times New Roman" w:cs="Times New Roman"/>
          <w:i/>
          <w:iCs/>
        </w:rPr>
        <w:t>World Academy of Science, Engineering and Technology</w:t>
      </w:r>
      <w:r w:rsidRPr="00971BAC">
        <w:rPr>
          <w:rFonts w:eastAsia="Times New Roman" w:cs="Times New Roman"/>
        </w:rPr>
        <w:t xml:space="preserve"> 5, no. 8 (2011): 1105.</w:t>
      </w:r>
      <w:r>
        <w:fldChar w:fldCharType="end"/>
      </w:r>
    </w:p>
    <w:p w14:paraId="291F8BA3" w14:textId="77777777" w:rsidR="000C0771" w:rsidRDefault="000C0771">
      <w:pPr>
        <w:pStyle w:val="FootnoteText"/>
      </w:pPr>
    </w:p>
  </w:footnote>
  <w:footnote w:id="11">
    <w:p w14:paraId="380B7C3B" w14:textId="6D4AC0FB" w:rsidR="000C0771" w:rsidRDefault="000C0771">
      <w:pPr>
        <w:pStyle w:val="FootnoteText"/>
      </w:pPr>
      <w:r w:rsidRPr="00F3497A">
        <w:rPr>
          <w:rStyle w:val="FootnoteReference"/>
        </w:rPr>
        <w:footnoteRef/>
      </w:r>
      <w:r>
        <w:t xml:space="preserve"> </w:t>
      </w:r>
      <w:r>
        <w:fldChar w:fldCharType="begin"/>
      </w:r>
      <w:r>
        <w:instrText xml:space="preserve"> ADDIN ZOTERO_ITEM CSL_CITATION {"citationID":"vw3CvzIi","properties":{"formattedCitation":"Yi-Fu Tuan, \\uc0\\u8220{}Space and Place: Humanistic Perspective,\\uc0\\u8221{} in {\\i{}Philosophy in Geography}, ed. Stephen Gale and Gunnar Olssen, Theory and Decision Library (Dordrecht, Holland: D. Reidel Publishing Company, 1979), 410.","plainCitation":"Yi-Fu Tuan, “Space and Place: Humanistic Perspective,” in Philosophy in Geography, ed. Stephen Gale and Gunnar Olssen, Theory and Decision Library (Dordrecht, Holland: D. Reidel Publishing Company, 1979), 410.","noteIndex":11},"citationItems":[{"id":550,"uris":["http://zotero.org/users/5043758/items/TIGMXC33"],"uri":["http://zotero.org/users/5043758/items/TIGMXC33"],"itemData":{"id":550,"type":"chapter","title":"Space and Place: Humanistic Perspective","container-title":"Philosophy in Geography","collection-title":"Theory and Decision Library","publisher":"D. Reidel Publishing Company","publisher-place":"Dordrecht, Holland","page":"387-428","event-place":"Dordrecht, Holland","author":[{"family":"Tuan","given":"Yi-Fu"}],"editor":[{"family":"Gale","given":"Stephen"},{"family":"Olssen","given":"Gunnar"}],"issued":{"date-parts":[["1979"]]}},"locator":"410","label":"page"}],"schema":"https://github.com/citation-style-language/schema/raw/master/csl-citation.json"} </w:instrText>
      </w:r>
      <w:r>
        <w:fldChar w:fldCharType="separate"/>
      </w:r>
      <w:r w:rsidRPr="00EE0D26">
        <w:rPr>
          <w:rFonts w:eastAsia="Times New Roman" w:cs="Times New Roman"/>
        </w:rPr>
        <w:t xml:space="preserve">Yi-Fu Tuan, “Space and Place: Humanistic Perspective,” in </w:t>
      </w:r>
      <w:r w:rsidRPr="00EE0D26">
        <w:rPr>
          <w:rFonts w:eastAsia="Times New Roman" w:cs="Times New Roman"/>
          <w:i/>
          <w:iCs/>
        </w:rPr>
        <w:t>Philosophy in Geography</w:t>
      </w:r>
      <w:r w:rsidRPr="00EE0D26">
        <w:rPr>
          <w:rFonts w:eastAsia="Times New Roman" w:cs="Times New Roman"/>
        </w:rPr>
        <w:t>, ed. Stephen Gale and Gunnar Olssen, Theory and Decision Library (Dordrecht, Holland: D. Reidel Publishing Company, 1979), 410.</w:t>
      </w:r>
      <w:r>
        <w:fldChar w:fldCharType="end"/>
      </w:r>
    </w:p>
  </w:footnote>
  <w:footnote w:id="12">
    <w:p w14:paraId="01C87180" w14:textId="71EE03E7" w:rsidR="000C0771" w:rsidRDefault="000C0771">
      <w:pPr>
        <w:pStyle w:val="FootnoteText"/>
        <w:rPr>
          <w:rFonts w:cs="Times New Roman"/>
          <w:szCs w:val="22"/>
        </w:rPr>
      </w:pPr>
      <w:r w:rsidRPr="00F3497A">
        <w:rPr>
          <w:rStyle w:val="FootnoteReference"/>
        </w:rPr>
        <w:footnoteRef/>
      </w:r>
      <w:r w:rsidRPr="00C6564F">
        <w:rPr>
          <w:rFonts w:cs="Times New Roman"/>
          <w:szCs w:val="22"/>
        </w:rPr>
        <w:t xml:space="preserve"> </w:t>
      </w:r>
      <w:r w:rsidRPr="00C6564F">
        <w:rPr>
          <w:rFonts w:cs="Times New Roman"/>
          <w:szCs w:val="22"/>
        </w:rPr>
        <w:fldChar w:fldCharType="begin"/>
      </w:r>
      <w:r>
        <w:rPr>
          <w:rFonts w:cs="Times New Roman"/>
          <w:szCs w:val="22"/>
        </w:rPr>
        <w:instrText xml:space="preserve"> ADDIN ZOTERO_ITEM CSL_CITATION {"citationID":"iES59Ych","properties":{"formattedCitation":"\\uc0\\u8220{}Placemaking: What If We Built Our Cities around Places?\\uc0\\u8221{} (Project for Public Spaces, 2018).","plainCitation":"“Placemaking: What If We Built Our Cities around Places?” (Project for Public Spaces, 2018).","noteIndex":12},"citationItems":[{"id":277,"uris":["http://zotero.org/users/5043758/items/2MMCJBHE"],"uri":["http://zotero.org/users/5043758/items/2MMCJBHE"],"itemData":{"id":277,"type":"report","title":"Placemaking: what if we built our cities around places?","publisher":"Project for Public Spaces","issued":{"date-parts":[["2018"]]},"accessed":{"date-parts":[["2019",1,27]]}}}],"schema":"https://github.com/citation-style-language/schema/raw/master/csl-citation.json"} </w:instrText>
      </w:r>
      <w:r w:rsidRPr="00C6564F">
        <w:rPr>
          <w:rFonts w:cs="Times New Roman"/>
          <w:szCs w:val="22"/>
        </w:rPr>
        <w:fldChar w:fldCharType="separate"/>
      </w:r>
      <w:r w:rsidRPr="00C6564F">
        <w:rPr>
          <w:rFonts w:eastAsia="Times New Roman" w:cs="Times New Roman"/>
          <w:szCs w:val="22"/>
        </w:rPr>
        <w:t>“Placemaking: What If We Built Our Cities around Places?” (Project for Public Spaces, 2018).</w:t>
      </w:r>
      <w:r w:rsidRPr="00C6564F">
        <w:rPr>
          <w:rFonts w:cs="Times New Roman"/>
          <w:szCs w:val="22"/>
        </w:rPr>
        <w:fldChar w:fldCharType="end"/>
      </w:r>
    </w:p>
    <w:p w14:paraId="19E1C921" w14:textId="77777777" w:rsidR="000C0771" w:rsidRPr="00C6564F" w:rsidRDefault="000C0771">
      <w:pPr>
        <w:pStyle w:val="FootnoteText"/>
        <w:rPr>
          <w:rFonts w:cs="Times New Roman"/>
          <w:szCs w:val="22"/>
        </w:rPr>
      </w:pPr>
    </w:p>
  </w:footnote>
  <w:footnote w:id="13">
    <w:p w14:paraId="07A7A59F" w14:textId="2E0B416E" w:rsidR="000C0771" w:rsidRDefault="000C0771">
      <w:pPr>
        <w:pStyle w:val="FootnoteText"/>
        <w:rPr>
          <w:rFonts w:cs="Times New Roman"/>
          <w:szCs w:val="22"/>
        </w:rPr>
      </w:pPr>
      <w:r w:rsidRPr="00F3497A">
        <w:rPr>
          <w:rStyle w:val="FootnoteReference"/>
        </w:rPr>
        <w:footnoteRef/>
      </w:r>
      <w:r w:rsidRPr="00C6564F">
        <w:rPr>
          <w:rFonts w:cs="Times New Roman"/>
          <w:szCs w:val="22"/>
        </w:rPr>
        <w:t xml:space="preserve"> </w:t>
      </w:r>
      <w:r w:rsidRPr="00C6564F">
        <w:rPr>
          <w:rFonts w:cs="Times New Roman"/>
          <w:szCs w:val="22"/>
        </w:rPr>
        <w:fldChar w:fldCharType="begin"/>
      </w:r>
      <w:r>
        <w:rPr>
          <w:rFonts w:cs="Times New Roman"/>
          <w:szCs w:val="22"/>
        </w:rPr>
        <w:instrText xml:space="preserve"> ADDIN ZOTERO_ITEM CSL_CITATION {"citationID":"9Afkaf5F","properties":{"formattedCitation":"New Solutions Group, LLC, \\uc0\\u8220{}Placemaking in Legacy Cities: Opportunities and Good Pratices\\uc0\\u8221{} (Center for Community Progress, December 2013).","plainCitation":"New Solutions Group, LLC, “Placemaking in Legacy Cities: Opportunities and Good Pratices” (Center for Community Progress, December 2013).","dontUpdate":true,"noteIndex":13},"citationItems":[{"id":273,"uris":["http://zotero.org/users/5043758/items/NI5WE8F2"],"uri":["http://zotero.org/users/5043758/items/NI5WE8F2"],"itemData":{"id":273,"type":"report","title":"Placemaking in Legacy Cities: Opportunities and Good Practices","publisher":"Center for Community Progress","author":[{"family":"New Solutions Group, LLC","given":""}],"issued":{"date-parts":[["2013",12]]}}}],"schema":"https://github.com/citation-style-language/schema/raw/master/csl-citation.json"} </w:instrText>
      </w:r>
      <w:r w:rsidRPr="00C6564F">
        <w:rPr>
          <w:rFonts w:cs="Times New Roman"/>
          <w:szCs w:val="22"/>
        </w:rPr>
        <w:fldChar w:fldCharType="separate"/>
      </w:r>
      <w:r w:rsidRPr="00C6564F">
        <w:rPr>
          <w:rFonts w:eastAsia="Times New Roman" w:cs="Times New Roman"/>
          <w:szCs w:val="22"/>
        </w:rPr>
        <w:t>New Solutions Group, LLC, “Placemaking in Legacy Cities: Opportunities and Good Practices” (Center for Community Progress, December 2013).</w:t>
      </w:r>
      <w:r w:rsidRPr="00C6564F">
        <w:rPr>
          <w:rFonts w:cs="Times New Roman"/>
          <w:szCs w:val="22"/>
        </w:rPr>
        <w:fldChar w:fldCharType="end"/>
      </w:r>
    </w:p>
    <w:p w14:paraId="05EDC4FE" w14:textId="77777777" w:rsidR="000C0771" w:rsidRDefault="000C0771">
      <w:pPr>
        <w:pStyle w:val="FootnoteText"/>
      </w:pPr>
    </w:p>
  </w:footnote>
  <w:footnote w:id="14">
    <w:p w14:paraId="2DB2FF01" w14:textId="766A0A19" w:rsidR="000C0771" w:rsidRDefault="000C0771">
      <w:pPr>
        <w:pStyle w:val="FootnoteText"/>
        <w:rPr>
          <w:rFonts w:cs="Times New Roman"/>
          <w:szCs w:val="22"/>
        </w:rPr>
      </w:pPr>
      <w:r w:rsidRPr="00F3497A">
        <w:rPr>
          <w:rStyle w:val="FootnoteReference"/>
        </w:rPr>
        <w:footnoteRef/>
      </w:r>
      <w:r w:rsidRPr="00C6564F">
        <w:rPr>
          <w:rFonts w:cs="Times New Roman"/>
          <w:szCs w:val="22"/>
        </w:rPr>
        <w:t xml:space="preserve"> </w:t>
      </w:r>
      <w:r w:rsidRPr="00C6564F">
        <w:rPr>
          <w:rFonts w:cs="Times New Roman"/>
          <w:szCs w:val="22"/>
        </w:rPr>
        <w:fldChar w:fldCharType="begin"/>
      </w:r>
      <w:r>
        <w:rPr>
          <w:rFonts w:cs="Times New Roman"/>
          <w:szCs w:val="22"/>
        </w:rPr>
        <w:instrText xml:space="preserve"> ADDIN ZOTERO_ITEM CSL_CITATION {"citationID":"MNp6GuIT","properties":{"formattedCitation":"Ann Markusen and Anne Gadwa, \\uc0\\u8220{}Creative Placemaking\\uc0\\u8221{} (National Endowment for the Arts, 2010), https://www.arts.gov/sites/default/files/CreativePlacemaking-Paper.pdf.","plainCitation":"Ann Markusen and Anne Gadwa, “Creative Placemaking” (National Endowment for the Arts, 2010), https://www.arts.gov/sites/default/files/CreativePlacemaking-Paper.pdf.","dontUpdate":true,"noteIndex":14},"citationItems":[{"id":272,"uris":["http://zotero.org/users/5043758/items/QV3NXNTG"],"uri":["http://zotero.org/users/5043758/items/QV3NXNTG"],"itemData":{"id":272,"type":"report","title":"Cultural Placekeeping Guide","publisher":"National Coalition for Arts' Preparedness and Emergency Response","URL":"https://www.arts.gov/sites/default/files/CreativePlacemaking-Paper.pdf","author":[{"family":"Schwartzman","given":"Amy"}],"issued":{"date-parts":[["2017"]]},"accessed":{"date-parts":[["2019",1,24]]}}}],"schema":"https://github.com/citation-style-language/schema/raw/master/csl-citation.json"} </w:instrText>
      </w:r>
      <w:r w:rsidRPr="00C6564F">
        <w:rPr>
          <w:rFonts w:cs="Times New Roman"/>
          <w:szCs w:val="22"/>
        </w:rPr>
        <w:fldChar w:fldCharType="separate"/>
      </w:r>
      <w:r w:rsidRPr="00C6564F">
        <w:rPr>
          <w:rFonts w:eastAsia="Times New Roman" w:cs="Times New Roman"/>
          <w:szCs w:val="22"/>
        </w:rPr>
        <w:t>Ann Markusen and Anne Gadwa, “Creative Placemaking” (National Endowment for the Arts, 2010): 3, https://www.arts.gov/sites/default/files/CreativePlacemaking-Paper.pdf.</w:t>
      </w:r>
      <w:r w:rsidRPr="00C6564F">
        <w:rPr>
          <w:rFonts w:cs="Times New Roman"/>
          <w:szCs w:val="22"/>
        </w:rPr>
        <w:fldChar w:fldCharType="end"/>
      </w:r>
    </w:p>
    <w:p w14:paraId="59956950" w14:textId="77777777" w:rsidR="000C0771" w:rsidRPr="00C6564F" w:rsidRDefault="000C0771">
      <w:pPr>
        <w:pStyle w:val="FootnoteText"/>
        <w:rPr>
          <w:rFonts w:eastAsia="Times New Roman" w:cs="Times New Roman"/>
          <w:szCs w:val="22"/>
        </w:rPr>
      </w:pPr>
    </w:p>
  </w:footnote>
  <w:footnote w:id="15">
    <w:p w14:paraId="5D4D91BE" w14:textId="6A24028D" w:rsidR="000C0771" w:rsidRDefault="000C0771">
      <w:pPr>
        <w:pStyle w:val="FootnoteText"/>
        <w:rPr>
          <w:rFonts w:cs="Times New Roman"/>
          <w:szCs w:val="22"/>
        </w:rPr>
      </w:pPr>
      <w:r w:rsidRPr="00F3497A">
        <w:rPr>
          <w:rStyle w:val="FootnoteReference"/>
        </w:rPr>
        <w:footnoteRef/>
      </w:r>
      <w:r w:rsidRPr="009440D6">
        <w:rPr>
          <w:rFonts w:cs="Times New Roman"/>
          <w:szCs w:val="22"/>
        </w:rPr>
        <w:t xml:space="preserve"> </w:t>
      </w:r>
      <w:r w:rsidRPr="009440D6">
        <w:rPr>
          <w:rFonts w:cs="Times New Roman"/>
          <w:szCs w:val="22"/>
        </w:rPr>
        <w:fldChar w:fldCharType="begin"/>
      </w:r>
      <w:r>
        <w:rPr>
          <w:rFonts w:cs="Times New Roman"/>
          <w:szCs w:val="22"/>
        </w:rPr>
        <w:instrText xml:space="preserve"> ADDIN ZOTERO_ITEM CSL_CITATION {"citationID":"ezA12FkW","properties":{"formattedCitation":"Roberto Bedoya, \\uc0\\u8220{}Spatial Justice: Rasquachification, Race and the City,\\uc0\\u8221{} Creative Time Reports, September 15, 2014, http://creativetimereports.org/2014/09/15/spatial-justice-rasquachification-race-and-the-city/.","plainCitation":"Roberto Bedoya, “Spatial Justice: Rasquachification, Race and the City,” Creative Time Reports, September 15, 2014, http://creativetimereports.org/2014/09/15/spatial-justice-rasquachification-race-and-the-city/.","noteIndex":15},"citationItems":[{"id":18,"uris":["http://zotero.org/users/5043758/items/PSFKUG6F"],"uri":["http://zotero.org/users/5043758/items/PSFKUG6F"],"itemData":{"id":18,"type":"webpage","title":"Spatial Justice: Rasquachification, Race and the City","container-title":"Creative Time Reports","URL":"http://creativetimereports.org/2014/09/15/spatial-justice-rasquachification-race-and-the-city/","author":[{"family":"Bedoya","given":"Roberto"}],"issued":{"date-parts":[["2014",9,15]]},"accessed":{"date-parts":[["2018",7,31]]}}}],"schema":"https://github.com/citation-style-language/schema/raw/master/csl-citation.json"} </w:instrText>
      </w:r>
      <w:r w:rsidRPr="009440D6">
        <w:rPr>
          <w:rFonts w:cs="Times New Roman"/>
          <w:szCs w:val="22"/>
        </w:rPr>
        <w:fldChar w:fldCharType="separate"/>
      </w:r>
      <w:r w:rsidRPr="009440D6">
        <w:rPr>
          <w:rFonts w:eastAsia="Times New Roman" w:cs="Times New Roman"/>
          <w:szCs w:val="22"/>
        </w:rPr>
        <w:t>Roberto Bedoya, “Spatial Justice: Rasquachification, Race and the City,” Creative Time Reports, September 15, 2014, http://creativetimereports.org/2014/09/15/spatial-justice-rasquachification-race-and-the-city/.</w:t>
      </w:r>
      <w:r w:rsidRPr="009440D6">
        <w:rPr>
          <w:rFonts w:cs="Times New Roman"/>
          <w:szCs w:val="22"/>
        </w:rPr>
        <w:fldChar w:fldCharType="end"/>
      </w:r>
    </w:p>
    <w:p w14:paraId="040070D3" w14:textId="77777777" w:rsidR="000C0771" w:rsidRPr="009440D6" w:rsidRDefault="000C0771">
      <w:pPr>
        <w:pStyle w:val="FootnoteText"/>
        <w:rPr>
          <w:rFonts w:cs="Times New Roman"/>
          <w:szCs w:val="22"/>
        </w:rPr>
      </w:pPr>
    </w:p>
  </w:footnote>
  <w:footnote w:id="16">
    <w:p w14:paraId="18B2331F" w14:textId="45B5E39D" w:rsidR="000C0771" w:rsidRDefault="000C0771">
      <w:pPr>
        <w:pStyle w:val="FootnoteText"/>
        <w:rPr>
          <w:rFonts w:cs="Times New Roman"/>
          <w:szCs w:val="22"/>
        </w:rPr>
      </w:pPr>
      <w:r w:rsidRPr="00F3497A">
        <w:rPr>
          <w:rStyle w:val="FootnoteReference"/>
        </w:rPr>
        <w:footnoteRef/>
      </w:r>
      <w:r w:rsidRPr="00056BBD">
        <w:rPr>
          <w:rFonts w:cs="Times New Roman"/>
          <w:szCs w:val="22"/>
        </w:rPr>
        <w:t xml:space="preserve"> </w:t>
      </w:r>
      <w:r w:rsidRPr="00056BBD">
        <w:rPr>
          <w:rFonts w:cs="Times New Roman"/>
          <w:szCs w:val="22"/>
        </w:rPr>
        <w:fldChar w:fldCharType="begin"/>
      </w:r>
      <w:r>
        <w:rPr>
          <w:rFonts w:cs="Times New Roman"/>
          <w:szCs w:val="22"/>
        </w:rPr>
        <w:instrText xml:space="preserve"> ADDIN ZOTERO_ITEM CSL_CITATION {"citationID":"zVMOYqSZ","properties":{"formattedCitation":"Randall Mason, \\uc0\\u8220{}Fixing Historic Preservation: A Constructive Critique of \\uc0\\u8216{}Significance\\uc0\\u8217{} [Research and Debate],\\uc0\\u8221{} {\\i{}Places} 16, no. 1 (2004): 64\\uc0\\u8211{}71.","plainCitation":"Randall Mason, “Fixing Historic Preservation: A Constructive Critique of ‘Significance’ [Research and Debate],” Places 16, no. 1 (2004): 64–71.","dontUpdate":true,"noteIndex":16},"citationItems":[{"id":139,"uris":["http://zotero.org/users/5043758/items/BKFHE6TT"],"uri":["http://zotero.org/users/5043758/items/BKFHE6TT"],"itemData":{"id":139,"type":"article-journal","title":"Fixing Historic Preservation: A Constructive Critique of \"Significance\"","container-title":"Places","page":"64-71","volume":"16","issue":"1","author":[{"family":"Mason","given":"Randall"}],"issued":{"date-parts":[["2004"]]}}}],"schema":"https://github.com/citation-style-language/schema/raw/master/csl-citation.json"} </w:instrText>
      </w:r>
      <w:r w:rsidRPr="00056BBD">
        <w:rPr>
          <w:rFonts w:cs="Times New Roman"/>
          <w:szCs w:val="22"/>
        </w:rPr>
        <w:fldChar w:fldCharType="separate"/>
      </w:r>
      <w:r w:rsidRPr="00056BBD">
        <w:rPr>
          <w:rFonts w:eastAsia="Times New Roman" w:cs="Times New Roman"/>
          <w:szCs w:val="22"/>
        </w:rPr>
        <w:t>Randall Mason, “Fixing Historic Preservation: A Constructive Critique of ‘Sig</w:t>
      </w:r>
      <w:r>
        <w:rPr>
          <w:rFonts w:eastAsia="Times New Roman" w:cs="Times New Roman"/>
          <w:szCs w:val="22"/>
        </w:rPr>
        <w:t>nificance,'</w:t>
      </w:r>
      <w:r w:rsidRPr="00056BBD">
        <w:rPr>
          <w:rFonts w:eastAsia="Times New Roman" w:cs="Times New Roman"/>
          <w:szCs w:val="22"/>
        </w:rPr>
        <w:t xml:space="preserve">” </w:t>
      </w:r>
      <w:r w:rsidRPr="00056BBD">
        <w:rPr>
          <w:rFonts w:eastAsia="Times New Roman" w:cs="Times New Roman"/>
          <w:i/>
          <w:iCs/>
          <w:szCs w:val="22"/>
        </w:rPr>
        <w:t>Places</w:t>
      </w:r>
      <w:r>
        <w:rPr>
          <w:rFonts w:eastAsia="Times New Roman" w:cs="Times New Roman"/>
          <w:szCs w:val="22"/>
        </w:rPr>
        <w:t xml:space="preserve"> 16, no. 1 (2004): 64</w:t>
      </w:r>
      <w:r w:rsidRPr="00056BBD">
        <w:rPr>
          <w:rFonts w:eastAsia="Times New Roman" w:cs="Times New Roman"/>
          <w:szCs w:val="22"/>
        </w:rPr>
        <w:t>.</w:t>
      </w:r>
      <w:r w:rsidRPr="00056BBD">
        <w:rPr>
          <w:rFonts w:cs="Times New Roman"/>
          <w:szCs w:val="22"/>
        </w:rPr>
        <w:fldChar w:fldCharType="end"/>
      </w:r>
    </w:p>
    <w:p w14:paraId="4DC5A506" w14:textId="77777777" w:rsidR="000C0771" w:rsidRPr="00056BBD" w:rsidRDefault="000C0771">
      <w:pPr>
        <w:pStyle w:val="FootnoteText"/>
        <w:rPr>
          <w:rFonts w:cs="Times New Roman"/>
          <w:szCs w:val="22"/>
        </w:rPr>
      </w:pPr>
    </w:p>
  </w:footnote>
  <w:footnote w:id="17">
    <w:p w14:paraId="049D93CA" w14:textId="09535012" w:rsidR="000C0771" w:rsidRDefault="000C0771">
      <w:pPr>
        <w:pStyle w:val="FootnoteText"/>
        <w:rPr>
          <w:rFonts w:cs="Times New Roman"/>
          <w:szCs w:val="22"/>
        </w:rPr>
      </w:pPr>
      <w:r w:rsidRPr="00F3497A">
        <w:rPr>
          <w:rStyle w:val="FootnoteReference"/>
        </w:rPr>
        <w:footnoteRef/>
      </w:r>
      <w:r w:rsidRPr="001002BB">
        <w:rPr>
          <w:rFonts w:cs="Times New Roman"/>
          <w:szCs w:val="22"/>
        </w:rPr>
        <w:t xml:space="preserve"> </w:t>
      </w:r>
      <w:r w:rsidRPr="001002BB">
        <w:rPr>
          <w:rFonts w:cs="Times New Roman"/>
          <w:szCs w:val="22"/>
        </w:rPr>
        <w:fldChar w:fldCharType="begin"/>
      </w:r>
      <w:r>
        <w:rPr>
          <w:rFonts w:cs="Times New Roman"/>
          <w:szCs w:val="22"/>
        </w:rPr>
        <w:instrText xml:space="preserve"> ADDIN ZOTERO_ITEM CSL_CITATION {"citationID":"q41HT5Bz","properties":{"formattedCitation":"Joseph A. Tainter and G. John Lucas, \\uc0\\u8220{}Epistemology of the Significance Concept,\\uc0\\u8221{} {\\i{}American Antiquity} 48, no. 4 (1983): 707\\uc0\\u8211{}19, https://doi.org/10.2307/279772.","plainCitation":"Joseph A. Tainter and G. John Lucas, “Epistemology of the Significance Concept,” American Antiquity 48, no. 4 (1983): 707–19, https://doi.org/10.2307/279772.","dontUpdate":true,"noteIndex":17},"citationItems":[{"id":282,"uris":["http://zotero.org/users/5043758/items/FJFD2RW2"],"uri":["http://zotero.org/users/5043758/items/FJFD2RW2"],"itemData":{"id":282,"type":"article-journal","title":"Epistemology of the Significance Concept","container-title":"American Antiquity","page":"707-719","volume":"48","issue":"4","source":"JSTOR","archive":"JSTOR","abstract":"[Although the concept of significance has been widely discussed in cultural resource management, the origin of the idea and the epistemology underlying it have remained unexamined. This paper outlines the history of the significance concept in historic preservation and traces the current view of significance to the empiricist-positivist school of Western philosophical thought. Flaws in the arguments of this school, and in the logic of the significance concept, are raised and discussed. Potential approaches for dealing with aspects of the significance dilemma are proposed.]","DOI":"10.2307/279772","ISSN":"0002-7316","author":[{"family":"Tainter","given":"Joseph A."},{"family":"Lucas","given":"John G."}],"issued":{"date-parts":[["1983"]]}}}],"schema":"https://github.com/citation-style-language/schema/raw/master/csl-citation.json"} </w:instrText>
      </w:r>
      <w:r w:rsidRPr="001002BB">
        <w:rPr>
          <w:rFonts w:cs="Times New Roman"/>
          <w:szCs w:val="22"/>
        </w:rPr>
        <w:fldChar w:fldCharType="separate"/>
      </w:r>
      <w:r w:rsidRPr="00F13DB9">
        <w:rPr>
          <w:rFonts w:eastAsia="Times New Roman" w:cs="Times New Roman"/>
          <w:szCs w:val="22"/>
        </w:rPr>
        <w:t xml:space="preserve">Joseph A. Tainter and John G. Lucas, “Epistemology of the Significance Concept,” </w:t>
      </w:r>
      <w:r w:rsidRPr="00F13DB9">
        <w:rPr>
          <w:rFonts w:eastAsia="Times New Roman" w:cs="Times New Roman"/>
          <w:i/>
          <w:iCs/>
          <w:szCs w:val="22"/>
        </w:rPr>
        <w:t>American Antiquity</w:t>
      </w:r>
      <w:r w:rsidRPr="00F13DB9">
        <w:rPr>
          <w:rFonts w:eastAsia="Times New Roman" w:cs="Times New Roman"/>
          <w:szCs w:val="22"/>
        </w:rPr>
        <w:t xml:space="preserve"> 48, no. 4 (1983): 714, https://doi.org/10.2307/279772.</w:t>
      </w:r>
      <w:r w:rsidRPr="001002BB">
        <w:rPr>
          <w:rFonts w:cs="Times New Roman"/>
          <w:szCs w:val="22"/>
        </w:rPr>
        <w:fldChar w:fldCharType="end"/>
      </w:r>
    </w:p>
    <w:p w14:paraId="1FF5007B" w14:textId="77777777" w:rsidR="000C0771" w:rsidRPr="001002BB" w:rsidRDefault="000C0771">
      <w:pPr>
        <w:pStyle w:val="FootnoteText"/>
        <w:rPr>
          <w:rFonts w:cs="Times New Roman"/>
          <w:szCs w:val="22"/>
        </w:rPr>
      </w:pPr>
    </w:p>
  </w:footnote>
  <w:footnote w:id="18">
    <w:p w14:paraId="070E5391" w14:textId="6568377A" w:rsidR="000C0771" w:rsidRPr="00F13DB9" w:rsidRDefault="000C0771">
      <w:pPr>
        <w:pStyle w:val="FootnoteText"/>
        <w:rPr>
          <w:rFonts w:cs="Times New Roman"/>
          <w:szCs w:val="22"/>
        </w:rPr>
      </w:pPr>
      <w:r w:rsidRPr="00F3497A">
        <w:rPr>
          <w:rStyle w:val="FootnoteReference"/>
        </w:rPr>
        <w:footnoteRef/>
      </w:r>
      <w:r>
        <w:t xml:space="preserve"> </w:t>
      </w:r>
      <w:r>
        <w:rPr>
          <w:rFonts w:cs="Times New Roman"/>
          <w:szCs w:val="22"/>
        </w:rPr>
        <w:fldChar w:fldCharType="begin"/>
      </w:r>
      <w:r>
        <w:rPr>
          <w:rFonts w:cs="Times New Roman"/>
          <w:szCs w:val="22"/>
        </w:rPr>
        <w:instrText xml:space="preserve"> ADDIN ZOTERO_ITEM CSL_CITATION {"citationID":"ZVPuOUCC","properties":{"formattedCitation":"Tainter and Lucas.","plainCitation":"Tainter and Lucas.","dontUpdate":true,"noteIndex":18},"citationItems":[{"id":282,"uris":["http://zotero.org/users/5043758/items/FJFD2RW2"],"uri":["http://zotero.org/users/5043758/items/FJFD2RW2"],"itemData":{"id":282,"type":"article-journal","title":"Epistemology of the Significance Concept","container-title":"American Antiquity","page":"707-719","volume":"48","issue":"4","source":"JSTOR","archive":"JSTOR","abstract":"[Although the concept of significance has been widely discussed in cultural resource management, the origin of the idea and the epistemology underlying it have remained unexamined. This paper outlines the history of the significance concept in historic preservation and traces the current view of significance to the empiricist-positivist school of Western philosophical thought. Flaws in the arguments of this school, and in the logic of the significance concept, are raised and discussed. Potential approaches for dealing with aspects of the significance dilemma are proposed.]","DOI":"10.2307/279772","ISSN":"0002-7316","author":[{"family":"Tainter","given":"Joseph A."},{"family":"Lucas","given":"John G."}],"issued":{"date-parts":[["1983"]]}}}],"schema":"https://github.com/citation-style-language/schema/raw/master/csl-citation.json"} </w:instrText>
      </w:r>
      <w:r>
        <w:rPr>
          <w:rFonts w:cs="Times New Roman"/>
          <w:szCs w:val="22"/>
        </w:rPr>
        <w:fldChar w:fldCharType="separate"/>
      </w:r>
      <w:r>
        <w:rPr>
          <w:rFonts w:cs="Times New Roman"/>
          <w:noProof/>
          <w:szCs w:val="22"/>
        </w:rPr>
        <w:t>Tainter and Lucas, 714.</w:t>
      </w:r>
      <w:r>
        <w:rPr>
          <w:rFonts w:cs="Times New Roman"/>
          <w:szCs w:val="22"/>
        </w:rPr>
        <w:fldChar w:fldCharType="end"/>
      </w:r>
    </w:p>
  </w:footnote>
  <w:footnote w:id="19">
    <w:p w14:paraId="78662B59" w14:textId="5428BB16" w:rsidR="000C0771" w:rsidRDefault="000C0771">
      <w:pPr>
        <w:pStyle w:val="FootnoteText"/>
        <w:rPr>
          <w:rFonts w:cs="Times New Roman"/>
          <w:szCs w:val="22"/>
        </w:rPr>
      </w:pPr>
      <w:r w:rsidRPr="00F3497A">
        <w:rPr>
          <w:rStyle w:val="FootnoteReference"/>
        </w:rPr>
        <w:footnoteRef/>
      </w:r>
      <w:r w:rsidRPr="00A71739">
        <w:rPr>
          <w:rFonts w:cs="Times New Roman"/>
          <w:szCs w:val="22"/>
        </w:rPr>
        <w:t xml:space="preserve"> </w:t>
      </w:r>
      <w:r w:rsidRPr="00A71739">
        <w:rPr>
          <w:rFonts w:cs="Times New Roman"/>
          <w:szCs w:val="22"/>
        </w:rPr>
        <w:fldChar w:fldCharType="begin"/>
      </w:r>
      <w:r>
        <w:rPr>
          <w:rFonts w:cs="Times New Roman"/>
          <w:szCs w:val="22"/>
        </w:rPr>
        <w:instrText xml:space="preserve"> ADDIN ZOTERO_ITEM CSL_CITATION {"citationID":"BMOtMsD9","properties":{"formattedCitation":"\\uc0\\u8220{}Federal Tax Incentives for Rehabilitating Historic Buildings: 35th Anniversary\\uc0\\u8221{} (Washington D.C.: National Park Service, Department of the Interior, Techical Preservation Services, March 2013), https://www.nps.gov/tps/tax-incentives/taxdocs/tax-incentives-35anniversary.pdf.","plainCitation":"“Federal Tax Incentives for Rehabilitating Historic Buildings: 35th Anniversary” (Washington D.C.: National Park Service, Department of the Interior, Techical Preservation Services, March 2013), https://www.nps.gov/tps/tax-incentives/taxdocs/tax-incentives-35anniversary.pdf.","dontUpdate":true,"noteIndex":19},"citationItems":[{"id":297,"uris":["http://zotero.org/users/5043758/items/7ASXBH3B"],"uri":["http://zotero.org/users/5043758/items/7ASXBH3B"],"itemData":{"id":297,"type":"report","title":"Federal Tax Incentives for Rehabilitating Historic Buildings: 35th Anniversary","publisher":"National Park Service, Department of the Interior, Technical Preservation Services","publisher-place":"Washington D.C.","event-place":"Washington D.C.","URL":"https://www.nps.gov/tps/tax-incentives/taxdocs/tax-incentives-35anniversary.pdf","issued":{"date-parts":[["2013",3]]}}}],"schema":"https://github.com/citation-style-language/schema/raw/master/csl-citation.json"} </w:instrText>
      </w:r>
      <w:r w:rsidRPr="00A71739">
        <w:rPr>
          <w:rFonts w:cs="Times New Roman"/>
          <w:szCs w:val="22"/>
        </w:rPr>
        <w:fldChar w:fldCharType="separate"/>
      </w:r>
      <w:r w:rsidRPr="00A71739">
        <w:rPr>
          <w:rFonts w:eastAsia="Times New Roman" w:cs="Times New Roman"/>
          <w:szCs w:val="22"/>
        </w:rPr>
        <w:t>“Federal Tax Incentives for Rehabilitating Historic Buildings: 35th Anniversary” (Washington D.C.: National Park Service, Department of the Interior, Technical Preservation Services, March 2013): 1, https://www.nps.gov/tps/tax-incentives/taxdocs/tax-incentives-35anniversary.pdf.</w:t>
      </w:r>
      <w:r w:rsidRPr="00A71739">
        <w:rPr>
          <w:rFonts w:cs="Times New Roman"/>
          <w:szCs w:val="22"/>
        </w:rPr>
        <w:fldChar w:fldCharType="end"/>
      </w:r>
    </w:p>
    <w:p w14:paraId="15204082" w14:textId="77777777" w:rsidR="000C0771" w:rsidRPr="00A71739" w:rsidRDefault="000C0771">
      <w:pPr>
        <w:pStyle w:val="FootnoteText"/>
        <w:rPr>
          <w:rFonts w:cs="Times New Roman"/>
          <w:szCs w:val="22"/>
        </w:rPr>
      </w:pPr>
    </w:p>
  </w:footnote>
  <w:footnote w:id="20">
    <w:p w14:paraId="69B9E9CE" w14:textId="10B68620" w:rsidR="000C0771" w:rsidRDefault="000C0771">
      <w:pPr>
        <w:pStyle w:val="FootnoteText"/>
        <w:rPr>
          <w:rFonts w:cs="Times New Roman"/>
          <w:szCs w:val="22"/>
        </w:rPr>
      </w:pPr>
      <w:r w:rsidRPr="00F3497A">
        <w:rPr>
          <w:rStyle w:val="FootnoteReference"/>
        </w:rPr>
        <w:footnoteRef/>
      </w:r>
      <w:r w:rsidRPr="00583B08">
        <w:rPr>
          <w:rFonts w:cs="Times New Roman"/>
          <w:szCs w:val="22"/>
        </w:rPr>
        <w:t xml:space="preserve"> David J. Brown, “A Preservation Movement for All Americans,” in </w:t>
      </w:r>
      <w:r w:rsidRPr="00583B08">
        <w:rPr>
          <w:rFonts w:cs="Times New Roman"/>
          <w:szCs w:val="22"/>
        </w:rPr>
        <w:fldChar w:fldCharType="begin"/>
      </w:r>
      <w:r>
        <w:rPr>
          <w:rFonts w:cs="Times New Roman"/>
          <w:szCs w:val="22"/>
        </w:rPr>
        <w:instrText xml:space="preserve"> ADDIN ZOTERO_ITEM CSL_CITATION {"citationID":"raAGLsEV","properties":{"formattedCitation":"Max Page and Marla R. Miller, eds., {\\i{}Bending the Future: Fifty Ideas for the Next Fifty Years of Historic Preservation in the United States} (Boston: University of Massachusetts Press, 2016), http://eds.a.ebscohost.com.goucher.idm.oclc.org/ehost/ebookviewer/ebook?sid=dd85b92b-a817-4974-990d-2ca181ebb3d8%40sessionmgr4010&amp;vid=0&amp;format=EB.","plainCitation":"Max Page and Marla R. Miller, eds., Bending the Future: Fifty Ideas for the Next Fifty Years of Historic Preservation in the United States (Boston: University of Massachusetts Press, 2016), http://eds.a.ebscohost.com.goucher.idm.oclc.org/ehost/ebookviewer/ebook?sid=dd85b92b-a817-4974-990d-2ca181ebb3d8%40sessionmgr4010&amp;vid=0&amp;format=EB.","dontUpdate":true,"noteIndex":20},"citationItems":[{"id":48,"uris":["http://zotero.org/users/5043758/items/PUF2M2W6"],"uri":["http://zotero.org/users/5043758/items/PUF2M2W6"],"itemData":{"id":48,"type":"book","title":"Bending the Future: Fifty Ideas for the Next Fifty Years of Historic Preservation in the United States","publisher":"University of Massachusetts Press","publisher-place":"Boston","event-place":"Boston","URL":"http://eds.a.ebscohost.com.goucher.idm.oclc.org/ehost/ebookviewer/ebook?sid=dd85b92b-a817-4974-990d-2ca181ebb3d8%40sessionmgr4010&amp;vid=0&amp;format=EB","title-short":"Bending the Future","editor":[{"family":"Page","given":"Max"},{"family":"Miller","given":"Marla R."}],"issued":{"date-parts":[["2016"]]},"accessed":{"date-parts":[["2018",8,9]]}}}],"schema":"https://github.com/citation-style-language/schema/raw/master/csl-citation.json"} </w:instrText>
      </w:r>
      <w:r w:rsidRPr="00583B08">
        <w:rPr>
          <w:rFonts w:cs="Times New Roman"/>
          <w:szCs w:val="22"/>
        </w:rPr>
        <w:fldChar w:fldCharType="separate"/>
      </w:r>
      <w:r w:rsidRPr="00583B08">
        <w:rPr>
          <w:rFonts w:eastAsia="Times New Roman" w:cs="Times New Roman"/>
          <w:szCs w:val="22"/>
        </w:rPr>
        <w:t xml:space="preserve"> </w:t>
      </w:r>
      <w:r w:rsidRPr="00583B08">
        <w:rPr>
          <w:rFonts w:eastAsia="Times New Roman" w:cs="Times New Roman"/>
          <w:i/>
          <w:iCs/>
          <w:szCs w:val="22"/>
        </w:rPr>
        <w:t>Bending the Future: Fifty Ideas for the Next Fifty Years of Historic Preservation in the United States</w:t>
      </w:r>
      <w:r w:rsidRPr="00583B08">
        <w:rPr>
          <w:rFonts w:eastAsia="Times New Roman" w:cs="Times New Roman"/>
          <w:szCs w:val="22"/>
        </w:rPr>
        <w:t xml:space="preserve"> Max Page and Marla R. Miller, eds. (Boston: University of Massachusetts Press, 2016): 58, http://eds.a.ebscohost.com.goucher.idm.oclc.org/ehost/ebookviewer/ebook?sid=dd85b92b-a817-4974-990d-2ca181ebb3d8%40sessionmgr4010&amp;vid=0&amp;format=EB.</w:t>
      </w:r>
      <w:r w:rsidRPr="00583B08">
        <w:rPr>
          <w:rFonts w:cs="Times New Roman"/>
          <w:szCs w:val="22"/>
        </w:rPr>
        <w:fldChar w:fldCharType="end"/>
      </w:r>
    </w:p>
    <w:p w14:paraId="11577C31" w14:textId="77777777" w:rsidR="000C0771" w:rsidRPr="00583B08" w:rsidRDefault="000C0771">
      <w:pPr>
        <w:pStyle w:val="FootnoteText"/>
        <w:rPr>
          <w:rFonts w:cs="Times New Roman"/>
          <w:szCs w:val="22"/>
        </w:rPr>
      </w:pPr>
    </w:p>
  </w:footnote>
  <w:footnote w:id="21">
    <w:p w14:paraId="13468831" w14:textId="7F7D2530" w:rsidR="000C0771" w:rsidRPr="00583B08" w:rsidRDefault="000C0771">
      <w:pPr>
        <w:pStyle w:val="FootnoteText"/>
        <w:rPr>
          <w:rFonts w:cs="Times New Roman"/>
          <w:szCs w:val="22"/>
        </w:rPr>
      </w:pPr>
      <w:r w:rsidRPr="00F3497A">
        <w:rPr>
          <w:rStyle w:val="FootnoteReference"/>
        </w:rPr>
        <w:footnoteRef/>
      </w:r>
      <w:r w:rsidRPr="00583B08">
        <w:rPr>
          <w:rFonts w:cs="Times New Roman"/>
          <w:szCs w:val="22"/>
        </w:rPr>
        <w:t xml:space="preserve"> Brown, “A Preservation Movement for All Americans,” </w:t>
      </w:r>
      <w:r w:rsidRPr="00583B08">
        <w:rPr>
          <w:rFonts w:cs="Times New Roman"/>
          <w:i/>
          <w:szCs w:val="22"/>
        </w:rPr>
        <w:t>Bending the Future</w:t>
      </w:r>
      <w:r w:rsidRPr="00583B08">
        <w:rPr>
          <w:rFonts w:cs="Times New Roman"/>
          <w:szCs w:val="22"/>
        </w:rPr>
        <w:t>: 59.</w:t>
      </w:r>
    </w:p>
  </w:footnote>
  <w:footnote w:id="22">
    <w:p w14:paraId="0235321B" w14:textId="0572FB03" w:rsidR="000C0771" w:rsidRDefault="000C0771" w:rsidP="006D4F48">
      <w:pPr>
        <w:pStyle w:val="FootnoteText"/>
        <w:rPr>
          <w:rFonts w:cs="Times New Roman"/>
          <w:szCs w:val="22"/>
        </w:rPr>
      </w:pPr>
      <w:r w:rsidRPr="00F3497A">
        <w:rPr>
          <w:rStyle w:val="FootnoteReference"/>
        </w:rPr>
        <w:footnoteRef/>
      </w:r>
      <w:r w:rsidRPr="00057AC3">
        <w:rPr>
          <w:rFonts w:cs="Times New Roman"/>
          <w:szCs w:val="22"/>
        </w:rPr>
        <w:t xml:space="preserve"> </w:t>
      </w:r>
      <w:r w:rsidRPr="00057AC3">
        <w:rPr>
          <w:rFonts w:cs="Times New Roman"/>
          <w:szCs w:val="22"/>
        </w:rPr>
        <w:fldChar w:fldCharType="begin"/>
      </w:r>
      <w:r>
        <w:rPr>
          <w:rFonts w:cs="Times New Roman"/>
          <w:szCs w:val="22"/>
        </w:rPr>
        <w:instrText xml:space="preserve"> ADDIN ZOTERO_ITEM CSL_CITATION {"citationID":"1eDuhhk3","properties":{"formattedCitation":"Jon Hawkes, {\\i{}The Fourth Pillar of Sustainability: Culture\\uc0\\u8217{}s Essential Role in Public Planning} (Melbourne: Cultural Development Network: Common Ground, 2004).","plainCitation":"Jon Hawkes, The Fourth Pillar of Sustainability: Culture’s Essential Role in Public Planning (Melbourne: Cultural Development Network: Common Ground, 2004).","dontUpdate":true,"noteIndex":22},"citationItems":[{"id":294,"uris":["http://zotero.org/users/5043758/items/RB5YRFKS"],"uri":["http://zotero.org/users/5043758/items/RB5YRFKS"],"itemData":{"id":294,"type":"book","title":"The fourth pillar of sustainability: culture's essential role in public planning","publisher":"Cultural Development Network: Common Ground","publisher-place":"Melbourne","source":"Open WorldCat","event-place":"Melbourne","ISBN":"978-1-86335-049-5","note":"OCLC: 957227746","title-short":"The fourth pillar of sustainability","language":"en","author":[{"family":"Hawkes","given":"Jon"}],"issued":{"date-parts":[["2001"]]}}}],"schema":"https://github.com/citation-style-language/schema/raw/master/csl-citation.json"} </w:instrText>
      </w:r>
      <w:r w:rsidRPr="00057AC3">
        <w:rPr>
          <w:rFonts w:cs="Times New Roman"/>
          <w:szCs w:val="22"/>
        </w:rPr>
        <w:fldChar w:fldCharType="separate"/>
      </w:r>
      <w:r w:rsidRPr="00057AC3">
        <w:rPr>
          <w:rFonts w:eastAsia="Times New Roman" w:cs="Times New Roman"/>
          <w:szCs w:val="22"/>
        </w:rPr>
        <w:t xml:space="preserve">Jon Hawkes, </w:t>
      </w:r>
      <w:r w:rsidRPr="00057AC3">
        <w:rPr>
          <w:rFonts w:eastAsia="Times New Roman" w:cs="Times New Roman"/>
          <w:i/>
          <w:iCs/>
          <w:szCs w:val="22"/>
        </w:rPr>
        <w:t>The Fourth Pillar of Sustainability: Culture’s Essential Role in Public Planning</w:t>
      </w:r>
      <w:r w:rsidRPr="00057AC3">
        <w:rPr>
          <w:rFonts w:eastAsia="Times New Roman" w:cs="Times New Roman"/>
          <w:szCs w:val="22"/>
        </w:rPr>
        <w:t xml:space="preserve"> (Melbourne: Cultural Development Network: Common Ground, 2004): 3.</w:t>
      </w:r>
      <w:r w:rsidRPr="00057AC3">
        <w:rPr>
          <w:rFonts w:cs="Times New Roman"/>
          <w:szCs w:val="22"/>
        </w:rPr>
        <w:fldChar w:fldCharType="end"/>
      </w:r>
    </w:p>
    <w:p w14:paraId="644429C8" w14:textId="77777777" w:rsidR="000C0771" w:rsidRPr="00057AC3" w:rsidRDefault="000C0771" w:rsidP="006D4F48">
      <w:pPr>
        <w:pStyle w:val="FootnoteText"/>
        <w:rPr>
          <w:rFonts w:cs="Times New Roman"/>
          <w:szCs w:val="22"/>
        </w:rPr>
      </w:pPr>
    </w:p>
  </w:footnote>
  <w:footnote w:id="23">
    <w:p w14:paraId="03410AE4" w14:textId="3B86B3B4" w:rsidR="000C0771" w:rsidRPr="009039FD" w:rsidRDefault="000C0771">
      <w:pPr>
        <w:pStyle w:val="FootnoteText"/>
        <w:rPr>
          <w:rFonts w:cs="Times New Roman"/>
          <w:szCs w:val="22"/>
        </w:rPr>
      </w:pPr>
      <w:r w:rsidRPr="00F3497A">
        <w:rPr>
          <w:rStyle w:val="FootnoteReference"/>
        </w:rPr>
        <w:footnoteRef/>
      </w:r>
      <w:r w:rsidRPr="009039FD">
        <w:rPr>
          <w:rFonts w:cs="Times New Roman"/>
          <w:szCs w:val="22"/>
        </w:rPr>
        <w:t xml:space="preserve"> </w:t>
      </w:r>
      <w:r w:rsidRPr="009039FD">
        <w:rPr>
          <w:rFonts w:cs="Times New Roman"/>
          <w:szCs w:val="22"/>
        </w:rPr>
        <w:fldChar w:fldCharType="begin"/>
      </w:r>
      <w:r>
        <w:rPr>
          <w:rFonts w:cs="Times New Roman"/>
          <w:szCs w:val="22"/>
        </w:rPr>
        <w:instrText xml:space="preserve"> ADDIN ZOTERO_ITEM CSL_CITATION {"citationID":"TmvSHSt1","properties":{"formattedCitation":"Hawkes, 4.","plainCitation":"Hawkes, 4.","noteIndex":23},"citationItems":[{"id":294,"uris":["http://zotero.org/users/5043758/items/RB5YRFKS"],"uri":["http://zotero.org/users/5043758/items/RB5YRFKS"],"itemData":{"id":294,"type":"book","title":"The fourth pillar of sustainability: culture's essential role in public planning","publisher":"Cultural Development Network: Common Ground","publisher-place":"Melbourne","source":"Open WorldCat","event-place":"Melbourne","ISBN":"978-1-86335-049-5","note":"OCLC: 957227746","title-short":"The fourth pillar of sustainability","language":"en","author":[{"family":"Hawkes","given":"Jon"}],"issued":{"date-parts":[["2001"]]}},"locator":"4","label":"page"}],"schema":"https://github.com/citation-style-language/schema/raw/master/csl-citation.json"} </w:instrText>
      </w:r>
      <w:r w:rsidRPr="009039FD">
        <w:rPr>
          <w:rFonts w:cs="Times New Roman"/>
          <w:szCs w:val="22"/>
        </w:rPr>
        <w:fldChar w:fldCharType="separate"/>
      </w:r>
      <w:r w:rsidRPr="009039FD">
        <w:rPr>
          <w:rFonts w:cs="Times New Roman"/>
          <w:noProof/>
          <w:szCs w:val="22"/>
        </w:rPr>
        <w:t>Hawkes, 4.</w:t>
      </w:r>
      <w:r w:rsidRPr="009039FD">
        <w:rPr>
          <w:rFonts w:cs="Times New Roman"/>
          <w:szCs w:val="22"/>
        </w:rPr>
        <w:fldChar w:fldCharType="end"/>
      </w:r>
    </w:p>
  </w:footnote>
  <w:footnote w:id="24">
    <w:p w14:paraId="7AD8ACE0" w14:textId="0699AF0B" w:rsidR="000C0771" w:rsidRDefault="000C0771">
      <w:pPr>
        <w:pStyle w:val="FootnoteText"/>
      </w:pPr>
      <w:r w:rsidRPr="00F3497A">
        <w:rPr>
          <w:rStyle w:val="FootnoteReference"/>
        </w:rPr>
        <w:footnoteRef/>
      </w:r>
      <w:r>
        <w:t xml:space="preserve"> </w:t>
      </w:r>
      <w:r>
        <w:fldChar w:fldCharType="begin"/>
      </w:r>
      <w:r>
        <w:instrText xml:space="preserve"> ADDIN ZOTERO_ITEM CSL_CITATION {"citationID":"lyFKYIvm","properties":{"formattedCitation":"Lei Ding and Jackelyn Hwang, \\uc0\\u8220{}The Consequences of Gentrification: A Focus on Residents\\uc0\\u8217{} Financial Health in Philadelphia,\\uc0\\u8221{} {\\i{}Cityscape} 18, no. 3 (2016): 29.","plainCitation":"Lei Ding and Jackelyn Hwang, “The Consequences of Gentrification: A Focus on Residents’ Financial Health in Philadelphia,” Cityscape 18, no. 3 (2016): 29.","noteIndex":24},"citationItems":[{"id":100,"uris":["http://zotero.org/users/5043758/items/3T7SAAYF"],"uri":["http://zotero.org/users/5043758/items/3T7SAAYF"],"itemData":{"id":100,"type":"article-journal","title":"The Consequences of Gentrification: A Focus on Residents' Financial Health in Philadelphia","container-title":"Cityscape","page":"27-55","volume":"18","issue":"3","source":"Zotero","abstract":"Considerable debate and controversy continue regarding the effects of gentrification on neighborhoods and the people residing in them. This article draws on a unique largescale consumer credit database to examine the relationship between gentrification and the credit scores of residents in the city of Philadelphia from 2002 to 2014. We find that gentrification is positively associated with changes in residents’ credit scores, on average, for those who stay, and this relationship is stronger for residents in neighborhoods in the more advanced stages of gentrification. Gentrification is also positively associated with credit score changes for less-advantaged residents (those with low credit scores, older residents, longer-term residents, or those without mortgages) if they do not move, though the magnitude of this positive association is smaller than for their more advantaged counterparts. Nonetheless, moving from gentrifying neighborhoods is negatively associated with credit score changes for less-advantaged residents, residents who move to lower-income neighborhoods, and residents who move to any other neighb­ orhoods within the city (instead of outside the city) relative to those who stay. The results demonstrate how the association between gentrification and residents’ financial health is uneven, especially for less-advantaged residents.","language":"en","author":[{"family":"Ding","given":"Lei"},{"family":"Hwang","given":"Jackelyn"}],"issued":{"date-parts":[["2016"]]}},"locator":"29","label":"page"}],"schema":"https://github.com/citation-style-language/schema/raw/master/csl-citation.json"} </w:instrText>
      </w:r>
      <w:r>
        <w:fldChar w:fldCharType="separate"/>
      </w:r>
      <w:r w:rsidRPr="002D4151">
        <w:rPr>
          <w:rFonts w:eastAsia="Times New Roman" w:cs="Times New Roman"/>
        </w:rPr>
        <w:t xml:space="preserve">Lei Ding and Jackelyn Hwang, “The Consequences of Gentrification: A Focus on Residents’ Financial Health in Philadelphia,” </w:t>
      </w:r>
      <w:r w:rsidRPr="002D4151">
        <w:rPr>
          <w:rFonts w:eastAsia="Times New Roman" w:cs="Times New Roman"/>
          <w:i/>
          <w:iCs/>
        </w:rPr>
        <w:t>Cityscape</w:t>
      </w:r>
      <w:r w:rsidRPr="002D4151">
        <w:rPr>
          <w:rFonts w:eastAsia="Times New Roman" w:cs="Times New Roman"/>
        </w:rPr>
        <w:t xml:space="preserve"> 18, no. 3 (2016): 29.</w:t>
      </w:r>
      <w:r>
        <w:fldChar w:fldCharType="end"/>
      </w:r>
    </w:p>
    <w:p w14:paraId="50DCDC83" w14:textId="77777777" w:rsidR="000C0771" w:rsidRDefault="000C0771">
      <w:pPr>
        <w:pStyle w:val="FootnoteText"/>
      </w:pPr>
    </w:p>
  </w:footnote>
  <w:footnote w:id="25">
    <w:p w14:paraId="15B7E022" w14:textId="6D0F7C6C" w:rsidR="000C0771" w:rsidRPr="00E05947" w:rsidRDefault="000C0771" w:rsidP="002078AF">
      <w:pPr>
        <w:pStyle w:val="FootnoteText"/>
        <w:rPr>
          <w:rFonts w:cs="Times New Roman"/>
          <w:szCs w:val="22"/>
        </w:rPr>
      </w:pPr>
      <w:r w:rsidRPr="00F3497A">
        <w:rPr>
          <w:rStyle w:val="FootnoteReference"/>
        </w:rPr>
        <w:footnoteRef/>
      </w:r>
      <w:r w:rsidRPr="00E05947">
        <w:rPr>
          <w:rFonts w:cs="Times New Roman"/>
          <w:szCs w:val="22"/>
        </w:rPr>
        <w:t xml:space="preserve"> </w:t>
      </w:r>
      <w:r w:rsidRPr="00E05947">
        <w:rPr>
          <w:rFonts w:cs="Times New Roman"/>
          <w:szCs w:val="22"/>
        </w:rPr>
        <w:fldChar w:fldCharType="begin"/>
      </w:r>
      <w:r>
        <w:rPr>
          <w:rFonts w:cs="Times New Roman"/>
          <w:szCs w:val="22"/>
        </w:rPr>
        <w:instrText xml:space="preserve"> ADDIN ZOTERO_ITEM CSL_CITATION {"citationID":"zXLuvIsR","properties":{"formattedCitation":"Daniel C. Vock, J. Brian Charles, and Mike Maciag, \\uc0\\u8220{}How States and Cities Reinforce Racial Segregation in America,\\uc0\\u8221{} Governing, January 23, 2019, https://www.governing.com/topics/public-justice-safety/gov-segregation-main-feature.html.","plainCitation":"Daniel C. Vock, J. Brian Charles, and Mike Maciag, “How States and Cities Reinforce Racial Segregation in America,” Governing, January 23, 2019, https://www.governing.com/topics/public-justice-safety/gov-segregation-main-feature.html.","noteIndex":25},"citationItems":[{"id":543,"uris":["http://zotero.org/users/5043758/items/Q7RLMLGZ"],"uri":["http://zotero.org/users/5043758/items/Q7RLMLGZ"],"itemData":{"id":543,"type":"webpage","title":"How States and Cities Reinforce Racial Segregation in America","container-title":"Governing","abstract":"The black-white divide is still a major problem. Government policies are partially to blame.","URL":"https://www.governing.com/topics/public-justice-safety/gov-segregation-main-feature.html","language":"en","author":[{"family":"Vock","given":"Daniel C."},{"family":"Charles","given":"J. Brian"},{"family":"Maciag","given":"Mike"}],"issued":{"date-parts":[["2019",1,23]]},"accessed":{"date-parts":[["2019",4,18]]}}}],"schema":"https://github.com/citation-style-language/schema/raw/master/csl-citation.json"} </w:instrText>
      </w:r>
      <w:r w:rsidRPr="00E05947">
        <w:rPr>
          <w:rFonts w:cs="Times New Roman"/>
          <w:szCs w:val="22"/>
        </w:rPr>
        <w:fldChar w:fldCharType="separate"/>
      </w:r>
      <w:r w:rsidRPr="00E05947">
        <w:rPr>
          <w:rFonts w:eastAsia="Times New Roman" w:cs="Times New Roman"/>
          <w:szCs w:val="22"/>
        </w:rPr>
        <w:t>Daniel C. Vock, J. Brian Charles, and Mike Maciag, “How States and Cities Reinforce Racial Segregation in America,” Governing, January 23, 2019, https://www.governing.com/topics/public-justice-safety/gov-segregation-main-feature.html.</w:t>
      </w:r>
      <w:r w:rsidRPr="00E05947">
        <w:rPr>
          <w:rFonts w:cs="Times New Roman"/>
          <w:szCs w:val="22"/>
        </w:rPr>
        <w:fldChar w:fldCharType="end"/>
      </w:r>
    </w:p>
  </w:footnote>
  <w:footnote w:id="26">
    <w:p w14:paraId="54F1C3B1" w14:textId="290E03DB" w:rsidR="000C0771" w:rsidRDefault="000C0771">
      <w:pPr>
        <w:pStyle w:val="FootnoteText"/>
        <w:rPr>
          <w:rFonts w:cs="Times New Roman"/>
          <w:szCs w:val="22"/>
        </w:rPr>
      </w:pPr>
      <w:r w:rsidRPr="00F3497A">
        <w:rPr>
          <w:rStyle w:val="FootnoteReference"/>
        </w:rPr>
        <w:footnoteRef/>
      </w:r>
      <w:r w:rsidRPr="003168B0">
        <w:rPr>
          <w:rFonts w:cs="Times New Roman"/>
          <w:szCs w:val="22"/>
        </w:rPr>
        <w:t xml:space="preserve"> </w:t>
      </w:r>
      <w:r w:rsidRPr="003168B0">
        <w:rPr>
          <w:rFonts w:cs="Times New Roman"/>
          <w:szCs w:val="22"/>
        </w:rPr>
        <w:fldChar w:fldCharType="begin"/>
      </w:r>
      <w:r>
        <w:rPr>
          <w:rFonts w:cs="Times New Roman"/>
          <w:szCs w:val="22"/>
        </w:rPr>
        <w:instrText xml:space="preserve"> ADDIN ZOTERO_ITEM CSL_CITATION {"citationID":"0Pr2Lvmj","properties":{"formattedCitation":"Chase M. Billingham, \\uc0\\u8220{}Waiting for Bobos: Displacement and Impeded Gentrification in a Midwestern City,\\uc0\\u8221{} {\\i{}City &amp; Community} 16, no. 2 (June 2017): 145\\uc0\\u8211{}68, https://doi.org/10.1111/cico.12235.","plainCitation":"Chase M. Billingham, “Waiting for Bobos: Displacement and Impeded Gentrification in a Midwestern City,” City &amp; Community 16, no. 2 (June 2017): 145–68, https://doi.org/10.1111/cico.12235.","noteIndex":26},"citationItems":[{"id":54,"uris":["http://zotero.org/users/5043758/items/CVH66ZQR"],"uri":["http://zotero.org/users/5043758/items/CVH66ZQR"],"itemData":{"id":54,"type":"article-journal","title":"Waiting for Bobos: Displacement and Impeded Gentrification in a Midwestern City","container-title":"City &amp; Community","page":"145-168","volume":"16","issue":"2","source":"EBSCOhost","abstract":"The degree to which lower-income residents are displaced by the process of gentrification has been the subject of considerable debate. Displacement is generally framed as a possible, and potentially remediable, outcome of gentrification. This portrayal of the link between gentrification and displacement is problematic, though, because gentrification can proceed without substantial displacement, while displacement frequently occurs in the absence of gentrification. In this article, I use a historical case study to examine the link between displacement and gentrification. Drawing on archival research and media accounts of redevelopment over the course of 50 years in Wichita, Kansas, I demonstrate how a displacement-first strategy has characterized all attempts to transform the city's 'skid row' into the hub of a gentrified downtown core, and I describe how, despite widespread displacement, the gentrification of downtown Wichita has been largely unsuccessful. I discuss the implications of these findings for sociological theories of gentrification and displacement.","DOI":"10.1111/cico.12235","ISSN":"15356841","title-short":"Waiting for Bobos","journalAbbreviation":"City &amp; Community","author":[{"family":"Billingham","given":"Chase M."}],"issued":{"date-parts":[["2017",6]]}}}],"schema":"https://github.com/citation-style-language/schema/raw/master/csl-citation.json"} </w:instrText>
      </w:r>
      <w:r w:rsidRPr="003168B0">
        <w:rPr>
          <w:rFonts w:cs="Times New Roman"/>
          <w:szCs w:val="22"/>
        </w:rPr>
        <w:fldChar w:fldCharType="separate"/>
      </w:r>
      <w:r w:rsidRPr="003168B0">
        <w:rPr>
          <w:rFonts w:eastAsia="Times New Roman" w:cs="Times New Roman"/>
          <w:szCs w:val="22"/>
        </w:rPr>
        <w:t xml:space="preserve">Chase M. Billingham, “Waiting for Bobos: Displacement and Impeded Gentrification in a Midwestern City,” </w:t>
      </w:r>
      <w:r w:rsidRPr="003168B0">
        <w:rPr>
          <w:rFonts w:eastAsia="Times New Roman" w:cs="Times New Roman"/>
          <w:i/>
          <w:iCs/>
          <w:szCs w:val="22"/>
        </w:rPr>
        <w:t>City &amp; Community</w:t>
      </w:r>
      <w:r w:rsidRPr="003168B0">
        <w:rPr>
          <w:rFonts w:eastAsia="Times New Roman" w:cs="Times New Roman"/>
          <w:szCs w:val="22"/>
        </w:rPr>
        <w:t xml:space="preserve"> 16, no. 2 (June 2017): 145–68, https://doi.org/10.1111/cico.12235.</w:t>
      </w:r>
      <w:r w:rsidRPr="003168B0">
        <w:rPr>
          <w:rFonts w:cs="Times New Roman"/>
          <w:szCs w:val="22"/>
        </w:rPr>
        <w:fldChar w:fldCharType="end"/>
      </w:r>
    </w:p>
    <w:p w14:paraId="0DE7FFE2" w14:textId="77777777" w:rsidR="000C0771" w:rsidRPr="003168B0" w:rsidRDefault="000C0771">
      <w:pPr>
        <w:pStyle w:val="FootnoteText"/>
        <w:rPr>
          <w:rFonts w:cs="Times New Roman"/>
          <w:szCs w:val="22"/>
        </w:rPr>
      </w:pPr>
    </w:p>
  </w:footnote>
  <w:footnote w:id="27">
    <w:p w14:paraId="42C042A4" w14:textId="57849602" w:rsidR="000C0771" w:rsidRDefault="000C0771">
      <w:pPr>
        <w:pStyle w:val="FootnoteText"/>
        <w:rPr>
          <w:rFonts w:eastAsia="Times New Roman" w:cs="Times New Roman"/>
          <w:szCs w:val="22"/>
        </w:rPr>
      </w:pPr>
      <w:r w:rsidRPr="00F3497A">
        <w:rPr>
          <w:rStyle w:val="FootnoteReference"/>
        </w:rPr>
        <w:footnoteRef/>
      </w:r>
      <w:r>
        <w:t xml:space="preserve"> </w:t>
      </w:r>
      <w:r w:rsidRPr="00264807">
        <w:rPr>
          <w:rFonts w:eastAsia="Times New Roman" w:cs="Times New Roman"/>
          <w:szCs w:val="22"/>
        </w:rPr>
        <w:t xml:space="preserve">Lei Ding and </w:t>
      </w:r>
      <w:proofErr w:type="spellStart"/>
      <w:r w:rsidRPr="00264807">
        <w:rPr>
          <w:rFonts w:eastAsia="Times New Roman" w:cs="Times New Roman"/>
          <w:szCs w:val="22"/>
        </w:rPr>
        <w:t>Jackelyn</w:t>
      </w:r>
      <w:proofErr w:type="spellEnd"/>
      <w:r w:rsidRPr="00264807">
        <w:rPr>
          <w:rFonts w:eastAsia="Times New Roman" w:cs="Times New Roman"/>
          <w:szCs w:val="22"/>
        </w:rPr>
        <w:t xml:space="preserve"> Hwang, “The Consequences of Gentrification</w:t>
      </w:r>
      <w:r>
        <w:rPr>
          <w:rFonts w:eastAsia="Times New Roman" w:cs="Times New Roman"/>
          <w:szCs w:val="22"/>
        </w:rPr>
        <w:t>.”</w:t>
      </w:r>
    </w:p>
    <w:p w14:paraId="18502A17" w14:textId="77777777" w:rsidR="000C0771" w:rsidRDefault="000C0771">
      <w:pPr>
        <w:pStyle w:val="FootnoteText"/>
      </w:pPr>
    </w:p>
  </w:footnote>
  <w:footnote w:id="28">
    <w:p w14:paraId="0555CE25" w14:textId="5853E5F3" w:rsidR="000C0771" w:rsidRDefault="000C0771">
      <w:pPr>
        <w:pStyle w:val="FootnoteText"/>
        <w:rPr>
          <w:rFonts w:cs="Times New Roman"/>
          <w:szCs w:val="22"/>
        </w:rPr>
      </w:pPr>
      <w:r w:rsidRPr="00F3497A">
        <w:rPr>
          <w:rStyle w:val="FootnoteReference"/>
        </w:rPr>
        <w:footnoteRef/>
      </w:r>
      <w:r w:rsidRPr="0013559B">
        <w:rPr>
          <w:rFonts w:cs="Times New Roman"/>
          <w:szCs w:val="22"/>
        </w:rPr>
        <w:t xml:space="preserve"> </w:t>
      </w:r>
      <w:r w:rsidRPr="0013559B">
        <w:rPr>
          <w:rFonts w:cs="Times New Roman"/>
          <w:szCs w:val="22"/>
        </w:rPr>
        <w:fldChar w:fldCharType="begin"/>
      </w:r>
      <w:r>
        <w:rPr>
          <w:rFonts w:cs="Times New Roman"/>
          <w:szCs w:val="22"/>
        </w:rPr>
        <w:instrText xml:space="preserve"> ADDIN ZOTERO_ITEM CSL_CITATION {"citationID":"QMlR22jr","properties":{"formattedCitation":"Lance Freeman and Frank Braconi, \\uc0\\u8220{}Gentrification and Displacement,\\uc0\\u8221{} {\\i{}Journal of the American Planning Association} 70, no. 1 (Winter 2004): 39\\uc0\\u8211{}52, https://doi.org/10.1080/01944360408976337.","plainCitation":"Lance Freeman and Frank Braconi, “Gentrification and Displacement,” Journal of the American Planning Association 70, no. 1 (Winter 2004): 39–52, https://doi.org/10.1080/01944360408976337.","noteIndex":28},"citationItems":[{"id":303,"uris":["http://zotero.org/users/5043758/items/LMEJ8FUX"],"uri":["http://zotero.org/users/5043758/items/LMEJ8FUX"],"itemData":{"id":303,"type":"article-journal","title":"Gentrification and Displacement","container-title":"Journal of the American Planning Association","page":"39-52","volume":"70","issue":"1","source":"EBSCOhost","abstract":"Gentrification has been viewed by some as a solution to many of the problems facing older central cities. At the same time, many are wary of the potential for gentrification to displace disadvantaged residents. To date, however, surprisingly little reliable evidence has been produced about the magnitude of this problem that could guide planners, policymakers, or community-based organizations. The study described in this article attempts to fill this void by examining residential mobility among disadvantaged households in New York City during the 1990s. We found that rather than rapid displacement, gentrification was associated with slower residential turnover among these households. In New York City, during the I990S at least, normal succession appears to be responsible for changes in gentrifying neighborhoods. The article concludes with a discussion of the implications of these findings for planning.","DOI":"10.1080/01944360408976337","ISSN":"01944363","journalAbbreviation":"Journal of the American Planning Association","author":[{"family":"Freeman","given":"Lance"},{"family":"Braconi","given":"Frank"}],"issued":{"date-parts":[["2004"]],"season":"Winter"}}}],"schema":"https://github.com/citation-style-language/schema/raw/master/csl-citation.json"} </w:instrText>
      </w:r>
      <w:r w:rsidRPr="0013559B">
        <w:rPr>
          <w:rFonts w:cs="Times New Roman"/>
          <w:szCs w:val="22"/>
        </w:rPr>
        <w:fldChar w:fldCharType="separate"/>
      </w:r>
      <w:r w:rsidRPr="0013559B">
        <w:rPr>
          <w:rFonts w:eastAsia="Times New Roman" w:cs="Times New Roman"/>
          <w:szCs w:val="22"/>
        </w:rPr>
        <w:t xml:space="preserve">Lance Freeman and Frank Braconi, “Gentrification and Displacement,” </w:t>
      </w:r>
      <w:r w:rsidRPr="0013559B">
        <w:rPr>
          <w:rFonts w:eastAsia="Times New Roman" w:cs="Times New Roman"/>
          <w:i/>
          <w:iCs/>
          <w:szCs w:val="22"/>
        </w:rPr>
        <w:t>Journal of the American Planning Association</w:t>
      </w:r>
      <w:r w:rsidRPr="0013559B">
        <w:rPr>
          <w:rFonts w:eastAsia="Times New Roman" w:cs="Times New Roman"/>
          <w:szCs w:val="22"/>
        </w:rPr>
        <w:t xml:space="preserve"> 70, no. 1 (Winter 2004): 39–52, https://doi.org/10.1080/01944360408976337.</w:t>
      </w:r>
      <w:r w:rsidRPr="0013559B">
        <w:rPr>
          <w:rFonts w:cs="Times New Roman"/>
          <w:szCs w:val="22"/>
        </w:rPr>
        <w:fldChar w:fldCharType="end"/>
      </w:r>
    </w:p>
    <w:p w14:paraId="566B758B" w14:textId="77777777" w:rsidR="000C0771" w:rsidRPr="0013559B" w:rsidRDefault="000C0771">
      <w:pPr>
        <w:pStyle w:val="FootnoteText"/>
        <w:rPr>
          <w:rFonts w:cs="Times New Roman"/>
          <w:szCs w:val="22"/>
        </w:rPr>
      </w:pPr>
    </w:p>
  </w:footnote>
  <w:footnote w:id="29">
    <w:p w14:paraId="499A6187" w14:textId="3883F1CF" w:rsidR="000C0771" w:rsidRPr="000062CC" w:rsidRDefault="000C0771">
      <w:pPr>
        <w:pStyle w:val="FootnoteText"/>
        <w:rPr>
          <w:rFonts w:cs="Times New Roman"/>
          <w:szCs w:val="22"/>
        </w:rPr>
      </w:pPr>
      <w:r w:rsidRPr="00F3497A">
        <w:rPr>
          <w:rStyle w:val="FootnoteReference"/>
        </w:rPr>
        <w:footnoteRef/>
      </w:r>
      <w:r w:rsidRPr="000062CC">
        <w:rPr>
          <w:rFonts w:cs="Times New Roman"/>
          <w:szCs w:val="22"/>
        </w:rPr>
        <w:t xml:space="preserve"> </w:t>
      </w:r>
      <w:r w:rsidRPr="000062CC">
        <w:rPr>
          <w:rFonts w:cs="Times New Roman"/>
          <w:szCs w:val="22"/>
        </w:rPr>
        <w:fldChar w:fldCharType="begin"/>
      </w:r>
      <w:r>
        <w:rPr>
          <w:rFonts w:cs="Times New Roman"/>
          <w:szCs w:val="22"/>
        </w:rPr>
        <w:instrText xml:space="preserve"> ADDIN ZOTERO_ITEM CSL_CITATION {"citationID":"DO8Zv3jP","properties":{"formattedCitation":"Lornet Turnbull, \\uc0\\u8220{}To Combat Gentrification, One City Is Changing How Homes Are Bought and Sold,\\uc0\\u8221{} {\\i{}YES! Magazine}, July 13, 2018, https://www.yesmagazine.org/issues/affordable-housing/to-combat-gentrification-one-city-is-changing-how-homes-are-bought-and-sold-20180713.","plainCitation":"Lornet Turnbull, “To Combat Gentrification, One City Is Changing How Homes Are Bought and Sold,” YES! Magazine, July 13, 2018, https://www.yesmagazine.org/issues/affordable-housing/to-combat-gentrification-one-city-is-changing-how-homes-are-bought-and-sold-20180713.","noteIndex":29},"citationItems":[{"id":122,"uris":["http://zotero.org/users/5043758/items/LJNW4F6R"],"uri":["http://zotero.org/users/5043758/items/LJNW4F6R"],"itemData":{"id":122,"type":"article-journal","title":"To Combat Gentrification, One City Is Changing How Homes Are Bought and Sold","container-title":"YES! Magazine","source":"www.yesmagazine.org","abstract":"The city of Buffalo is supporting its first community land trust, designed to give neighbors control over  land use and to keep housing affordable.","URL":"https://www.yesmagazine.org/issues/affordable-housing/to-combat-gentrification-one-city-is-changing-how-homes-are-bought-and-sold-20180713","language":"en","author":[{"family":"Turnbull","given":"Lornet"}],"issued":{"date-parts":[["2018",7,13]]},"accessed":{"date-parts":[["2018",8,14]]}}}],"schema":"https://github.com/citation-style-language/schema/raw/master/csl-citation.json"} </w:instrText>
      </w:r>
      <w:r w:rsidRPr="000062CC">
        <w:rPr>
          <w:rFonts w:cs="Times New Roman"/>
          <w:szCs w:val="22"/>
        </w:rPr>
        <w:fldChar w:fldCharType="separate"/>
      </w:r>
      <w:r w:rsidRPr="000062CC">
        <w:rPr>
          <w:rFonts w:eastAsia="Times New Roman" w:cs="Times New Roman"/>
          <w:szCs w:val="22"/>
        </w:rPr>
        <w:t xml:space="preserve">Lornet Turnbull, “To Combat Gentrification, One City Is Changing How Homes Are Bought and Sold,” </w:t>
      </w:r>
      <w:r w:rsidRPr="000062CC">
        <w:rPr>
          <w:rFonts w:eastAsia="Times New Roman" w:cs="Times New Roman"/>
          <w:i/>
          <w:iCs/>
          <w:szCs w:val="22"/>
        </w:rPr>
        <w:t>YES! Magazine</w:t>
      </w:r>
      <w:r w:rsidRPr="000062CC">
        <w:rPr>
          <w:rFonts w:eastAsia="Times New Roman" w:cs="Times New Roman"/>
          <w:szCs w:val="22"/>
        </w:rPr>
        <w:t>, July 13, 2018, https://www.yesmagazine.org/issues/affordable-housing/to-combat-gentrification-one-city-is-changing-how-homes-are-bought-and-sold-20180713.</w:t>
      </w:r>
      <w:r w:rsidRPr="000062CC">
        <w:rPr>
          <w:rFonts w:cs="Times New Roman"/>
          <w:szCs w:val="22"/>
        </w:rPr>
        <w:fldChar w:fldCharType="end"/>
      </w:r>
    </w:p>
  </w:footnote>
  <w:footnote w:id="30">
    <w:p w14:paraId="45FE395C" w14:textId="0ED14668" w:rsidR="000C0771" w:rsidRDefault="000C0771">
      <w:pPr>
        <w:pStyle w:val="FootnoteText"/>
        <w:rPr>
          <w:rFonts w:cs="Times New Roman"/>
          <w:szCs w:val="22"/>
        </w:rPr>
      </w:pPr>
      <w:r w:rsidRPr="00F3497A">
        <w:rPr>
          <w:rStyle w:val="FootnoteReference"/>
        </w:rPr>
        <w:footnoteRef/>
      </w:r>
      <w:r w:rsidRPr="009E1C7B">
        <w:rPr>
          <w:rFonts w:cs="Times New Roman"/>
          <w:szCs w:val="22"/>
        </w:rPr>
        <w:t xml:space="preserve"> </w:t>
      </w:r>
      <w:r w:rsidRPr="009E1C7B">
        <w:rPr>
          <w:rFonts w:cs="Times New Roman"/>
          <w:szCs w:val="22"/>
        </w:rPr>
        <w:fldChar w:fldCharType="begin"/>
      </w:r>
      <w:r>
        <w:rPr>
          <w:rFonts w:cs="Times New Roman"/>
          <w:szCs w:val="22"/>
        </w:rPr>
        <w:instrText xml:space="preserve"> ADDIN ZOTERO_ITEM CSL_CITATION {"citationID":"LIRVNNz4","properties":{"formattedCitation":"Sheehan, \\uc0\\u8220{}Outcry Over \\uc0\\u8216{}Black People In The Future\\uc0\\u8217{} Billboard Reveals Simmering Tensions Over Gentrification.\\uc0\\u8221{}","plainCitation":"Sheehan, “Outcry Over ‘Black People In The Future’ Billboard Reveals Simmering Tensions Over Gentrification.”","noteIndex":30},"citationItems":[{"id":178,"uris":["http://zotero.org/users/5043758/items/HNCE5CCH"],"uri":["http://zotero.org/users/5043758/items/HNCE5CCH"],"itemData":{"id":178,"type":"broadcast","title":"Outcry Over ‘Black People In The Future’ Billboard Reveals Simmering Tensions Over Gentrification","abstract":"Tensions have long been simmering over gentrification in East Liberty, but they boiled over recently with removal of a controversial billboard.","URL":"https://pittsburgh.cbslocal.com/2018/04/06/east-liberty-billboard-gentrification/","language":"en","author":[{"family":"Sheehan","given":"Andy"}],"issued":{"date-parts":[["2018",4,6]]},"accessed":{"date-parts":[["2018",10,14]]}}}],"schema":"https://github.com/citation-style-language/schema/raw/master/csl-citation.json"} </w:instrText>
      </w:r>
      <w:r w:rsidRPr="009E1C7B">
        <w:rPr>
          <w:rFonts w:cs="Times New Roman"/>
          <w:szCs w:val="22"/>
        </w:rPr>
        <w:fldChar w:fldCharType="separate"/>
      </w:r>
      <w:r w:rsidRPr="00942F37">
        <w:rPr>
          <w:rFonts w:eastAsia="Times New Roman" w:cs="Times New Roman"/>
        </w:rPr>
        <w:t>Sheehan, “Outcry Over ‘Black People In The Future’ Billboard Reveals Simmering Tensions Over Gentrification.”</w:t>
      </w:r>
      <w:r w:rsidRPr="009E1C7B">
        <w:rPr>
          <w:rFonts w:cs="Times New Roman"/>
          <w:szCs w:val="22"/>
        </w:rPr>
        <w:fldChar w:fldCharType="end"/>
      </w:r>
    </w:p>
    <w:p w14:paraId="73893062" w14:textId="77777777" w:rsidR="000C0771" w:rsidRPr="009E1C7B" w:rsidRDefault="000C0771">
      <w:pPr>
        <w:pStyle w:val="FootnoteText"/>
        <w:rPr>
          <w:rFonts w:cs="Times New Roman"/>
          <w:szCs w:val="22"/>
        </w:rPr>
      </w:pPr>
    </w:p>
  </w:footnote>
  <w:footnote w:id="31">
    <w:p w14:paraId="2A830C1D" w14:textId="6829A4B3" w:rsidR="000C0771" w:rsidRPr="00E548FC" w:rsidRDefault="000C0771">
      <w:pPr>
        <w:pStyle w:val="FootnoteText"/>
        <w:rPr>
          <w:rFonts w:cs="Times New Roman"/>
          <w:szCs w:val="22"/>
        </w:rPr>
      </w:pPr>
      <w:r w:rsidRPr="00F3497A">
        <w:rPr>
          <w:rStyle w:val="FootnoteReference"/>
        </w:rPr>
        <w:footnoteRef/>
      </w:r>
      <w:r w:rsidRPr="00E548FC">
        <w:rPr>
          <w:rFonts w:cs="Times New Roman"/>
          <w:szCs w:val="22"/>
        </w:rPr>
        <w:t xml:space="preserve"> </w:t>
      </w:r>
      <w:r w:rsidRPr="00E548FC">
        <w:rPr>
          <w:rFonts w:cs="Times New Roman"/>
          <w:szCs w:val="22"/>
        </w:rPr>
        <w:fldChar w:fldCharType="begin"/>
      </w:r>
      <w:r>
        <w:rPr>
          <w:rFonts w:cs="Times New Roman"/>
          <w:szCs w:val="22"/>
        </w:rPr>
        <w:instrText xml:space="preserve"> ADDIN ZOTERO_ITEM CSL_CITATION {"citationID":"6I13Sa6Q","properties":{"formattedCitation":"Ryan Deto, \\uc0\\u8220{}Recent Penn Plaza Evictions Highlight East Liberty\\uc0\\u8217{}s Severe Lack of Affordable Housing,\\uc0\\u8221{} Pittsburgh City Paper, July 22, 2015, https://www.pghcitypaper.com/pittsburgh/recent-penn-plaza-evictions-highlight-east-libertys-severe-lack-of-affordable-housing/Content?oid=1841883.","plainCitation":"Ryan Deto, “Recent Penn Plaza Evictions Highlight East Liberty’s Severe Lack of Affordable Housing,” Pittsburgh City Paper, July 22, 2015, https://www.pghcitypaper.com/pittsburgh/recent-penn-plaza-evictions-highlight-east-libertys-severe-lack-of-affordable-housing/Content?oid=1841883.","noteIndex":31},"citationItems":[{"id":545,"uris":["http://zotero.org/users/5043758/items/5LUCPKYE"],"uri":["http://zotero.org/users/5043758/items/5LUCPKYE"],"itemData":{"id":545,"type":"webpage","title":"Recent Penn Plaza evictions highlight East Liberty's severe lack of affordable housing","container-title":"Pittsburgh City Paper","URL":"https://www.pghcitypaper.com/pittsburgh/recent-penn-plaza-evictions-highlight-east-libertys-severe-lack-of-affordable-housing/Content?oid=1841883","author":[{"family":"Deto","given":"Ryan"}],"issued":{"date-parts":[["2015",7,22]]},"accessed":{"date-parts":[["2019",4,19]]}}}],"schema":"https://github.com/citation-style-language/schema/raw/master/csl-citation.json"} </w:instrText>
      </w:r>
      <w:r w:rsidRPr="00E548FC">
        <w:rPr>
          <w:rFonts w:cs="Times New Roman"/>
          <w:szCs w:val="22"/>
        </w:rPr>
        <w:fldChar w:fldCharType="separate"/>
      </w:r>
      <w:r w:rsidRPr="00E548FC">
        <w:rPr>
          <w:rFonts w:eastAsia="Times New Roman" w:cs="Times New Roman"/>
          <w:szCs w:val="22"/>
        </w:rPr>
        <w:t>Ryan Deto, “Recent Penn Plaza Evictions Highlight East Liberty’s Severe Lack of Affordable Housing,” Pittsburgh City Paper, July 22, 2015, https://www.pghcitypaper.com/pittsburgh/recent-penn-plaza-evictions-highlight-east-libertys-severe-lack-of-affordable-housing/Content?oid=1841883.</w:t>
      </w:r>
      <w:r w:rsidRPr="00E548FC">
        <w:rPr>
          <w:rFonts w:cs="Times New Roman"/>
          <w:szCs w:val="22"/>
        </w:rPr>
        <w:fldChar w:fldCharType="end"/>
      </w:r>
    </w:p>
  </w:footnote>
  <w:footnote w:id="32">
    <w:p w14:paraId="57AB2D78" w14:textId="7D3BEF20" w:rsidR="000C0771" w:rsidRDefault="000C0771">
      <w:pPr>
        <w:pStyle w:val="FootnoteText"/>
        <w:rPr>
          <w:rFonts w:cs="Times New Roman"/>
          <w:szCs w:val="22"/>
        </w:rPr>
      </w:pPr>
      <w:r w:rsidRPr="00F3497A">
        <w:rPr>
          <w:rStyle w:val="FootnoteReference"/>
        </w:rPr>
        <w:footnoteRef/>
      </w:r>
      <w:r w:rsidRPr="0050394F">
        <w:rPr>
          <w:rFonts w:cs="Times New Roman"/>
          <w:szCs w:val="22"/>
        </w:rPr>
        <w:t xml:space="preserve"> </w:t>
      </w:r>
      <w:r w:rsidRPr="0050394F">
        <w:rPr>
          <w:rFonts w:cs="Times New Roman"/>
          <w:szCs w:val="22"/>
        </w:rPr>
        <w:fldChar w:fldCharType="begin"/>
      </w:r>
      <w:r>
        <w:rPr>
          <w:rFonts w:cs="Times New Roman"/>
          <w:szCs w:val="22"/>
        </w:rPr>
        <w:instrText xml:space="preserve"> ADDIN ZOTERO_ITEM CSL_CITATION {"citationID":"lkUc9hKM","properties":{"formattedCitation":"Erica Avrami, \\uc0\\u8220{}Making Historic Preservation Sustainable,\\uc0\\u8221{} {\\i{}Journal of the American Planning Association} 82, no. 2 (Spring 2016): 104\\uc0\\u8211{}12, https://doi.org/10.1080/01944363.2015.1126196.","plainCitation":"Erica Avrami, “Making Historic Preservation Sustainable,” Journal of the American Planning Association 82, no. 2 (Spring 2016): 104–12, https://doi.org/10.1080/01944363.2015.1126196.","dontUpdate":true,"noteIndex":32},"citationItems":[{"id":309,"uris":["http://zotero.org/users/5043758/items/5RDWKGNG"],"uri":["http://zotero.org/users/5043758/items/5RDWKGNG"],"itemData":{"id":309,"type":"article-journal","title":"Making Historic Preservation Sustainable","container-title":"Journal of the American Planning Association","page":"104-112","volume":"82","issue":"2","source":"EBSCOhost","abstract":"Problem, research strategy, and findings:Historic preservation has the potential to serve as a constructive agent of change within the built environment and to contribute to goals of environmental, economic, and social sustainability. However, tensions between sustainability goals and preservation policy and practice are impeding opportunities to forge common ground and a shared agenda. I review the existing literature related to the preservation–-sustainability nexus and critically analyze how preservation policies and practices conflict with or support key sustainability goals of energy consumption reduction, alternative energy production, urban densification, economic development, inclusion, diversity and participation, and intergenerational equity. Key findings of this research include the need to resolve tensions between sustainability and historic preservation practice through research and data, evolving preservation policies, and aligning historic preservation with the goals of environmental, economic, and social sustainability. Takeaway for practice:The future of the preservation field and its engagement with sustainability goals hinge on the ability to contribute to environmental, economic, and social aims, but to also demonstrate why social concerns may sometimes trump economic and environmental ones given the fundamentally social aims of historic preservation. Understanding where tensions lie and why conflicts arise is an important step toward enhancing research about preservation outcomes and their contributions to sustainability and evolving preservation policy to better respond to changing environmental, economic, and societal conditions.","DOI":"10.1080/01944363.2015.1126196","ISSN":"01944363","journalAbbreviation":"Journal of the American Planning Association","author":[{"family":"Avrami","given":"Erica"}],"issued":{"date-parts":[["2016"]],"season":"Spring"}}}],"schema":"https://github.com/citation-style-language/schema/raw/master/csl-citation.json"} </w:instrText>
      </w:r>
      <w:r w:rsidRPr="0050394F">
        <w:rPr>
          <w:rFonts w:cs="Times New Roman"/>
          <w:szCs w:val="22"/>
        </w:rPr>
        <w:fldChar w:fldCharType="separate"/>
      </w:r>
      <w:r w:rsidRPr="0050394F">
        <w:rPr>
          <w:rFonts w:eastAsia="Times New Roman" w:cs="Times New Roman"/>
          <w:szCs w:val="22"/>
        </w:rPr>
        <w:t xml:space="preserve">Erica Avrami, “Making Historic Preservation Sustainable,” </w:t>
      </w:r>
      <w:r w:rsidRPr="0050394F">
        <w:rPr>
          <w:rFonts w:eastAsia="Times New Roman" w:cs="Times New Roman"/>
          <w:i/>
          <w:iCs/>
          <w:szCs w:val="22"/>
        </w:rPr>
        <w:t>Journal of the American Planning Association</w:t>
      </w:r>
      <w:r w:rsidRPr="0050394F">
        <w:rPr>
          <w:rFonts w:eastAsia="Times New Roman" w:cs="Times New Roman"/>
          <w:szCs w:val="22"/>
        </w:rPr>
        <w:t xml:space="preserve"> 82, no. 2 (Spring 2016): 109, https://doi.org/10.1080/01944363.2015.1126196.</w:t>
      </w:r>
      <w:r w:rsidRPr="0050394F">
        <w:rPr>
          <w:rFonts w:cs="Times New Roman"/>
          <w:szCs w:val="22"/>
        </w:rPr>
        <w:fldChar w:fldCharType="end"/>
      </w:r>
    </w:p>
    <w:p w14:paraId="520813F6" w14:textId="77777777" w:rsidR="000C0771" w:rsidRPr="0050394F" w:rsidRDefault="000C0771">
      <w:pPr>
        <w:pStyle w:val="FootnoteText"/>
        <w:rPr>
          <w:rFonts w:cs="Times New Roman"/>
          <w:szCs w:val="22"/>
        </w:rPr>
      </w:pPr>
    </w:p>
  </w:footnote>
  <w:footnote w:id="33">
    <w:p w14:paraId="7EE4BB31" w14:textId="5B8680CD" w:rsidR="000C0771" w:rsidRDefault="000C0771">
      <w:pPr>
        <w:pStyle w:val="FootnoteText"/>
      </w:pPr>
      <w:r w:rsidRPr="00F3497A">
        <w:rPr>
          <w:rStyle w:val="FootnoteReference"/>
        </w:rPr>
        <w:footnoteRef/>
      </w:r>
      <w:r>
        <w:t xml:space="preserve"> </w:t>
      </w:r>
      <w:r>
        <w:fldChar w:fldCharType="begin"/>
      </w:r>
      <w:r>
        <w:instrText xml:space="preserve"> ADDIN ZOTERO_ITEM CSL_CITATION {"citationID":"fxmEFB9B","properties":{"formattedCitation":"Avrami, 110.","plainCitation":"Avrami, 110.","noteIndex":33},"citationItems":[{"id":309,"uris":["http://zotero.org/users/5043758/items/5RDWKGNG"],"uri":["http://zotero.org/users/5043758/items/5RDWKGNG"],"itemData":{"id":309,"type":"article-journal","title":"Making Historic Preservation Sustainable","container-title":"Journal of the American Planning Association","page":"104-112","volume":"82","issue":"2","source":"EBSCOhost","abstract":"Problem, research strategy, and findings:Historic preservation has the potential to serve as a constructive agent of change within the built environment and to contribute to goals of environmental, economic, and social sustainability. However, tensions between sustainability goals and preservation policy and practice are impeding opportunities to forge common ground and a shared agenda. I review the existing literature related to the preservation–-sustainability nexus and critically analyze how preservation policies and practices conflict with or support key sustainability goals of energy consumption reduction, alternative energy production, urban densification, economic development, inclusion, diversity and participation, and intergenerational equity. Key findings of this research include the need to resolve tensions between sustainability and historic preservation practice through research and data, evolving preservation policies, and aligning historic preservation with the goals of environmental, economic, and social sustainability. Takeaway for practice:The future of the preservation field and its engagement with sustainability goals hinge on the ability to contribute to environmental, economic, and social aims, but to also demonstrate why social concerns may sometimes trump economic and environmental ones given the fundamentally social aims of historic preservation. Understanding where tensions lie and why conflicts arise is an important step toward enhancing research about preservation outcomes and their contributions to sustainability and evolving preservation policy to better respond to changing environmental, economic, and societal conditions.","DOI":"10.1080/01944363.2015.1126196","ISSN":"01944363","journalAbbreviation":"Journal of the American Planning Association","author":[{"family":"Avrami","given":"Erica"}],"issued":{"date-parts":[["2016"]],"season":"Spring"}},"locator":"110","label":"page"}],"schema":"https://github.com/citation-style-language/schema/raw/master/csl-citation.json"} </w:instrText>
      </w:r>
      <w:r>
        <w:fldChar w:fldCharType="separate"/>
      </w:r>
      <w:r>
        <w:rPr>
          <w:noProof/>
        </w:rPr>
        <w:t>Avrami, 110.</w:t>
      </w:r>
      <w:r>
        <w:fldChar w:fldCharType="end"/>
      </w:r>
    </w:p>
    <w:p w14:paraId="2EF75255" w14:textId="77777777" w:rsidR="000C0771" w:rsidRDefault="000C0771">
      <w:pPr>
        <w:pStyle w:val="FootnoteText"/>
      </w:pPr>
    </w:p>
  </w:footnote>
  <w:footnote w:id="34">
    <w:p w14:paraId="7854ADF8" w14:textId="07827608" w:rsidR="000C0771" w:rsidRDefault="000C0771">
      <w:pPr>
        <w:pStyle w:val="FootnoteText"/>
        <w:rPr>
          <w:rFonts w:cs="Times New Roman"/>
          <w:szCs w:val="22"/>
        </w:rPr>
      </w:pPr>
      <w:r w:rsidRPr="00F3497A">
        <w:rPr>
          <w:rStyle w:val="FootnoteReference"/>
        </w:rPr>
        <w:footnoteRef/>
      </w:r>
      <w:r w:rsidRPr="00096C04">
        <w:rPr>
          <w:rFonts w:cs="Times New Roman"/>
          <w:szCs w:val="22"/>
        </w:rPr>
        <w:t xml:space="preserve"> </w:t>
      </w:r>
      <w:r w:rsidRPr="00096C04">
        <w:rPr>
          <w:rFonts w:cs="Times New Roman"/>
          <w:szCs w:val="22"/>
        </w:rPr>
        <w:fldChar w:fldCharType="begin"/>
      </w:r>
      <w:r>
        <w:rPr>
          <w:rFonts w:cs="Times New Roman"/>
          <w:szCs w:val="22"/>
        </w:rPr>
        <w:instrText xml:space="preserve"> ADDIN ZOTERO_ITEM CSL_CITATION {"citationID":"UyEVDLJo","properties":{"formattedCitation":"\\uc0\\u8220{}Preservation for People: A Vision for the Future\\uc0\\u8221{} (Washington D.C.: National Trust for Historic Preservation, May 2017).","plainCitation":"“Preservation for People: A Vision for the Future” (Washington D.C.: National Trust for Historic Preservation, May 2017).","dontUpdate":true,"noteIndex":34},"citationItems":[{"id":318,"uris":["http://zotero.org/users/5043758/items/IZUZIYPR"],"uri":["http://zotero.org/users/5043758/items/IZUZIYPR"],"itemData":{"id":318,"type":"report","title":"Preservation for People: A Vision for the Future","publisher":"National Trust for Historic Preservation","publisher-place":"Washington D.C.","page":"16","source":"Zotero","event-place":"Washington D.C.","language":"en","issued":{"date-parts":[["2017",5]]}}}],"schema":"https://github.com/citation-style-language/schema/raw/master/csl-citation.json"} </w:instrText>
      </w:r>
      <w:r w:rsidRPr="00096C04">
        <w:rPr>
          <w:rFonts w:cs="Times New Roman"/>
          <w:szCs w:val="22"/>
        </w:rPr>
        <w:fldChar w:fldCharType="separate"/>
      </w:r>
      <w:r w:rsidRPr="00096C04">
        <w:rPr>
          <w:rFonts w:eastAsia="Times New Roman" w:cs="Times New Roman"/>
          <w:szCs w:val="22"/>
        </w:rPr>
        <w:t>“Preservation for People: A Vision for the Future” (Washington D.C.: National Trust for Historic Preservation, May 2017)</w:t>
      </w:r>
      <w:r>
        <w:rPr>
          <w:rFonts w:eastAsia="Times New Roman" w:cs="Times New Roman"/>
          <w:szCs w:val="22"/>
        </w:rPr>
        <w:t>: 5, 7, 9</w:t>
      </w:r>
      <w:r w:rsidRPr="00096C04">
        <w:rPr>
          <w:rFonts w:eastAsia="Times New Roman" w:cs="Times New Roman"/>
          <w:szCs w:val="22"/>
        </w:rPr>
        <w:t>.</w:t>
      </w:r>
      <w:r w:rsidRPr="00096C04">
        <w:rPr>
          <w:rFonts w:cs="Times New Roman"/>
          <w:szCs w:val="22"/>
        </w:rPr>
        <w:fldChar w:fldCharType="end"/>
      </w:r>
    </w:p>
    <w:p w14:paraId="1AF295E4" w14:textId="77777777" w:rsidR="000C0771" w:rsidRPr="00096C04" w:rsidRDefault="000C0771">
      <w:pPr>
        <w:pStyle w:val="FootnoteText"/>
        <w:rPr>
          <w:rFonts w:cs="Times New Roman"/>
          <w:szCs w:val="22"/>
        </w:rPr>
      </w:pPr>
    </w:p>
  </w:footnote>
  <w:footnote w:id="35">
    <w:p w14:paraId="32FE8C92" w14:textId="0F70BE5C" w:rsidR="000C0771" w:rsidRPr="00D05044" w:rsidRDefault="000C0771">
      <w:pPr>
        <w:pStyle w:val="FootnoteText"/>
        <w:rPr>
          <w:rFonts w:cs="Times New Roman"/>
          <w:szCs w:val="22"/>
        </w:rPr>
      </w:pPr>
      <w:r w:rsidRPr="00F3497A">
        <w:rPr>
          <w:rStyle w:val="FootnoteReference"/>
        </w:rPr>
        <w:footnoteRef/>
      </w:r>
      <w:r w:rsidRPr="00D05044">
        <w:rPr>
          <w:rFonts w:cs="Times New Roman"/>
          <w:szCs w:val="22"/>
        </w:rPr>
        <w:t xml:space="preserve"> </w:t>
      </w:r>
      <w:r w:rsidRPr="00D05044">
        <w:rPr>
          <w:rFonts w:cs="Times New Roman"/>
          <w:szCs w:val="22"/>
        </w:rPr>
        <w:fldChar w:fldCharType="begin"/>
      </w:r>
      <w:r>
        <w:rPr>
          <w:rFonts w:cs="Times New Roman"/>
          <w:szCs w:val="22"/>
        </w:rPr>
        <w:instrText xml:space="preserve"> ADDIN ZOTERO_ITEM CSL_CITATION {"citationID":"Q5yByDv5","properties":{"formattedCitation":"Jeremy C. Wells and Barry L. Stiefel, {\\i{}Human-Centered Built Environment Heritage Preservation: Theory and Evidence-Based Practice} (New York: Routledge, 2019), https://www-taylorfrancis-com.goucher.idm.oclc.org/books/e/9780429014079.","plainCitation":"Jeremy C. Wells and Barry L. Stiefel, Human-Centered Built Environment Heritage Preservation: Theory and Evidence-Based Practice (New York: Routledge, 2019), https://www-taylorfrancis-com.goucher.idm.oclc.org/books/e/9780429014079.","dontUpdate":true,"noteIndex":35},"citationItems":[{"id":286,"uris":["http://zotero.org/users/5043758/items/WCU8P2SG"],"uri":["http://zotero.org/users/5043758/items/WCU8P2SG"],"itemData":{"id":286,"type":"book","title":"Human-Centered Built Environment Heritage Preservation: Theory and Evidence-Based Practice","publisher":"Routledge","publisher-place":"New York","event-place":"New York","abstract":"Human-Centered Built Environment Heritage Preservation addresses the question of how a human-centred conservation approach can and should change practice. For","URL":"https://www-taylorfrancis-com.goucher.idm.oclc.org/books/e/9780429014079","language":"en","author":[{"family":"Wells","given":"Jeremy C."},{"family":"Stiefel","given":"Barry L."}],"issued":{"date-parts":[["2019"]]},"accessed":{"date-parts":[["2019",1,29]]}}}],"schema":"https://github.com/citation-style-language/schema/raw/master/csl-citation.json"} </w:instrText>
      </w:r>
      <w:r w:rsidRPr="00D05044">
        <w:rPr>
          <w:rFonts w:cs="Times New Roman"/>
          <w:szCs w:val="22"/>
        </w:rPr>
        <w:fldChar w:fldCharType="separate"/>
      </w:r>
      <w:r w:rsidRPr="00D05044">
        <w:rPr>
          <w:rFonts w:eastAsia="Times New Roman" w:cs="Times New Roman"/>
          <w:szCs w:val="22"/>
        </w:rPr>
        <w:t xml:space="preserve">Jeremy C. Wells and Barry L. Stiefel, </w:t>
      </w:r>
      <w:r w:rsidRPr="00D05044">
        <w:rPr>
          <w:rFonts w:eastAsia="Times New Roman" w:cs="Times New Roman"/>
          <w:i/>
          <w:iCs/>
          <w:szCs w:val="22"/>
        </w:rPr>
        <w:t>Human-Centered Built Environment Heritage Preservation: Theory and Evidence-Based Practice</w:t>
      </w:r>
      <w:r w:rsidRPr="00D05044">
        <w:rPr>
          <w:rFonts w:eastAsia="Times New Roman" w:cs="Times New Roman"/>
          <w:szCs w:val="22"/>
        </w:rPr>
        <w:t xml:space="preserve"> (New York: Routledge, 2019): 26, https://www-taylorfrancis-com.goucher.idm.oclc.org/books/e/9780429014079.</w:t>
      </w:r>
      <w:r w:rsidRPr="00D05044">
        <w:rPr>
          <w:rFonts w:cs="Times New Roman"/>
          <w:szCs w:val="22"/>
        </w:rPr>
        <w:fldChar w:fldCharType="end"/>
      </w:r>
    </w:p>
  </w:footnote>
  <w:footnote w:id="36">
    <w:p w14:paraId="5FDEAD5D" w14:textId="222CCEDD" w:rsidR="000C0771" w:rsidRDefault="000C0771" w:rsidP="008855AF">
      <w:pPr>
        <w:pStyle w:val="FootnoteText"/>
        <w:rPr>
          <w:rFonts w:cs="Times New Roman"/>
          <w:szCs w:val="22"/>
        </w:rPr>
      </w:pPr>
      <w:r w:rsidRPr="00F3497A">
        <w:rPr>
          <w:rStyle w:val="FootnoteReference"/>
        </w:rPr>
        <w:footnoteRef/>
      </w:r>
      <w:r w:rsidRPr="00064189">
        <w:rPr>
          <w:rFonts w:cs="Times New Roman"/>
          <w:szCs w:val="22"/>
        </w:rPr>
        <w:t xml:space="preserve"> </w:t>
      </w:r>
      <w:r w:rsidRPr="00064189">
        <w:rPr>
          <w:rFonts w:cs="Times New Roman"/>
          <w:szCs w:val="22"/>
        </w:rPr>
        <w:fldChar w:fldCharType="begin"/>
      </w:r>
      <w:r>
        <w:rPr>
          <w:rFonts w:cs="Times New Roman"/>
          <w:szCs w:val="22"/>
        </w:rPr>
        <w:instrText xml:space="preserve"> ADDIN ZOTERO_ITEM CSL_CITATION {"citationID":"XvTurhI7","properties":{"formattedCitation":"Alan Mallach, {\\i{}The Divided City: Poverty and Prosperity in Urban America} (Washington D.C.: Island Press, 2018).","plainCitation":"Alan Mallach, The Divided City: Poverty and Prosperity in Urban America (Washington D.C.: Island Press, 2018).","noteIndex":36},"citationItems":[{"id":133,"uris":["http://zotero.org/users/5043758/items/2U89DKZI"],"uri":["http://zotero.org/users/5043758/items/2U89DKZI"],"itemData":{"id":133,"type":"book","title":"The Divided City: Poverty and Prosperity in Urban America","publisher":"Island Press","publisher-place":"Washington D.C.","number-of-pages":"344","event-place":"Washington D.C.","author":[{"family":"Mallach","given":"Alan"}],"issued":{"date-parts":[["2018"]]}}}],"schema":"https://github.com/citation-style-language/schema/raw/master/csl-citation.json"} </w:instrText>
      </w:r>
      <w:r w:rsidRPr="00064189">
        <w:rPr>
          <w:rFonts w:cs="Times New Roman"/>
          <w:szCs w:val="22"/>
        </w:rPr>
        <w:fldChar w:fldCharType="separate"/>
      </w:r>
      <w:r w:rsidRPr="00064189">
        <w:rPr>
          <w:rFonts w:eastAsia="Times New Roman" w:cs="Times New Roman"/>
          <w:szCs w:val="22"/>
        </w:rPr>
        <w:t xml:space="preserve">Alan Mallach, </w:t>
      </w:r>
      <w:r w:rsidRPr="00064189">
        <w:rPr>
          <w:rFonts w:eastAsia="Times New Roman" w:cs="Times New Roman"/>
          <w:i/>
          <w:iCs/>
          <w:szCs w:val="22"/>
        </w:rPr>
        <w:t>The Divided City: Poverty and Prosperity in Urban America</w:t>
      </w:r>
      <w:r w:rsidRPr="00064189">
        <w:rPr>
          <w:rFonts w:eastAsia="Times New Roman" w:cs="Times New Roman"/>
          <w:szCs w:val="22"/>
        </w:rPr>
        <w:t xml:space="preserve"> (Washington D.C.: Island Press, 2018).</w:t>
      </w:r>
      <w:r w:rsidRPr="00064189">
        <w:rPr>
          <w:rFonts w:cs="Times New Roman"/>
          <w:szCs w:val="22"/>
        </w:rPr>
        <w:fldChar w:fldCharType="end"/>
      </w:r>
    </w:p>
    <w:p w14:paraId="676D1747" w14:textId="77777777" w:rsidR="000C0771" w:rsidRPr="00064189" w:rsidRDefault="000C0771" w:rsidP="008855AF">
      <w:pPr>
        <w:pStyle w:val="FootnoteText"/>
        <w:rPr>
          <w:rFonts w:cs="Times New Roman"/>
          <w:szCs w:val="22"/>
        </w:rPr>
      </w:pPr>
    </w:p>
  </w:footnote>
  <w:footnote w:id="37">
    <w:p w14:paraId="1EB59CC2" w14:textId="2C49319D" w:rsidR="000C0771" w:rsidRPr="00B820F6" w:rsidRDefault="000C0771">
      <w:pPr>
        <w:pStyle w:val="FootnoteText"/>
        <w:rPr>
          <w:rFonts w:cs="Times New Roman"/>
          <w:szCs w:val="22"/>
        </w:rPr>
      </w:pPr>
      <w:r w:rsidRPr="00F3497A">
        <w:rPr>
          <w:rStyle w:val="FootnoteReference"/>
        </w:rPr>
        <w:footnoteRef/>
      </w:r>
      <w:r w:rsidRPr="00B820F6">
        <w:rPr>
          <w:rFonts w:cs="Times New Roman"/>
          <w:szCs w:val="22"/>
        </w:rPr>
        <w:t xml:space="preserve"> </w:t>
      </w:r>
      <w:r w:rsidRPr="00B820F6">
        <w:rPr>
          <w:rFonts w:cs="Times New Roman"/>
          <w:szCs w:val="22"/>
        </w:rPr>
        <w:fldChar w:fldCharType="begin"/>
      </w:r>
      <w:r>
        <w:rPr>
          <w:rFonts w:cs="Times New Roman"/>
          <w:szCs w:val="22"/>
        </w:rPr>
        <w:instrText xml:space="preserve"> ADDIN ZOTERO_ITEM CSL_CITATION {"citationID":"OjdMo599","properties":{"formattedCitation":"Kathleen McCormick, \\uc0\\u8220{}Planning for Social Equity: How Baltimore and Dallas Are Connecting Segregated Neighborhoods to Opportunity,\\uc0\\u8221{} {\\i{}Landlines}, February 2017, 26\\uc0\\u8211{}35.","plainCitation":"Kathleen McCormick, “Planning for Social Equity: How Baltimore and Dallas Are Connecting Segregated Neighborhoods to Opportunity,” Landlines, February 2017, 26–35.","dontUpdate":true,"noteIndex":37},"citationItems":[{"id":312,"uris":["http://zotero.org/users/5043758/items/RZK7SDTM"],"uri":["http://zotero.org/users/5043758/items/RZK7SDTM"],"itemData":{"id":312,"type":"article-journal","title":"Planning for Social Equity: How Baltimore and Dallas Are Connecting Segregated Neighborhoods to Opportunity","container-title":"Landlines","page":"26-35","source":"Zotero","language":"en","author":[{"family":"McCormick","given":"Kathleen"}],"issued":{"date-parts":[["2017",2]]}}}],"schema":"https://github.com/citation-style-language/schema/raw/master/csl-citation.json"} </w:instrText>
      </w:r>
      <w:r w:rsidRPr="00B820F6">
        <w:rPr>
          <w:rFonts w:cs="Times New Roman"/>
          <w:szCs w:val="22"/>
        </w:rPr>
        <w:fldChar w:fldCharType="separate"/>
      </w:r>
      <w:r w:rsidRPr="00B820F6">
        <w:rPr>
          <w:rFonts w:eastAsia="Times New Roman" w:cs="Times New Roman"/>
          <w:szCs w:val="22"/>
        </w:rPr>
        <w:t xml:space="preserve">Kathleen McCormick, “Planning for Social Equity: How Baltimore and Dallas Are Connecting Segregated Neighborhoods to Opportunity,” </w:t>
      </w:r>
      <w:r w:rsidRPr="00B820F6">
        <w:rPr>
          <w:rFonts w:eastAsia="Times New Roman" w:cs="Times New Roman"/>
          <w:i/>
          <w:iCs/>
          <w:szCs w:val="22"/>
        </w:rPr>
        <w:t>Landlines</w:t>
      </w:r>
      <w:r w:rsidRPr="00B820F6">
        <w:rPr>
          <w:rFonts w:eastAsia="Times New Roman" w:cs="Times New Roman"/>
          <w:szCs w:val="22"/>
        </w:rPr>
        <w:t>, February 2017, 26.</w:t>
      </w:r>
      <w:r w:rsidRPr="00B820F6">
        <w:rPr>
          <w:rFonts w:cs="Times New Roman"/>
          <w:szCs w:val="22"/>
        </w:rPr>
        <w:fldChar w:fldCharType="end"/>
      </w:r>
    </w:p>
  </w:footnote>
  <w:footnote w:id="38">
    <w:p w14:paraId="357443DD" w14:textId="64E8841C" w:rsidR="000C0771" w:rsidRPr="001C6251" w:rsidRDefault="000C0771">
      <w:pPr>
        <w:pStyle w:val="FootnoteText"/>
        <w:rPr>
          <w:rFonts w:cs="Times New Roman"/>
          <w:szCs w:val="22"/>
        </w:rPr>
      </w:pPr>
      <w:r w:rsidRPr="00F3497A">
        <w:rPr>
          <w:rStyle w:val="FootnoteReference"/>
        </w:rPr>
        <w:footnoteRef/>
      </w:r>
      <w:r w:rsidRPr="001C6251">
        <w:rPr>
          <w:rFonts w:cs="Times New Roman"/>
          <w:szCs w:val="22"/>
        </w:rPr>
        <w:t xml:space="preserve"> </w:t>
      </w:r>
      <w:r w:rsidRPr="001C6251">
        <w:rPr>
          <w:rFonts w:cs="Times New Roman"/>
          <w:szCs w:val="22"/>
        </w:rPr>
        <w:fldChar w:fldCharType="begin"/>
      </w:r>
      <w:r>
        <w:rPr>
          <w:rFonts w:cs="Times New Roman"/>
          <w:szCs w:val="22"/>
        </w:rPr>
        <w:instrText xml:space="preserve"> ADDIN ZOTERO_ITEM CSL_CITATION {"citationID":"w00ub7Yn","properties":{"formattedCitation":"Sarah Treuhaft, \\uc0\\u8220{}Equitable Development: The Path to an All-In Pittsburgh\\uc0\\u8221{} (PolicyLink, 2016).","plainCitation":"Sarah Treuhaft, “Equitable Development: The Path to an All-In Pittsburgh” (PolicyLink, 2016).","dontUpdate":true,"noteIndex":38},"citationItems":[{"id":314,"uris":["http://zotero.org/users/5043758/items/SN83QXGL"],"uri":["http://zotero.org/users/5043758/items/SN83QXGL"],"itemData":{"id":314,"type":"report","title":"Equitable Development: The Path to an All-In Pittsburgh","publisher":"PolicyLink","author":[{"family":"Treuhaft","given":"Sarah"}],"issued":{"date-parts":[["2016"]]}}}],"schema":"https://github.com/citation-style-language/schema/raw/master/csl-citation.json"} </w:instrText>
      </w:r>
      <w:r w:rsidRPr="001C6251">
        <w:rPr>
          <w:rFonts w:cs="Times New Roman"/>
          <w:szCs w:val="22"/>
        </w:rPr>
        <w:fldChar w:fldCharType="separate"/>
      </w:r>
      <w:r w:rsidRPr="001C6251">
        <w:rPr>
          <w:rFonts w:eastAsia="Times New Roman" w:cs="Times New Roman"/>
          <w:szCs w:val="22"/>
        </w:rPr>
        <w:t>Sarah Treuhaft, “Equitable Development: The Path to an All-In Pittsburgh” (PolicyLink, 2016): 5.</w:t>
      </w:r>
      <w:r w:rsidRPr="001C6251">
        <w:rPr>
          <w:rFonts w:cs="Times New Roman"/>
          <w:szCs w:val="22"/>
        </w:rPr>
        <w:fldChar w:fldCharType="end"/>
      </w:r>
    </w:p>
  </w:footnote>
  <w:footnote w:id="39">
    <w:p w14:paraId="270948BF" w14:textId="78BB3E95" w:rsidR="000C0771" w:rsidRDefault="000C0771">
      <w:pPr>
        <w:pStyle w:val="FootnoteText"/>
        <w:rPr>
          <w:rFonts w:cs="Times New Roman"/>
          <w:szCs w:val="22"/>
        </w:rPr>
      </w:pPr>
      <w:r w:rsidRPr="00F3497A">
        <w:rPr>
          <w:rStyle w:val="FootnoteReference"/>
        </w:rPr>
        <w:footnoteRef/>
      </w:r>
      <w:r w:rsidRPr="007D0954">
        <w:rPr>
          <w:rFonts w:cs="Times New Roman"/>
          <w:szCs w:val="22"/>
        </w:rPr>
        <w:t xml:space="preserve"> </w:t>
      </w:r>
      <w:r w:rsidRPr="007D0954">
        <w:rPr>
          <w:rFonts w:cs="Times New Roman"/>
          <w:szCs w:val="22"/>
        </w:rPr>
        <w:fldChar w:fldCharType="begin"/>
      </w:r>
      <w:r>
        <w:rPr>
          <w:rFonts w:cs="Times New Roman"/>
          <w:szCs w:val="22"/>
        </w:rPr>
        <w:instrText xml:space="preserve"> ADDIN ZOTERO_ITEM CSL_CITATION {"citationID":"nQLKMrN0","properties":{"formattedCitation":"Hawkes, {\\i{}The Fourth Pillar of Sustainability}.","plainCitation":"Hawkes, The Fourth Pillar of Sustainability.","dontUpdate":true,"noteIndex":39},"citationItems":[{"id":294,"uris":["http://zotero.org/users/5043758/items/RB5YRFKS"],"uri":["http://zotero.org/users/5043758/items/RB5YRFKS"],"itemData":{"id":294,"type":"book","title":"The fourth pillar of sustainability: culture's essential role in public planning","publisher":"Cultural Development Network: Common Ground","publisher-place":"Melbourne","source":"Open WorldCat","event-place":"Melbourne","ISBN":"978-1-86335-049-5","note":"OCLC: 957227746","title-short":"The fourth pillar of sustainability","language":"en","author":[{"family":"Hawkes","given":"Jon"}],"issued":{"date-parts":[["2001"]]}}}],"schema":"https://github.com/citation-style-language/schema/raw/master/csl-citation.json"} </w:instrText>
      </w:r>
      <w:r w:rsidRPr="007D0954">
        <w:rPr>
          <w:rFonts w:cs="Times New Roman"/>
          <w:szCs w:val="22"/>
        </w:rPr>
        <w:fldChar w:fldCharType="separate"/>
      </w:r>
      <w:r w:rsidRPr="007D0954">
        <w:rPr>
          <w:rFonts w:eastAsia="Times New Roman" w:cs="Times New Roman"/>
          <w:szCs w:val="22"/>
        </w:rPr>
        <w:t xml:space="preserve">Hawkes, </w:t>
      </w:r>
      <w:r w:rsidRPr="007D0954">
        <w:rPr>
          <w:rFonts w:eastAsia="Times New Roman" w:cs="Times New Roman"/>
          <w:i/>
          <w:iCs/>
          <w:szCs w:val="22"/>
        </w:rPr>
        <w:t xml:space="preserve">The Fourth Pillar of Sustainability: </w:t>
      </w:r>
      <w:r w:rsidRPr="007D0954">
        <w:rPr>
          <w:rFonts w:eastAsia="Times New Roman" w:cs="Times New Roman"/>
          <w:iCs/>
          <w:szCs w:val="22"/>
        </w:rPr>
        <w:t>2</w:t>
      </w:r>
      <w:r w:rsidRPr="007D0954">
        <w:rPr>
          <w:rFonts w:eastAsia="Times New Roman" w:cs="Times New Roman"/>
          <w:szCs w:val="22"/>
        </w:rPr>
        <w:t>.</w:t>
      </w:r>
      <w:r w:rsidRPr="007D0954">
        <w:rPr>
          <w:rFonts w:cs="Times New Roman"/>
          <w:szCs w:val="22"/>
        </w:rPr>
        <w:fldChar w:fldCharType="end"/>
      </w:r>
    </w:p>
    <w:p w14:paraId="5F22FB9F" w14:textId="77777777" w:rsidR="000C0771" w:rsidRPr="007D0954" w:rsidRDefault="000C0771">
      <w:pPr>
        <w:pStyle w:val="FootnoteText"/>
        <w:rPr>
          <w:rFonts w:cs="Times New Roman"/>
          <w:szCs w:val="22"/>
        </w:rPr>
      </w:pPr>
    </w:p>
  </w:footnote>
  <w:footnote w:id="40">
    <w:p w14:paraId="7F7C20C5" w14:textId="2C7F1032" w:rsidR="000C0771" w:rsidRPr="000B39FC" w:rsidRDefault="000C0771">
      <w:pPr>
        <w:pStyle w:val="FootnoteText"/>
        <w:rPr>
          <w:rFonts w:cs="Times New Roman"/>
          <w:szCs w:val="22"/>
        </w:rPr>
      </w:pPr>
      <w:r w:rsidRPr="00F3497A">
        <w:rPr>
          <w:rStyle w:val="FootnoteReference"/>
        </w:rPr>
        <w:footnoteRef/>
      </w:r>
      <w:r w:rsidRPr="000B39FC">
        <w:rPr>
          <w:rFonts w:cs="Times New Roman"/>
          <w:szCs w:val="22"/>
        </w:rPr>
        <w:t xml:space="preserve"> Alex </w:t>
      </w:r>
      <w:proofErr w:type="spellStart"/>
      <w:r w:rsidRPr="000B39FC">
        <w:rPr>
          <w:rFonts w:cs="Times New Roman"/>
          <w:szCs w:val="22"/>
        </w:rPr>
        <w:t>Opoku</w:t>
      </w:r>
      <w:proofErr w:type="spellEnd"/>
      <w:r w:rsidRPr="000B39FC">
        <w:rPr>
          <w:rFonts w:cs="Times New Roman"/>
          <w:szCs w:val="22"/>
        </w:rPr>
        <w:fldChar w:fldCharType="begin"/>
      </w:r>
      <w:r>
        <w:rPr>
          <w:rFonts w:cs="Times New Roman"/>
          <w:szCs w:val="22"/>
        </w:rPr>
        <w:instrText xml:space="preserve"> ADDIN ZOTERO_ITEM CSL_CITATION {"citationID":"vccEgIAN","properties":{"formattedCitation":"Alex Chiarini, ed., \\uc0\\u8220{}The Role of Culture in a Sustainable Built Environment,\\uc0\\u8221{} in {\\i{}Sustainable Operations Management} (Switzerland: Springer International Publishing, 2015), 37\\uc0\\u8211{}52, http://www.academia.edu/14112304/The_Role_of_Culture_in_a_Sustainable_Built_Environment.","plainCitation":"Alex Chiarini, ed., “The Role of Culture in a Sustainable Built Environment,” in Sustainable Operations Management (Switzerland: Springer International Publishing, 2015), 37–52, http://www.academia.edu/14112304/The_Role_of_Culture_in_a_Sustainable_Built_Environment.","dontUpdate":true,"noteIndex":40},"citationItems":[{"id":319,"uris":["http://zotero.org/users/5043758/items/NRATXSA6"],"uri":["http://zotero.org/users/5043758/items/NRATXSA6"],"itemData":{"id":319,"type":"chapter","title":"The Role of Culture in a Sustainable Built Environment","container-title":"Sustainable Operations Management","publisher":"Springer International Publishing","publisher-place":"Switzerland","page":"37-52","source":"www.academia.edu","event-place":"Switzerland","abstract":"The issue of the role of culture in a sustainable built environment is becoming more important due to the growing impact of the built environment in achieving society’s sustainable development. Society faces environmental challenges, including","URL":"http://www.academia.edu/14112304/The_Role_of_Culture_in_a_Sustainable_Built_Environment","language":"en","editor":[{"family":"Chiarini","given":"Andrea"}],"issued":{"date-parts":[["2015"]]},"accessed":{"date-parts":[["2019",2,4]]}}}],"schema":"https://github.com/citation-style-language/schema/raw/master/csl-citation.json"} </w:instrText>
      </w:r>
      <w:r w:rsidRPr="000B39FC">
        <w:rPr>
          <w:rFonts w:cs="Times New Roman"/>
          <w:szCs w:val="22"/>
        </w:rPr>
        <w:fldChar w:fldCharType="separate"/>
      </w:r>
      <w:r w:rsidRPr="000B39FC">
        <w:rPr>
          <w:rFonts w:eastAsia="Times New Roman" w:cs="Times New Roman"/>
          <w:szCs w:val="22"/>
        </w:rPr>
        <w:t xml:space="preserve"> “The Role of Culture in a Sustainable Built Environment,” in </w:t>
      </w:r>
      <w:r w:rsidRPr="000B39FC">
        <w:rPr>
          <w:rFonts w:eastAsia="Times New Roman" w:cs="Times New Roman"/>
          <w:i/>
          <w:iCs/>
          <w:szCs w:val="22"/>
        </w:rPr>
        <w:t>Sustainable Operations Management,</w:t>
      </w:r>
      <w:r w:rsidRPr="000B39FC">
        <w:rPr>
          <w:rFonts w:eastAsia="Times New Roman" w:cs="Times New Roman"/>
          <w:szCs w:val="22"/>
        </w:rPr>
        <w:t xml:space="preserve"> Alex Chiarini, ed., (Switzerland: Springer International Publishing, 2015): 48, http://www.academia.edu/14112304/The_Role_of_Culture_in_a_Sustainable_Built_Environment.</w:t>
      </w:r>
      <w:r w:rsidRPr="000B39FC">
        <w:rPr>
          <w:rFonts w:cs="Times New Roman"/>
          <w:szCs w:val="22"/>
        </w:rPr>
        <w:fldChar w:fldCharType="end"/>
      </w:r>
    </w:p>
  </w:footnote>
  <w:footnote w:id="41">
    <w:p w14:paraId="16C3F580" w14:textId="51F6F713"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{"citationID":"rkSqGpxg","properties":{"formattedCitation":"Jill Ann Harrison, \\uc0\\u8220{}Rust Belt Boomerang: The Pull of Place in Moving Back to a Legacy City,\\uc0\\u8221{} {\\i{}City &amp; Community} 16, no. 3 (2017): 264, https://doi.org/10.1111/cico.12245.","plainCitation":"Jill Ann Harrison, “Rust Belt Boomerang: The Pull of Place in Moving Back to a Legacy City,” City &amp; Community 16, no. 3 (2017): 264, https://doi.org/10.1111/cico.12245.","noteIndex":41},"citationItems":[{"id":552,"uris":["http://zotero.org/users/5043758/items/7CHVB8WX"],"uri":["http://zotero.org/users/5043758/items/7CHVB8WX"],"itemData":{"id":552,"type":"article-journal","title":"Rust Belt Boomerang: The Pull of Place in Moving Back to a Legacy City","container-title":"City &amp; Community","page":"263-283","volume":"16","issue":"3","source":"Wiley Online Library","abstract":"Research and journalistic accounts on the Rust Belt consistently focus on population decline and its consequences. As a result, we know little about the growing trend of return migration of young professionals and knowledge workers to the region. Why have these individuals chosen to return to a place that they once left? I answer this question using in-depth interviews with young professionals who have moved back to Youngstown, Ohio. Results indicate that return migrants chose to return despite reporting alternative and perhaps more economically rational work opportunities elsewhere. While some reasons can be anticipated from the literature, such as family need, I emphasize how place-specific considerations worked in combination with economic and social factors to pull them back. Findings hold implications for the literatures on place and return migration and for city planners who believe that return migration presents an opportunity for economic growth of legacy cities.","DOI":"10.1111/cico.12245","ISSN":"1540-6040","title-short":"Rust Belt Boomerang","language":"en","author":[{"family":"Harrison","given":"Jill Ann"}],"issued":{"date-parts":[["2017"]]}},"locator":"264","label":"page"}],"schema":"https://github.com/citation-style-language/schema/raw/master/csl-citation.json"} </w:instrText>
      </w:r>
      <w:r>
        <w:fldChar w:fldCharType="separate"/>
      </w:r>
      <w:r w:rsidRPr="0013377D">
        <w:rPr>
          <w:rFonts w:eastAsia="Times New Roman" w:cs="Times New Roman"/>
        </w:rPr>
        <w:t xml:space="preserve">Jill Ann Harrison, “Rust Belt Boomerang: The Pull of Place in Moving Back to a Legacy City,” </w:t>
      </w:r>
      <w:r w:rsidRPr="0013377D">
        <w:rPr>
          <w:rFonts w:eastAsia="Times New Roman" w:cs="Times New Roman"/>
          <w:i/>
          <w:iCs/>
        </w:rPr>
        <w:t>City &amp; Community</w:t>
      </w:r>
      <w:r w:rsidRPr="0013377D">
        <w:rPr>
          <w:rFonts w:eastAsia="Times New Roman" w:cs="Times New Roman"/>
        </w:rPr>
        <w:t xml:space="preserve"> 16, no. 3 (2017): 264, https://doi.org/10.1111/cico.12245.</w:t>
      </w:r>
      <w:r>
        <w:fldChar w:fldCharType="end"/>
      </w:r>
    </w:p>
  </w:footnote>
  <w:footnote w:id="42">
    <w:p w14:paraId="76ADFC13" w14:textId="412E6C01" w:rsidR="000C0771" w:rsidRDefault="000C0771" w:rsidP="007B366A">
      <w:pPr>
        <w:pStyle w:val="FootnoteText"/>
      </w:pPr>
      <w:r w:rsidRPr="00F3497A">
        <w:rPr>
          <w:rStyle w:val="FootnoteReference"/>
        </w:rPr>
        <w:footnoteRef/>
      </w:r>
      <w:r w:rsidRPr="005D2D79">
        <w:t xml:space="preserve"> </w:t>
      </w:r>
      <w:r w:rsidRPr="005D2D79">
        <w:fldChar w:fldCharType="begin"/>
      </w:r>
      <w:r>
        <w:instrText xml:space="preserve"> ADDIN ZOTERO_ITEM CSL_CITATION {"citationID":"tSatdxDf","properties":{"formattedCitation":"John F. McDonald, {\\i{}Urban America: Growth, Crisis, and Rebirth} (Armonk, New York: M.E. Sharpe, 2008), 6\\uc0\\u8211{}7, http://eds.a.ebscohost.com.goucher.idm.oclc.org/ehost/ebookviewer/ebook?sid=e82e888e-f6f8-4195-9bb4-19af071bf298%40sdc-v-sessmgr05&amp;vid=0&amp;format=EB.","plainCitation":"John F. McDonald, Urban America: Growth, Crisis, and Rebirth (Armonk, New York: M.E. Sharpe, 2008), 6–7, http://eds.a.ebscohost.com.goucher.idm.oclc.org/ehost/ebookviewer/ebook?sid=e82e888e-f6f8-4195-9bb4-19af071bf298%40sdc-v-sessmgr05&amp;vid=0&amp;format=EB.","noteIndex":42},"citationItems":[{"id":329,"uris":["http://zotero.org/users/5043758/items/WSMKNQFP"],"uri":["http://zotero.org/users/5043758/items/WSMKNQFP"],"itemData":{"id":329,"type":"book","title":"Urban America: Growth, Crisis, and Rebirth","publisher":"M.E. Sharpe","publisher-place":"Armonk, New York","event-place":"Armonk, New York","URL":"http://eds.a.ebscohost.com.goucher.idm.oclc.org/ehost/ebookviewer/ebook?sid=e82e888e-f6f8-4195-9bb4-19af071bf298%40sdc-v-sessmgr05&amp;vid=0&amp;format=EB","author":[{"family":"McDonald","given":"John F."}],"issued":{"date-parts":[["2008"]]},"accessed":{"date-parts":[["2019",2,5]]}},"locator":"6-7","label":"page"}],"schema":"https://github.com/citation-style-language/schema/raw/master/csl-citation.json"} </w:instrText>
      </w:r>
      <w:r w:rsidRPr="005D2D79">
        <w:fldChar w:fldCharType="separate"/>
      </w:r>
      <w:r w:rsidRPr="0090782D">
        <w:rPr>
          <w:rFonts w:eastAsia="Times New Roman"/>
        </w:rPr>
        <w:t xml:space="preserve">John F. McDonald, </w:t>
      </w:r>
      <w:r w:rsidRPr="0090782D">
        <w:rPr>
          <w:rFonts w:eastAsia="Times New Roman"/>
          <w:i/>
          <w:iCs/>
        </w:rPr>
        <w:t>Urban America: Growth, Crisis, and Rebirth</w:t>
      </w:r>
      <w:r w:rsidRPr="0090782D">
        <w:rPr>
          <w:rFonts w:eastAsia="Times New Roman"/>
        </w:rPr>
        <w:t xml:space="preserve"> (Armonk, New York: M.E. Sharpe, 2008), 6–7, http://eds.a.ebscohost.com.goucher.idm.oclc.org/ehost/ebookviewer/ebook?sid=e82e888e-f6f8-4195-9bb4-19af071bf298%40sdc-v-sessmgr05&amp;vid=0&amp;format=EB.</w:t>
      </w:r>
      <w:r w:rsidRPr="005D2D79">
        <w:fldChar w:fldCharType="end"/>
      </w:r>
    </w:p>
    <w:p w14:paraId="0BAC572C" w14:textId="77777777" w:rsidR="000C0771" w:rsidRPr="005D2D79" w:rsidRDefault="000C0771" w:rsidP="007B366A">
      <w:pPr>
        <w:pStyle w:val="FootnoteText"/>
      </w:pPr>
    </w:p>
  </w:footnote>
  <w:footnote w:id="43">
    <w:p w14:paraId="6D98E69C" w14:textId="5E1956E3"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{"citationID":"M3RX5JXD","properties":{"formattedCitation":"Charles Hirschman and Elizabeth Mogford, \\uc0\\u8220{}Immigration and the American Industrial Revolution From 1880 to 1920,\\uc0\\u8221{} {\\i{}Social Science Research} 38, no. 4 (December 1, 2009): 898, https://doi.org/10.1016/j.ssresearch.2009.04.001.","plainCitation":"Charles Hirschman and Elizabeth Mogford, “Immigration and the American Industrial Revolution From 1880 to 1920,” Social Science Research 38, no. 4 (December 1, 2009): 898, https://doi.org/10.1016/j.ssresearch.2009.04.001.","noteIndex":43},"citationItems":[{"id":340,"uris":["http://zotero.org/users/5043758/items/MBVD82UU"],"uri":["http://zotero.org/users/5043758/items/MBVD82UU"],"itemData":{"id":340,"type":"article-journal","title":"Immigration and the American Industrial Revolution From 1880 to 1920","container-title":"Social science research","page":"897-920","volume":"38","issue":"4","source":"PubMed Central","abstract":"In this study, we measure the contribution of immigrants and their descendents to the growth and industrial transformation of the American workforce in the age of mass immigration from 1880 to 1920. The size and selectivity of the immigrant community, as well as their disproportionate residence in large cities, meant they were the mainstay of the American industrial workforce. Immigrants and their children comprised over half of manufacturing workers in 1920, and if the third generation (the grandchildren of immigrants) are included, then more than two-thirds of workers in the manufacturing sector were of recent immigrant stock. Although higher wages and better working conditions might have encouraged more long-resident native-born workers to the industrial economy, the scale and pace of the American industrial revolution might well have slowed. The closing of the door to mass immigration in the 1920s did lead to increased recruitment of native born workers, particularly from the South, to northern industrial cities in the middle decades of the 20th century.","DOI":"10.1016/j.ssresearch.2009.04.001","ISSN":"0049-089X","note":"PMID: 20160966\nPMCID: PMC2760060","journalAbbreviation":"Soc Sci Res","author":[{"family":"Hirschman","given":"Charles"},{"family":"Mogford","given":"Elizabeth"}],"issued":{"date-parts":[["2009",12,1]]}},"locator":"898"}],"schema":"https://github.com/citation-style-language/schema/raw/master/csl-citation.json"} </w:instrText>
      </w:r>
      <w:r>
        <w:fldChar w:fldCharType="separate"/>
      </w:r>
      <w:r w:rsidRPr="0090782D">
        <w:rPr>
          <w:rFonts w:eastAsia="Times New Roman" w:cs="Times New Roman"/>
        </w:rPr>
        <w:t xml:space="preserve">Charles Hirschman and Elizabeth Mogford, “Immigration and the American Industrial Revolution From 1880 to 1920,” </w:t>
      </w:r>
      <w:r w:rsidRPr="0090782D">
        <w:rPr>
          <w:rFonts w:eastAsia="Times New Roman" w:cs="Times New Roman"/>
          <w:i/>
          <w:iCs/>
        </w:rPr>
        <w:t>Social Science Research</w:t>
      </w:r>
      <w:r w:rsidRPr="0090782D">
        <w:rPr>
          <w:rFonts w:eastAsia="Times New Roman" w:cs="Times New Roman"/>
        </w:rPr>
        <w:t xml:space="preserve"> 38, no. 4 (December 1, 2009): 898, https://doi.org/10.1016/j.ssresearch.2009.04.001.</w:t>
      </w:r>
      <w:r>
        <w:fldChar w:fldCharType="end"/>
      </w:r>
    </w:p>
  </w:footnote>
  <w:footnote w:id="44">
    <w:p w14:paraId="1DD3CE48" w14:textId="4AC05E86" w:rsidR="000C0771" w:rsidRDefault="000C0771" w:rsidP="007B366A">
      <w:pPr>
        <w:pStyle w:val="FootnoteText"/>
        <w:rPr>
          <w:rFonts w:eastAsia="Times New Roman" w:cs="Times New Roman"/>
        </w:rPr>
      </w:pPr>
      <w:r w:rsidRPr="00F3497A">
        <w:rPr>
          <w:rStyle w:val="FootnoteReference"/>
        </w:rPr>
        <w:footnoteRef/>
      </w:r>
      <w:r>
        <w:t xml:space="preserve"> </w:t>
      </w:r>
      <w:r>
        <w:fldChar w:fldCharType="begin"/>
      </w:r>
      <w:r>
        <w:instrText xml:space="preserve"> ADDIN ZOTERO_ITEM CSL_CITATION {"citationID":"aiaHFTp0","properties":{"formattedCitation":"James R. Grossman, {\\i{}Land of Hope: Chicago, Black Southerners, and the Great Migration} (Chicago: The University of Chicago Press), accessed February 21, 2019, http://eds.a.ebscohost.com.goucher.idm.oclc.org/ehost/ebookviewer/ebook?sid=e1f60026-ae61-4dd2-be66-d62c09ba35e0%40sdc-v-sessmgr02&amp;vid=0&amp;format=EB.","plainCitation":"James R. Grossman, Land of Hope: Chicago, Black Southerners, and the Great Migration (Chicago: The University of Chicago Press), accessed February 21, 2019, http://eds.a.ebscohost.com.goucher.idm.oclc.org/ehost/ebookviewer/ebook?sid=e1f60026-ae61-4dd2-be66-d62c09ba35e0%40sdc-v-sessmgr02&amp;vid=0&amp;format=EB.","dontUpdate":true,"noteIndex":44},"citationItems":[{"id":364,"uris":["http://zotero.org/users/5043758/items/SK9VLZ4X"],"uri":["http://zotero.org/users/5043758/items/SK9VLZ4X"],"itemData":{"id":364,"type":"book","title":"Land of Hope: Chicago, Black Southerners, and the Great Migration","publisher":"The University of Chicago Press","publisher-place":"Chicago","event-place":"Chicago","URL":"http://eds.a.ebscohost.com.goucher.idm.oclc.org/ehost/ebookviewer/ebook?sid=e1f60026-ae61-4dd2-be66-d62c09ba35e0%40sdc-v-sessmgr02&amp;vid=0&amp;format=EB","author":[{"family":"Grossman","given":"James R."}],"issued":{"date-parts":[["1989"]]},"accessed":{"date-parts":[["2019",2,21]]}}}],"schema":"https://github.com/citation-style-language/schema/raw/master/csl-citation.json"} </w:instrText>
      </w:r>
      <w:r>
        <w:fldChar w:fldCharType="separate"/>
      </w:r>
      <w:r w:rsidRPr="00026DA7">
        <w:rPr>
          <w:rFonts w:eastAsia="Times New Roman" w:cs="Times New Roman"/>
        </w:rPr>
        <w:t xml:space="preserve">James R. Grossman, </w:t>
      </w:r>
      <w:r w:rsidRPr="00026DA7">
        <w:rPr>
          <w:rFonts w:eastAsia="Times New Roman" w:cs="Times New Roman"/>
          <w:i/>
          <w:iCs/>
        </w:rPr>
        <w:t>Land of Hope: Chicago, Black Southerners, and the Great Migration</w:t>
      </w:r>
      <w:r w:rsidRPr="00026DA7">
        <w:rPr>
          <w:rFonts w:eastAsia="Times New Roman" w:cs="Times New Roman"/>
        </w:rPr>
        <w:t xml:space="preserve"> (Chicago: The University of Chicago Press</w:t>
      </w:r>
      <w:r>
        <w:rPr>
          <w:rFonts w:eastAsia="Times New Roman" w:cs="Times New Roman"/>
        </w:rPr>
        <w:t>,1989</w:t>
      </w:r>
      <w:r w:rsidRPr="00026DA7">
        <w:rPr>
          <w:rFonts w:eastAsia="Times New Roman" w:cs="Times New Roman"/>
        </w:rPr>
        <w:t>)</w:t>
      </w:r>
      <w:r>
        <w:rPr>
          <w:rFonts w:eastAsia="Times New Roman" w:cs="Times New Roman"/>
        </w:rPr>
        <w:t>: 3-4</w:t>
      </w:r>
      <w:r w:rsidRPr="00026DA7">
        <w:rPr>
          <w:rFonts w:eastAsia="Times New Roman" w:cs="Times New Roman"/>
        </w:rPr>
        <w:t xml:space="preserve">, </w:t>
      </w:r>
    </w:p>
    <w:p w14:paraId="619D714D" w14:textId="77777777" w:rsidR="000C0771" w:rsidRDefault="000C0771" w:rsidP="007B366A">
      <w:pPr>
        <w:pStyle w:val="FootnoteText"/>
      </w:pPr>
      <w:r w:rsidRPr="00026DA7">
        <w:rPr>
          <w:rFonts w:eastAsia="Times New Roman" w:cs="Times New Roman"/>
        </w:rPr>
        <w:t>http://eds.a.ebscohost.com.goucher.idm.oclc.org/ehost/ebookviewer/ebook?sid=e1f60026-ae61-4dd2-be66-d62c09ba35e0%40sdc-v-sessmgr02&amp;vid=0&amp;format=EB.</w:t>
      </w:r>
      <w:r>
        <w:fldChar w:fldCharType="end"/>
      </w:r>
    </w:p>
    <w:p w14:paraId="70108C4F" w14:textId="77777777" w:rsidR="000C0771" w:rsidRDefault="000C0771" w:rsidP="007B366A">
      <w:pPr>
        <w:pStyle w:val="FootnoteText"/>
      </w:pPr>
    </w:p>
  </w:footnote>
  <w:footnote w:id="45">
    <w:p w14:paraId="45E39DC6" w14:textId="01E5A7F1"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{"citationID":"nYt2xrij","properties":{"formattedCitation":"Louis Lee Woods II, \\uc0\\u8220{}Almost \\uc0\\u8216{}No Negro Veteran...Could Get A Loan\\uc0\\u8217{}: African Americans, The GI Bill, and the NAACP Campaign Against Residential Segregation, 1917-1960,\\uc0\\u8221{} {\\i{}The Journal of African American History} 98, no. 3 (2013): 392, https://doi.org/10.5323/jafriamerhist.98.3.0392.","plainCitation":"Louis Lee Woods II, “Almost ‘No Negro Veteran...Could Get A Loan’: African Americans, The GI Bill, and the NAACP Campaign Against Residential Segregation, 1917-1960,” The Journal of African American History 98, no. 3 (2013): 392, https://doi.org/10.5323/jafriamerhist.98.3.0392.","noteIndex":45},"citationItems":[{"id":555,"uris":["http://zotero.org/users/5043758/items/84TMPC8W"],"uri":["http://zotero.org/users/5043758/items/84TMPC8W"],"itemData":{"id":555,"type":"article-journal","title":"Almost \"No Negro Veteran...Could Get A Loan\": African Americans, The GI Bill, and the NAACP Campaign Against Residential Segregation, 1917-1960","container-title":"The Journal of African American History","page":"392-417","volume":"98","issue":"3","source":"JSTOR","DOI":"10.5323/jafriamerhist.98.3.0392","ISSN":"1548-1867","title-short":"Almost \"No Negro Veteran...Could Get A Loan\"","author":[{"family":"Woods II","given":"Louis Lee"}],"issued":{"date-parts":[["2013"]]}},"locator":"392","label":"page"}],"schema":"https://github.com/citation-style-language/schema/raw/master/csl-citation.json"} </w:instrText>
      </w:r>
      <w:r>
        <w:fldChar w:fldCharType="separate"/>
      </w:r>
      <w:r w:rsidRPr="006942BD">
        <w:rPr>
          <w:rFonts w:eastAsia="Times New Roman" w:cs="Times New Roman"/>
        </w:rPr>
        <w:t xml:space="preserve">Louis Lee Woods II, “Almost ‘No Negro Veteran...Could Get A Loan’: African Americans, The GI Bill, and the NAACP Campaign Against Residential Segregation, 1917-1960,” </w:t>
      </w:r>
      <w:r w:rsidRPr="006942BD">
        <w:rPr>
          <w:rFonts w:eastAsia="Times New Roman" w:cs="Times New Roman"/>
          <w:i/>
          <w:iCs/>
        </w:rPr>
        <w:t>The Journal of African American History</w:t>
      </w:r>
      <w:r w:rsidRPr="006942BD">
        <w:rPr>
          <w:rFonts w:eastAsia="Times New Roman" w:cs="Times New Roman"/>
        </w:rPr>
        <w:t xml:space="preserve"> 98, no. 3 (2013): 392, https://doi.org/10.5323/jafriamerhist.98.3.0392.</w:t>
      </w:r>
      <w:r>
        <w:fldChar w:fldCharType="end"/>
      </w:r>
    </w:p>
    <w:p w14:paraId="48287E22" w14:textId="77777777" w:rsidR="000C0771" w:rsidRDefault="000C0771" w:rsidP="007B366A">
      <w:pPr>
        <w:pStyle w:val="FootnoteText"/>
      </w:pPr>
    </w:p>
  </w:footnote>
  <w:footnote w:id="46">
    <w:p w14:paraId="547BC9F3" w14:textId="0A16642F"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{"citationID":"5QuA72O8","properties":{"formattedCitation":"Beauregard, \\uc0\\u8220{}Growth and Depopulation in the United States,\\uc0\\u8221{} 7.","plainCitation":"Beauregard, “Growth and Depopulation in the United States,” 7.","noteIndex":46},"citationItems":[{"id":259,"uris":["http://zotero.org/users/5043758/items/36F26R5P"],"uri":["http://zotero.org/users/5043758/items/36F26R5P"],"itemData":{"id":259,"type":"chapter","title":"Growth and Depopulation in the United States","container-title":"Rebuilding America's Legacy Cities: New Directions for the Industrial Heartland","publisher":"The American Assembly","publisher-place":"Columbia University","event-place":"Columbia University","editor":[{"family":"Mallach","given":"Alan"}],"author":[{"family":"Beauregard","given":"Robert"}],"issued":{"date-parts":[["2012"]]}},"locator":"7"}],"schema":"https://github.com/citation-style-language/schema/raw/master/csl-citation.json"} </w:instrText>
      </w:r>
      <w:r>
        <w:fldChar w:fldCharType="separate"/>
      </w:r>
      <w:r w:rsidRPr="005A2682">
        <w:rPr>
          <w:rFonts w:eastAsia="Times New Roman" w:cs="Times New Roman"/>
        </w:rPr>
        <w:t>Beauregard, “Growth and Depopulation in the United States,” 7.</w:t>
      </w:r>
      <w:r>
        <w:fldChar w:fldCharType="end"/>
      </w:r>
    </w:p>
  </w:footnote>
  <w:footnote w:id="47">
    <w:p w14:paraId="2BFF42D3" w14:textId="6B88C72C"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{"citationID":"klWuGCWq","properties":{"formattedCitation":"Woods II, \\uc0\\u8220{}Almost \\uc0\\u8216{}No Negro Veteran...Could Get A Loan,\\uc0\\u8217{}\\uc0\\u8221{} 395\\uc0\\u8211{}96.","plainCitation":"Woods II, “Almost ‘No Negro Veteran...Could Get A Loan,’” 395–96.","noteIndex":47},"citationItems":[{"id":555,"uris":["http://zotero.org/users/5043758/items/84TMPC8W"],"uri":["http://zotero.org/users/5043758/items/84TMPC8W"],"itemData":{"id":555,"type":"article-journal","title":"Almost \"No Negro Veteran...Could Get A Loan\": African Americans, The GI Bill, and the NAACP Campaign Against Residential Segregation, 1917-1960","container-title":"The Journal of African American History","page":"392-417","volume":"98","issue":"3","source":"JSTOR","DOI":"10.5323/jafriamerhist.98.3.0392","ISSN":"1548-1867","title-short":"Almost \"No Negro Veteran...Could Get A Loan\"","author":[{"family":"Woods II","given":"Louis Lee"}],"issued":{"date-parts":[["2013"]]}},"locator":"395-396","label":"page"}],"schema":"https://github.com/citation-style-language/schema/raw/master/csl-citation.json"} </w:instrText>
      </w:r>
      <w:r>
        <w:fldChar w:fldCharType="separate"/>
      </w:r>
      <w:r w:rsidRPr="00F36CDD">
        <w:rPr>
          <w:rFonts w:eastAsia="Times New Roman" w:cs="Times New Roman"/>
        </w:rPr>
        <w:t>Woods II, “Almost ‘No Negro Veteran...Could Get A Loan,’” 395–96.</w:t>
      </w:r>
      <w:r>
        <w:fldChar w:fldCharType="end"/>
      </w:r>
    </w:p>
    <w:p w14:paraId="7AB3606E" w14:textId="77777777" w:rsidR="000C0771" w:rsidRDefault="000C0771" w:rsidP="007B366A">
      <w:pPr>
        <w:pStyle w:val="FootnoteText"/>
      </w:pPr>
    </w:p>
  </w:footnote>
  <w:footnote w:id="48">
    <w:p w14:paraId="4E875C9D" w14:textId="2AC20D28" w:rsidR="000C0771" w:rsidRPr="00507504" w:rsidRDefault="000C0771" w:rsidP="007B366A">
      <w:pPr>
        <w:pStyle w:val="FootnoteText"/>
      </w:pPr>
      <w:r w:rsidRPr="00F3497A">
        <w:rPr>
          <w:rStyle w:val="FootnoteReference"/>
        </w:rPr>
        <w:footnoteRef/>
      </w:r>
      <w:r w:rsidRPr="00507504">
        <w:t xml:space="preserve"> </w:t>
      </w:r>
      <w:r w:rsidRPr="00507504">
        <w:fldChar w:fldCharType="begin"/>
      </w:r>
      <w:r>
        <w:instrText xml:space="preserve"> ADDIN ZOTERO_ITEM CSL_CITATION {"citationID":"9GtgwVRJ","properties":{"formattedCitation":"Mallach, {\\i{}The Divided City: Poverty and Prosperity in Urban America}, 23.","plainCitation":"Mallach, The Divided City: Poverty and Prosperity in Urban America, 23.","noteIndex":48},"citationItems":[{"id":133,"uris":["http://zotero.org/users/5043758/items/2U89DKZI"],"uri":["http://zotero.org/users/5043758/items/2U89DKZI"],"itemData":{"id":133,"type":"book","title":"The Divided City: Poverty and Prosperity in Urban America","publisher":"Island Press","publisher-place":"Washington D.C.","number-of-pages":"344","event-place":"Washington D.C.","author":[{"family":"Mallach","given":"Alan"}],"issued":{"date-parts":[["2018"]]}},"locator":"23","label":"page"}],"schema":"https://github.com/citation-style-language/schema/raw/master/csl-citation.json"} </w:instrText>
      </w:r>
      <w:r w:rsidRPr="00507504">
        <w:fldChar w:fldCharType="separate"/>
      </w:r>
      <w:r w:rsidRPr="005A2682">
        <w:rPr>
          <w:rFonts w:eastAsia="Times New Roman" w:cs="Times New Roman"/>
        </w:rPr>
        <w:t xml:space="preserve">Mallach, </w:t>
      </w:r>
      <w:r w:rsidRPr="005A2682">
        <w:rPr>
          <w:rFonts w:eastAsia="Times New Roman" w:cs="Times New Roman"/>
          <w:i/>
          <w:iCs/>
        </w:rPr>
        <w:t>The Divided City: Poverty and Prosperity in Urban America</w:t>
      </w:r>
      <w:r w:rsidRPr="005A2682">
        <w:rPr>
          <w:rFonts w:eastAsia="Times New Roman" w:cs="Times New Roman"/>
        </w:rPr>
        <w:t>, 23.</w:t>
      </w:r>
      <w:r w:rsidRPr="00507504">
        <w:fldChar w:fldCharType="end"/>
      </w:r>
    </w:p>
  </w:footnote>
  <w:footnote w:id="49">
    <w:p w14:paraId="39F8C83B" w14:textId="6B97BA32"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{"citationID":"MHDGB8vd","properties":{"formattedCitation":"Mallach, 25.","plainCitation":"Mallach, 25.","noteIndex":49},"citationItems":[{"id":133,"uris":["http://zotero.org/users/5043758/items/2U89DKZI"],"uri":["http://zotero.org/users/5043758/items/2U89DKZI"],"itemData":{"id":133,"type":"book","title":"The Divided City: Poverty and Prosperity in Urban America","publisher":"Island Press","publisher-place":"Washington D.C.","number-of-pages":"344","event-place":"Washington D.C.","author":[{"family":"Mallach","given":"Alan"}],"issued":{"date-parts":[["2018"]]}},"locator":"25","label":"page"}],"schema":"https://github.com/citation-style-language/schema/raw/master/csl-citation.json"} </w:instrText>
      </w:r>
      <w:r>
        <w:fldChar w:fldCharType="separate"/>
      </w:r>
      <w:r>
        <w:rPr>
          <w:noProof/>
        </w:rPr>
        <w:t>Mallach, 25.</w:t>
      </w:r>
      <w:r>
        <w:fldChar w:fldCharType="end"/>
      </w:r>
    </w:p>
    <w:p w14:paraId="18264711" w14:textId="77777777" w:rsidR="000C0771" w:rsidRDefault="000C0771" w:rsidP="007B366A">
      <w:pPr>
        <w:pStyle w:val="FootnoteText"/>
      </w:pPr>
    </w:p>
  </w:footnote>
  <w:footnote w:id="50">
    <w:p w14:paraId="0F812388" w14:textId="072E1B8F"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{"citationID":"PHXRCnat","properties":{"formattedCitation":"Richard F. Weingroff, \\uc0\\u8220{}Original Intent: Purpose of the Interstate System - Interstate System - Highway History - Federal Highway Administration,\\uc0\\u8221{} U.S. Department of Transportation Federal Highway Administration, accessed February 11, 2019, https://www.fhwa.dot.gov/infrastructure/originalintent.cfm.","plainCitation":"Richard F. Weingroff, “Original Intent: Purpose of the Interstate System - Interstate System - Highway History - Federal Highway Administration,” U.S. Department of Transportation Federal Highway Administration, accessed February 11, 2019, https://www.fhwa.dot.gov/infrastructure/originalintent.cfm.","noteIndex":50},"citationItems":[{"id":349,"uris":["http://zotero.org/users/5043758/items/Q9P7QRSG"],"uri":["http://zotero.org/users/5043758/items/Q9P7QRSG"],"itemData":{"id":349,"type":"webpage","title":"Original Intent: Purpose of the Interstate System - Interstate System - Highway History - Federal Highway Administration","container-title":"U.S. Department of Transportation Federal Highway Administration","URL":"https://www.fhwa.dot.gov/infrastructure/originalintent.cfm","author":[{"family":"Weingroff","given":"Richard F."}],"accessed":{"date-parts":[["2019",2,11]]}}}],"schema":"https://github.com/citation-style-language/schema/raw/master/csl-citation.json"} </w:instrText>
      </w:r>
      <w:r>
        <w:fldChar w:fldCharType="separate"/>
      </w:r>
      <w:r w:rsidRPr="00EE66BC">
        <w:rPr>
          <w:rFonts w:eastAsia="Times New Roman" w:cs="Times New Roman"/>
        </w:rPr>
        <w:t>Richard F. Weingroff, “Original Intent: Purpose of the Interstate System - Interstate System - Highway History - Federal Highway Administration,” U.S. Department of Transportation Federal Highway Administration, accessed February 11, 2019, https://www.fhwa.dot.gov/infrastructure/originalintent.cfm.</w:t>
      </w:r>
      <w:r>
        <w:fldChar w:fldCharType="end"/>
      </w:r>
    </w:p>
    <w:p w14:paraId="683CCF67" w14:textId="77777777" w:rsidR="000C0771" w:rsidRDefault="000C0771" w:rsidP="007B366A">
      <w:pPr>
        <w:pStyle w:val="FootnoteText"/>
      </w:pPr>
    </w:p>
  </w:footnote>
  <w:footnote w:id="51">
    <w:p w14:paraId="7FED88B1" w14:textId="10AAC830"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{"citationID":"XpbqB7IN","properties":{"formattedCitation":"Mallach, {\\i{}The Divided City: Poverty and Prosperity in Urban America}, 25\\uc0\\u8211{}26.","plainCitation":"Mallach, The Divided City: Poverty and Prosperity in Urban America, 25–26.","noteIndex":51},"citationItems":[{"id":133,"uris":["http://zotero.org/users/5043758/items/2U89DKZI"],"uri":["http://zotero.org/users/5043758/items/2U89DKZI"],"itemData":{"id":133,"type":"book","title":"The Divided City: Poverty and Prosperity in Urban America","publisher":"Island Press","publisher-place":"Washington D.C.","number-of-pages":"344","event-place":"Washington D.C.","author":[{"family":"Mallach","given":"Alan"}],"issued":{"date-parts":[["2018"]]}},"locator":"25-26","label":"page"}],"schema":"https://github.com/citation-style-language/schema/raw/master/csl-citation.json"} </w:instrText>
      </w:r>
      <w:r>
        <w:fldChar w:fldCharType="separate"/>
      </w:r>
      <w:r w:rsidRPr="00263A8F">
        <w:rPr>
          <w:rFonts w:eastAsia="Times New Roman" w:cs="Times New Roman"/>
        </w:rPr>
        <w:t xml:space="preserve">Mallach, </w:t>
      </w:r>
      <w:r w:rsidRPr="00263A8F">
        <w:rPr>
          <w:rFonts w:eastAsia="Times New Roman" w:cs="Times New Roman"/>
          <w:i/>
          <w:iCs/>
        </w:rPr>
        <w:t>The Divided City: Poverty and Prosperity in Urban America</w:t>
      </w:r>
      <w:r w:rsidRPr="00263A8F">
        <w:rPr>
          <w:rFonts w:eastAsia="Times New Roman" w:cs="Times New Roman"/>
        </w:rPr>
        <w:t>, 25–26.</w:t>
      </w:r>
      <w:r>
        <w:fldChar w:fldCharType="end"/>
      </w:r>
    </w:p>
  </w:footnote>
  <w:footnote w:id="52">
    <w:p w14:paraId="56A1EC2E" w14:textId="6663BB7C"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{"citationID":"VhKiCIaJ","properties":{"formattedCitation":"Mallach, 26.","plainCitation":"Mallach, 26.","noteIndex":52},"citationItems":[{"id":133,"uris":["http://zotero.org/users/5043758/items/2U89DKZI"],"uri":["http://zotero.org/users/5043758/items/2U89DKZI"],"itemData":{"id":133,"type":"book","title":"The Divided City: Poverty and Prosperity in Urban America","publisher":"Island Press","publisher-place":"Washington D.C.","number-of-pages":"344","event-place":"Washington D.C.","author":[{"family":"Mallach","given":"Alan"}],"issued":{"date-parts":[["2018"]]}},"locator":"26","label":"page"}],"schema":"https://github.com/citation-style-language/schema/raw/master/csl-citation.json"} </w:instrText>
      </w:r>
      <w:r>
        <w:fldChar w:fldCharType="separate"/>
      </w:r>
      <w:r>
        <w:rPr>
          <w:noProof/>
        </w:rPr>
        <w:t>Mallach, 26.</w:t>
      </w:r>
      <w:r>
        <w:fldChar w:fldCharType="end"/>
      </w:r>
    </w:p>
    <w:p w14:paraId="1CEE808C" w14:textId="77777777" w:rsidR="000C0771" w:rsidRDefault="000C0771" w:rsidP="007B366A">
      <w:pPr>
        <w:pStyle w:val="FootnoteText"/>
      </w:pPr>
    </w:p>
  </w:footnote>
  <w:footnote w:id="53">
    <w:p w14:paraId="04C63A8D" w14:textId="39C2EABB"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{"citationID":"tFkXEX2z","properties":{"formattedCitation":"Mallach, 27.","plainCitation":"Mallach, 27.","noteIndex":53},"citationItems":[{"id":133,"uris":["http://zotero.org/users/5043758/items/2U89DKZI"],"uri":["http://zotero.org/users/5043758/items/2U89DKZI"],"itemData":{"id":133,"type":"book","title":"The Divided City: Poverty and Prosperity in Urban America","publisher":"Island Press","publisher-place":"Washington D.C.","number-of-pages":"344","event-place":"Washington D.C.","author":[{"family":"Mallach","given":"Alan"}],"issued":{"date-parts":[["2018"]]}},"locator":"27","label":"page"}],"schema":"https://github.com/citation-style-language/schema/raw/master/csl-citation.json"} </w:instrText>
      </w:r>
      <w:r>
        <w:fldChar w:fldCharType="separate"/>
      </w:r>
      <w:r>
        <w:rPr>
          <w:noProof/>
        </w:rPr>
        <w:t>Mallach, 27.</w:t>
      </w:r>
      <w:r>
        <w:fldChar w:fldCharType="end"/>
      </w:r>
    </w:p>
  </w:footnote>
  <w:footnote w:id="54">
    <w:p w14:paraId="43C0F5D6" w14:textId="2093C91D"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{"citationID":"zweLdmZA","properties":{"formattedCitation":"Mallach, 29.","plainCitation":"Mallach, 29.","noteIndex":54},"citationItems":[{"id":133,"uris":["http://zotero.org/users/5043758/items/2U89DKZI"],"uri":["http://zotero.org/users/5043758/items/2U89DKZI"],"itemData":{"id":133,"type":"book","title":"The Divided City: Poverty and Prosperity in Urban America","publisher":"Island Press","publisher-place":"Washington D.C.","number-of-pages":"344","event-place":"Washington D.C.","author":[{"family":"Mallach","given":"Alan"}],"issued":{"date-parts":[["2018"]]}},"locator":"29","label":"page"}],"schema":"https://github.com/citation-style-language/schema/raw/master/csl-citation.json"} </w:instrText>
      </w:r>
      <w:r>
        <w:fldChar w:fldCharType="separate"/>
      </w:r>
      <w:r>
        <w:rPr>
          <w:noProof/>
        </w:rPr>
        <w:t>Mallach, 29.</w:t>
      </w:r>
      <w:r>
        <w:fldChar w:fldCharType="end"/>
      </w:r>
    </w:p>
    <w:p w14:paraId="5CA3D893" w14:textId="77777777" w:rsidR="000C0771" w:rsidRDefault="000C0771" w:rsidP="007B366A">
      <w:pPr>
        <w:pStyle w:val="FootnoteText"/>
      </w:pPr>
    </w:p>
  </w:footnote>
  <w:footnote w:id="55">
    <w:p w14:paraId="14B86455" w14:textId="0AEE67BD"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{"citationID":"VmIhIFhH","properties":{"formattedCitation":"Srikant Devaraj and Michael J. Hicks, \\uc0\\u8220{}The Myth and Reality of Manufacturing in America\\uc0\\u8221{} (Ball State University Center for Business and Economic Research, April 2017), 6.","plainCitation":"Srikant Devaraj and Michael J. Hicks, “The Myth and Reality of Manufacturing in America” (Ball State University Center for Business and Economic Research, April 2017), 6.","noteIndex":55},"citationItems":[{"id":562,"uris":["http://zotero.org/users/5043758/items/YIMT69HI"],"uri":["http://zotero.org/users/5043758/items/YIMT69HI"],"itemData":{"id":562,"type":"report","title":"The Myth and Reality of Manufacturing in America","publisher":"Ball State University Center for Business and Economic Research","source":"Zotero","language":"en","author":[{"family":"Devaraj","given":"Srikant"},{"family":"Hicks","given":"Michael J."}],"issued":{"date-parts":[["2017",4]]}},"locator":"6","label":"page"}],"schema":"https://github.com/citation-style-language/schema/raw/master/csl-citation.json"} </w:instrText>
      </w:r>
      <w:r>
        <w:fldChar w:fldCharType="separate"/>
      </w:r>
      <w:r w:rsidRPr="0031601A">
        <w:rPr>
          <w:rFonts w:eastAsia="Times New Roman" w:cs="Times New Roman"/>
        </w:rPr>
        <w:t>Srikant Devaraj and Michael J. Hicks, “The Myth and Reality of Manufacturing in America” (Ball State University Center for Business and Economic Research, April 2017), 6.</w:t>
      </w:r>
      <w:r>
        <w:fldChar w:fldCharType="end"/>
      </w:r>
    </w:p>
    <w:p w14:paraId="00EDDE0F" w14:textId="77777777" w:rsidR="000C0771" w:rsidRDefault="000C0771" w:rsidP="007B366A">
      <w:pPr>
        <w:pStyle w:val="FootnoteText"/>
      </w:pPr>
    </w:p>
  </w:footnote>
  <w:footnote w:id="56">
    <w:p w14:paraId="406C9C5F" w14:textId="3B77F59D"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{"citationID":"aiCpoO0d","properties":{"formattedCitation":"Mallach, {\\i{}The Divided City: Poverty and Prosperity in Urban America}, 62.","plainCitation":"Mallach, The Divided City: Poverty and Prosperity in Urban America, 62.","noteIndex":56},"citationItems":[{"id":133,"uris":["http://zotero.org/users/5043758/items/2U89DKZI"],"uri":["http://zotero.org/users/5043758/items/2U89DKZI"],"itemData":{"id":133,"type":"book","title":"The Divided City: Poverty and Prosperity in Urban America","publisher":"Island Press","publisher-place":"Washington D.C.","number-of-pages":"344","event-place":"Washington D.C.","author":[{"family":"Mallach","given":"Alan"}],"issued":{"date-parts":[["2018"]]}},"locator":"62","label":"page"}],"schema":"https://github.com/citation-style-language/schema/raw/master/csl-citation.json"} </w:instrText>
      </w:r>
      <w:r>
        <w:fldChar w:fldCharType="separate"/>
      </w:r>
      <w:r w:rsidRPr="001C58C0">
        <w:rPr>
          <w:rFonts w:eastAsia="Times New Roman" w:cs="Times New Roman"/>
        </w:rPr>
        <w:t xml:space="preserve">Mallach, </w:t>
      </w:r>
      <w:r w:rsidRPr="001C58C0">
        <w:rPr>
          <w:rFonts w:eastAsia="Times New Roman" w:cs="Times New Roman"/>
          <w:i/>
          <w:iCs/>
        </w:rPr>
        <w:t>The Divided City: Poverty and Prosperity in Urban America</w:t>
      </w:r>
      <w:r w:rsidRPr="001C58C0">
        <w:rPr>
          <w:rFonts w:eastAsia="Times New Roman" w:cs="Times New Roman"/>
        </w:rPr>
        <w:t>, 62.</w:t>
      </w:r>
      <w:r>
        <w:fldChar w:fldCharType="end"/>
      </w:r>
    </w:p>
  </w:footnote>
  <w:footnote w:id="57">
    <w:p w14:paraId="747302C6" w14:textId="0BD7D353"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{"citationID":"hdbmhyIT","properties":{"formattedCitation":"Richard Florida, \\uc0\\u8220{}Why Cities and Their Anchor Institutions Still Need to Learn to Work Together,\\uc0\\u8221{} CityLab, October 5, 2015, http://www.citylab.com/politics/2015/10/the-new-grand-bargain-between-cities-and-anchor-institutions/408943/.","plainCitation":"Richard Florida, “Why Cities and Their Anchor Institutions Still Need to Learn to Work Together,” CityLab, October 5, 2015, http://www.citylab.com/politics/2015/10/the-new-grand-bargain-between-cities-and-anchor-institutions/408943/.","noteIndex":57},"citationItems":[{"id":556,"uris":["http://zotero.org/users/5043758/items/CTTNIX4K"],"uri":["http://zotero.org/users/5043758/items/CTTNIX4K"],"itemData":{"id":556,"type":"webpage","title":"Why Cities and Their Anchor Institutions Still Need to Learn to Work Together","container-title":"CityLab","abstract":"Anchor institutions spur economic growth and innovation, but are still lacking cooperation with cities themselves.","URL":"http://www.citylab.com/politics/2015/10/the-new-grand-bargain-between-cities-and-anchor-institutions/408943/","language":"en","author":[{"family":"Florida","given":"Richard"}],"issued":{"date-parts":[["2015",10,5]]},"accessed":{"date-parts":[["2019",4,20]]}}}],"schema":"https://github.com/citation-style-language/schema/raw/master/csl-citation.json"} </w:instrText>
      </w:r>
      <w:r>
        <w:fldChar w:fldCharType="separate"/>
      </w:r>
      <w:r w:rsidRPr="002151E1">
        <w:rPr>
          <w:rFonts w:eastAsia="Times New Roman" w:cs="Times New Roman"/>
        </w:rPr>
        <w:t>Richard Florida, “Why Cities and Their Anchor Institutions Still Need to Learn to Work Together,” CityLab, October 5, 2015, http://www.citylab.com/politics/2015/10/the-new-grand-bargain-between-cities-and-anchor-institutions/408943/.</w:t>
      </w:r>
      <w:r>
        <w:fldChar w:fldCharType="end"/>
      </w:r>
    </w:p>
    <w:p w14:paraId="71D2DC9C" w14:textId="77777777" w:rsidR="000C0771" w:rsidRDefault="000C0771" w:rsidP="007B366A">
      <w:pPr>
        <w:pStyle w:val="FootnoteText"/>
      </w:pPr>
    </w:p>
  </w:footnote>
  <w:footnote w:id="58">
    <w:p w14:paraId="2279AA64" w14:textId="366DBC8D"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{"citationID":"0Y75fWjB","properties":{"formattedCitation":"Alan Mallach, \\uc0\\u8220{}Depopulation, Market Collapse and Property Abandonment: Surplus Land and Buildings in Legacy Cities,\\uc0\\u8221{} in {\\i{}Rebuilding America\\uc0\\u8217{}s Legacy Cities: New Directions for the Industrial Heartland}, ed. Alan Mallach (Columbia University: The American Assembly, 2012), 94.","plainCitation":"Alan Mallach, “Depopulation, Market Collapse and Property Abandonment: Surplus Land and Buildings in Legacy Cities,” in Rebuilding America’s Legacy Cities: New Directions for the Industrial Heartland, ed. Alan Mallach (Columbia University: The American Assembly, 2012), 94.","noteIndex":58},"citationItems":[{"id":367,"uris":["http://zotero.org/users/5043758/items/SFBYZTFR"],"uri":["http://zotero.org/users/5043758/items/SFBYZTFR"],"itemData":{"id":367,"type":"chapter","title":"Depopulation, Market Collapse and Property Abandonment: Surplus Land and Buildings in Legacy Cities","container-title":"Rebuilding America's Legacy Cities: New Directions for the Industrial Heartland","publisher":"The American Assembly","publisher-place":"Columbia University","event-place":"Columbia University","author":[{"family":"Mallach","given":"Alan"}],"editor":[{"family":"Mallach","given":"Alan"}],"issued":{"date-parts":[["2012"]]}},"locator":"94","label":"page"}],"schema":"https://github.com/citation-style-language/schema/raw/master/csl-citation.json"} </w:instrText>
      </w:r>
      <w:r>
        <w:fldChar w:fldCharType="separate"/>
      </w:r>
      <w:r w:rsidRPr="00011E17">
        <w:rPr>
          <w:rFonts w:eastAsia="Times New Roman" w:cs="Times New Roman"/>
        </w:rPr>
        <w:t xml:space="preserve">Alan Mallach, “Depopulation, Market Collapse and Property Abandonment: Surplus Land and Buildings in </w:t>
      </w:r>
      <w:r>
        <w:rPr>
          <w:rFonts w:eastAsia="Times New Roman" w:cs="Times New Roman"/>
        </w:rPr>
        <w:t>Legacy Cities</w:t>
      </w:r>
      <w:r w:rsidRPr="00011E17">
        <w:rPr>
          <w:rFonts w:eastAsia="Times New Roman" w:cs="Times New Roman"/>
        </w:rPr>
        <w:t xml:space="preserve">,” in </w:t>
      </w:r>
      <w:r w:rsidRPr="00011E17">
        <w:rPr>
          <w:rFonts w:eastAsia="Times New Roman" w:cs="Times New Roman"/>
          <w:i/>
          <w:iCs/>
        </w:rPr>
        <w:t xml:space="preserve">Rebuilding America’s </w:t>
      </w:r>
      <w:r>
        <w:rPr>
          <w:rFonts w:eastAsia="Times New Roman" w:cs="Times New Roman"/>
          <w:i/>
          <w:iCs/>
        </w:rPr>
        <w:t>Legacy Cities</w:t>
      </w:r>
      <w:r w:rsidRPr="00011E17">
        <w:rPr>
          <w:rFonts w:eastAsia="Times New Roman" w:cs="Times New Roman"/>
          <w:i/>
          <w:iCs/>
        </w:rPr>
        <w:t>: New Directions for the Industrial Heartland</w:t>
      </w:r>
      <w:r w:rsidRPr="00011E17">
        <w:rPr>
          <w:rFonts w:eastAsia="Times New Roman" w:cs="Times New Roman"/>
        </w:rPr>
        <w:t>, ed. Alan Mallach (Columbia University: The American Assembly, 2012), 94.</w:t>
      </w:r>
      <w:r>
        <w:fldChar w:fldCharType="end"/>
      </w:r>
    </w:p>
    <w:p w14:paraId="308A95C5" w14:textId="77777777" w:rsidR="000C0771" w:rsidRDefault="000C0771" w:rsidP="007B366A">
      <w:pPr>
        <w:pStyle w:val="FootnoteText"/>
      </w:pPr>
    </w:p>
  </w:footnote>
  <w:footnote w:id="59">
    <w:p w14:paraId="4FA07F6E" w14:textId="0917260E"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{"citationID":"gxw27ZOV","properties":{"formattedCitation":"Beauregard, \\uc0\\u8220{}Growth and Depopulation in the United States,\\uc0\\u8221{} 18.","plainCitation":"Beauregard, “Growth and Depopulation in the United States,” 18.","noteIndex":59},"citationItems":[{"id":259,"uris":["http://zotero.org/users/5043758/items/36F26R5P"],"uri":["http://zotero.org/users/5043758/items/36F26R5P"],"itemData":{"id":259,"type":"chapter","title":"Growth and Depopulation in the United States","container-title":"Rebuilding America's Legacy Cities: New Directions for the Industrial Heartland","publisher":"The American Assembly","publisher-place":"Columbia University","event-place":"Columbia University","editor":[{"family":"Mallach","given":"Alan"}],"author":[{"family":"Beauregard","given":"Robert"}],"issued":{"date-parts":[["2012"]]}},"locator":"18","label":"page"}],"schema":"https://github.com/citation-style-language/schema/raw/master/csl-citation.json"} </w:instrText>
      </w:r>
      <w:r>
        <w:fldChar w:fldCharType="separate"/>
      </w:r>
      <w:r w:rsidRPr="00011E17">
        <w:rPr>
          <w:rFonts w:eastAsia="Times New Roman" w:cs="Times New Roman"/>
        </w:rPr>
        <w:t>Beauregard, “Growth and Depopulation in the United States,” 18.</w:t>
      </w:r>
      <w:r>
        <w:fldChar w:fldCharType="end"/>
      </w:r>
    </w:p>
  </w:footnote>
  <w:footnote w:id="60">
    <w:p w14:paraId="2F6EE004" w14:textId="0A4C6344" w:rsidR="000C0771" w:rsidRDefault="000C0771">
      <w:pPr>
        <w:pStyle w:val="FootnoteText"/>
      </w:pPr>
      <w:r>
        <w:rPr>
          <w:rStyle w:val="FootnoteReference"/>
        </w:rPr>
        <w:footnoteRef/>
      </w:r>
      <w:r>
        <w:t xml:space="preserve"> </w:t>
      </w:r>
      <w:r>
        <w:fldChar w:fldCharType="begin"/>
      </w:r>
      <w:r>
        <w:instrText xml:space="preserve"> ADDIN ZOTERO_ITEM CSL_CITATION {"citationID":"YzHME1Li","properties":{"formattedCitation":"\\uc0\\u8220{}Mapping America\\uc0\\u8217{}s Legacy Cities 2015\\uc0\\u8221{} (J. Max Bond Center at The City College of New York, September 14, 2015), 5, https://ssa.ccny.cuny.edu/wp-content/uploads/2015/12/MappingAmericanLegacyCities_15Dec2015.pdf.","plainCitation":"“Mapping America’s Legacy Cities 2015” (J. Max Bond Center at The City College of New York, September 14, 2015), 5, https://ssa.ccny.cuny.edu/wp-content/uploads/2015/12/MappingAmericanLegacyCities_15Dec2015.pdf.","noteIndex":60},"citationItems":[{"id":346,"uris":["http://zotero.org/users/5043758/items/QI4MKPZI"],"uri":["http://zotero.org/users/5043758/items/QI4MKPZI"],"itemData":{"id":346,"type":"report","title":"Mapping America's Legacy Cities 2015","publisher":"J. Max Bond Center at The City College of New York","URL":"https://ssa.ccny.cuny.edu/wp-content/uploads/2015/12/MappingAmericanLegacyCities_15Dec2015.pdf","issued":{"date-parts":[["2015",9,14]]},"accessed":{"date-parts":[["2019",1,31]]}},"locator":"5","label":"page"}],"schema":"https://github.com/citation-style-language/schema/raw/master/csl-citation.json"} </w:instrText>
      </w:r>
      <w:r>
        <w:fldChar w:fldCharType="separate"/>
      </w:r>
      <w:r w:rsidRPr="00B97459">
        <w:rPr>
          <w:rFonts w:eastAsia="Times New Roman" w:cs="Times New Roman"/>
        </w:rPr>
        <w:t>“Mapping America’s Legacy Cities 2015” (J. Max Bond Center at The City College of New York, September 14, 2015), 5, https://ssa.ccny.cuny.edu/wp-content/uploads/2015/12/MappingAmericanLegacyCities_15Dec2015.pdf.</w:t>
      </w:r>
      <w:r>
        <w:fldChar w:fldCharType="end"/>
      </w:r>
    </w:p>
    <w:p w14:paraId="14F22C88" w14:textId="77777777" w:rsidR="000C0771" w:rsidRDefault="000C0771">
      <w:pPr>
        <w:pStyle w:val="FootnoteText"/>
      </w:pPr>
    </w:p>
  </w:footnote>
  <w:footnote w:id="61">
    <w:p w14:paraId="5B458922" w14:textId="01660D48"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{"citationID":"7wtZ2vW1","properties":{"formattedCitation":"\\uc0\\u8220{}Mapping America\\uc0\\u8217{}s Legacy Cities 2015,\\uc0\\u8221{} 5.","plainCitation":"“Mapping America’s Legacy Cities 2015,” 5.","noteIndex":61},"citationItems":[{"id":346,"uris":["http://zotero.org/users/5043758/items/QI4MKPZI"],"uri":["http://zotero.org/users/5043758/items/QI4MKPZI"],"itemData":{"id":346,"type":"report","title":"Mapping America's Legacy Cities 2015","publisher":"J. Max Bond Center at The City College of New York","URL":"https://ssa.ccny.cuny.edu/wp-content/uploads/2015/12/MappingAmericanLegacyCities_15Dec2015.pdf","issued":{"date-parts":[["2015",9,14]]},"accessed":{"date-parts":[["2019",1,31]]}},"locator":"5","label":"page"}],"schema":"https://github.com/citation-style-language/schema/raw/master/csl-citation.json"} </w:instrText>
      </w:r>
      <w:r>
        <w:fldChar w:fldCharType="separate"/>
      </w:r>
      <w:r w:rsidRPr="00B97459">
        <w:rPr>
          <w:rFonts w:eastAsia="Times New Roman" w:cs="Times New Roman"/>
        </w:rPr>
        <w:t>“Mapping America’s Legacy Cities 2015,” 5.</w:t>
      </w:r>
      <w:r>
        <w:fldChar w:fldCharType="end"/>
      </w:r>
    </w:p>
    <w:p w14:paraId="15AAC5F4" w14:textId="77777777" w:rsidR="000C0771" w:rsidRDefault="000C0771" w:rsidP="007B366A">
      <w:pPr>
        <w:pStyle w:val="FootnoteText"/>
      </w:pPr>
    </w:p>
  </w:footnote>
  <w:footnote w:id="62">
    <w:p w14:paraId="5378EAFF" w14:textId="74264797"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{"citationID":"70MCAOka","properties":{"formattedCitation":"Donald K. Carter, \\uc0\\u8220{}Hope for the Future of the Postindustrial City,\\uc0\\u8221{} in {\\i{}SynergiCity: Reinventing the Postindustrial City}, ed. Paul Hardin Kapp and Paul J. Armstrong (Urbana: University of Illinois Press, 2012), 4\\uc0\\u8211{}5, http://eds.a.ebscohost.com.goucher.idm.oclc.org/ehost/ebookviewer/ebook?sid=437740f1-24a5-4dcd-bd65-1f3445093762%40sdc-v-sessmgr03&amp;vid=0&amp;format=EB.","plainCitation":"Donald K. Carter, “Hope for the Future of the Postindustrial City,” in SynergiCity: Reinventing the Postindustrial City, ed. Paul Hardin Kapp and Paul J. Armstrong (Urbana: University of Illinois Press, 2012), 4–5, http://eds.a.ebscohost.com.goucher.idm.oclc.org/ehost/ebookviewer/ebook?sid=437740f1-24a5-4dcd-bd65-1f3445093762%40sdc-v-sessmgr03&amp;vid=0&amp;format=EB.","noteIndex":62},"citationItems":[{"id":323,"uris":["http://zotero.org/users/5043758/items/KP6XYFTS"],"uri":["http://zotero.org/users/5043758/items/KP6XYFTS"],"itemData":{"id":323,"type":"chapter","title":"Hope for the Future of the Postindustrial City","container-title":"SynergiCity: Reinventing the Postindustrial City","publisher":"University of Illinois Press","publisher-place":"Urbana","event-place":"Urbana","URL":"http://eds.a.ebscohost.com.goucher.idm.oclc.org/ehost/ebookviewer/ebook?sid=437740f1-24a5-4dcd-bd65-1f3445093762%40sdc-v-sessmgr03&amp;vid=0&amp;format=EB","editor":[{"family":"Hardin Kapp","given":"Paul"},{"family":"Armstrong","given":"Paul J."}],"author":[{"family":"Carter","given":"Donald K."}],"issued":{"date-parts":[["2012"]]},"accessed":{"date-parts":[["2019",2,5]]}},"locator":"4-5","label":"page"}],"schema":"https://github.com/citation-style-language/schema/raw/master/csl-citation.json"} </w:instrText>
      </w:r>
      <w:r>
        <w:fldChar w:fldCharType="separate"/>
      </w:r>
      <w:r w:rsidRPr="007A2DFE">
        <w:rPr>
          <w:rFonts w:eastAsia="Times New Roman" w:cs="Times New Roman"/>
        </w:rPr>
        <w:t xml:space="preserve">Donald K. Carter, “Hope for the Future of the Postindustrial City,” in </w:t>
      </w:r>
      <w:r w:rsidRPr="007A2DFE">
        <w:rPr>
          <w:rFonts w:eastAsia="Times New Roman" w:cs="Times New Roman"/>
          <w:i/>
          <w:iCs/>
        </w:rPr>
        <w:t>SynergiCity: Reinventing the Postindustrial City</w:t>
      </w:r>
      <w:r w:rsidRPr="007A2DFE">
        <w:rPr>
          <w:rFonts w:eastAsia="Times New Roman" w:cs="Times New Roman"/>
        </w:rPr>
        <w:t>, ed. Paul Hardin Kapp and Paul J. Armstrong (Urbana: University of Illinois Press, 2012), 4–5, http://eds.a.ebscohost.com.goucher.idm.oclc.org/ehost/ebookviewer/ebook?sid=437740f1-24a5-4dcd-bd65-1f3445093762%40sdc-v-sessmgr03&amp;vid=0&amp;format=EB.</w:t>
      </w:r>
      <w:r>
        <w:fldChar w:fldCharType="end"/>
      </w:r>
    </w:p>
  </w:footnote>
  <w:footnote w:id="63">
    <w:p w14:paraId="60DC0BCE" w14:textId="1D57BC67"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{"citationID":"rcJtdilr","properties":{"formattedCitation":"Carter, 3.","plainCitation":"Carter, 3.","noteIndex":63},"citationItems":[{"id":323,"uris":["http://zotero.org/users/5043758/items/KP6XYFTS"],"uri":["http://zotero.org/users/5043758/items/KP6XYFTS"],"itemData":{"id":323,"type":"chapter","title":"Hope for the Future of the Postindustrial City","container-title":"SynergiCity: Reinventing the Postindustrial City","publisher":"University of Illinois Press","publisher-place":"Urbana","event-place":"Urbana","URL":"http://eds.a.ebscohost.com.goucher.idm.oclc.org/ehost/ebookviewer/ebook?sid=437740f1-24a5-4dcd-bd65-1f3445093762%40sdc-v-sessmgr03&amp;vid=0&amp;format=EB","editor":[{"family":"Hardin Kapp","given":"Paul"},{"family":"Armstrong","given":"Paul J."}],"author":[{"family":"Carter","given":"Donald K."}],"issued":{"date-parts":[["2012"]]},"accessed":{"date-parts":[["2019",2,5]]}},"locator":"3","label":"page"}],"schema":"https://github.com/citation-style-language/schema/raw/master/csl-citation.json"} </w:instrText>
      </w:r>
      <w:r>
        <w:fldChar w:fldCharType="separate"/>
      </w:r>
      <w:r>
        <w:rPr>
          <w:noProof/>
        </w:rPr>
        <w:t>Carter, 3.</w:t>
      </w:r>
      <w:r>
        <w:fldChar w:fldCharType="end"/>
      </w:r>
    </w:p>
    <w:p w14:paraId="74BDCF80" w14:textId="77777777" w:rsidR="000C0771" w:rsidRDefault="000C0771" w:rsidP="007B366A">
      <w:pPr>
        <w:pStyle w:val="FootnoteText"/>
      </w:pPr>
    </w:p>
  </w:footnote>
  <w:footnote w:id="64">
    <w:p w14:paraId="30CE5065" w14:textId="079D2D04"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{"citationID":"mWzxCrel","properties":{"formattedCitation":"Carter, 4.","plainCitation":"Carter, 4.","noteIndex":64},"citationItems":[{"id":323,"uris":["http://zotero.org/users/5043758/items/KP6XYFTS"],"uri":["http://zotero.org/users/5043758/items/KP6XYFTS"],"itemData":{"id":323,"type":"chapter","title":"Hope for the Future of the Postindustrial City","container-title":"SynergiCity: Reinventing the Postindustrial City","publisher":"University of Illinois Press","publisher-place":"Urbana","event-place":"Urbana","URL":"http://eds.a.ebscohost.com.goucher.idm.oclc.org/ehost/ebookviewer/ebook?sid=437740f1-24a5-4dcd-bd65-1f3445093762%40sdc-v-sessmgr03&amp;vid=0&amp;format=EB","editor":[{"family":"Hardin Kapp","given":"Paul"},{"family":"Armstrong","given":"Paul J."}],"author":[{"family":"Carter","given":"Donald K."}],"issued":{"date-parts":[["2012"]]},"accessed":{"date-parts":[["2019",2,5]]}},"locator":"4","label":"page"}],"schema":"https://github.com/citation-style-language/schema/raw/master/csl-citation.json"} </w:instrText>
      </w:r>
      <w:r>
        <w:fldChar w:fldCharType="separate"/>
      </w:r>
      <w:r>
        <w:rPr>
          <w:noProof/>
        </w:rPr>
        <w:t>Carter, 4.</w:t>
      </w:r>
      <w:r>
        <w:fldChar w:fldCharType="end"/>
      </w:r>
    </w:p>
    <w:p w14:paraId="75EF05EF" w14:textId="77777777" w:rsidR="000C0771" w:rsidRDefault="000C0771" w:rsidP="007B366A">
      <w:pPr>
        <w:pStyle w:val="FootnoteText"/>
      </w:pPr>
    </w:p>
  </w:footnote>
  <w:footnote w:id="65">
    <w:p w14:paraId="6DC39A75" w14:textId="2BEB063E"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{"citationID":"nMIGT5WU","properties":{"formattedCitation":"\\uc0\\u8220{}How Ruth Glass Shaped the Way We Approach Our Cities,\\uc0\\u8221{} University College London Urban Laboratory, January 13, 2015, https://www.ucl.ac.uk/urbanlab/news/ruth-glass-seminar.","plainCitation":"“How Ruth Glass Shaped the Way We Approach Our Cities,” University College London Urban Laboratory, January 13, 2015, https://www.ucl.ac.uk/urbanlab/news/ruth-glass-seminar.","noteIndex":65},"citationItems":[{"id":356,"uris":["http://zotero.org/users/5043758/items/LINPBVYE"],"uri":["http://zotero.org/users/5043758/items/LINPBVYE"],"itemData":{"id":356,"type":"webpage","title":"How Ruth Glass shaped the way we approach our cities","container-title":"University College London Urban Laboratory","URL":"https://www.ucl.ac.uk/urbanlab/news/ruth-glass-seminar","language":"en","issued":{"date-parts":[["2015",1,13]]},"accessed":{"date-parts":[["2019",2,17]]}}}],"schema":"https://github.com/citation-style-language/schema/raw/master/csl-citation.json"} </w:instrText>
      </w:r>
      <w:r>
        <w:fldChar w:fldCharType="separate"/>
      </w:r>
      <w:r w:rsidRPr="009E7CAF">
        <w:rPr>
          <w:rFonts w:eastAsia="Times New Roman" w:cs="Times New Roman"/>
        </w:rPr>
        <w:t>“How Ruth Glass Shaped the Way We Approach Our Cities,” University College London Urban Laboratory, January 13, 2015, https://www.ucl.ac.uk/urbanlab/news/ruth-glass-seminar.</w:t>
      </w:r>
      <w:r>
        <w:fldChar w:fldCharType="end"/>
      </w:r>
    </w:p>
  </w:footnote>
  <w:footnote w:id="66">
    <w:p w14:paraId="0409656E" w14:textId="37E0396B"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{"citationID":"6FF1BcqK","properties":{"formattedCitation":"Jackelyn Hwang and Jeffrey Lin, \\uc0\\u8220{}What Have We Learned About the Causes of Recent Gentrification?,\\uc0\\u8221{} {\\i{}Cityscape} 18, no. 3 (2016): 11.","plainCitation":"Jackelyn Hwang and Jeffrey Lin, “What Have We Learned About the Causes of Recent Gentrification?,” Cityscape 18, no. 3 (2016): 11.","noteIndex":66},"citationItems":[{"id":103,"uris":["http://zotero.org/users/5043758/items/AYPQLV78"],"uri":["http://zotero.org/users/5043758/items/AYPQLV78"],"itemData":{"id":103,"type":"article-journal","title":"What Have We Learned About the Causes of Recent Gentrification?","container-title":"Cityscape","page":"9-26","volume":"18","issue":"3","source":"Zotero","abstract":"Since 2000, increased gentrification in an expanding section of cities and neighborhoods has renewed interest from policymakers, researchers, and the public in the causes of gentrification. The identification of causal factors can help inform analyses of welfare, policy responses, and forecasts of future neighborhood change. We highlight some features of recent gentrification that popular understandings often do not emphasize, and we review progress on identifying some causal factors. A complete account of the relative contribution of many factors, however, is still elusive. We suggest questions and opportunities for future research.","language":"en","author":[{"family":"Hwang","given":"Jackelyn"},{"family":"Lin","given":"Jeffrey"}],"issued":{"date-parts":[["2016"]]}},"locator":"11","label":"page"}],"schema":"https://github.com/citation-style-language/schema/raw/master/csl-citation.json"} </w:instrText>
      </w:r>
      <w:r>
        <w:fldChar w:fldCharType="separate"/>
      </w:r>
      <w:r w:rsidRPr="001C58C0">
        <w:rPr>
          <w:rFonts w:eastAsia="Times New Roman" w:cs="Times New Roman"/>
        </w:rPr>
        <w:t xml:space="preserve">Jackelyn Hwang and Jeffrey Lin, “What Have We Learned About the Causes of Recent Gentrification?,” </w:t>
      </w:r>
      <w:r w:rsidRPr="001C58C0">
        <w:rPr>
          <w:rFonts w:eastAsia="Times New Roman" w:cs="Times New Roman"/>
          <w:i/>
          <w:iCs/>
        </w:rPr>
        <w:t>Cityscape</w:t>
      </w:r>
      <w:r w:rsidRPr="001C58C0">
        <w:rPr>
          <w:rFonts w:eastAsia="Times New Roman" w:cs="Times New Roman"/>
        </w:rPr>
        <w:t xml:space="preserve"> 18, no. 3 (2016): 11.</w:t>
      </w:r>
      <w:r>
        <w:fldChar w:fldCharType="end"/>
      </w:r>
    </w:p>
    <w:p w14:paraId="7784E83A" w14:textId="77777777" w:rsidR="000C0771" w:rsidRDefault="000C0771" w:rsidP="007B366A">
      <w:pPr>
        <w:pStyle w:val="FootnoteText"/>
      </w:pPr>
    </w:p>
  </w:footnote>
  <w:footnote w:id="67">
    <w:p w14:paraId="40CDECE9" w14:textId="07C513A5"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{"citationID":"EoFA5v3t","properties":{"formattedCitation":"Hwang and Lin, 12.","plainCitation":"Hwang and Lin, 12.","noteIndex":67},"citationItems":[{"id":103,"uris":["http://zotero.org/users/5043758/items/AYPQLV78"],"uri":["http://zotero.org/users/5043758/items/AYPQLV78"],"itemData":{"id":103,"type":"article-journal","title":"What Have We Learned About the Causes of Recent Gentrification?","container-title":"Cityscape","page":"9-26","volume":"18","issue":"3","source":"Zotero","abstract":"Since 2000, increased gentrification in an expanding section of cities and neighborhoods has renewed interest from policymakers, researchers, and the public in the causes of gentrification. The identification of causal factors can help inform analyses of welfare, policy responses, and forecasts of future neighborhood change. We highlight some features of recent gentrification that popular understandings often do not emphasize, and we review progress on identifying some causal factors. A complete account of the relative contribution of many factors, however, is still elusive. We suggest questions and opportunities for future research.","language":"en","author":[{"family":"Hwang","given":"Jackelyn"},{"family":"Lin","given":"Jeffrey"}],"issued":{"date-parts":[["2016"]]}},"locator":"12"}],"schema":"https://github.com/citation-style-language/schema/raw/master/csl-citation.json"} </w:instrText>
      </w:r>
      <w:r>
        <w:fldChar w:fldCharType="separate"/>
      </w:r>
      <w:r>
        <w:rPr>
          <w:rFonts w:eastAsia="Times New Roman" w:cs="Times New Roman"/>
        </w:rPr>
        <w:t>Hwang and Lin, 12.</w:t>
      </w:r>
      <w:r>
        <w:fldChar w:fldCharType="end"/>
      </w:r>
    </w:p>
  </w:footnote>
  <w:footnote w:id="68">
    <w:p w14:paraId="37067997" w14:textId="0835E105"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{"citationID":"aFmtW3zV","properties":{"formattedCitation":"Hwang and Lin, 12\\uc0\\u8211{}14.","plainCitation":"Hwang and Lin, 12–14.","noteIndex":68},"citationItems":[{"id":103,"uris":["http://zotero.org/users/5043758/items/AYPQLV78"],"uri":["http://zotero.org/users/5043758/items/AYPQLV78"],"itemData":{"id":103,"type":"article-journal","title":"What Have We Learned About the Causes of Recent Gentrification?","container-title":"Cityscape","page":"9-26","volume":"18","issue":"3","source":"Zotero","abstract":"Since 2000, increased gentrification in an expanding section of cities and neighborhoods has renewed interest from policymakers, researchers, and the public in the causes of gentrification. The identification of causal factors can help inform analyses of welfare, policy responses, and forecasts of future neighborhood change. We highlight some features of recent gentrification that popular understandings often do not emphasize, and we review progress on identifying some causal factors. A complete account of the relative contribution of many factors, however, is still elusive. We suggest questions and opportunities for future research.","language":"en","author":[{"family":"Hwang","given":"Jackelyn"},{"family":"Lin","given":"Jeffrey"}],"issued":{"date-parts":[["2016"]]}},"locator":"12-14","label":"page"}],"schema":"https://github.com/citation-style-language/schema/raw/master/csl-citation.json"} </w:instrText>
      </w:r>
      <w:r>
        <w:fldChar w:fldCharType="separate"/>
      </w:r>
      <w:r w:rsidRPr="00DA5F6D">
        <w:rPr>
          <w:rFonts w:eastAsia="Times New Roman" w:cs="Times New Roman"/>
        </w:rPr>
        <w:t>Hwang and Lin, 12–14.</w:t>
      </w:r>
      <w:r>
        <w:fldChar w:fldCharType="end"/>
      </w:r>
    </w:p>
    <w:p w14:paraId="0E73729F" w14:textId="77777777" w:rsidR="000C0771" w:rsidRDefault="000C0771" w:rsidP="007B366A">
      <w:pPr>
        <w:pStyle w:val="FootnoteText"/>
      </w:pPr>
    </w:p>
  </w:footnote>
  <w:footnote w:id="69">
    <w:p w14:paraId="7E00EC4A" w14:textId="21BAD0C0"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{"citationID":"DAPcQyuy","properties":{"formattedCitation":"Mallach, {\\i{}The Divided City: Poverty and Prosperity in Urban America}, 98\\uc0\\u8211{}99.","plainCitation":"Mallach, The Divided City: Poverty and Prosperity in Urban America, 98–99.","noteIndex":69},"citationItems":[{"id":133,"uris":["http://zotero.org/users/5043758/items/2U89DKZI"],"uri":["http://zotero.org/users/5043758/items/2U89DKZI"],"itemData":{"id":133,"type":"book","title":"The Divided City: Poverty and Prosperity in Urban America","publisher":"Island Press","publisher-place":"Washington D.C.","number-of-pages":"344","event-place":"Washington D.C.","author":[{"family":"Mallach","given":"Alan"}],"issued":{"date-parts":[["2018"]]}},"locator":"98-99","label":"page"}],"schema":"https://github.com/citation-style-language/schema/raw/master/csl-citation.json"} </w:instrText>
      </w:r>
      <w:r>
        <w:fldChar w:fldCharType="separate"/>
      </w:r>
      <w:r w:rsidRPr="00DA5F6D">
        <w:rPr>
          <w:rFonts w:eastAsia="Times New Roman" w:cs="Times New Roman"/>
        </w:rPr>
        <w:t xml:space="preserve">Mallach, </w:t>
      </w:r>
      <w:r w:rsidRPr="00DA5F6D">
        <w:rPr>
          <w:rFonts w:eastAsia="Times New Roman" w:cs="Times New Roman"/>
          <w:i/>
          <w:iCs/>
        </w:rPr>
        <w:t>The Divided City: Poverty and Prosperity in Urban America</w:t>
      </w:r>
      <w:r w:rsidRPr="00DA5F6D">
        <w:rPr>
          <w:rFonts w:eastAsia="Times New Roman" w:cs="Times New Roman"/>
        </w:rPr>
        <w:t>, 98–99.</w:t>
      </w:r>
      <w:r>
        <w:fldChar w:fldCharType="end"/>
      </w:r>
    </w:p>
    <w:p w14:paraId="0475CB5F" w14:textId="77777777" w:rsidR="000C0771" w:rsidRDefault="000C0771" w:rsidP="007B366A">
      <w:pPr>
        <w:pStyle w:val="FootnoteText"/>
      </w:pPr>
    </w:p>
  </w:footnote>
  <w:footnote w:id="70">
    <w:p w14:paraId="3607B1FC" w14:textId="5F73F179"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{"citationID":"XO6rRvAj","properties":{"formattedCitation":"Hwang and Lin, \\uc0\\u8220{}What Have We Learned About the Causes of Recent Gentrification?,\\uc0\\u8221{} 19.","plainCitation":"Hwang and Lin, “What Have We Learned About the Causes of Recent Gentrification?,” 19.","noteIndex":70},"citationItems":[{"id":103,"uris":["http://zotero.org/users/5043758/items/AYPQLV78"],"uri":["http://zotero.org/users/5043758/items/AYPQLV78"],"itemData":{"id":103,"type":"article-journal","title":"What Have We Learned About the Causes of Recent Gentrification?","container-title":"Cityscape","page":"9-26","volume":"18","issue":"3","source":"Zotero","abstract":"Since 2000, increased gentrification in an expanding section of cities and neighborhoods has renewed interest from policymakers, researchers, and the public in the causes of gentrification. The identification of causal factors can help inform analyses of welfare, policy responses, and forecasts of future neighborhood change. We highlight some features of recent gentrification that popular understandings often do not emphasize, and we review progress on identifying some causal factors. A complete account of the relative contribution of many factors, however, is still elusive. We suggest questions and opportunities for future research.","language":"en","author":[{"family":"Hwang","given":"Jackelyn"},{"family":"Lin","given":"Jeffrey"}],"issued":{"date-parts":[["2016"]]}},"locator":"19","label":"page"}],"schema":"https://github.com/citation-style-language/schema/raw/master/csl-citation.json"} </w:instrText>
      </w:r>
      <w:r>
        <w:fldChar w:fldCharType="separate"/>
      </w:r>
      <w:r w:rsidRPr="00E37F9E">
        <w:rPr>
          <w:rFonts w:eastAsia="Times New Roman" w:cs="Times New Roman"/>
        </w:rPr>
        <w:t>Hwang and Lin, “What Have We Learned About the Causes of Recent Gentrification?,” 19.</w:t>
      </w:r>
      <w:r>
        <w:fldChar w:fldCharType="end"/>
      </w:r>
    </w:p>
    <w:p w14:paraId="6043EC68" w14:textId="77777777" w:rsidR="000C0771" w:rsidRDefault="000C0771" w:rsidP="007B366A">
      <w:pPr>
        <w:pStyle w:val="FootnoteText"/>
      </w:pPr>
    </w:p>
  </w:footnote>
  <w:footnote w:id="71">
    <w:p w14:paraId="28D14626" w14:textId="75D61CD6"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{"citationID":"dgHLl3cc","properties":{"formattedCitation":"Jackelyn Hwang and Robert J. Sampson, \\uc0\\u8220{}Divergent Pathways of Gentrification: Racial Inequality and the Social Order of Renewal in Chicago Neighborhoods,\\uc0\\u8221{} {\\i{}American Sociological Review} 79, no. 4 (August 2014): 742, https://doi.org/10.1177/0003122414535774.","plainCitation":"Jackelyn Hwang and Robert J. Sampson, “Divergent Pathways of Gentrification: Racial Inequality and the Social Order of Renewal in Chicago Neighborhoods,” American Sociological Review 79, no. 4 (August 2014): 742, https://doi.org/10.1177/0003122414535774.","noteIndex":71},"citationItems":[{"id":155,"uris":["http://zotero.org/users/5043758/items/269NTJ9C"],"uri":["http://zotero.org/users/5043758/items/269NTJ9C"],"itemData":{"id":155,"type":"article-journal","title":"Divergent Pathways of Gentrification: Racial Inequality and the Social Order of Renewal in Chicago Neighborhoods","container-title":"American Sociological Review","page":"726-751","volume":"79","issue":"4","source":"Crossref","DOI":"10.1177/0003122414535774","ISSN":"0003-1224, 1939-8271","title-short":"Divergent Pathways of Gentrification","language":"en","author":[{"family":"Hwang","given":"Jackelyn"},{"family":"Sampson","given":"Robert J."}],"issued":{"date-parts":[["2014",8]]}},"locator":"742","label":"page"}],"schema":"https://github.com/citation-style-language/schema/raw/master/csl-citation.json"} </w:instrText>
      </w:r>
      <w:r>
        <w:fldChar w:fldCharType="separate"/>
      </w:r>
      <w:r w:rsidRPr="00247786">
        <w:rPr>
          <w:rFonts w:eastAsia="Times New Roman" w:cs="Times New Roman"/>
        </w:rPr>
        <w:t xml:space="preserve">Jackelyn Hwang and Robert J. Sampson, “Divergent Pathways of Gentrification: Racial Inequality and the Social Order of Renewal in Chicago Neighborhoods,” </w:t>
      </w:r>
      <w:r w:rsidRPr="00247786">
        <w:rPr>
          <w:rFonts w:eastAsia="Times New Roman" w:cs="Times New Roman"/>
          <w:i/>
          <w:iCs/>
        </w:rPr>
        <w:t>American Sociological Review</w:t>
      </w:r>
      <w:r w:rsidRPr="00247786">
        <w:rPr>
          <w:rFonts w:eastAsia="Times New Roman" w:cs="Times New Roman"/>
        </w:rPr>
        <w:t xml:space="preserve"> 79, no. 4 (August 2014): 742, https://doi.org/10.1177/0003122414535774.</w:t>
      </w:r>
      <w:r>
        <w:fldChar w:fldCharType="end"/>
      </w:r>
    </w:p>
    <w:p w14:paraId="7F7CD6A6" w14:textId="77777777" w:rsidR="000C0771" w:rsidRDefault="000C0771" w:rsidP="007B366A">
      <w:pPr>
        <w:pStyle w:val="FootnoteText"/>
      </w:pPr>
    </w:p>
  </w:footnote>
  <w:footnote w:id="72">
    <w:p w14:paraId="73439D01" w14:textId="4CDBEBF6"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{"citationID":"6v00LWJI","properties":{"formattedCitation":"Richard Rothstein, {\\i{}The Color of Law} (New York: Liveright Publishing Corporation, 2017), 180.","plainCitation":"Richard Rothstein, The Color of Law (New York: Liveright Publishing Corporation, 2017), 180.","noteIndex":72},"citationItems":[{"id":563,"uris":["http://zotero.org/users/5043758/items/RQIKRD4Y"],"uri":["http://zotero.org/users/5043758/items/RQIKRD4Y"],"itemData":{"id":563,"type":"book","title":"The Color of Law","publisher":"Liveright Publishing Corporation","publisher-place":"New York","event-place":"New York","author":[{"family":"Rothstein","given":"Richard"}],"issued":{"date-parts":[["2017"]]}},"locator":"180","label":"page"}],"schema":"https://github.com/citation-style-language/schema/raw/master/csl-citation.json"} </w:instrText>
      </w:r>
      <w:r>
        <w:fldChar w:fldCharType="separate"/>
      </w:r>
      <w:r w:rsidRPr="008572FF">
        <w:rPr>
          <w:rFonts w:eastAsia="Times New Roman" w:cs="Times New Roman"/>
        </w:rPr>
        <w:t xml:space="preserve">Richard Rothstein, </w:t>
      </w:r>
      <w:r w:rsidRPr="008572FF">
        <w:rPr>
          <w:rFonts w:eastAsia="Times New Roman" w:cs="Times New Roman"/>
          <w:i/>
          <w:iCs/>
        </w:rPr>
        <w:t>The Color of Law</w:t>
      </w:r>
      <w:r w:rsidRPr="008572FF">
        <w:rPr>
          <w:rFonts w:eastAsia="Times New Roman" w:cs="Times New Roman"/>
        </w:rPr>
        <w:t xml:space="preserve"> (New York: Liveright Publishing Corporation, 2017), 180.</w:t>
      </w:r>
      <w:r>
        <w:fldChar w:fldCharType="end"/>
      </w:r>
    </w:p>
    <w:p w14:paraId="03EB3590" w14:textId="77777777" w:rsidR="000C0771" w:rsidRDefault="000C0771" w:rsidP="007B366A">
      <w:pPr>
        <w:pStyle w:val="FootnoteText"/>
      </w:pPr>
    </w:p>
  </w:footnote>
  <w:footnote w:id="73">
    <w:p w14:paraId="71729513" w14:textId="1C3BFC0D"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{"citationID":"NZrpe0fc","properties":{"formattedCitation":"Hwang and Sampson, \\uc0\\u8220{}Divergent Pathways of Gentrification,\\uc0\\u8221{} 743.","plainCitation":"Hwang and Sampson, “Divergent Pathways of Gentrification,” 743.","noteIndex":73},"citationItems":[{"id":155,"uris":["http://zotero.org/users/5043758/items/269NTJ9C"],"uri":["http://zotero.org/users/5043758/items/269NTJ9C"],"itemData":{"id":155,"type":"article-journal","title":"Divergent Pathways of Gentrification: Racial Inequality and the Social Order of Renewal in Chicago Neighborhoods","container-title":"American Sociological Review","page":"726-751","volume":"79","issue":"4","source":"Crossref","DOI":"10.1177/0003122414535774","ISSN":"0003-1224, 1939-8271","title-short":"Divergent Pathways of Gentrification","language":"en","author":[{"family":"Hwang","given":"Jackelyn"},{"family":"Sampson","given":"Robert J."}],"issued":{"date-parts":[["2014",8]]}},"locator":"743"}],"schema":"https://github.com/citation-style-language/schema/raw/master/csl-citation.json"} </w:instrText>
      </w:r>
      <w:r>
        <w:fldChar w:fldCharType="separate"/>
      </w:r>
      <w:r w:rsidRPr="008572FF">
        <w:rPr>
          <w:rFonts w:eastAsia="Times New Roman" w:cs="Times New Roman"/>
        </w:rPr>
        <w:t>Hwang and Sampson, “Divergent Pathways of Gentrification,” 743.</w:t>
      </w:r>
      <w:r>
        <w:fldChar w:fldCharType="end"/>
      </w:r>
    </w:p>
    <w:p w14:paraId="53CDE9D8" w14:textId="77777777" w:rsidR="000C0771" w:rsidRDefault="000C0771" w:rsidP="007B366A">
      <w:pPr>
        <w:pStyle w:val="FootnoteText"/>
      </w:pPr>
    </w:p>
  </w:footnote>
  <w:footnote w:id="74">
    <w:p w14:paraId="1D90EBB2" w14:textId="14E3BB75"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{"citationID":"lBqPHDKd","properties":{"formattedCitation":"Ding and Hwang, \\uc0\\u8220{}The Consequences of Gentrification: A Focus on Residents\\uc0\\u8217{} Financial Health in Philadelphia,\\uc0\\u8221{} 28\\uc0\\u8211{}29.","plainCitation":"Ding and Hwang, “The Consequences of Gentrification: A Focus on Residents’ Financial Health in Philadelphia,” 28–29.","noteIndex":74},"citationItems":[{"id":100,"uris":["http://zotero.org/users/5043758/items/3T7SAAYF"],"uri":["http://zotero.org/users/5043758/items/3T7SAAYF"],"itemData":{"id":100,"type":"article-journal","title":"The Consequences of Gentrification: A Focus on Residents' Financial Health in Philadelphia","container-title":"Cityscape","page":"27-55","volume":"18","issue":"3","source":"Zotero","abstract":"Considerable debate and controversy continue regarding the effects of gentrification on neighborhoods and the people residing in them. This article draws on a unique largescale consumer credit database to examine the relationship between gentrification and the credit scores of residents in the city of Philadelphia from 2002 to 2014. We find that gentrification is positively associated with changes in residents’ credit scores, on average, for those who stay, and this relationship is stronger for residents in neighborhoods in the more advanced stages of gentrification. Gentrification is also positively associated with credit score changes for less-advantaged residents (those with low credit scores, older residents, longer-term residents, or those without mortgages) if they do not move, though the magnitude of this positive association is smaller than for their more advantaged counterparts. Nonetheless, moving from gentrifying neighborhoods is negatively associated with credit score changes for less-advantaged residents, residents who move to lower-income neighborhoods, and residents who move to any other neighb­ orhoods within the city (instead of outside the city) relative to those who stay. The results demonstrate how the association between gentrification and residents’ financial health is uneven, especially for less-advantaged residents.","language":"en","author":[{"family":"Ding","given":"Lei"},{"family":"Hwang","given":"Jackelyn"}],"issued":{"date-parts":[["2016"]]}},"locator":"28-29","label":"page"}],"schema":"https://github.com/citation-style-language/schema/raw/master/csl-citation.json"} </w:instrText>
      </w:r>
      <w:r>
        <w:fldChar w:fldCharType="separate"/>
      </w:r>
      <w:r w:rsidRPr="005A2682">
        <w:rPr>
          <w:rFonts w:eastAsia="Times New Roman" w:cs="Times New Roman"/>
        </w:rPr>
        <w:t>Ding and Hwang, “The Consequences of Gentrification: A Focus on Residents’ Financial Health in Philadelphia,” 28–29.</w:t>
      </w:r>
      <w:r>
        <w:fldChar w:fldCharType="end"/>
      </w:r>
    </w:p>
    <w:p w14:paraId="5BAED88A" w14:textId="77777777" w:rsidR="000C0771" w:rsidRDefault="000C0771" w:rsidP="007B366A">
      <w:pPr>
        <w:pStyle w:val="FootnoteText"/>
      </w:pPr>
    </w:p>
  </w:footnote>
  <w:footnote w:id="75">
    <w:p w14:paraId="5DB60DE8" w14:textId="05519E07"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{"citationID":"p36fyumK","properties":{"formattedCitation":"Hwang and Sampson, \\uc0\\u8220{}Divergent Pathways of Gentrification,\\uc0\\u8221{} 742\\uc0\\u8211{}43.","plainCitation":"Hwang and Sampson, “Divergent Pathways of Gentrification,” 742–43.","noteIndex":75},"citationItems":[{"id":155,"uris":["http://zotero.org/users/5043758/items/269NTJ9C"],"uri":["http://zotero.org/users/5043758/items/269NTJ9C"],"itemData":{"id":155,"type":"article-journal","title":"Divergent Pathways of Gentrification: Racial Inequality and the Social Order of Renewal in Chicago Neighborhoods","container-title":"American Sociological Review","page":"726-751","volume":"79","issue":"4","source":"Crossref","DOI":"10.1177/0003122414535774","ISSN":"0003-1224, 1939-8271","title-short":"Divergent Pathways of Gentrification","language":"en","author":[{"family":"Hwang","given":"Jackelyn"},{"family":"Sampson","given":"Robert J."}],"issued":{"date-parts":[["2014",8]]}},"locator":"742-743","label":"page"}],"schema":"https://github.com/citation-style-language/schema/raw/master/csl-citation.json"} </w:instrText>
      </w:r>
      <w:r>
        <w:fldChar w:fldCharType="separate"/>
      </w:r>
      <w:r w:rsidRPr="00996A40">
        <w:rPr>
          <w:rFonts w:eastAsia="Times New Roman" w:cs="Times New Roman"/>
        </w:rPr>
        <w:t>Hwang and Sampson, “Divergent Pathways of Gentrification,” 742–43.</w:t>
      </w:r>
      <w:r>
        <w:fldChar w:fldCharType="end"/>
      </w:r>
    </w:p>
  </w:footnote>
  <w:footnote w:id="76">
    <w:p w14:paraId="2C406D13" w14:textId="346BC07F"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{"citationID":"v5eomWO0","properties":{"formattedCitation":"Mallach, {\\i{}The Divided City: Poverty and Prosperity in Urban America}, 110\\uc0\\u8211{}11.","plainCitation":"Mallach, The Divided City: Poverty and Prosperity in Urban America, 110–11.","noteIndex":76},"citationItems":[{"id":133,"uris":["http://zotero.org/users/5043758/items/2U89DKZI"],"uri":["http://zotero.org/users/5043758/items/2U89DKZI"],"itemData":{"id":133,"type":"book","title":"The Divided City: Poverty and Prosperity in Urban America","publisher":"Island Press","publisher-place":"Washington D.C.","number-of-pages":"344","event-place":"Washington D.C.","author":[{"family":"Mallach","given":"Alan"}],"issued":{"date-parts":[["2018"]]}},"locator":"110-111","label":"page"}],"schema":"https://github.com/citation-style-language/schema/raw/master/csl-citation.json"} </w:instrText>
      </w:r>
      <w:r>
        <w:fldChar w:fldCharType="separate"/>
      </w:r>
      <w:r w:rsidRPr="00F34C0B">
        <w:rPr>
          <w:rFonts w:eastAsia="Times New Roman" w:cs="Times New Roman"/>
        </w:rPr>
        <w:t xml:space="preserve">Mallach, </w:t>
      </w:r>
      <w:r w:rsidRPr="00F34C0B">
        <w:rPr>
          <w:rFonts w:eastAsia="Times New Roman" w:cs="Times New Roman"/>
          <w:i/>
          <w:iCs/>
        </w:rPr>
        <w:t>The Divided City: Poverty and Prosperity in Urban America</w:t>
      </w:r>
      <w:r w:rsidRPr="00F34C0B">
        <w:rPr>
          <w:rFonts w:eastAsia="Times New Roman" w:cs="Times New Roman"/>
        </w:rPr>
        <w:t>, 110–11.</w:t>
      </w:r>
      <w:r>
        <w:fldChar w:fldCharType="end"/>
      </w:r>
    </w:p>
    <w:p w14:paraId="3EA54C0B" w14:textId="77777777" w:rsidR="000C0771" w:rsidRDefault="000C0771" w:rsidP="007B366A">
      <w:pPr>
        <w:pStyle w:val="FootnoteText"/>
      </w:pPr>
    </w:p>
  </w:footnote>
  <w:footnote w:id="77">
    <w:p w14:paraId="6663092D" w14:textId="082FB8A8"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{"citationID":"a3iCeq1p","properties":{"formattedCitation":"Mallach, 116.","plainCitation":"Mallach, 116.","noteIndex":77},"citationItems":[{"id":133,"uris":["http://zotero.org/users/5043758/items/2U89DKZI"],"uri":["http://zotero.org/users/5043758/items/2U89DKZI"],"itemData":{"id":133,"type":"book","title":"The Divided City: Poverty and Prosperity in Urban America","publisher":"Island Press","publisher-place":"Washington D.C.","number-of-pages":"344","event-place":"Washington D.C.","author":[{"family":"Mallach","given":"Alan"}],"issued":{"date-parts":[["2018"]]}},"locator":"116","label":"page"}],"schema":"https://github.com/citation-style-language/schema/raw/master/csl-citation.json"} </w:instrText>
      </w:r>
      <w:r>
        <w:fldChar w:fldCharType="separate"/>
      </w:r>
      <w:r>
        <w:rPr>
          <w:rFonts w:eastAsia="Times New Roman" w:cs="Times New Roman"/>
        </w:rPr>
        <w:t>Mallach, 116.</w:t>
      </w:r>
      <w:r>
        <w:fldChar w:fldCharType="end"/>
      </w:r>
    </w:p>
  </w:footnote>
  <w:footnote w:id="78">
    <w:p w14:paraId="0063F29F" w14:textId="1CAEF7FC"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{"citationID":"GwHKULWz","properties":{"formattedCitation":"Mallach, 116\\uc0\\u8211{}17.","plainCitation":"Mallach, 116–17.","noteIndex":78},"citationItems":[{"id":133,"uris":["http://zotero.org/users/5043758/items/2U89DKZI"],"uri":["http://zotero.org/users/5043758/items/2U89DKZI"],"itemData":{"id":133,"type":"book","title":"The Divided City: Poverty and Prosperity in Urban America","publisher":"Island Press","publisher-place":"Washington D.C.","number-of-pages":"344","event-place":"Washington D.C.","author":[{"family":"Mallach","given":"Alan"}],"issued":{"date-parts":[["2018"]]}},"locator":"116-117","label":"page"}],"schema":"https://github.com/citation-style-language/schema/raw/master/csl-citation.json"} </w:instrText>
      </w:r>
      <w:r>
        <w:fldChar w:fldCharType="separate"/>
      </w:r>
      <w:r w:rsidRPr="005E3EC7">
        <w:rPr>
          <w:rFonts w:eastAsia="Times New Roman" w:cs="Times New Roman"/>
        </w:rPr>
        <w:t>Mallach, 116–17.</w:t>
      </w:r>
      <w:r>
        <w:fldChar w:fldCharType="end"/>
      </w:r>
    </w:p>
  </w:footnote>
  <w:footnote w:id="79">
    <w:p w14:paraId="155F6720" w14:textId="05FF9F20"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{"citationID":"J9xpj2ki","properties":{"formattedCitation":"Mallach, 118.","plainCitation":"Mallach, 118.","noteIndex":79},"citationItems":[{"id":133,"uris":["http://zotero.org/users/5043758/items/2U89DKZI"],"uri":["http://zotero.org/users/5043758/items/2U89DKZI"],"itemData":{"id":133,"type":"book","title":"The Divided City: Poverty and Prosperity in Urban America","publisher":"Island Press","publisher-place":"Washington D.C.","number-of-pages":"344","event-place":"Washington D.C.","author":[{"family":"Mallach","given":"Alan"}],"issued":{"date-parts":[["2018"]]}},"locator":"118","label":"page"}],"schema":"https://github.com/citation-style-language/schema/raw/master/csl-citation.json"} </w:instrText>
      </w:r>
      <w:r>
        <w:fldChar w:fldCharType="separate"/>
      </w:r>
      <w:r>
        <w:rPr>
          <w:noProof/>
        </w:rPr>
        <w:t>Mallach, 118.</w:t>
      </w:r>
      <w:r>
        <w:fldChar w:fldCharType="end"/>
      </w:r>
    </w:p>
    <w:p w14:paraId="0803F44C" w14:textId="77777777" w:rsidR="000C0771" w:rsidRDefault="000C0771" w:rsidP="007B366A">
      <w:pPr>
        <w:pStyle w:val="FootnoteText"/>
      </w:pPr>
    </w:p>
  </w:footnote>
  <w:footnote w:id="80">
    <w:p w14:paraId="1ABFB5E6" w14:textId="0711553F"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{"citationID":"2udnawkQ","properties":{"formattedCitation":"Mallach, 118\\uc0\\u8211{}19.","plainCitation":"Mallach, 118–19.","noteIndex":80},"citationItems":[{"id":133,"uris":["http://zotero.org/users/5043758/items/2U89DKZI"],"uri":["http://zotero.org/users/5043758/items/2U89DKZI"],"itemData":{"id":133,"type":"book","title":"The Divided City: Poverty and Prosperity in Urban America","publisher":"Island Press","publisher-place":"Washington D.C.","number-of-pages":"344","event-place":"Washington D.C.","author":[{"family":"Mallach","given":"Alan"}],"issued":{"date-parts":[["2018"]]}},"locator":"118-119","label":"page"}],"schema":"https://github.com/citation-style-language/schema/raw/master/csl-citation.json"} </w:instrText>
      </w:r>
      <w:r>
        <w:fldChar w:fldCharType="separate"/>
      </w:r>
      <w:r w:rsidRPr="000F7D1E">
        <w:rPr>
          <w:rFonts w:eastAsia="Times New Roman" w:cs="Times New Roman"/>
        </w:rPr>
        <w:t>Mallach, 118–19.</w:t>
      </w:r>
      <w:r>
        <w:fldChar w:fldCharType="end"/>
      </w:r>
    </w:p>
    <w:p w14:paraId="47B1FD9F" w14:textId="77777777" w:rsidR="000C0771" w:rsidRDefault="000C0771" w:rsidP="007B366A">
      <w:pPr>
        <w:pStyle w:val="FootnoteText"/>
      </w:pPr>
    </w:p>
  </w:footnote>
  <w:footnote w:id="81">
    <w:p w14:paraId="125B8A3E" w14:textId="40C1D512"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{"citationID":"qKARnE3c","properties":{"formattedCitation":"Mallach, 119.","plainCitation":"Mallach, 119.","noteIndex":81},"citationItems":[{"id":133,"uris":["http://zotero.org/users/5043758/items/2U89DKZI"],"uri":["http://zotero.org/users/5043758/items/2U89DKZI"],"itemData":{"id":133,"type":"book","title":"The Divided City: Poverty and Prosperity in Urban America","publisher":"Island Press","publisher-place":"Washington D.C.","number-of-pages":"344","event-place":"Washington D.C.","author":[{"family":"Mallach","given":"Alan"}],"issued":{"date-parts":[["2018"]]}},"locator":"119","label":"page"}],"schema":"https://github.com/citation-style-language/schema/raw/master/csl-citation.json"} </w:instrText>
      </w:r>
      <w:r>
        <w:fldChar w:fldCharType="separate"/>
      </w:r>
      <w:r>
        <w:rPr>
          <w:noProof/>
        </w:rPr>
        <w:t>Mallach, 119.</w:t>
      </w:r>
      <w:r>
        <w:fldChar w:fldCharType="end"/>
      </w:r>
    </w:p>
  </w:footnote>
  <w:footnote w:id="82">
    <w:p w14:paraId="5CD318F4" w14:textId="7370E1A5"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{"citationID":"rNHgK968","properties":{"formattedCitation":"Mallach, 120\\uc0\\u8211{}21.","plainCitation":"Mallach, 120–21.","noteIndex":82},"citationItems":[{"id":133,"uris":["http://zotero.org/users/5043758/items/2U89DKZI"],"uri":["http://zotero.org/users/5043758/items/2U89DKZI"],"itemData":{"id":133,"type":"book","title":"The Divided City: Poverty and Prosperity in Urban America","publisher":"Island Press","publisher-place":"Washington D.C.","number-of-pages":"344","event-place":"Washington D.C.","author":[{"family":"Mallach","given":"Alan"}],"issued":{"date-parts":[["2018"]]}},"locator":"120-121","label":"page"}],"schema":"https://github.com/citation-style-language/schema/raw/master/csl-citation.json"} </w:instrText>
      </w:r>
      <w:r>
        <w:fldChar w:fldCharType="separate"/>
      </w:r>
      <w:r w:rsidRPr="000F7D1E">
        <w:rPr>
          <w:rFonts w:eastAsia="Times New Roman" w:cs="Times New Roman"/>
        </w:rPr>
        <w:t>Mallach, 120–21.</w:t>
      </w:r>
      <w:r>
        <w:fldChar w:fldCharType="end"/>
      </w:r>
    </w:p>
  </w:footnote>
  <w:footnote w:id="83">
    <w:p w14:paraId="29713DD5" w14:textId="15817B7F"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{"citationID":"2Hqvah4J","properties":{"formattedCitation":"Loretta Lees, \\uc0\\u8220{}Super-Gentrification: The Case of Brooklyn Heights, New York City,\\uc0\\u8221{} {\\i{}Urban Studies (Routledge)} 40, no. 12 (November 2003): 2487\\uc0\\u8211{}90, https://doi.org/10.1080/0042098032000136174.","plainCitation":"Loretta Lees, “Super-Gentrification: The Case of Brooklyn Heights, New York City,” Urban Studies (Routledge) 40, no. 12 (November 2003): 2487–90, https://doi.org/10.1080/0042098032000136174.","noteIndex":83},"citationItems":[{"id":359,"uris":["http://zotero.org/users/5043758/items/IYKK3GCB"],"uri":["http://zotero.org/users/5043758/items/IYKK3GCB"],"itemData":{"id":359,"type":"article-journal","title":"Super-gentrification: the case of Brooklyn Heights, New York City","container-title":"Urban Studies (Routledge)","page":"2487-2509","volume":"40","issue":"12","source":"EBSCOhost","abstract":"This paper is an empirical examination of the process of 'super-gentrification' in the Brooklyn Heights neighbourhood of New York City. This intensified regentrification is happening in a few select areas of global cities like London and New York that have become the focus of intense investment and conspicuous consumption by a new generation of super-rich 'financifiers' fed by fortunes from the global finance and corporate service industries. This latest resurgence of gentrification can be distinguished from previous rounds of revitalisation and poses important questions about the historical continuity of current manifestations of gentrification with previous generations of neighbourhood change.","DOI":"10.1080/0042098032000136174","ISSN":"00420980","title-short":"Super-gentrification","journalAbbreviation":"Urban Studies (Routledge)","author":[{"family":"Lees","given":"Loretta"}],"issued":{"date-parts":[["2003",11]]}},"locator":"2487-2490","label":"page"}],"schema":"https://github.com/citation-style-language/schema/raw/master/csl-citation.json"} </w:instrText>
      </w:r>
      <w:r>
        <w:fldChar w:fldCharType="separate"/>
      </w:r>
      <w:r w:rsidRPr="007B7623">
        <w:rPr>
          <w:rFonts w:eastAsia="Times New Roman" w:cs="Times New Roman"/>
        </w:rPr>
        <w:t xml:space="preserve">Loretta Lees, “Super-Gentrification: The Case of Brooklyn Heights, New York City,” </w:t>
      </w:r>
      <w:r w:rsidRPr="007B7623">
        <w:rPr>
          <w:rFonts w:eastAsia="Times New Roman" w:cs="Times New Roman"/>
          <w:i/>
          <w:iCs/>
        </w:rPr>
        <w:t>Urban Studies (Routledge)</w:t>
      </w:r>
      <w:r w:rsidRPr="007B7623">
        <w:rPr>
          <w:rFonts w:eastAsia="Times New Roman" w:cs="Times New Roman"/>
        </w:rPr>
        <w:t xml:space="preserve"> 40, no. 12 (November 2003): 2487–90, https://doi.org/10.1080/0042098032000136174.</w:t>
      </w:r>
      <w:r>
        <w:fldChar w:fldCharType="end"/>
      </w:r>
    </w:p>
    <w:p w14:paraId="785DCB26" w14:textId="77777777" w:rsidR="000C0771" w:rsidRDefault="000C0771" w:rsidP="007B366A">
      <w:pPr>
        <w:pStyle w:val="FootnoteText"/>
      </w:pPr>
    </w:p>
  </w:footnote>
  <w:footnote w:id="84">
    <w:p w14:paraId="4147688A" w14:textId="738E75FB"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{"citationID":"jqa0jha7","properties":{"formattedCitation":"Julia Herbst, \\uc0\\u8220{}Guillermo Uribe on the \\uc0\\u8216{}Gentefication\\uc0\\u8217{} of East L.A. Los Angeles Magazine,\\uc0\\u8221{} {\\i{}Los Angeles Magazine} (blog), September 14, 2014, https://www.lamag.com/citythinkblog/guillermo-uribe-on-the-gentrification-of-east-l-a/.","plainCitation":"Julia Herbst, “Guillermo Uribe on the ‘Gentefication’ of East L.A. Los Angeles Magazine,” Los Angeles Magazine (blog), September 14, 2014, https://www.lamag.com/citythinkblog/guillermo-uribe-on-the-gentrification-of-east-l-a/.","noteIndex":84},"citationItems":[{"id":361,"uris":["http://zotero.org/users/5043758/items/QNNEIY3G"],"uri":["http://zotero.org/users/5043758/items/QNNEIY3G"],"itemData":{"id":361,"type":"post-weblog","title":"Guillermo Uribe on the “Gentefication” of East L.A. Los Angeles Magazine","container-title":"Los Angeles Magazine","abstract":"With Boyle Heights real estate on the rise, the local bar owner focuses on preserving the neighborhood’s flavor","URL":"https://www.lamag.com/citythinkblog/guillermo-uribe-on-the-gentrification-of-east-l-a/","language":"en-US","author":[{"family":"Herbst","given":"Julia"}],"issued":{"date-parts":[["2014",9,14]]},"accessed":{"date-parts":[["2019",2,19]]}}}],"schema":"https://github.com/citation-style-language/schema/raw/master/csl-citation.json"} </w:instrText>
      </w:r>
      <w:r>
        <w:fldChar w:fldCharType="separate"/>
      </w:r>
      <w:r w:rsidRPr="0090782D">
        <w:rPr>
          <w:rFonts w:eastAsia="Times New Roman" w:cs="Times New Roman"/>
        </w:rPr>
        <w:t xml:space="preserve">Julia Herbst, “Guillermo Uribe on the ‘Gentefication’ of East L.A. Los Angeles Magazine,” </w:t>
      </w:r>
      <w:r w:rsidRPr="0090782D">
        <w:rPr>
          <w:rFonts w:eastAsia="Times New Roman" w:cs="Times New Roman"/>
          <w:i/>
          <w:iCs/>
        </w:rPr>
        <w:t>Los Angeles Magazine</w:t>
      </w:r>
      <w:r w:rsidRPr="0090782D">
        <w:rPr>
          <w:rFonts w:eastAsia="Times New Roman" w:cs="Times New Roman"/>
        </w:rPr>
        <w:t xml:space="preserve"> (blog), September 14, 2014, https://www.lamag.com/citythinkblog/guillermo-uribe-on-the-gentrification-of-east-l-a/.</w:t>
      </w:r>
      <w:r>
        <w:fldChar w:fldCharType="end"/>
      </w:r>
    </w:p>
    <w:p w14:paraId="6B825A29" w14:textId="77777777" w:rsidR="000C0771" w:rsidRDefault="000C0771" w:rsidP="007B366A">
      <w:pPr>
        <w:pStyle w:val="FootnoteText"/>
      </w:pPr>
    </w:p>
  </w:footnote>
  <w:footnote w:id="85">
    <w:p w14:paraId="02C9C38B" w14:textId="7D5C1443"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{"citationID":"ZIKZRoTa","properties":{"formattedCitation":"Richard Morgan, \\uc0\\u8220{}Bronx Food Revival Is Rewriting The Playbook On Gentrification,\\uc0\\u8221{} NPR.org, October 26, 2018, https://www.npr.org/sections/thesalt/2018/10/26/660231987/bronx-food-revival-is-rewriting-the-playbook-on-gentrification.","plainCitation":"Richard Morgan, “Bronx Food Revival Is Rewriting The Playbook On Gentrification,” NPR.org, October 26, 2018, https://www.npr.org/sections/thesalt/2018/10/26/660231987/bronx-food-revival-is-rewriting-the-playbook-on-gentrification.","noteIndex":85},"citationItems":[{"id":315,"uris":["http://zotero.org/users/5043758/items/Y8HJAXLD"],"uri":["http://zotero.org/users/5043758/items/Y8HJAXLD"],"itemData":{"id":315,"type":"webpage","title":"Bronx Food Revival Is Rewriting The Playbook On Gentrification","container-title":"NPR.org","abstract":"It's a prime example of \"gentefication,\" economic revival led by people with roots in the community. The cultural mix is a culinary celebration: African, Albanian, Caribbean, Italian, Latino and more.","URL":"https://www.npr.org/sections/thesalt/2018/10/26/660231987/bronx-food-revival-is-rewriting-the-playbook-on-gentrification","language":"en","author":[{"family":"Morgan","given":"Richard"}],"issued":{"date-parts":[["2018",10,26]]},"accessed":{"date-parts":[["2019",2,4]]}}}],"schema":"https://github.com/citation-style-language/schema/raw/master/csl-citation.json"} </w:instrText>
      </w:r>
      <w:r>
        <w:fldChar w:fldCharType="separate"/>
      </w:r>
      <w:r w:rsidRPr="0090782D">
        <w:rPr>
          <w:rFonts w:eastAsia="Times New Roman" w:cs="Times New Roman"/>
        </w:rPr>
        <w:t>Richard Morgan, “Bronx Food Revival Is Rewriting The Playbook On Gentrification,” NPR.org, October 26, 2018, https://www.npr.org/sections/thesalt/2018/10/26/660231987/bronx-food-revival-is-rewriting-the-playbook-on-gentrification.</w:t>
      </w:r>
      <w:r>
        <w:fldChar w:fldCharType="end"/>
      </w:r>
    </w:p>
  </w:footnote>
  <w:footnote w:id="86">
    <w:p w14:paraId="115F6DA9" w14:textId="3A35A071"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{"citationID":"iDRHFhsM","properties":{"formattedCitation":"Japonica Brown-Saracino, \\uc0\\u8220{}Social Preservationists and the Quest for Authentic Community,\\uc0\\u8221{} {\\i{}City &amp; Community} 3, no. 2 (June 2004): 135, https://doi.org/10.1111/j.1535-6841.2004.00073.x; John Joe Schlichtman, \\uc0\\u8220{}Four Types of Gentrifiers You See in Your Neighborhood,\\uc0\\u8221{} accessed October 16, 2018, https://nextcity.org/daily/entry/types-of-gentrifiers-you-see-in-your-neighborhood.","plainCitation":"Japonica Brown-Saracino, “Social Preservationists and the Quest for Authentic Community,” City &amp; Community 3, no. 2 (June 2004): 135, https://doi.org/10.1111/j.1535-6841.2004.00073.x; John Joe Schlichtman, “Four Types of Gentrifiers You See in Your Neighborhood,” accessed October 16, 2018, https://nextcity.org/daily/entry/types-of-gentrifiers-you-see-in-your-neighborhood.","noteIndex":86},"citationItems":[{"id":77,"uris":["http://zotero.org/users/5043758/items/U2EJVWE8"],"uri":["http://zotero.org/users/5043758/items/U2EJVWE8"],"itemData":{"id":77,"type":"article-journal","title":"Social Preservationists and the Quest for Authentic Community","container-title":"City &amp; Community","page":"135-156","volume":"3","issue":"2","source":"EBSCOhost","abstract":"In contemporary urban and rural America there is a social process separate and distinct from gentrification: social preservation. Social preservation is the culturally motivated choice of certain people, who tend to be highly educated and residentially mobile, to live in the central city or small town in order to live in authentic social space, embodied by the sustained presence of old-timers. Social preservationists view old-timers as indispensable to preserving a pristine “social wilderness” and as arbiters of authentic community. For this reason, they engage in efforts to limit the displacement of those original residents they deem to be truly authentic. Ethnographic data from two Chicago neighborhoods and two small Massachusetts towns describes and analyzes the ethic and practice of social preservation.","DOI":"10.1111/j.1535-6841.2004.00073.x","ISSN":"15356841","journalAbbreviation":"City &amp; Community","author":[{"family":"Brown-Saracino","given":"Japonica"}],"issued":{"date-parts":[["2004",6]]}},"locator":"135","label":"page"},{"id":202,"uris":["http://zotero.org/users/5043758/items/UH4U62JS"],"uri":["http://zotero.org/users/5043758/items/UH4U62JS"],"itemData":{"id":202,"type":"webpage","title":"Four Types of Gentrifiers You See in Your Neighborhood","abstract":"Op-Ed: Considering the alternatives to the gentrifier against gentrification.","URL":"https://nextcity.org/daily/entry/types-of-gentrifiers-you-see-in-your-neighborhood","title-short":"April 14, 2017","language":"en","author":[{"family":"Schlichtman","given":"John Joe"}],"accessed":{"date-parts":[["2018",10,16]]}}}],"schema":"https://github.com/citation-style-language/schema/raw/master/csl-citation.json"} </w:instrText>
      </w:r>
      <w:r>
        <w:fldChar w:fldCharType="separate"/>
      </w:r>
      <w:r w:rsidRPr="00BA2D39">
        <w:rPr>
          <w:rFonts w:eastAsia="Times New Roman" w:cs="Times New Roman"/>
        </w:rPr>
        <w:t xml:space="preserve">Japonica Brown-Saracino, “Social Preservationists and the Quest for Authentic Community,” </w:t>
      </w:r>
      <w:r w:rsidRPr="00BA2D39">
        <w:rPr>
          <w:rFonts w:eastAsia="Times New Roman" w:cs="Times New Roman"/>
          <w:i/>
          <w:iCs/>
        </w:rPr>
        <w:t>City &amp; Community</w:t>
      </w:r>
      <w:r w:rsidRPr="00BA2D39">
        <w:rPr>
          <w:rFonts w:eastAsia="Times New Roman" w:cs="Times New Roman"/>
        </w:rPr>
        <w:t xml:space="preserve"> 3, no. 2 (June 2004): 135, https://doi.org/10.1111/j.1535-6841.2004.00073.x; John Joe Schlichtman, “Four Types of Gentrifiers You See in Your Neighborhood,” accessed October 16, 2018, https://nextcity.org/daily/entry/types-of-gentrifiers-you-see-in-your-neighborhood.</w:t>
      </w:r>
      <w:r>
        <w:fldChar w:fldCharType="end"/>
      </w:r>
    </w:p>
    <w:p w14:paraId="14FEAEC9" w14:textId="77777777" w:rsidR="000C0771" w:rsidRDefault="000C0771" w:rsidP="007B366A">
      <w:pPr>
        <w:pStyle w:val="FootnoteText"/>
      </w:pPr>
    </w:p>
  </w:footnote>
  <w:footnote w:id="87">
    <w:p w14:paraId="09841CF4" w14:textId="38063F8B"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{"citationID":"OkHf1CbH","properties":{"formattedCitation":"Brown-Saracino, \\uc0\\u8220{}Social Preservationists and the Quest for Authentic Community,\\uc0\\u8221{} 135\\uc0\\u8211{}36.","plainCitation":"Brown-Saracino, “Social Preservationists and the Quest for Authentic Community,” 135–36.","noteIndex":87},"citationItems":[{"id":77,"uris":["http://zotero.org/users/5043758/items/U2EJVWE8"],"uri":["http://zotero.org/users/5043758/items/U2EJVWE8"],"itemData":{"id":77,"type":"article-journal","title":"Social Preservationists and the Quest for Authentic Community","container-title":"City &amp; Community","page":"135-156","volume":"3","issue":"2","source":"EBSCOhost","abstract":"In contemporary urban and rural America there is a social process separate and distinct from gentrification: social preservation. Social preservation is the culturally motivated choice of certain people, who tend to be highly educated and residentially mobile, to live in the central city or small town in order to live in authentic social space, embodied by the sustained presence of old-timers. Social preservationists view old-timers as indispensable to preserving a pristine “social wilderness” and as arbiters of authentic community. For this reason, they engage in efforts to limit the displacement of those original residents they deem to be truly authentic. Ethnographic data from two Chicago neighborhoods and two small Massachusetts towns describes and analyzes the ethic and practice of social preservation.","DOI":"10.1111/j.1535-6841.2004.00073.x","ISSN":"15356841","journalAbbreviation":"City &amp; Community","author":[{"family":"Brown-Saracino","given":"Japonica"}],"issued":{"date-parts":[["2004",6]]}},"locator":"135-136","label":"page"}],"schema":"https://github.com/citation-style-language/schema/raw/master/csl-citation.json"} </w:instrText>
      </w:r>
      <w:r>
        <w:fldChar w:fldCharType="separate"/>
      </w:r>
      <w:r w:rsidRPr="00402D04">
        <w:rPr>
          <w:rFonts w:eastAsia="Times New Roman" w:cs="Times New Roman"/>
        </w:rPr>
        <w:t>Brown-Saracino, “Social Preservationists and the Quest for Authentic Community,” 135–36.</w:t>
      </w:r>
      <w:r>
        <w:fldChar w:fldCharType="end"/>
      </w:r>
    </w:p>
  </w:footnote>
  <w:footnote w:id="88">
    <w:p w14:paraId="2C577E81" w14:textId="5F20C096" w:rsidR="000C0771" w:rsidRDefault="000C0771" w:rsidP="007B366A">
      <w:pPr>
        <w:pStyle w:val="FootnoteText"/>
      </w:pPr>
      <w:r w:rsidRPr="00F3497A">
        <w:rPr>
          <w:rStyle w:val="FootnoteReference"/>
        </w:rPr>
        <w:footnoteRef/>
      </w:r>
      <w:r>
        <w:t xml:space="preserve"> </w:t>
      </w:r>
      <w:r>
        <w:fldChar w:fldCharType="begin"/>
      </w:r>
      <w:r>
        <w:instrText xml:space="preserve"> ADDIN ZOTERO_ITEM CSL_CITATION {"citationID":"xbUh3QjQ","properties":{"formattedCitation":"Brown-Saracino, 138\\uc0\\u8211{}43.","plainCitation":"Brown-Saracino, 138–43.","noteIndex":88},"citationItems":[{"id":77,"uris":["http://zotero.org/users/5043758/items/U2EJVWE8"],"uri":["http://zotero.org/users/5043758/items/U2EJVWE8"],"itemData":{"id":77,"type":"article-journal","title":"Social Preservationists and the Quest for Authentic Community","container-title":"City &amp; Community","page":"135-156","volume":"3","issue":"2","source":"EBSCOhost","abstract":"In contemporary urban and rural America there is a social process separate and distinct from gentrification: social preservation. Social preservation is the culturally motivated choice of certain people, who tend to be highly educated and residentially mobile, to live in the central city or small town in order to live in authentic social space, embodied by the sustained presence of old-timers. Social preservationists view old-timers as indispensable to preserving a pristine “social wilderness” and as arbiters of authentic community. For this reason, they engage in efforts to limit the displacement of those original residents they deem to be truly authentic. Ethnographic data from two Chicago neighborhoods and two small Massachusetts towns describes and analyzes the ethic and practice of social preservation.","DOI":"10.1111/j.1535-6841.2004.00073.x","ISSN":"15356841","journalAbbreviation":"City &amp; Community","author":[{"family":"Brown-Saracino","given":"Japonica"}],"issued":{"date-parts":[["2004",6]]}},"locator":"138-143","label":"page"}],"schema":"https://github.com/citation-style-language/schema/raw/master/csl-citation.json"} </w:instrText>
      </w:r>
      <w:r>
        <w:fldChar w:fldCharType="separate"/>
      </w:r>
      <w:r w:rsidRPr="00D77F44">
        <w:rPr>
          <w:rFonts w:eastAsia="Times New Roman" w:cs="Times New Roman"/>
        </w:rPr>
        <w:t>Brown-Saracino, 138–43.</w:t>
      </w:r>
      <w:r>
        <w:fldChar w:fldCharType="end"/>
      </w:r>
    </w:p>
  </w:footnote>
  <w:footnote w:id="89">
    <w:p w14:paraId="61D3DFF5" w14:textId="741454E9" w:rsidR="000C0771" w:rsidRDefault="000C0771" w:rsidP="001F1BB7">
      <w:pPr>
        <w:pStyle w:val="FootnoteText"/>
      </w:pPr>
      <w:r w:rsidRPr="00F3497A">
        <w:rPr>
          <w:rStyle w:val="FootnoteReference"/>
        </w:rPr>
        <w:footnoteRef/>
      </w:r>
      <w:r w:rsidRPr="00E561C2">
        <w:t xml:space="preserve"> </w:t>
      </w:r>
      <w:r w:rsidRPr="00E561C2">
        <w:fldChar w:fldCharType="begin"/>
      </w:r>
      <w:r>
        <w:instrText xml:space="preserve"> ADDIN ZOTERO_ITEM CSL_CITATION {"citationID":"WZOImhKA","properties":{"formattedCitation":"\\uc0\\u8220{}The Green Code: Land Use Plan, City of Buffalo\\uc0\\u8221{} (City of Buffalo, Office of Strategic Planning, 2016), 4.","plainCitation":"“The Green Code: Land Use Plan, City of Buffalo” (City of Buffalo, Office of Strategic Planning, 2016), 4.","noteIndex":89},"citationItems":[{"id":377,"uris":["http://zotero.org/users/5043758/items/6P965I2R"],"uri":["http://zotero.org/users/5043758/items/6P965I2R"],"itemData":{"id":377,"type":"report","title":"The Green Code: Land Use Plan, City of Buffalo","publisher":"City of Buffalo, Office of Strategic Planning","page":"130","source":"Zotero","language":"en","issued":{"date-parts":[["2016"]]}},"locator":"4","label":"page"}],"schema":"https://github.com/citation-style-language/schema/raw/master/csl-citation.json"} </w:instrText>
      </w:r>
      <w:r w:rsidRPr="00E561C2">
        <w:fldChar w:fldCharType="separate"/>
      </w:r>
      <w:r w:rsidRPr="00E561C2">
        <w:rPr>
          <w:rFonts w:eastAsia="Times New Roman"/>
        </w:rPr>
        <w:t>“The Green Code: Land Use Plan, City of Buffalo” (City of Buffalo, Office of Strategic Planning, 2016), 4.</w:t>
      </w:r>
      <w:r w:rsidRPr="00E561C2">
        <w:fldChar w:fldCharType="end"/>
      </w:r>
    </w:p>
    <w:p w14:paraId="1843AB13" w14:textId="77777777" w:rsidR="000C0771" w:rsidRPr="00E561C2" w:rsidRDefault="000C0771" w:rsidP="001F1BB7">
      <w:pPr>
        <w:pStyle w:val="FootnoteText"/>
      </w:pPr>
    </w:p>
  </w:footnote>
  <w:footnote w:id="90">
    <w:p w14:paraId="7706AF0C" w14:textId="25DED354"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{"citationID":"UXKmaYEI","properties":{"formattedCitation":"Byron W Brown and Timothy E Wanamaker, \\uc0\\u8220{}Buffalo\\uc0\\u8217{}s Comprehensive Plan: Queen City in the 21st Century,\\uc0\\u8221{} February 7, 2006, 4.","plainCitation":"Byron W Brown and Timothy E Wanamaker, “Buffalo’s Comprehensive Plan: Queen City in the 21st Century,” February 7, 2006, 4.","noteIndex":90},"citationItems":[{"id":375,"uris":["http://zotero.org/users/5043758/items/662NPLTA"],"uri":["http://zotero.org/users/5043758/items/662NPLTA"],"itemData":{"id":375,"type":"report","title":"Buffalo’s Comprehensive Plan: Queen City in the 21st Century","page":"134","source":"Zotero","language":"en","author":[{"family":"Brown","given":"Byron W"},{"family":"Wanamaker","given":"Timothy E"}],"issued":{"date-parts":[["2006",2,7]]}},"locator":"4","label":"page"}],"schema":"https://github.com/citation-style-language/schema/raw/master/csl-citation.json"} </w:instrText>
      </w:r>
      <w:r>
        <w:fldChar w:fldCharType="separate"/>
      </w:r>
      <w:r w:rsidRPr="00322A80">
        <w:rPr>
          <w:rFonts w:eastAsia="Times New Roman" w:cs="Times New Roman"/>
        </w:rPr>
        <w:t>Byron W Brown and Timothy E Wanamaker, “Buffalo’s Comprehensive Plan: Queen City in the 21st Century,” February 7, 2006, 4.</w:t>
      </w:r>
      <w:r>
        <w:fldChar w:fldCharType="end"/>
      </w:r>
    </w:p>
    <w:p w14:paraId="56765392" w14:textId="77777777" w:rsidR="000C0771" w:rsidRDefault="000C0771" w:rsidP="001F1BB7">
      <w:pPr>
        <w:pStyle w:val="FootnoteText"/>
      </w:pPr>
    </w:p>
  </w:footnote>
  <w:footnote w:id="91">
    <w:p w14:paraId="1470FDC1" w14:textId="39A70D59" w:rsidR="000C0771" w:rsidRDefault="000C0771" w:rsidP="001F1BB7">
      <w:pPr>
        <w:pStyle w:val="FootnoteText"/>
      </w:pPr>
      <w:r w:rsidRPr="00F3497A">
        <w:rPr>
          <w:rStyle w:val="FootnoteReference"/>
        </w:rPr>
        <w:footnoteRef/>
      </w:r>
      <w:r w:rsidRPr="009239A3">
        <w:t xml:space="preserve"> </w:t>
      </w:r>
      <w:r w:rsidRPr="009239A3">
        <w:fldChar w:fldCharType="begin"/>
      </w:r>
      <w:r>
        <w:instrText xml:space="preserve"> ADDIN ZOTERO_ITEM CSL_CITATION {"citationID":"Uv8Jx0Wl","properties":{"formattedCitation":"\\uc0\\u8220{}The Green Code: Land Use Plan, City of Buffalo,\\uc0\\u8221{} 4\\uc0\\u8211{}5.","plainCitation":"“The Green Code: Land Use Plan, City of Buffalo,” 4–5.","noteIndex":91},"citationItems":[{"id":377,"uris":["http://zotero.org/users/5043758/items/6P965I2R"],"uri":["http://zotero.org/users/5043758/items/6P965I2R"],"itemData":{"id":377,"type":"report","title":"The Green Code: Land Use Plan, City of Buffalo","publisher":"City of Buffalo, Office of Strategic Planning","page":"130","source":"Zotero","language":"en","issued":{"date-parts":[["2016"]]}},"locator":"4-5","label":"page"}],"schema":"https://github.com/citation-style-language/schema/raw/master/csl-citation.json"} </w:instrText>
      </w:r>
      <w:r w:rsidRPr="009239A3">
        <w:fldChar w:fldCharType="separate"/>
      </w:r>
      <w:r w:rsidRPr="009239A3">
        <w:rPr>
          <w:rFonts w:eastAsia="Times New Roman"/>
        </w:rPr>
        <w:t>“The Green Code: Land Use Plan, City of Buffalo,” 4–5.</w:t>
      </w:r>
      <w:r w:rsidRPr="009239A3">
        <w:fldChar w:fldCharType="end"/>
      </w:r>
    </w:p>
    <w:p w14:paraId="4DC3964D" w14:textId="77777777" w:rsidR="000C0771" w:rsidRPr="009239A3" w:rsidRDefault="000C0771" w:rsidP="001F1BB7">
      <w:pPr>
        <w:pStyle w:val="FootnoteText"/>
      </w:pPr>
    </w:p>
  </w:footnote>
  <w:footnote w:id="92">
    <w:p w14:paraId="6369E2DC" w14:textId="55C97051"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{"citationID":"Ch0Sx1a2","properties":{"formattedCitation":"Brown and Wanamaker, \\uc0\\u8220{}Buffalo\\uc0\\u8217{}s Comprehensive Plan: Queen City in the 21st Century,\\uc0\\u8221{} 4.","plainCitation":"Brown and Wanamaker, “Buffalo’s Comprehensive Plan: Queen City in the 21st Century,” 4.","noteIndex":92},"citationItems":[{"id":375,"uris":["http://zotero.org/users/5043758/items/662NPLTA"],"uri":["http://zotero.org/users/5043758/items/662NPLTA"],"itemData":{"id":375,"type":"report","title":"Buffalo’s Comprehensive Plan: Queen City in the 21st Century","page":"134","source":"Zotero","language":"en","author":[{"family":"Brown","given":"Byron W"},{"family":"Wanamaker","given":"Timothy E"}],"issued":{"date-parts":[["2006",2,7]]}},"locator":"4","label":"page"}],"schema":"https://github.com/citation-style-language/schema/raw/master/csl-citation.json"} </w:instrText>
      </w:r>
      <w:r>
        <w:fldChar w:fldCharType="separate"/>
      </w:r>
      <w:r w:rsidRPr="00942FF1">
        <w:rPr>
          <w:rFonts w:eastAsia="Times New Roman" w:cs="Times New Roman"/>
        </w:rPr>
        <w:t>Brown and Wanamaker, “Buffalo’s Comprehensive Plan: Queen City in the 21st Century,” 4.</w:t>
      </w:r>
      <w:r>
        <w:fldChar w:fldCharType="end"/>
      </w:r>
    </w:p>
    <w:p w14:paraId="7030F86C" w14:textId="77777777" w:rsidR="000C0771" w:rsidRDefault="000C0771" w:rsidP="001F1BB7">
      <w:pPr>
        <w:pStyle w:val="FootnoteText"/>
      </w:pPr>
    </w:p>
  </w:footnote>
  <w:footnote w:id="93">
    <w:p w14:paraId="21B733A8" w14:textId="0BBEF841"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{"citationID":"5FzdpwGC","properties":{"formattedCitation":"\\uc0\\u8220{}The Green Code: Land Use Plan, City of Buffalo,\\uc0\\u8221{} 6.","plainCitation":"“The Green Code: Land Use Plan, City of Buffalo,” 6.","noteIndex":93},"citationItems":[{"id":377,"uris":["http://zotero.org/users/5043758/items/6P965I2R"],"uri":["http://zotero.org/users/5043758/items/6P965I2R"],"itemData":{"id":377,"type":"report","title":"The Green Code: Land Use Plan, City of Buffalo","publisher":"City of Buffalo, Office of Strategic Planning","page":"130","source":"Zotero","language":"en","issued":{"date-parts":[["2016"]]}},"locator":"6","label":"page"}],"schema":"https://github.com/citation-style-language/schema/raw/master/csl-citation.json"} </w:instrText>
      </w:r>
      <w:r>
        <w:fldChar w:fldCharType="separate"/>
      </w:r>
      <w:r w:rsidRPr="00121255">
        <w:rPr>
          <w:rFonts w:eastAsia="Times New Roman" w:cs="Times New Roman"/>
        </w:rPr>
        <w:t>“The Green Code: Land Use Plan, City of Buffalo,” 6.</w:t>
      </w:r>
      <w:r>
        <w:fldChar w:fldCharType="end"/>
      </w:r>
    </w:p>
    <w:p w14:paraId="0C458794" w14:textId="77777777" w:rsidR="000C0771" w:rsidRDefault="000C0771" w:rsidP="001F1BB7">
      <w:pPr>
        <w:pStyle w:val="FootnoteText"/>
      </w:pPr>
    </w:p>
  </w:footnote>
  <w:footnote w:id="94">
    <w:p w14:paraId="626F008C" w14:textId="739D7622"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{"citationID":"t0yBysIM","properties":{"formattedCitation":"\\uc0\\u8220{}The Green Code: Land Use Plan, City of Buffalo,\\uc0\\u8221{} 8.","plainCitation":"“The Green Code: Land Use Plan, City of Buffalo,” 8.","noteIndex":94},"citationItems":[{"id":377,"uris":["http://zotero.org/users/5043758/items/6P965I2R"],"uri":["http://zotero.org/users/5043758/items/6P965I2R"],"itemData":{"id":377,"type":"report","title":"The Green Code: Land Use Plan, City of Buffalo","publisher":"City of Buffalo, Office of Strategic Planning","page":"130","source":"Zotero","language":"en","issued":{"date-parts":[["2016"]]}},"locator":"8","label":"page"}],"schema":"https://github.com/citation-style-language/schema/raw/master/csl-citation.json"} </w:instrText>
      </w:r>
      <w:r>
        <w:fldChar w:fldCharType="separate"/>
      </w:r>
      <w:r w:rsidRPr="0018160B">
        <w:rPr>
          <w:rFonts w:eastAsia="Times New Roman" w:cs="Times New Roman"/>
        </w:rPr>
        <w:t>“The Green Code: Land Use Plan, City of Buffalo,” 8.</w:t>
      </w:r>
      <w:r>
        <w:fldChar w:fldCharType="end"/>
      </w:r>
    </w:p>
    <w:p w14:paraId="5774D526" w14:textId="77777777" w:rsidR="000C0771" w:rsidRDefault="000C0771" w:rsidP="001F1BB7">
      <w:pPr>
        <w:pStyle w:val="FootnoteText"/>
      </w:pPr>
    </w:p>
  </w:footnote>
  <w:footnote w:id="95">
    <w:p w14:paraId="3821E7ED" w14:textId="632F0F0E"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{"citationID":"nukrkgM6","properties":{"formattedCitation":"\\uc0\\u8220{}The Green Code: Land Use Plan, City of Buffalo,\\uc0\\u8221{} 34.","plainCitation":"“The Green Code: Land Use Plan, City of Buffalo,” 34.","noteIndex":95},"citationItems":[{"id":377,"uris":["http://zotero.org/users/5043758/items/6P965I2R"],"uri":["http://zotero.org/users/5043758/items/6P965I2R"],"itemData":{"id":377,"type":"report","title":"The Green Code: Land Use Plan, City of Buffalo","publisher":"City of Buffalo, Office of Strategic Planning","page":"130","source":"Zotero","language":"en","issued":{"date-parts":[["2016"]]}},"locator":"34","label":"page"}],"schema":"https://github.com/citation-style-language/schema/raw/master/csl-citation.json"} </w:instrText>
      </w:r>
      <w:r>
        <w:fldChar w:fldCharType="separate"/>
      </w:r>
      <w:r w:rsidRPr="00646E65">
        <w:rPr>
          <w:rFonts w:eastAsia="Times New Roman" w:cs="Times New Roman"/>
        </w:rPr>
        <w:t>“The Green Code: Land Use Plan, City of Buffalo,” 34.</w:t>
      </w:r>
      <w:r>
        <w:fldChar w:fldCharType="end"/>
      </w:r>
    </w:p>
    <w:p w14:paraId="07CB2FC4" w14:textId="77777777" w:rsidR="000C0771" w:rsidRDefault="000C0771" w:rsidP="001F1BB7">
      <w:pPr>
        <w:pStyle w:val="FootnoteText"/>
      </w:pPr>
    </w:p>
  </w:footnote>
  <w:footnote w:id="96">
    <w:p w14:paraId="18F41C51" w14:textId="6EC3F4CE"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{"citationID":"6vdTNP3c","properties":{"formattedCitation":"\\uc0\\u8220{}The Green Code: Land Use Plan, City of Buffalo,\\uc0\\u8221{} 8.","plainCitation":"“The Green Code: Land Use Plan, City of Buffalo,” 8.","noteIndex":96},"citationItems":[{"id":377,"uris":["http://zotero.org/users/5043758/items/6P965I2R"],"uri":["http://zotero.org/users/5043758/items/6P965I2R"],"itemData":{"id":377,"type":"report","title":"The Green Code: Land Use Plan, City of Buffalo","publisher":"City of Buffalo, Office of Strategic Planning","page":"130","source":"Zotero","language":"en","issued":{"date-parts":[["2016"]]}},"locator":"8","label":"page"}],"schema":"https://github.com/citation-style-language/schema/raw/master/csl-citation.json"} </w:instrText>
      </w:r>
      <w:r>
        <w:fldChar w:fldCharType="separate"/>
      </w:r>
      <w:r w:rsidRPr="007D6FDE">
        <w:rPr>
          <w:rFonts w:eastAsia="Times New Roman" w:cs="Times New Roman"/>
        </w:rPr>
        <w:t>“The Green Code: Land Use Plan, City of Buffalo,” 8.</w:t>
      </w:r>
      <w:r>
        <w:fldChar w:fldCharType="end"/>
      </w:r>
    </w:p>
  </w:footnote>
  <w:footnote w:id="97">
    <w:p w14:paraId="67EF060C" w14:textId="6776AB7E"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{"citationID":"z2m5L9Rl","properties":{"formattedCitation":"Brown and Wanamaker, \\uc0\\u8220{}Buffalo\\uc0\\u8217{}s Comprehensive Plan: Queen City in the 21st Century,\\uc0\\u8221{} 3.","plainCitation":"Brown and Wanamaker, “Buffalo’s Comprehensive Plan: Queen City in the 21st Century,” 3.","noteIndex":97},"citationItems":[{"id":375,"uris":["http://zotero.org/users/5043758/items/662NPLTA"],"uri":["http://zotero.org/users/5043758/items/662NPLTA"],"itemData":{"id":375,"type":"report","title":"Buffalo’s Comprehensive Plan: Queen City in the 21st Century","page":"134","source":"Zotero","language":"en","author":[{"family":"Brown","given":"Byron W"},{"family":"Wanamaker","given":"Timothy E"}],"issued":{"date-parts":[["2006",2,7]]}},"locator":"3","label":"page"}],"schema":"https://github.com/citation-style-language/schema/raw/master/csl-citation.json"} </w:instrText>
      </w:r>
      <w:r>
        <w:fldChar w:fldCharType="separate"/>
      </w:r>
      <w:r w:rsidRPr="006720EA">
        <w:rPr>
          <w:rFonts w:eastAsia="Times New Roman" w:cs="Times New Roman"/>
        </w:rPr>
        <w:t>Brown and Wanamaker, “Buffalo’s Comprehensive Plan: Queen City in the 21st Century,” 3.</w:t>
      </w:r>
      <w:r>
        <w:fldChar w:fldCharType="end"/>
      </w:r>
    </w:p>
    <w:p w14:paraId="57C7E428" w14:textId="77777777" w:rsidR="000C0771" w:rsidRDefault="000C0771" w:rsidP="001F1BB7">
      <w:pPr>
        <w:pStyle w:val="FootnoteText"/>
      </w:pPr>
    </w:p>
  </w:footnote>
  <w:footnote w:id="98">
    <w:p w14:paraId="2A88BEA8" w14:textId="1D193E8D"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{"citationID":"eKep5ATD","properties":{"formattedCitation":"Brown and Wanamaker, 86.","plainCitation":"Brown and Wanamaker, 86.","noteIndex":98},"citationItems":[{"id":375,"uris":["http://zotero.org/users/5043758/items/662NPLTA"],"uri":["http://zotero.org/users/5043758/items/662NPLTA"],"itemData":{"id":375,"type":"report","title":"Buffalo’s Comprehensive Plan: Queen City in the 21st Century","page":"134","source":"Zotero","language":"en","author":[{"family":"Brown","given":"Byron W"},{"family":"Wanamaker","given":"Timothy E"}],"issued":{"date-parts":[["2006",2,7]]}},"locator":"86","label":"page"}],"schema":"https://github.com/citation-style-language/schema/raw/master/csl-citation.json"} </w:instrText>
      </w:r>
      <w:r>
        <w:fldChar w:fldCharType="separate"/>
      </w:r>
      <w:r>
        <w:rPr>
          <w:rFonts w:eastAsia="Times New Roman" w:cs="Times New Roman"/>
        </w:rPr>
        <w:t>Brown and Wanamaker, 86.</w:t>
      </w:r>
      <w:r>
        <w:fldChar w:fldCharType="end"/>
      </w:r>
    </w:p>
  </w:footnote>
  <w:footnote w:id="99">
    <w:p w14:paraId="5B06EAA0" w14:textId="77A305EC"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{"citationID":"f5ibcLsM","properties":{"formattedCitation":"\\uc0\\u8220{}The Green Code: Land Use Plan, City of Buffalo,\\uc0\\u8221{} 3.","plainCitation":"“The Green Code: Land Use Plan, City of Buffalo,” 3.","noteIndex":99},"citationItems":[{"id":377,"uris":["http://zotero.org/users/5043758/items/6P965I2R"],"uri":["http://zotero.org/users/5043758/items/6P965I2R"],"itemData":{"id":377,"type":"report","title":"The Green Code: Land Use Plan, City of Buffalo","publisher":"City of Buffalo, Office of Strategic Planning","page":"130","source":"Zotero","language":"en","issued":{"date-parts":[["2016"]]}},"locator":"3","label":"page"}],"schema":"https://github.com/citation-style-language/schema/raw/master/csl-citation.json"} </w:instrText>
      </w:r>
      <w:r>
        <w:fldChar w:fldCharType="separate"/>
      </w:r>
      <w:r w:rsidRPr="003026EF">
        <w:rPr>
          <w:rFonts w:eastAsia="Times New Roman" w:cs="Times New Roman"/>
        </w:rPr>
        <w:t>“The Green Code: Land Use Plan, City of Buffalo,” 3.</w:t>
      </w:r>
      <w:r>
        <w:fldChar w:fldCharType="end"/>
      </w:r>
    </w:p>
    <w:p w14:paraId="3363F3C9" w14:textId="77777777" w:rsidR="000C0771" w:rsidRDefault="000C0771" w:rsidP="001F1BB7">
      <w:pPr>
        <w:pStyle w:val="FootnoteText"/>
      </w:pPr>
    </w:p>
  </w:footnote>
  <w:footnote w:id="100">
    <w:p w14:paraId="1C8C42EF" w14:textId="00CB660B"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{"citationID":"NdW5GpHG","properties":{"formattedCitation":"\\uc0\\u8220{}The Green Code: Land Use Plan, City of Buffalo,\\uc0\\u8221{} 28.","plainCitation":"“The Green Code: Land Use Plan, City of Buffalo,” 28.","noteIndex":100},"citationItems":[{"id":377,"uris":["http://zotero.org/users/5043758/items/6P965I2R"],"uri":["http://zotero.org/users/5043758/items/6P965I2R"],"itemData":{"id":377,"type":"report","title":"The Green Code: Land Use Plan, City of Buffalo","publisher":"City of Buffalo, Office of Strategic Planning","page":"130","source":"Zotero","language":"en","issued":{"date-parts":[["2016"]]}},"locator":"28","label":"page"}],"schema":"https://github.com/citation-style-language/schema/raw/master/csl-citation.json"} </w:instrText>
      </w:r>
      <w:r>
        <w:fldChar w:fldCharType="separate"/>
      </w:r>
      <w:r w:rsidRPr="00236AD4">
        <w:rPr>
          <w:rFonts w:eastAsia="Times New Roman" w:cs="Times New Roman"/>
        </w:rPr>
        <w:t>“The Green Code: Land Use Plan, City of Buffalo,” 28.</w:t>
      </w:r>
      <w:r>
        <w:fldChar w:fldCharType="end"/>
      </w:r>
    </w:p>
    <w:p w14:paraId="4BF0874A" w14:textId="77777777" w:rsidR="000C0771" w:rsidRDefault="000C0771" w:rsidP="001F1BB7">
      <w:pPr>
        <w:pStyle w:val="FootnoteText"/>
      </w:pPr>
    </w:p>
  </w:footnote>
  <w:footnote w:id="101">
    <w:p w14:paraId="65831220" w14:textId="47AD9D8E"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{"citationID":"TYKJjivy","properties":{"formattedCitation":"\\uc0\\u8220{}The Green Code: Land Use Plan, City of Buffalo,\\uc0\\u8221{} 44.","plainCitation":"“The Green Code: Land Use Plan, City of Buffalo,” 44.","noteIndex":101},"citationItems":[{"id":377,"uris":["http://zotero.org/users/5043758/items/6P965I2R"],"uri":["http://zotero.org/users/5043758/items/6P965I2R"],"itemData":{"id":377,"type":"report","title":"The Green Code: Land Use Plan, City of Buffalo","publisher":"City of Buffalo, Office of Strategic Planning","page":"130","source":"Zotero","language":"en","issued":{"date-parts":[["2016"]]}},"locator":"44","label":"page"}],"schema":"https://github.com/citation-style-language/schema/raw/master/csl-citation.json"} </w:instrText>
      </w:r>
      <w:r>
        <w:fldChar w:fldCharType="separate"/>
      </w:r>
      <w:r w:rsidRPr="003F345E">
        <w:rPr>
          <w:rFonts w:eastAsia="Times New Roman" w:cs="Times New Roman"/>
        </w:rPr>
        <w:t>“The Green Code: Land Use Plan, City of Buffalo,” 44.</w:t>
      </w:r>
      <w:r>
        <w:fldChar w:fldCharType="end"/>
      </w:r>
    </w:p>
    <w:p w14:paraId="705B3335" w14:textId="77777777" w:rsidR="000C0771" w:rsidRDefault="000C0771" w:rsidP="001F1BB7">
      <w:pPr>
        <w:pStyle w:val="FootnoteText"/>
      </w:pPr>
    </w:p>
  </w:footnote>
  <w:footnote w:id="102">
    <w:p w14:paraId="75C8736F" w14:textId="05381AB4"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{"citationID":"KSF0g5Gr","properties":{"formattedCitation":"\\uc0\\u8220{}About Buffalo Billion | Buffalo Billion,\\uc0\\u8221{} New York State, accessed March 7, 2019, https://buffalobillion.ny.gov/about-buffalo-billion.","plainCitation":"“About Buffalo Billion | Buffalo Billion,” New York State, accessed March 7, 2019, https://buffalobillion.ny.gov/about-buffalo-billion.","noteIndex":102},"citationItems":[{"id":462,"uris":["http://zotero.org/users/5043758/items/LUMMLIQL"],"uri":["http://zotero.org/users/5043758/items/LUMMLIQL"],"itemData":{"id":462,"type":"webpage","title":"About Buffalo Billion | Buffalo Billion","container-title":"New York State","URL":"https://buffalobillion.ny.gov/about-buffalo-billion","accessed":{"date-parts":[["2019",3,7]]}}}],"schema":"https://github.com/citation-style-language/schema/raw/master/csl-citation.json"} </w:instrText>
      </w:r>
      <w:r>
        <w:fldChar w:fldCharType="separate"/>
      </w:r>
      <w:r w:rsidRPr="00826825">
        <w:rPr>
          <w:rFonts w:eastAsia="Times New Roman" w:cs="Times New Roman"/>
        </w:rPr>
        <w:t>“About Buffalo Billion | Buffalo Billion,” New York State, accessed March 7, 2019, https://buffalobillion.ny.gov/about-buffalo-billion.</w:t>
      </w:r>
      <w:r>
        <w:fldChar w:fldCharType="end"/>
      </w:r>
    </w:p>
    <w:p w14:paraId="26015AD8" w14:textId="77777777" w:rsidR="000C0771" w:rsidRDefault="000C0771" w:rsidP="001F1BB7">
      <w:pPr>
        <w:pStyle w:val="FootnoteText"/>
      </w:pPr>
    </w:p>
  </w:footnote>
  <w:footnote w:id="103">
    <w:p w14:paraId="1D06CB24" w14:textId="4B595554"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{"citationID":"DMRiw9gQ","properties":{"formattedCitation":"\\uc0\\u8220{}Buffalo Billion Process and Implementation\\uc0\\u8221{} (State of New York, January 2016), 2.","plainCitation":"“Buffalo Billion Process and Implementation” (State of New York, January 2016), 2.","noteIndex":103},"citationItems":[{"id":468,"uris":["http://zotero.org/users/5043758/items/FZRURVQJ"],"uri":["http://zotero.org/users/5043758/items/FZRURVQJ"],"itemData":{"id":468,"type":"report","title":"Buffalo Billion Process and Implementation","publisher":"State of New York","issued":{"date-parts":[["2016",1]]}},"locator":"2","label":"page"}],"schema":"https://github.com/citation-style-language/schema/raw/master/csl-citation.json"} </w:instrText>
      </w:r>
      <w:r>
        <w:fldChar w:fldCharType="separate"/>
      </w:r>
      <w:r w:rsidRPr="00565D15">
        <w:rPr>
          <w:rFonts w:eastAsia="Times New Roman" w:cs="Times New Roman"/>
        </w:rPr>
        <w:t>“Buffalo Billion Process and Implementation” (State of New York, January 2016), 2.</w:t>
      </w:r>
      <w:r>
        <w:fldChar w:fldCharType="end"/>
      </w:r>
    </w:p>
    <w:p w14:paraId="28ABE02C" w14:textId="77777777" w:rsidR="000C0771" w:rsidRDefault="000C0771" w:rsidP="001F1BB7">
      <w:pPr>
        <w:pStyle w:val="FootnoteText"/>
      </w:pPr>
    </w:p>
  </w:footnote>
  <w:footnote w:id="104">
    <w:p w14:paraId="64C3C562" w14:textId="169330DA"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{"citationID":"DkgHMexm","properties":{"formattedCitation":"\\uc0\\u8220{}Buffalo Billion Process and Implementation,\\uc0\\u8221{} 5.","plainCitation":"“Buffalo Billion Process and Implementation,” 5.","noteIndex":104},"citationItems":[{"id":468,"uris":["http://zotero.org/users/5043758/items/FZRURVQJ"],"uri":["http://zotero.org/users/5043758/items/FZRURVQJ"],"itemData":{"id":468,"type":"report","title":"Buffalo Billion Process and Implementation","publisher":"State of New York","issued":{"date-parts":[["2016",1]]}},"locator":"5","label":"page"}],"schema":"https://github.com/citation-style-language/schema/raw/master/csl-citation.json"} </w:instrText>
      </w:r>
      <w:r>
        <w:fldChar w:fldCharType="separate"/>
      </w:r>
      <w:r w:rsidRPr="00565D15">
        <w:rPr>
          <w:rFonts w:eastAsia="Times New Roman" w:cs="Times New Roman"/>
        </w:rPr>
        <w:t>“Buffalo Billion Process and Implementation,” 5.</w:t>
      </w:r>
      <w:r>
        <w:fldChar w:fldCharType="end"/>
      </w:r>
    </w:p>
    <w:p w14:paraId="457832CB" w14:textId="77777777" w:rsidR="000C0771" w:rsidRDefault="000C0771" w:rsidP="001F1BB7">
      <w:pPr>
        <w:pStyle w:val="FootnoteText"/>
      </w:pPr>
    </w:p>
  </w:footnote>
  <w:footnote w:id="105">
    <w:p w14:paraId="2F4168B1" w14:textId="35382F7C"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{"citationID":"44Yq9sGw","properties":{"formattedCitation":"\\uc0\\u8220{}Buffalo Billion Process and Implementation,\\uc0\\u8221{} 7.","plainCitation":"“Buffalo Billion Process and Implementation,” 7.","noteIndex":105},"citationItems":[{"id":468,"uris":["http://zotero.org/users/5043758/items/FZRURVQJ"],"uri":["http://zotero.org/users/5043758/items/FZRURVQJ"],"itemData":{"id":468,"type":"report","title":"Buffalo Billion Process and Implementation","publisher":"State of New York","issued":{"date-parts":[["2016",1]]}},"locator":"7","label":"page"}],"schema":"https://github.com/citation-style-language/schema/raw/master/csl-citation.json"} </w:instrText>
      </w:r>
      <w:r>
        <w:fldChar w:fldCharType="separate"/>
      </w:r>
      <w:r w:rsidRPr="009A52C7">
        <w:rPr>
          <w:rFonts w:eastAsia="Times New Roman" w:cs="Times New Roman"/>
        </w:rPr>
        <w:t>“Buffalo Billion Process and Implementation,” 7.</w:t>
      </w:r>
      <w:r>
        <w:fldChar w:fldCharType="end"/>
      </w:r>
    </w:p>
    <w:p w14:paraId="7B5A2B0F" w14:textId="77777777" w:rsidR="000C0771" w:rsidRDefault="000C0771" w:rsidP="001F1BB7">
      <w:pPr>
        <w:pStyle w:val="FootnoteText"/>
      </w:pPr>
    </w:p>
  </w:footnote>
  <w:footnote w:id="106">
    <w:p w14:paraId="4D32D9B5" w14:textId="1F49F8BE"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{"citationID":"9hFw908f","properties":{"formattedCitation":"\\uc0\\u8220{}Buffalo Billion Process and Implementation,\\uc0\\u8221{} 6.","plainCitation":"“Buffalo Billion Process and Implementation,” 6.","noteIndex":106},"citationItems":[{"id":468,"uris":["http://zotero.org/users/5043758/items/FZRURVQJ"],"uri":["http://zotero.org/users/5043758/items/FZRURVQJ"],"itemData":{"id":468,"type":"report","title":"Buffalo Billion Process and Implementation","publisher":"State of New York","issued":{"date-parts":[["2016",1]]}},"locator":"6","label":"page"}],"schema":"https://github.com/citation-style-language/schema/raw/master/csl-citation.json"} </w:instrText>
      </w:r>
      <w:r>
        <w:fldChar w:fldCharType="separate"/>
      </w:r>
      <w:r w:rsidRPr="00511753">
        <w:rPr>
          <w:rFonts w:eastAsia="Times New Roman" w:cs="Times New Roman"/>
        </w:rPr>
        <w:t>“Buffalo Billion Process and Implementation,” 6.</w:t>
      </w:r>
      <w:r>
        <w:fldChar w:fldCharType="end"/>
      </w:r>
    </w:p>
    <w:p w14:paraId="32D6C6F4" w14:textId="77777777" w:rsidR="000C0771" w:rsidRDefault="000C0771" w:rsidP="001F1BB7">
      <w:pPr>
        <w:pStyle w:val="FootnoteText"/>
      </w:pPr>
    </w:p>
  </w:footnote>
  <w:footnote w:id="107">
    <w:p w14:paraId="749B3C14" w14:textId="0DFBF142"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{"citationID":"NI1iydJO","properties":{"formattedCitation":"\\uc0\\u8220{}About Buffalo Billion | Buffalo Billion.\\uc0\\u8221{}","plainCitation":"“About Buffalo Billion | Buffalo Billion.”","noteIndex":107},"citationItems":[{"id":462,"uris":["http://zotero.org/users/5043758/items/LUMMLIQL"],"uri":["http://zotero.org/users/5043758/items/LUMMLIQL"],"itemData":{"id":462,"type":"webpage","title":"About Buffalo Billion | Buffalo Billion","container-title":"New York State","URL":"https://buffalobillion.ny.gov/about-buffalo-billion","accessed":{"date-parts":[["2019",3,7]]}}}],"schema":"https://github.com/citation-style-language/schema/raw/master/csl-citation.json"} </w:instrText>
      </w:r>
      <w:r>
        <w:fldChar w:fldCharType="separate"/>
      </w:r>
      <w:r w:rsidRPr="00511753">
        <w:rPr>
          <w:rFonts w:eastAsia="Times New Roman" w:cs="Times New Roman"/>
        </w:rPr>
        <w:t>“About Buffalo Billion | Buffalo Billion.”</w:t>
      </w:r>
      <w:r>
        <w:fldChar w:fldCharType="end"/>
      </w:r>
    </w:p>
  </w:footnote>
  <w:footnote w:id="108">
    <w:p w14:paraId="025CC960" w14:textId="44519408"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{"citationID":"UJkCZbVJ","properties":{"formattedCitation":"\\uc0\\u8220{}Preservation Board | Buffalo, NY,\\uc0\\u8221{} accessed February 23, 2019, https://www.buffalony.gov/361/Preservation-Board.","plainCitation":"“Preservation Board | Buffalo, NY,” accessed February 23, 2019, https://www.buffalony.gov/361/Preservation-Board.","noteIndex":108},"citationItems":[{"id":370,"uris":["http://zotero.org/users/5043758/items/XMMXKALB"],"uri":["http://zotero.org/users/5043758/items/XMMXKALB"],"itemData":{"id":370,"type":"webpage","title":"Preservation Board | Buffalo, NY","URL":"https://www.buffalony.gov/361/Preservation-Board","accessed":{"date-parts":[["2019",2,23]]}}}],"schema":"https://github.com/citation-style-language/schema/raw/master/csl-citation.json"} </w:instrText>
      </w:r>
      <w:r>
        <w:fldChar w:fldCharType="separate"/>
      </w:r>
      <w:r w:rsidRPr="004A0340">
        <w:rPr>
          <w:rFonts w:eastAsia="Times New Roman" w:cs="Times New Roman"/>
        </w:rPr>
        <w:t>“Preservation Board | Buffalo, NY,” accessed February 23, 2019, https://www.buffalony.gov/361/Preservation-Board.</w:t>
      </w:r>
      <w:r>
        <w:fldChar w:fldCharType="end"/>
      </w:r>
    </w:p>
    <w:p w14:paraId="3CA60FF6" w14:textId="77777777" w:rsidR="000C0771" w:rsidRDefault="000C0771" w:rsidP="001F1BB7">
      <w:pPr>
        <w:pStyle w:val="FootnoteText"/>
      </w:pPr>
    </w:p>
  </w:footnote>
  <w:footnote w:id="109">
    <w:p w14:paraId="49BF3107" w14:textId="63BDD7F0"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{"citationID":"K4T9XNvI","properties":{"formattedCitation":"Brown and Wanamaker, \\uc0\\u8220{}Buffalo\\uc0\\u8217{}s Comprehensive Plan: Queen City in the 21st Century,\\uc0\\u8221{} 98\\uc0\\u8211{}100.","plainCitation":"Brown and Wanamaker, “Buffalo’s Comprehensive Plan: Queen City in the 21st Century,” 98–100.","noteIndex":109},"citationItems":[{"id":375,"uris":["http://zotero.org/users/5043758/items/662NPLTA"],"uri":["http://zotero.org/users/5043758/items/662NPLTA"],"itemData":{"id":375,"type":"report","title":"Buffalo’s Comprehensive Plan: Queen City in the 21st Century","page":"134","source":"Zotero","language":"en","author":[{"family":"Brown","given":"Byron W"},{"family":"Wanamaker","given":"Timothy E"}],"issued":{"date-parts":[["2006",2,7]]}},"locator":"98-100","label":"page"}],"schema":"https://github.com/citation-style-language/schema/raw/master/csl-citation.json"} </w:instrText>
      </w:r>
      <w:r>
        <w:fldChar w:fldCharType="separate"/>
      </w:r>
      <w:r w:rsidRPr="001B5495">
        <w:rPr>
          <w:rFonts w:eastAsia="Times New Roman" w:cs="Times New Roman"/>
        </w:rPr>
        <w:t>Brown and Wanamaker, “Buffalo’s Comprehensive Plan: Queen City in the 21st Century,” 98–100.</w:t>
      </w:r>
      <w:r>
        <w:fldChar w:fldCharType="end"/>
      </w:r>
    </w:p>
    <w:p w14:paraId="46C8B029" w14:textId="77777777" w:rsidR="000C0771" w:rsidRDefault="000C0771" w:rsidP="001F1BB7">
      <w:pPr>
        <w:pStyle w:val="FootnoteText"/>
      </w:pPr>
    </w:p>
  </w:footnote>
  <w:footnote w:id="110">
    <w:p w14:paraId="1C1AEDD6" w14:textId="77EAB7F7"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{"citationID":"ZlrgoQsv","properties":{"formattedCitation":"\\uc0\\u8220{}What We Do,\\uc0\\u8221{} Preservation Buffalo Niagara, August 4, 2017, https://preservationbuffaloniagara.org/what-we-do/.","plainCitation":"“What We Do,” Preservation Buffalo Niagara, August 4, 2017, https://preservationbuffaloniagara.org/what-we-do/.","noteIndex":110},"citationItems":[{"id":436,"uris":["http://zotero.org/users/5043758/items/6FE32QPZ"],"uri":["http://zotero.org/users/5043758/items/6FE32QPZ"],"itemData":{"id":436,"type":"webpage","title":"What We Do","container-title":"Preservation Buffalo Niagara","abstract":"What We Do Preservation Buffalo Niagara is the region’s only full-service, professionally staffed preservation organization, empowering Western New York communities to champion historic prese…","URL":"https://preservationbuffaloniagara.org/what-we-do/","language":"en-US","issued":{"date-parts":[["2017",8,4]]},"accessed":{"date-parts":[["2019",3,2]]}}}],"schema":"https://github.com/citation-style-language/schema/raw/master/csl-citation.json"} </w:instrText>
      </w:r>
      <w:r>
        <w:fldChar w:fldCharType="separate"/>
      </w:r>
      <w:r w:rsidRPr="00086051">
        <w:rPr>
          <w:rFonts w:eastAsia="Times New Roman" w:cs="Times New Roman"/>
        </w:rPr>
        <w:t>“What We Do,” Preservation Buffalo Niagara, August 4, 2017, https://preservationbuffaloniagara.org/what-we-do/.</w:t>
      </w:r>
      <w:r>
        <w:fldChar w:fldCharType="end"/>
      </w:r>
    </w:p>
    <w:p w14:paraId="5022F585" w14:textId="77777777" w:rsidR="000C0771" w:rsidRDefault="000C0771" w:rsidP="001F1BB7">
      <w:pPr>
        <w:pStyle w:val="FootnoteText"/>
      </w:pPr>
    </w:p>
  </w:footnote>
  <w:footnote w:id="111">
    <w:p w14:paraId="6831D3CB" w14:textId="58107E9E"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{"citationID":"d5NCCWKh","properties":{"formattedCitation":"\\uc0\\u8220{}Preservation Buffalo Niagara,\\uc0\\u8221{} Preservation Buffalo Niagara, accessed March 2, 2019, https://preservationbuffaloniagara.org/.","plainCitation":"“Preservation Buffalo Niagara,” Preservation Buffalo Niagara, accessed March 2, 2019, https://preservationbuffaloniagara.org/.","noteIndex":111},"citationItems":[{"id":440,"uris":["http://zotero.org/users/5043758/items/TK9P7ZGE"],"uri":["http://zotero.org/users/5043758/items/TK9P7ZGE"],"itemData":{"id":440,"type":"webpage","title":"Preservation Buffalo Niagara","container-title":"Preservation Buffalo Niagara","abstract":"Building on our past for your future!","URL":"https://preservationbuffaloniagara.org/","language":"en-US","accessed":{"date-parts":[["2019",3,2]]}}}],"schema":"https://github.com/citation-style-language/schema/raw/master/csl-citation.json"} </w:instrText>
      </w:r>
      <w:r>
        <w:fldChar w:fldCharType="separate"/>
      </w:r>
      <w:r w:rsidRPr="00C430F6">
        <w:rPr>
          <w:rFonts w:eastAsia="Times New Roman" w:cs="Times New Roman"/>
        </w:rPr>
        <w:t>“Preservation Buffalo Niagara,” Preservation Buffalo Niagara, accessed March 2, 2019, https://preservationbuffaloniagara.org/.</w:t>
      </w:r>
      <w:r>
        <w:fldChar w:fldCharType="end"/>
      </w:r>
    </w:p>
    <w:p w14:paraId="5A9702D6" w14:textId="77777777" w:rsidR="000C0771" w:rsidRDefault="000C0771" w:rsidP="001F1BB7">
      <w:pPr>
        <w:pStyle w:val="FootnoteText"/>
      </w:pPr>
    </w:p>
  </w:footnote>
  <w:footnote w:id="112">
    <w:p w14:paraId="6E54C1C0" w14:textId="494C9AA7"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{"citationID":"4FLgI9ME","properties":{"formattedCitation":"\\uc0\\u8220{}Historic Preservation,\\uc0\\u8221{} University at Buffalo School of Architecture and Planning, accessed March 2, 2019, http://ap.buffalo.edu/content/ap/academics/graduate-degrees/programs-in-historic-preservation.html.","plainCitation":"“Historic Preservation,” University at Buffalo School of Architecture and Planning, accessed March 2, 2019, http://ap.buffalo.edu/content/ap/academics/graduate-degrees/programs-in-historic-preservation.html.","noteIndex":112},"citationItems":[{"id":443,"uris":["http://zotero.org/users/5043758/items/V3NWESF7"],"uri":["http://zotero.org/users/5043758/items/V3NWESF7"],"itemData":{"id":443,"type":"webpage","title":"Historic Preservation","container-title":"University at Buffalo School of Architecture and Planning","abstract":"Join our small and selective group of interdisciplinary students interested in pursuing promising careers in historic preservation. Designed for practitioners and students from disciplines as diverse as architecture, law and art, our curriculum includes an Advanced Graduate Certificate in Historic Preservation&amp;nbsp;and a Master of Science in Architecture specializing in Historic Preservation.","URL":"http://ap.buffalo.edu/content/ap/academics/graduate-degrees/programs-in-historic-preservation.html","language":"en","accessed":{"date-parts":[["2019",3,2]]}}}],"schema":"https://github.com/citation-style-language/schema/raw/master/csl-citation.json"} </w:instrText>
      </w:r>
      <w:r>
        <w:fldChar w:fldCharType="separate"/>
      </w:r>
      <w:r w:rsidRPr="00F511F1">
        <w:rPr>
          <w:rFonts w:eastAsia="Times New Roman" w:cs="Times New Roman"/>
        </w:rPr>
        <w:t>“Historic Preservation,” University at Buffalo School of Architecture and Planning, accessed March 2, 2019, http://ap.buffalo.edu/content/ap/academics/graduate-degrees/programs-in-historic-preservation.html.</w:t>
      </w:r>
      <w:r>
        <w:fldChar w:fldCharType="end"/>
      </w:r>
    </w:p>
    <w:p w14:paraId="4499E62D" w14:textId="77777777" w:rsidR="000C0771" w:rsidRDefault="000C0771" w:rsidP="001F1BB7">
      <w:pPr>
        <w:pStyle w:val="FootnoteText"/>
      </w:pPr>
    </w:p>
  </w:footnote>
  <w:footnote w:id="113">
    <w:p w14:paraId="5F2016E6" w14:textId="22D93DE4"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{"citationID":"nqff4dI5","properties":{"formattedCitation":"\\uc0\\u8220{}UB Architecture Students Win Theatre Renovation Prize,\\uc0\\u8221{} accessed March 2, 2019, http://ap.buffalo.edu/academics/graduate-degrees/ms-architecture/historic-preservation.host.html/content/shared/ap/articles/news/2016/cyclorama_theatre.detail.html.","plainCitation":"“UB Architecture Students Win Theatre Renovation Prize,” accessed March 2, 2019, http://ap.buffalo.edu/academics/graduate-degrees/ms-architecture/historic-preservation.host.html/content/shared/ap/articles/news/2016/cyclorama_theatre.detail.html.","noteIndex":113},"citationItems":[{"id":445,"uris":["http://zotero.org/users/5043758/items/2S5MJ4R2"],"uri":["http://zotero.org/users/5043758/items/2S5MJ4R2"],"itemData":{"id":445,"type":"webpage","title":"UB Architecture Students Win Theatre Renovation Prize","abstract":"UB students KelseyLiz Habla and Charles Canfield have an award-winning proposal to turn Buffalo&amp;rsquo;s Cyclorama Building into a year-round home for the beloved theatre company Shakespeare in Delaware Park.","URL":"http://ap.buffalo.edu/academics/graduate-degrees/ms-architecture/historic-preservation.host.html/content/shared/ap/articles/news/2016/cyclorama_theatre.detail.html","language":"en","accessed":{"date-parts":[["2019",3,2]]}}}],"schema":"https://github.com/citation-style-language/schema/raw/master/csl-citation.json"} </w:instrText>
      </w:r>
      <w:r>
        <w:fldChar w:fldCharType="separate"/>
      </w:r>
      <w:r w:rsidRPr="004B44CD">
        <w:rPr>
          <w:rFonts w:eastAsia="Times New Roman" w:cs="Times New Roman"/>
        </w:rPr>
        <w:t>“UB Architecture Students Win Theatre Renovation Prize,” accessed March 2, 2019, http://ap.buffalo.edu/academics/graduate-degrees/ms-architecture/historic-preservation.host.html/content/shared/ap/articles/news/2016/cyclorama_theatre.detail.html.</w:t>
      </w:r>
      <w:r>
        <w:fldChar w:fldCharType="end"/>
      </w:r>
    </w:p>
    <w:p w14:paraId="6D1B6B7D" w14:textId="77777777" w:rsidR="000C0771" w:rsidRDefault="000C0771" w:rsidP="001F1BB7">
      <w:pPr>
        <w:pStyle w:val="FootnoteText"/>
      </w:pPr>
    </w:p>
  </w:footnote>
  <w:footnote w:id="114">
    <w:p w14:paraId="4FF796DE" w14:textId="47E40A5A"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{"citationID":"8TX454dU","properties":{"formattedCitation":"\\uc0\\u8220{}Heart Bombs: Young Preservationists Spreading the Love \\uc0\\u8211{} Design*Sponge,\\uc0\\u8221{} accessed March 2, 2019, https://www.designsponge.com/2013/02/heart-bombs-young-preservationists-spreading-the-love.html; \\uc0\\u8220{}We Heart Saving Places: Heart Bombing Across America | National Trust for Historic Preservation,\\uc0\\u8221{} accessed March 2, 2019, https://savingplaces.org/guides/we-heart-saving-places-heart-bombing-across-america.","plainCitation":"“Heart Bombs: Young Preservationists Spreading the Love – Design*Sponge,” accessed March 2, 2019, https://www.designsponge.com/2013/02/heart-bombs-young-preservationists-spreading-the-love.html; “We Heart Saving Places: Heart Bombing Across America | National Trust for Historic Preservation,” accessed March 2, 2019, https://savingplaces.org/guides/we-heart-saving-places-heart-bombing-across-america.","noteIndex":114},"citationItems":[{"id":449,"uris":["http://zotero.org/users/5043758/items/2LQSAV7U"],"uri":["http://zotero.org/users/5043758/items/2LQSAV7U"],"itemData":{"id":449,"type":"webpage","title":"Heart Bombs: Young Preservationists Spreading the Love – Design*Sponge","URL":"https://www.designsponge.com/2013/02/heart-bombs-young-preservationists-spreading-the-love.html","accessed":{"date-parts":[["2019",3,2]]}},"label":"page"},{"id":451,"uris":["http://zotero.org/users/5043758/items/CP2SCFYY"],"uri":["http://zotero.org/users/5043758/items/CP2SCFYY"],"itemData":{"id":451,"type":"webpage","title":"We Heart Saving Places: Heart Bombing Across America | National Trust for Historic Preservation","abstract":"In February 2018, preservationists from coast to coast showed some love for historic places that are important to their communities.","URL":"https://savingplaces.org/guides/we-heart-saving-places-heart-bombing-across-america","title-short":"We Heart Saving Places","language":"en-US","accessed":{"date-parts":[["2019",3,2]]}},"label":"page"}],"schema":"https://github.com/citation-style-language/schema/raw/master/csl-citation.json"} </w:instrText>
      </w:r>
      <w:r>
        <w:fldChar w:fldCharType="separate"/>
      </w:r>
      <w:r w:rsidRPr="004B44CD">
        <w:rPr>
          <w:rFonts w:eastAsia="Times New Roman" w:cs="Times New Roman"/>
        </w:rPr>
        <w:t>“Heart Bombs: Young Preservationists Spreading the Love – Design*Sponge,” accessed March 2, 2019, https://www.designsponge.com/2013/02/heart-bombs-young-preservationists-spreading-the-love.html; “We Heart Saving Places: Heart Bombing Across America | National Trust for Historic Preservation,” accessed March 2, 2019, https://savingplaces.org/guides/we-heart-saving-places-heart-bombing-across-america.</w:t>
      </w:r>
      <w:r>
        <w:fldChar w:fldCharType="end"/>
      </w:r>
    </w:p>
    <w:p w14:paraId="6863913F" w14:textId="77777777" w:rsidR="000C0771" w:rsidRDefault="000C0771" w:rsidP="001F1BB7">
      <w:pPr>
        <w:pStyle w:val="FootnoteText"/>
      </w:pPr>
    </w:p>
  </w:footnote>
  <w:footnote w:id="115">
    <w:p w14:paraId="4EC80C7B" w14:textId="37CF8667"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{"citationID":"sr3Dulde","properties":{"formattedCitation":"\\uc0\\u8220{}Rust Belt Coalition of Young Preservationists!,\\uc0\\u8221{} RBCoYP!, accessed April 22, 2019, https://rustbeltcoalitionofyoungpreservationists.com/.","plainCitation":"“Rust Belt Coalition of Young Preservationists!,” RBCoYP!, accessed April 22, 2019, https://rustbeltcoalitionofyoungpreservationists.com/.","noteIndex":115},"citationItems":[{"id":566,"uris":["http://zotero.org/users/5043758/items/6U2AEX2C"],"uri":["http://zotero.org/users/5043758/items/6U2AEX2C"],"itemData":{"id":566,"type":"webpage","title":"Rust Belt Coalition of Young Preservationists!","container-title":"RBCoYP!","abstract":"Rust Belt Coalition of Young Preservationists!","URL":"https://rustbeltcoalitionofyoungpreservationists.com/","language":"en","accessed":{"date-parts":[["2019",4,22]]}}}],"schema":"https://github.com/citation-style-language/schema/raw/master/csl-citation.json"} </w:instrText>
      </w:r>
      <w:r>
        <w:fldChar w:fldCharType="separate"/>
      </w:r>
      <w:r w:rsidRPr="00E5728B">
        <w:rPr>
          <w:rFonts w:eastAsia="Times New Roman" w:cs="Times New Roman"/>
        </w:rPr>
        <w:t>“Rust Belt Coalition of Young Preservationists!,” RBCoYP!, accessed April 22, 2019, https://rustbeltcoalitionofyoungpreservationists.com/.</w:t>
      </w:r>
      <w:r>
        <w:fldChar w:fldCharType="end"/>
      </w:r>
    </w:p>
  </w:footnote>
  <w:footnote w:id="116">
    <w:p w14:paraId="6B93A86B" w14:textId="163E35BC"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{"citationID":"eXSQF1l3","properties":{"formattedCitation":"\\uc0\\u8220{}People United for Sustainable Housing, Annual Report, 2017\\uc0\\u8221{} (PUSH Buffalo, 2017), 1.","plainCitation":"“People United for Sustainable Housing, Annual Report, 2017” (PUSH Buffalo, 2017), 1.","noteIndex":116},"citationItems":[{"id":454,"uris":["http://zotero.org/users/5043758/items/RUBGNHF4"],"uri":["http://zotero.org/users/5043758/items/RUBGNHF4"],"itemData":{"id":454,"type":"report","title":"People United for Sustainable Housing, Annual Report, 2017","publisher":"PUSH Buffalo","issued":{"date-parts":[["2017"]]}},"locator":"1","label":"page"}],"schema":"https://github.com/citation-style-language/schema/raw/master/csl-citation.json"} </w:instrText>
      </w:r>
      <w:r>
        <w:fldChar w:fldCharType="separate"/>
      </w:r>
      <w:r w:rsidRPr="00090790">
        <w:rPr>
          <w:rFonts w:eastAsia="Times New Roman" w:cs="Times New Roman"/>
        </w:rPr>
        <w:t>“People United for Sustainable Housing, Annual Report, 2017” (PUSH Buffalo, 2017), 1.</w:t>
      </w:r>
      <w:r>
        <w:fldChar w:fldCharType="end"/>
      </w:r>
    </w:p>
    <w:p w14:paraId="1AB0F3A1" w14:textId="77777777" w:rsidR="000C0771" w:rsidRDefault="000C0771" w:rsidP="001F1BB7">
      <w:pPr>
        <w:pStyle w:val="FootnoteText"/>
      </w:pPr>
    </w:p>
  </w:footnote>
  <w:footnote w:id="117">
    <w:p w14:paraId="117F2A8D" w14:textId="4FE3F0AB"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{"citationID":"zt8aQmW6","properties":{"formattedCitation":"Sherman, \\uc0\\u8220{}Gentrification Can\\uc0\\u8217{}t Be the Theme of Rust Belt City Recovery.\\uc0\\u8221{}","plainCitation":"Sherman, “Gentrification Can’t Be the Theme of Rust Belt City Recovery.”","noteIndex":117},"citationItems":[{"id":116,"uris":["http://zotero.org/users/5043758/items/8QFTSPQ9"],"uri":["http://zotero.org/users/5043758/items/8QFTSPQ9"],"itemData":{"id":116,"type":"webpage","title":"Gentrification Can’t Be the Theme of Rust Belt City Recovery","container-title":"Next City","abstract":"In Buffalo, organizers are fighting for development without displacement, parcel by parcel.","URL":"https://nextcity.org/features/view/gentrification-rust-belt-recovery-buffalo-new-york","language":"en","author":[{"family":"Sherman","given":"Danya"}],"issued":{"date-parts":[["2017",12,4]]},"accessed":{"date-parts":[["2018",8,14]]}}}],"schema":"https://github.com/citation-style-language/schema/raw/master/csl-citation.json"} </w:instrText>
      </w:r>
      <w:r>
        <w:fldChar w:fldCharType="separate"/>
      </w:r>
      <w:r w:rsidRPr="005A2682">
        <w:rPr>
          <w:rFonts w:eastAsia="Times New Roman" w:cs="Times New Roman"/>
        </w:rPr>
        <w:t>Sherman, “Gentrification Can’t Be the Theme of Rust Belt City Recovery.”</w:t>
      </w:r>
      <w:r>
        <w:fldChar w:fldCharType="end"/>
      </w:r>
    </w:p>
    <w:p w14:paraId="56902C80" w14:textId="77777777" w:rsidR="000C0771" w:rsidRDefault="000C0771" w:rsidP="001F1BB7">
      <w:pPr>
        <w:pStyle w:val="FootnoteText"/>
      </w:pPr>
    </w:p>
  </w:footnote>
  <w:footnote w:id="118">
    <w:p w14:paraId="74081D10" w14:textId="319049D4"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{"citationID":"sJgiHt6p","properties":{"formattedCitation":"\\uc0\\u8220{}People United for Sustainable Housing, Annual Report, 2017,\\uc0\\u8221{} 11.","plainCitation":"“People United for Sustainable Housing, Annual Report, 2017,” 11.","noteIndex":118},"citationItems":[{"id":454,"uris":["http://zotero.org/users/5043758/items/RUBGNHF4"],"uri":["http://zotero.org/users/5043758/items/RUBGNHF4"],"itemData":{"id":454,"type":"report","title":"People United for Sustainable Housing, Annual Report, 2017","publisher":"PUSH Buffalo","issued":{"date-parts":[["2017"]]}},"locator":"11","label":"page"}],"schema":"https://github.com/citation-style-language/schema/raw/master/csl-citation.json"} </w:instrText>
      </w:r>
      <w:r>
        <w:fldChar w:fldCharType="separate"/>
      </w:r>
      <w:r w:rsidRPr="002A2400">
        <w:rPr>
          <w:rFonts w:eastAsia="Times New Roman" w:cs="Times New Roman"/>
        </w:rPr>
        <w:t>“People United for Sustainable Housing, Annual Report, 2017,” 11.</w:t>
      </w:r>
      <w:r>
        <w:fldChar w:fldCharType="end"/>
      </w:r>
    </w:p>
    <w:p w14:paraId="764FE499" w14:textId="77777777" w:rsidR="000C0771" w:rsidRDefault="000C0771" w:rsidP="001F1BB7">
      <w:pPr>
        <w:pStyle w:val="FootnoteText"/>
      </w:pPr>
    </w:p>
  </w:footnote>
  <w:footnote w:id="119">
    <w:p w14:paraId="7201B019" w14:textId="2E60C131"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{"citationID":"PJAxoTuM","properties":{"formattedCitation":"\\uc0\\u8220{}What We Do &gt; About &gt; Open Buffalo,\\uc0\\u8221{} accessed March 3, 2019, https://openbuffalo.org/about/open-buffalo/.","plainCitation":"“What We Do &gt; About &gt; Open Buffalo,” accessed March 3, 2019, https://openbuffalo.org/about/open-buffalo/.","noteIndex":119},"citationItems":[{"id":455,"uris":["http://zotero.org/users/5043758/items/8YDL6SJU"],"uri":["http://zotero.org/users/5043758/items/8YDL6SJU"],"itemData":{"id":455,"type":"webpage","title":"What We Do &gt; About &gt; Open Buffalo","URL":"https://openbuffalo.org/about/open-buffalo/","accessed":{"date-parts":[["2019",3,3]]}}}],"schema":"https://github.com/citation-style-language/schema/raw/master/csl-citation.json"} </w:instrText>
      </w:r>
      <w:r>
        <w:fldChar w:fldCharType="separate"/>
      </w:r>
      <w:r w:rsidRPr="00432C6B">
        <w:rPr>
          <w:rFonts w:eastAsia="Times New Roman" w:cs="Times New Roman"/>
        </w:rPr>
        <w:t>“What We Do &gt; About &gt; Open Buffalo,” accessed March 3, 2019, https://openbuffalo.org/about/open-buffalo/.</w:t>
      </w:r>
      <w:r>
        <w:fldChar w:fldCharType="end"/>
      </w:r>
    </w:p>
    <w:p w14:paraId="45CDAC4A" w14:textId="77777777" w:rsidR="000C0771" w:rsidRDefault="000C0771" w:rsidP="001F1BB7">
      <w:pPr>
        <w:pStyle w:val="FootnoteText"/>
      </w:pPr>
    </w:p>
  </w:footnote>
  <w:footnote w:id="120">
    <w:p w14:paraId="7E575A70" w14:textId="3C410037"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{"citationID":"zxrPeMyD","properties":{"formattedCitation":"\\uc0\\u8220{}What We Do.\\uc0\\u8221{}","plainCitation":"“What We Do.”","noteIndex":120},"citationItems":[{"id":436,"uris":["http://zotero.org/users/5043758/items/6FE32QPZ"],"uri":["http://zotero.org/users/5043758/items/6FE32QPZ"],"itemData":{"id":436,"type":"webpage","title":"What We Do","container-title":"Preservation Buffalo Niagara","abstract":"What We Do Preservation Buffalo Niagara is the region’s only full-service, professionally staffed preservation organization, empowering Western New York communities to champion historic prese…","URL":"https://preservationbuffaloniagara.org/what-we-do/","language":"en-US","issued":{"date-parts":[["2017",8,4]]},"accessed":{"date-parts":[["2019",3,2]]}}}],"schema":"https://github.com/citation-style-language/schema/raw/master/csl-citation.json"} </w:instrText>
      </w:r>
      <w:r>
        <w:fldChar w:fldCharType="separate"/>
      </w:r>
      <w:r w:rsidRPr="002976DA">
        <w:rPr>
          <w:rFonts w:eastAsia="Times New Roman" w:cs="Times New Roman"/>
        </w:rPr>
        <w:t>“What We Do.”</w:t>
      </w:r>
      <w:r>
        <w:fldChar w:fldCharType="end"/>
      </w:r>
    </w:p>
    <w:p w14:paraId="7835666E" w14:textId="77777777" w:rsidR="000C0771" w:rsidRDefault="000C0771" w:rsidP="001F1BB7">
      <w:pPr>
        <w:pStyle w:val="FootnoteText"/>
      </w:pPr>
    </w:p>
  </w:footnote>
  <w:footnote w:id="121">
    <w:p w14:paraId="33A791F5" w14:textId="29170950"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{"citationID":"RbX8hKAz","properties":{"formattedCitation":"\\uc0\\u8220{}What We Do.\\uc0\\u8221{}","plainCitation":"“What We Do.”","noteIndex":121},"citationItems":[{"id":436,"uris":["http://zotero.org/users/5043758/items/6FE32QPZ"],"uri":["http://zotero.org/users/5043758/items/6FE32QPZ"],"itemData":{"id":436,"type":"webpage","title":"What We Do","container-title":"Preservation Buffalo Niagara","abstract":"What We Do Preservation Buffalo Niagara is the region’s only full-service, professionally staffed preservation organization, empowering Western New York communities to champion historic prese…","URL":"https://preservationbuffaloniagara.org/what-we-do/","language":"en-US","issued":{"date-parts":[["2017",8,4]]},"accessed":{"date-parts":[["2019",3,2]]}}}],"schema":"https://github.com/citation-style-language/schema/raw/master/csl-citation.json"} </w:instrText>
      </w:r>
      <w:r>
        <w:fldChar w:fldCharType="separate"/>
      </w:r>
      <w:r w:rsidRPr="003039F1">
        <w:rPr>
          <w:rFonts w:eastAsia="Times New Roman" w:cs="Times New Roman"/>
        </w:rPr>
        <w:t>“What We Do.”</w:t>
      </w:r>
      <w:r>
        <w:fldChar w:fldCharType="end"/>
      </w:r>
    </w:p>
    <w:p w14:paraId="3E97318E" w14:textId="77777777" w:rsidR="000C0771" w:rsidRDefault="000C0771" w:rsidP="001F1BB7">
      <w:pPr>
        <w:pStyle w:val="FootnoteText"/>
      </w:pPr>
    </w:p>
  </w:footnote>
  <w:footnote w:id="122">
    <w:p w14:paraId="4954EE5A" w14:textId="7D166009"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{"citationID":"tUiQhWhT","properties":{"formattedCitation":"\\uc0\\u8220{}Overview &gt; Who We Are &gt; Partnership for the Public Good (PPG) - Buffalo, NY,\\uc0\\u8221{} accessed March 7, 2019, https://ppgbuffalo.org/who-we-are/overview/.","plainCitation":"“Overview &gt; Who We Are &gt; Partnership for the Public Good (PPG) - Buffalo, NY,” accessed March 7, 2019, https://ppgbuffalo.org/who-we-are/overview/.","noteIndex":122},"citationItems":[{"id":469,"uris":["http://zotero.org/users/5043758/items/LU4JRAKZ"],"uri":["http://zotero.org/users/5043758/items/LU4JRAKZ"],"itemData":{"id":469,"type":"webpage","title":"Overview &gt; Who We Are &gt; Partnership for the Public Good (PPG) - Buffalo, NY","URL":"https://ppgbuffalo.org/who-we-are/overview/","accessed":{"date-parts":[["2019",3,7]]}}}],"schema":"https://github.com/citation-style-language/schema/raw/master/csl-citation.json"} </w:instrText>
      </w:r>
      <w:r>
        <w:fldChar w:fldCharType="separate"/>
      </w:r>
      <w:r w:rsidRPr="00BE7E43">
        <w:rPr>
          <w:rFonts w:eastAsia="Times New Roman" w:cs="Times New Roman"/>
        </w:rPr>
        <w:t>“Overview &gt; Who We Are &gt; Partnership for the Public Good (PPG) - Buffalo, NY,” accessed March 7, 2019, https://ppgbuffalo.org/who-we-are/overview/.</w:t>
      </w:r>
      <w:r>
        <w:fldChar w:fldCharType="end"/>
      </w:r>
    </w:p>
    <w:p w14:paraId="5A48BD66" w14:textId="77777777" w:rsidR="000C0771" w:rsidRDefault="000C0771" w:rsidP="001F1BB7">
      <w:pPr>
        <w:pStyle w:val="FootnoteText"/>
      </w:pPr>
    </w:p>
  </w:footnote>
  <w:footnote w:id="123">
    <w:p w14:paraId="3396CF91" w14:textId="749A6309"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{"citationID":"3KSMrr9Z","properties":{"formattedCitation":"\\uc0\\u8220{}Library &gt; Buffalo Commons &gt; Partnership for the Public Good (PPG) - Buffalo, NY,\\uc0\\u8221{} accessed March 7, 2019, https://ppgbuffalo.org/buffalo-commons/library/p:1/.","plainCitation":"“Library &gt; Buffalo Commons &gt; Partnership for the Public Good (PPG) - Buffalo, NY,” accessed March 7, 2019, https://ppgbuffalo.org/buffalo-commons/library/p:1/.","noteIndex":123},"citationItems":[{"id":475,"uris":["http://zotero.org/users/5043758/items/VZDPZVPY"],"uri":["http://zotero.org/users/5043758/items/VZDPZVPY"],"itemData":{"id":475,"type":"webpage","title":"Library &gt; Buffalo Commons &gt; Partnership for the Public Good (PPG) - Buffalo, NY","URL":"https://ppgbuffalo.org/buffalo-commons/library/p:1/","accessed":{"date-parts":[["2019",3,7]]}}}],"schema":"https://github.com/citation-style-language/schema/raw/master/csl-citation.json"} </w:instrText>
      </w:r>
      <w:r>
        <w:fldChar w:fldCharType="separate"/>
      </w:r>
      <w:r w:rsidRPr="00BF4A26">
        <w:rPr>
          <w:rFonts w:eastAsia="Times New Roman" w:cs="Times New Roman"/>
        </w:rPr>
        <w:t>“Library &gt; Buffalo Commons &gt; Partnership for the Public Good (PPG) - Buffalo, NY,” accessed March 7, 2019, https://ppgbuffalo.org/buffalo-commons/library/p:1/.</w:t>
      </w:r>
      <w:r>
        <w:fldChar w:fldCharType="end"/>
      </w:r>
    </w:p>
    <w:p w14:paraId="3BA5BB87" w14:textId="77777777" w:rsidR="000C0771" w:rsidRDefault="000C0771" w:rsidP="001F1BB7">
      <w:pPr>
        <w:pStyle w:val="FootnoteText"/>
      </w:pPr>
    </w:p>
  </w:footnote>
  <w:footnote w:id="124">
    <w:p w14:paraId="6017F951" w14:textId="721EE056"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{"citationID":"WbuQd5vz","properties":{"formattedCitation":"\\uc0\\u8220{}Engagement Opportunities &gt; Buffalo Commons &gt; Partnership for the Public Good (PPG) - Buffalo, NY,\\uc0\\u8221{} accessed March 7, 2019, https://ppgbuffalo.org/buffalo-commons/engagement/.","plainCitation":"“Engagement Opportunities &gt; Buffalo Commons &gt; Partnership for the Public Good (PPG) - Buffalo, NY,” accessed March 7, 2019, https://ppgbuffalo.org/buffalo-commons/engagement/.","noteIndex":124},"citationItems":[{"id":473,"uris":["http://zotero.org/users/5043758/items/4AAUY45D"],"uri":["http://zotero.org/users/5043758/items/4AAUY45D"],"itemData":{"id":473,"type":"webpage","title":"Engagement Opportunities &gt; Buffalo Commons &gt; Partnership for the Public Good (PPG) - Buffalo, NY","URL":"https://ppgbuffalo.org/buffalo-commons/engagement/","accessed":{"date-parts":[["2019",3,7]]}}}],"schema":"https://github.com/citation-style-language/schema/raw/master/csl-citation.json"} </w:instrText>
      </w:r>
      <w:r>
        <w:fldChar w:fldCharType="separate"/>
      </w:r>
      <w:r w:rsidRPr="00BF4A26">
        <w:rPr>
          <w:rFonts w:eastAsia="Times New Roman" w:cs="Times New Roman"/>
        </w:rPr>
        <w:t>“Engagement Opportunities &gt; Buffalo Commons &gt; Partnership for the Public Good (PPG) - Buffalo, NY,” accessed March 7, 2019, https://ppgbuffalo.org/buffalo-commons/engagement/.</w:t>
      </w:r>
      <w:r>
        <w:fldChar w:fldCharType="end"/>
      </w:r>
    </w:p>
  </w:footnote>
  <w:footnote w:id="125">
    <w:p w14:paraId="12C47903" w14:textId="3BCFC5CE"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{"citationID":"N1LhXMRW","properties":{"formattedCitation":"\\uc0\\u8220{}City of Buffalo - Neighborhoods - University at Buffalo Libraries,\\uc0\\u8221{} accessed March 2, 2019, https://library.buffalo.edu/maps/buffalo-wnymaps/buffalo-neighborhoods.html.","plainCitation":"“City of Buffalo - Neighborhoods - University at Buffalo Libraries,” accessed March 2, 2019, https://library.buffalo.edu/maps/buffalo-wnymaps/buffalo-neighborhoods.html.","noteIndex":125},"citationItems":[{"id":441,"uris":["http://zotero.org/users/5043758/items/PFX8TEQR"],"uri":["http://zotero.org/users/5043758/items/PFX8TEQR"],"itemData":{"id":441,"type":"webpage","title":"City of Buffalo - Neighborhoods - University at Buffalo Libraries","URL":"https://library.buffalo.edu/maps/buffalo-wnymaps/buffalo-neighborhoods.html","accessed":{"date-parts":[["2019",3,2]]}}}],"schema":"https://github.com/citation-style-language/schema/raw/master/csl-citation.json"} </w:instrText>
      </w:r>
      <w:r>
        <w:fldChar w:fldCharType="separate"/>
      </w:r>
      <w:r w:rsidRPr="001A3B72">
        <w:rPr>
          <w:rFonts w:eastAsia="Times New Roman" w:cs="Times New Roman"/>
        </w:rPr>
        <w:t>“City of Buffalo - Neighborhoods - University at Buffalo Libraries,” accessed March 2, 2019, https://library.buffalo.edu/maps/buffalo-wnymaps/buffalo-neighborhoods.html.</w:t>
      </w:r>
      <w:r>
        <w:fldChar w:fldCharType="end"/>
      </w:r>
    </w:p>
    <w:p w14:paraId="166320BD" w14:textId="77777777" w:rsidR="000C0771" w:rsidRDefault="000C0771" w:rsidP="001F1BB7">
      <w:pPr>
        <w:pStyle w:val="FootnoteText"/>
      </w:pPr>
    </w:p>
  </w:footnote>
  <w:footnote w:id="126">
    <w:p w14:paraId="73EBB26C" w14:textId="30FA18FC"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{"citationID":"zA5OvvU7","properties":{"formattedCitation":"Du Mengbing et al., \\uc0\\u8220{}Elmwood Village,\\uc0\\u8221{} in {\\i{}Equity Preservation Workshop, Buffalo, NY} (Cornell University, Engaged Cornell, 2017), 61.","plainCitation":"Du Mengbing et al., “Elmwood Village,” in Equity Preservation Workshop, Buffalo, NY (Cornell University, Engaged Cornell, 2017), 61.","noteIndex":126},"citationItems":[{"id":459,"uris":["http://zotero.org/users/5043758/items/5QLJF7VJ"],"uri":["http://zotero.org/users/5043758/items/5QLJF7VJ"],"itemData":{"id":459,"type":"chapter","title":"Elmwood Village","container-title":"Equity Preservation Workshop, Buffalo, NY","publisher":"Cornell University, Engaged Cornell","page":"151","source":"Zotero","language":"en","author":[{"family":"Mengbing","given":"Du"},{"family":"Gravely, Jr.","given":"Louis"},{"family":"Meyer","given":"Claire"},{"family":"Varuzzo","given":"Andrew"},{"family":"White","given":"Olivia"}],"issued":{"date-parts":[["2017",5]]}},"locator":"61","label":"page"}],"schema":"https://github.com/citation-style-language/schema/raw/master/csl-citation.json"} </w:instrText>
      </w:r>
      <w:r>
        <w:fldChar w:fldCharType="separate"/>
      </w:r>
      <w:r w:rsidRPr="0072381A">
        <w:rPr>
          <w:rFonts w:eastAsia="Times New Roman" w:cs="Times New Roman"/>
        </w:rPr>
        <w:t xml:space="preserve">Du Mengbing et al., “Elmwood Village,” in </w:t>
      </w:r>
      <w:r w:rsidRPr="0072381A">
        <w:rPr>
          <w:rFonts w:eastAsia="Times New Roman" w:cs="Times New Roman"/>
          <w:i/>
          <w:iCs/>
        </w:rPr>
        <w:t>Equity Preservation Workshop, Buffalo, NY</w:t>
      </w:r>
      <w:r w:rsidRPr="0072381A">
        <w:rPr>
          <w:rFonts w:eastAsia="Times New Roman" w:cs="Times New Roman"/>
        </w:rPr>
        <w:t xml:space="preserve"> (Cornell University, Engaged Cornell, 2017), 61.</w:t>
      </w:r>
      <w:r>
        <w:fldChar w:fldCharType="end"/>
      </w:r>
    </w:p>
  </w:footnote>
  <w:footnote w:id="127">
    <w:p w14:paraId="3428C92E" w14:textId="16C16BE0"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{"citationID":"OSRHHkOH","properties":{"formattedCitation":"Mengbing et al., 62.","plainCitation":"Mengbing et al., 62.","noteIndex":127},"citationItems":[{"id":459,"uris":["http://zotero.org/users/5043758/items/5QLJF7VJ"],"uri":["http://zotero.org/users/5043758/items/5QLJF7VJ"],"itemData":{"id":459,"type":"chapter","title":"Elmwood Village","container-title":"Equity Preservation Workshop, Buffalo, NY","publisher":"Cornell University, Engaged Cornell","page":"151","source":"Zotero","language":"en","author":[{"family":"Mengbing","given":"Du"},{"family":"Gravely, Jr.","given":"Louis"},{"family":"Meyer","given":"Claire"},{"family":"Varuzzo","given":"Andrew"},{"family":"White","given":"Olivia"}],"issued":{"date-parts":[["2017",5]]}},"locator":"62","label":"page"}],"schema":"https://github.com/citation-style-language/schema/raw/master/csl-citation.json"} </w:instrText>
      </w:r>
      <w:r>
        <w:fldChar w:fldCharType="separate"/>
      </w:r>
      <w:r>
        <w:rPr>
          <w:noProof/>
        </w:rPr>
        <w:t>Mengbing et al., 62.</w:t>
      </w:r>
      <w:r>
        <w:fldChar w:fldCharType="end"/>
      </w:r>
    </w:p>
    <w:p w14:paraId="1BBAAB93" w14:textId="77777777" w:rsidR="000C0771" w:rsidRDefault="000C0771" w:rsidP="001F1BB7">
      <w:pPr>
        <w:pStyle w:val="FootnoteText"/>
      </w:pPr>
    </w:p>
  </w:footnote>
  <w:footnote w:id="128">
    <w:p w14:paraId="6354F347" w14:textId="5D89A823"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{"citationID":"JUb8c5xh","properties":{"formattedCitation":"Mengbing et al., 62\\uc0\\u8211{}63.","plainCitation":"Mengbing et al., 62–63.","noteIndex":128},"citationItems":[{"id":459,"uris":["http://zotero.org/users/5043758/items/5QLJF7VJ"],"uri":["http://zotero.org/users/5043758/items/5QLJF7VJ"],"itemData":{"id":459,"type":"chapter","title":"Elmwood Village","container-title":"Equity Preservation Workshop, Buffalo, NY","publisher":"Cornell University, Engaged Cornell","page":"151","source":"Zotero","language":"en","author":[{"family":"Mengbing","given":"Du"},{"family":"Gravely, Jr.","given":"Louis"},{"family":"Meyer","given":"Claire"},{"family":"Varuzzo","given":"Andrew"},{"family":"White","given":"Olivia"}],"issued":{"date-parts":[["2017",5]]}},"locator":"62-63","label":"page"}],"schema":"https://github.com/citation-style-language/schema/raw/master/csl-citation.json"} </w:instrText>
      </w:r>
      <w:r>
        <w:fldChar w:fldCharType="separate"/>
      </w:r>
      <w:r w:rsidRPr="00E34B26">
        <w:rPr>
          <w:rFonts w:eastAsia="Times New Roman" w:cs="Times New Roman"/>
        </w:rPr>
        <w:t>Mengbing et al., 62–63.</w:t>
      </w:r>
      <w:r>
        <w:fldChar w:fldCharType="end"/>
      </w:r>
    </w:p>
    <w:p w14:paraId="625BAC37" w14:textId="77777777" w:rsidR="000C0771" w:rsidRDefault="000C0771" w:rsidP="001F1BB7">
      <w:pPr>
        <w:pStyle w:val="FootnoteText"/>
      </w:pPr>
    </w:p>
  </w:footnote>
  <w:footnote w:id="129">
    <w:p w14:paraId="4D05D291" w14:textId="4CF9CEB1"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{"citationID":"NtFgCz2v","properties":{"formattedCitation":"\\uc0\\u8220{}Elmwood Village: Buffalo, New York,\\uc0\\u8221{} American Planning Association, accessed March 7, 2019, https://www.planning.org/greatplaces/neighborhoods/2007/elmwoodvillage.htm.","plainCitation":"“Elmwood Village: Buffalo, New York,” American Planning Association, accessed March 7, 2019, https://www.planning.org/greatplaces/neighborhoods/2007/elmwoodvillage.htm.","noteIndex":129},"citationItems":[{"id":479,"uris":["http://zotero.org/users/5043758/items/G4WQ2DE6"],"uri":["http://zotero.org/users/5043758/items/G4WQ2DE6"],"itemData":{"id":479,"type":"webpage","title":"Elmwood Village: Buffalo, New York","container-title":"American Planning Association","abstract":"Elmwood Village in Buffalo, New York, was named one of the Great Neighborhoods in 2007.","URL":"https://www.planning.org/greatplaces/neighborhoods/2007/elmwoodvillage.htm","title-short":"Elmwood Village","accessed":{"date-parts":[["2019",3,7]]}}}],"schema":"https://github.com/citation-style-language/schema/raw/master/csl-citation.json"} </w:instrText>
      </w:r>
      <w:r>
        <w:fldChar w:fldCharType="separate"/>
      </w:r>
      <w:r w:rsidRPr="004B44CD">
        <w:rPr>
          <w:rFonts w:eastAsia="Times New Roman" w:cs="Times New Roman"/>
        </w:rPr>
        <w:t>“Elmwood Village: Buffalo, New York,” American Planning Association, accessed March 7, 2019, https://www.planning.org/greatplaces/neighborhoods/2007/elmwoodvillage.htm.</w:t>
      </w:r>
      <w:r>
        <w:fldChar w:fldCharType="end"/>
      </w:r>
    </w:p>
    <w:p w14:paraId="736BF477" w14:textId="77777777" w:rsidR="000C0771" w:rsidRDefault="000C0771" w:rsidP="001F1BB7">
      <w:pPr>
        <w:pStyle w:val="FootnoteText"/>
      </w:pPr>
    </w:p>
  </w:footnote>
  <w:footnote w:id="130">
    <w:p w14:paraId="0F8E79BC" w14:textId="06DDDEAC"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{"citationID":"O7tpbD9G","properties":{"formattedCitation":"\\uc0\\u8220{}Elmwood Village.\\uc0\\u8221{}","plainCitation":"“Elmwood Village.”","noteIndex":130},"citationItems":[{"id":479,"uris":["http://zotero.org/users/5043758/items/G4WQ2DE6"],"uri":["http://zotero.org/users/5043758/items/G4WQ2DE6"],"itemData":{"id":479,"type":"webpage","title":"Elmwood Village: Buffalo, New York","container-title":"American Planning Association","abstract":"Elmwood Village in Buffalo, New York, was named one of the Great Neighborhoods in 2007.","URL":"https://www.planning.org/greatplaces/neighborhoods/2007/elmwoodvillage.htm","title-short":"Elmwood Village","accessed":{"date-parts":[["2019",3,7]]}}}],"schema":"https://github.com/citation-style-language/schema/raw/master/csl-citation.json"} </w:instrText>
      </w:r>
      <w:r>
        <w:fldChar w:fldCharType="separate"/>
      </w:r>
      <w:r w:rsidRPr="004B44CD">
        <w:rPr>
          <w:rFonts w:eastAsia="Times New Roman" w:cs="Times New Roman"/>
        </w:rPr>
        <w:t>“Elmwood Village.”</w:t>
      </w:r>
      <w:r>
        <w:fldChar w:fldCharType="end"/>
      </w:r>
    </w:p>
    <w:p w14:paraId="67E0E88D" w14:textId="77777777" w:rsidR="000C0771" w:rsidRDefault="000C0771" w:rsidP="001F1BB7">
      <w:pPr>
        <w:pStyle w:val="FootnoteText"/>
      </w:pPr>
    </w:p>
  </w:footnote>
  <w:footnote w:id="131">
    <w:p w14:paraId="3A465F76" w14:textId="1025CB9C"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{"citationID":"szymg2q3","properties":{"formattedCitation":"\\uc0\\u8220{}Elmwood Historic District (East),\\uc0\\u8221{} National Park Service, National Register of Historic Places Program, accessed March 7, 2019, https://www.nps.gov/nr/feature/places/16000108.htm.","plainCitation":"“Elmwood Historic District (East),” National Park Service, National Register of Historic Places Program, accessed March 7, 2019, https://www.nps.gov/nr/feature/places/16000108.htm.","noteIndex":131},"citationItems":[{"id":477,"uris":["http://zotero.org/users/5043758/items/6ZQ77JQ3"],"uri":["http://zotero.org/users/5043758/items/6ZQ77JQ3"],"itemData":{"id":477,"type":"webpage","title":"Elmwood Historic District (East)","container-title":"National Park Service, National Register of Historic Places Program","URL":"https://www.nps.gov/nr/feature/places/16000108.htm","accessed":{"date-parts":[["2019",3,7]]}}}],"schema":"https://github.com/citation-style-language/schema/raw/master/csl-citation.json"} </w:instrText>
      </w:r>
      <w:r>
        <w:fldChar w:fldCharType="separate"/>
      </w:r>
      <w:r w:rsidRPr="00EC08A6">
        <w:rPr>
          <w:rFonts w:eastAsia="Times New Roman" w:cs="Times New Roman"/>
        </w:rPr>
        <w:t>“Elmwood Historic District (East),” National Park Service, National Register of Historic Places Program, accessed March 7, 2019, https://www.nps.gov/nr/feature/places/16000108.htm.</w:t>
      </w:r>
      <w:r>
        <w:fldChar w:fldCharType="end"/>
      </w:r>
    </w:p>
    <w:p w14:paraId="38C8FD78" w14:textId="77777777" w:rsidR="000C0771" w:rsidRDefault="000C0771" w:rsidP="001F1BB7">
      <w:pPr>
        <w:pStyle w:val="FootnoteText"/>
      </w:pPr>
    </w:p>
  </w:footnote>
  <w:footnote w:id="132">
    <w:p w14:paraId="11B0C900" w14:textId="28A0CF4F"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{"citationID":"tE3LMj0c","properties":{"formattedCitation":"\\uc0\\u8220{}National Main Street Center to Do Market Analysis of Elmwood Village,\\uc0\\u8221{} Preservation Buffalo Niagara, August 30, 2018, https://preservationbuffaloniagara.org/national-main-street-center-to-do-market-analysis-of-elmwood-village/.","plainCitation":"“National Main Street Center to Do Market Analysis of Elmwood Village,” Preservation Buffalo Niagara, August 30, 2018, https://preservationbuffaloniagara.org/national-main-street-center-to-do-market-analysis-of-elmwood-village/.","noteIndex":132},"citationItems":[{"id":481,"uris":["http://zotero.org/users/5043758/items/VUH5IV6W"],"uri":["http://zotero.org/users/5043758/items/VUH5IV6W"],"itemData":{"id":481,"type":"webpage","title":"National Main Street Center to do market analysis of Elmwood Village","container-title":"Preservation Buffalo Niagara","abstract":"This morning Preservation Buffalo Niagara &amp; the Elmwood Village Association announced the kick off of a market analysis and commercial district planning process to be conducted by the Na…","URL":"https://preservationbuffaloniagara.org/national-main-street-center-to-do-market-analysis-of-elmwood-village/","language":"en-US","issued":{"date-parts":[["2018",8,30]]},"accessed":{"date-parts":[["2019",3,7]]}}}],"schema":"https://github.com/citation-style-language/schema/raw/master/csl-citation.json"} </w:instrText>
      </w:r>
      <w:r>
        <w:fldChar w:fldCharType="separate"/>
      </w:r>
      <w:r w:rsidRPr="00F94F8E">
        <w:rPr>
          <w:rFonts w:eastAsia="Times New Roman" w:cs="Times New Roman"/>
        </w:rPr>
        <w:t>“National Main Street Center to Do Market Analysis of Elmwood Village,” Preservation Buffalo Niagara, August 30, 2018, https://preservationbuffaloniagara.org/national-main-street-center-to-do-market-analysis-of-elmwood-village/.</w:t>
      </w:r>
      <w:r>
        <w:fldChar w:fldCharType="end"/>
      </w:r>
    </w:p>
    <w:p w14:paraId="24DE548E" w14:textId="77777777" w:rsidR="000C0771" w:rsidRDefault="000C0771" w:rsidP="001F1BB7">
      <w:pPr>
        <w:pStyle w:val="FootnoteText"/>
      </w:pPr>
    </w:p>
  </w:footnote>
  <w:footnote w:id="133">
    <w:p w14:paraId="461BC7C3" w14:textId="12F3BA92"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{"citationID":"emYftWJB","properties":{"formattedCitation":"Sherman, \\uc0\\u8220{}Gentrification Can\\uc0\\u8217{}t Be the Theme of Rust Belt City Recovery.\\uc0\\u8221{}","plainCitation":"Sherman, “Gentrification Can’t Be the Theme of Rust Belt City Recovery.”","noteIndex":133},"citationItems":[{"id":116,"uris":["http://zotero.org/users/5043758/items/8QFTSPQ9"],"uri":["http://zotero.org/users/5043758/items/8QFTSPQ9"],"itemData":{"id":116,"type":"webpage","title":"Gentrification Can’t Be the Theme of Rust Belt City Recovery","container-title":"Next City","abstract":"In Buffalo, organizers are fighting for development without displacement, parcel by parcel.","URL":"https://nextcity.org/features/view/gentrification-rust-belt-recovery-buffalo-new-york","language":"en","author":[{"family":"Sherman","given":"Danya"}],"issued":{"date-parts":[["2017",12,4]]},"accessed":{"date-parts":[["2018",8,14]]}}}],"schema":"https://github.com/citation-style-language/schema/raw/master/csl-citation.json"} </w:instrText>
      </w:r>
      <w:r>
        <w:fldChar w:fldCharType="separate"/>
      </w:r>
      <w:r w:rsidRPr="00384B6C">
        <w:rPr>
          <w:rFonts w:eastAsia="Times New Roman" w:cs="Times New Roman"/>
        </w:rPr>
        <w:t>Sherman, “Gentrification Can’t Be the Theme of Rust Belt City Recovery.”</w:t>
      </w:r>
      <w:r>
        <w:fldChar w:fldCharType="end"/>
      </w:r>
    </w:p>
  </w:footnote>
  <w:footnote w:id="134">
    <w:p w14:paraId="32CB579C" w14:textId="1A54464E"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{"citationID":"2c6Oq8Ys","properties":{"formattedCitation":"Sara Alpert, \\uc0\\u8220{}Fruit Belt Neighborhood Asset Inventory\\uc0\\u8221{} (Partnership for the Public Good, October 27, 2016), 1.","plainCitation":"Sara Alpert, “Fruit Belt Neighborhood Asset Inventory” (Partnership for the Public Good, October 27, 2016), 1.","noteIndex":134},"citationItems":[{"id":391,"uris":["http://zotero.org/users/5043758/items/5VSR2EVT"],"uri":["http://zotero.org/users/5043758/items/5VSR2EVT"],"itemData":{"id":391,"type":"report","title":"Fruit Belt Neighborhood Asset Inventory","publisher":"Partnership for the Public Good","page":"12","source":"Zotero","language":"en","author":[{"family":"Alpert","given":"Sara"}],"issued":{"date-parts":[["2016",10,27]]}},"locator":"1","label":"page"}],"schema":"https://github.com/citation-style-language/schema/raw/master/csl-citation.json"} </w:instrText>
      </w:r>
      <w:r>
        <w:fldChar w:fldCharType="separate"/>
      </w:r>
      <w:r w:rsidRPr="00FF24CE">
        <w:rPr>
          <w:rFonts w:eastAsia="Times New Roman" w:cs="Times New Roman"/>
        </w:rPr>
        <w:t>Sara Alpert, “Fruit Belt Neighborhood Asset Inventory” (Partnership for the Public Good, October 27, 2016), 1.</w:t>
      </w:r>
      <w:r>
        <w:fldChar w:fldCharType="end"/>
      </w:r>
    </w:p>
    <w:p w14:paraId="3DECD85C" w14:textId="77777777" w:rsidR="000C0771" w:rsidRDefault="000C0771" w:rsidP="001F1BB7">
      <w:pPr>
        <w:pStyle w:val="FootnoteText"/>
      </w:pPr>
    </w:p>
  </w:footnote>
  <w:footnote w:id="135">
    <w:p w14:paraId="42350F59" w14:textId="45BE5D59"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{"citationID":"9dC9kaoj","properties":{"formattedCitation":"Sherman, \\uc0\\u8220{}Gentrification Can\\uc0\\u8217{}t Be the Theme of Rust Belt City Recovery.\\uc0\\u8221{}","plainCitation":"Sherman, “Gentrification Can’t Be the Theme of Rust Belt City Recovery.”","noteIndex":135},"citationItems":[{"id":116,"uris":["http://zotero.org/users/5043758/items/8QFTSPQ9"],"uri":["http://zotero.org/users/5043758/items/8QFTSPQ9"],"itemData":{"id":116,"type":"webpage","title":"Gentrification Can’t Be the Theme of Rust Belt City Recovery","container-title":"Next City","abstract":"In Buffalo, organizers are fighting for development without displacement, parcel by parcel.","URL":"https://nextcity.org/features/view/gentrification-rust-belt-recovery-buffalo-new-york","language":"en","author":[{"family":"Sherman","given":"Danya"}],"issued":{"date-parts":[["2017",12,4]]},"accessed":{"date-parts":[["2018",8,14]]}}}],"schema":"https://github.com/citation-style-language/schema/raw/master/csl-citation.json"} </w:instrText>
      </w:r>
      <w:r>
        <w:fldChar w:fldCharType="separate"/>
      </w:r>
      <w:r w:rsidRPr="006B6DCE">
        <w:rPr>
          <w:rFonts w:eastAsia="Times New Roman" w:cs="Times New Roman"/>
        </w:rPr>
        <w:t>Sherman, “Gentrification Can’t Be the Theme of Rust Belt City Recovery.”</w:t>
      </w:r>
      <w:r>
        <w:fldChar w:fldCharType="end"/>
      </w:r>
    </w:p>
    <w:p w14:paraId="089A9F94" w14:textId="77777777" w:rsidR="000C0771" w:rsidRDefault="000C0771" w:rsidP="001F1BB7">
      <w:pPr>
        <w:pStyle w:val="FootnoteText"/>
      </w:pPr>
    </w:p>
  </w:footnote>
  <w:footnote w:id="136">
    <w:p w14:paraId="2EE8A6DD" w14:textId="00AC1623"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3amKOL8v","properties":{"formattedCitation":"Sherman.","plainCitation":"Sherman.","noteIndex":136},"citationItems":[{"id":116,"uris":["http://zotero.org/users/5043758/items/8QFTSPQ9"],"uri":["http://zotero.org/users/5043758/items/8QFTSPQ9"],"itemData":{"id":116,"type":"webpage","title":"Gentrification Can’t Be the Theme of Rust Belt City Recovery","container-title":"Next City","abstract":"In Buffalo, organizers are fighting for development without displacement, parcel by parcel.","URL":"https://nextcity.org/features/view/gentrification-rust-belt-recovery-buffalo-new-york","language":"en","author":[{"family":"Sherman","given":"Danya"}],"issued":{"date-parts":[["2017",12,4]]},"accessed":{"date-parts":[["2018",8,14]]}}}],"schema":"https://github.com/citation-style-language/schema/raw/master/csl-citation.json"} </w:instrText>
      </w:r>
      <w:r>
        <w:fldChar w:fldCharType="separate"/>
      </w:r>
      <w:r>
        <w:rPr>
          <w:noProof/>
        </w:rPr>
        <w:t>Sherman.</w:t>
      </w:r>
      <w:r>
        <w:fldChar w:fldCharType="end"/>
      </w:r>
    </w:p>
    <w:p w14:paraId="005E8091" w14:textId="77777777" w:rsidR="000C0771" w:rsidRDefault="000C0771" w:rsidP="001F1BB7">
      <w:pPr>
        <w:pStyle w:val="FootnoteText"/>
      </w:pPr>
    </w:p>
  </w:footnote>
  <w:footnote w:id="137">
    <w:p w14:paraId="2E564BAC" w14:textId="2A170980"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{"citationID":"HDpEFaMJ","properties":{"formattedCitation":"\\uc0\\u8220{}A Plan That Bears Fruit: A Community Land Trust and Other Tools For Neighborhood Revitalization in the Fruit Belt\\uc0\\u8221{} (Partnership for the Public Good, June 22, 2016), 1.","plainCitation":"“A Plan That Bears Fruit: A Community Land Trust and Other Tools For Neighborhood Revitalization in the Fruit Belt” (Partnership for the Public Good, June 22, 2016), 1.","noteIndex":137},"citationItems":[{"id":489,"uris":["http://zotero.org/users/5043758/items/X8V84CWZ"],"uri":["http://zotero.org/users/5043758/items/X8V84CWZ"],"itemData":{"id":489,"type":"report","title":"A Plan that Bears Fruit: A Community Land Trust and Other Tools For Neighborhood Revitalization in the Fruit Belt","publisher":"Partnership for the Public Good","issued":{"date-parts":[["2016",6,22]]}},"locator":"1","label":"page"}],"schema":"https://github.com/citation-style-language/schema/raw/master/csl-citation.json"} </w:instrText>
      </w:r>
      <w:r>
        <w:fldChar w:fldCharType="separate"/>
      </w:r>
      <w:r w:rsidRPr="00BF4194">
        <w:rPr>
          <w:rFonts w:eastAsia="Times New Roman" w:cs="Times New Roman"/>
        </w:rPr>
        <w:t>“A Plan That Bears Fruit: A Community Land Trust and Other Tools For Neighborhood Revitalization in the Fruit Belt” (Partnership for the Public Good, June 22, 2016), 1.</w:t>
      </w:r>
      <w:r>
        <w:fldChar w:fldCharType="end"/>
      </w:r>
    </w:p>
    <w:p w14:paraId="3FA1C1BA" w14:textId="77777777" w:rsidR="000C0771" w:rsidRDefault="000C0771" w:rsidP="001F1BB7">
      <w:pPr>
        <w:pStyle w:val="FootnoteText"/>
      </w:pPr>
    </w:p>
  </w:footnote>
  <w:footnote w:id="138">
    <w:p w14:paraId="3B91D7E9" w14:textId="1E1E8EBE"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{"citationID":"gnjUzsKu","properties":{"formattedCitation":"Sherman, \\uc0\\u8220{}Gentrification Can\\uc0\\u8217{}t Be the Theme of Rust Belt City Recovery.\\uc0\\u8221{}","plainCitation":"Sherman, “Gentrification Can’t Be the Theme of Rust Belt City Recovery.”","noteIndex":138},"citationItems":[{"id":116,"uris":["http://zotero.org/users/5043758/items/8QFTSPQ9"],"uri":["http://zotero.org/users/5043758/items/8QFTSPQ9"],"itemData":{"id":116,"type":"webpage","title":"Gentrification Can’t Be the Theme of Rust Belt City Recovery","container-title":"Next City","abstract":"In Buffalo, organizers are fighting for development without displacement, parcel by parcel.","URL":"https://nextcity.org/features/view/gentrification-rust-belt-recovery-buffalo-new-york","language":"en","author":[{"family":"Sherman","given":"Danya"}],"issued":{"date-parts":[["2017",12,4]]},"accessed":{"date-parts":[["2018",8,14]]}}}],"schema":"https://github.com/citation-style-language/schema/raw/master/csl-citation.json"} </w:instrText>
      </w:r>
      <w:r>
        <w:fldChar w:fldCharType="separate"/>
      </w:r>
      <w:r w:rsidRPr="00BF4194">
        <w:rPr>
          <w:rFonts w:eastAsia="Times New Roman" w:cs="Times New Roman"/>
        </w:rPr>
        <w:t>Sherman, “Gentrification Can’t Be the Theme of Rust Belt City Recovery.”</w:t>
      </w:r>
      <w:r>
        <w:fldChar w:fldCharType="end"/>
      </w:r>
    </w:p>
    <w:p w14:paraId="6514C93A" w14:textId="77777777" w:rsidR="000C0771" w:rsidRDefault="000C0771" w:rsidP="001F1BB7">
      <w:pPr>
        <w:pStyle w:val="FootnoteText"/>
      </w:pPr>
    </w:p>
  </w:footnote>
  <w:footnote w:id="139">
    <w:p w14:paraId="6978B020" w14:textId="121D1357"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{"citationID":"xuK6gle2","properties":{"formattedCitation":"\\uc0\\u8220{}A Plan That Bears Fruit: A Community Land Trust and Other Tools For Neighborhood Revitalization in the Fruit Belt,\\uc0\\u8221{} 2.","plainCitation":"“A Plan That Bears Fruit: A Community Land Trust and Other Tools For Neighborhood Revitalization in the Fruit Belt,” 2.","noteIndex":139},"citationItems":[{"id":489,"uris":["http://zotero.org/users/5043758/items/X8V84CWZ"],"uri":["http://zotero.org/users/5043758/items/X8V84CWZ"],"itemData":{"id":489,"type":"report","title":"A Plan that Bears Fruit: A Community Land Trust and Other Tools For Neighborhood Revitalization in the Fruit Belt","publisher":"Partnership for the Public Good","issued":{"date-parts":[["2016",6,22]]}},"locator":"2","label":"page"}],"schema":"https://github.com/citation-style-language/schema/raw/master/csl-citation.json"} </w:instrText>
      </w:r>
      <w:r>
        <w:fldChar w:fldCharType="separate"/>
      </w:r>
      <w:r w:rsidRPr="00BF4194">
        <w:rPr>
          <w:rFonts w:eastAsia="Times New Roman" w:cs="Times New Roman"/>
        </w:rPr>
        <w:t>“A Plan That Bears Fruit: A Community Land Trust and Other Tools For Neighborhood Revitalization in the Fruit Belt,” 2.</w:t>
      </w:r>
      <w:r>
        <w:fldChar w:fldCharType="end"/>
      </w:r>
    </w:p>
    <w:p w14:paraId="4476D7E6" w14:textId="77777777" w:rsidR="000C0771" w:rsidRDefault="000C0771" w:rsidP="001F1BB7">
      <w:pPr>
        <w:pStyle w:val="FootnoteText"/>
      </w:pPr>
    </w:p>
  </w:footnote>
  <w:footnote w:id="140">
    <w:p w14:paraId="5609B7B5" w14:textId="41B475E3"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{"citationID":"b4kIDs1D","properties":{"formattedCitation":"\\uc0\\u8220{}Rising Tide: A Blueprint for Community Benefits from the Buffalo Niagara Medical Campus\\uc0\\u8221{} (Community First Alliance, 2016), 1.","plainCitation":"“Rising Tide: A Blueprint for Community Benefits from the Buffalo Niagara Medical Campus” (Community First Alliance, 2016), 1.","noteIndex":140},"citationItems":[{"id":491,"uris":["http://zotero.org/users/5043758/items/FZKB9JG7"],"uri":["http://zotero.org/users/5043758/items/FZKB9JG7"],"itemData":{"id":491,"type":"report","title":"Rising Tide: A Blueprint for Community Benefits from the Buffalo Niagara Medical Campus","publisher":"Community First Alliance","issued":{"date-parts":[["2016"]]}},"locator":"1","label":"page"}],"schema":"https://github.com/citation-style-language/schema/raw/master/csl-citation.json"} </w:instrText>
      </w:r>
      <w:r>
        <w:fldChar w:fldCharType="separate"/>
      </w:r>
      <w:r w:rsidRPr="004016F7">
        <w:rPr>
          <w:rFonts w:eastAsia="Times New Roman" w:cs="Times New Roman"/>
        </w:rPr>
        <w:t>“Rising Tide: A Blueprint for Community Benefits from the Buffalo Niagara Medical Campus” (Community First Alliance, 2016), 1.</w:t>
      </w:r>
      <w:r>
        <w:fldChar w:fldCharType="end"/>
      </w:r>
    </w:p>
    <w:p w14:paraId="4DD96CCD" w14:textId="77777777" w:rsidR="000C0771" w:rsidRDefault="000C0771" w:rsidP="001F1BB7">
      <w:pPr>
        <w:pStyle w:val="FootnoteText"/>
      </w:pPr>
    </w:p>
  </w:footnote>
  <w:footnote w:id="141">
    <w:p w14:paraId="292FCA58" w14:textId="04BA2FC3"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{"citationID":"CnNhGfOd","properties":{"formattedCitation":"Erica Brecher, \\uc0\\u8220{}Fruit Belt \\uc0\\u8216{}Strategic Plan\\uc0\\u8217{} Ready for Review,\\uc0\\u8221{} WGRZ, May 19, 2018, https://www.wgrz.com/article/news/local/buffalo/fruit-belt-strategic-plan-ready-for-review/71-556130093.","plainCitation":"Erica Brecher, “Fruit Belt ‘Strategic Plan’ Ready for Review,” WGRZ, May 19, 2018, https://www.wgrz.com/article/news/local/buffalo/fruit-belt-strategic-plan-ready-for-review/71-556130093.","noteIndex":141},"citationItems":[{"id":492,"uris":["http://zotero.org/users/5043758/items/BQC2LHZ7"],"uri":["http://zotero.org/users/5043758/items/BQC2LHZ7"],"itemData":{"id":492,"type":"webpage","title":"Fruit Belt 'Strategic Plan' Ready for Review","container-title":"WGRZ","abstract":"\"If the council approves the strategic plan, then a layer of the moratorium on the land, the city-owned land in the Fruit Belt, would be lifted,\" Ellicott District common council member Darius Pridgen said.","URL":"https://www.wgrz.com/article/news/local/buffalo/fruit-belt-strategic-plan-ready-for-review/71-556130093","author":[{"family":"Brecher","given":"Erica"}],"issued":{"date-parts":[["2018",5,19]]},"accessed":{"date-parts":[["2019",3,8]]}}}],"schema":"https://github.com/citation-style-language/schema/raw/master/csl-citation.json"} </w:instrText>
      </w:r>
      <w:r>
        <w:fldChar w:fldCharType="separate"/>
      </w:r>
      <w:r w:rsidRPr="00337CA8">
        <w:rPr>
          <w:rFonts w:eastAsia="Times New Roman" w:cs="Times New Roman"/>
        </w:rPr>
        <w:t>Erica Brecher, “Fruit Belt ‘Strategic Plan’ Ready for Review,” WGRZ, May 19, 2018, https://www.wgrz.com/article/news/local/buffalo/fruit-belt-strategic-plan-ready-for-review/71-556130093.</w:t>
      </w:r>
      <w:r>
        <w:fldChar w:fldCharType="end"/>
      </w:r>
    </w:p>
    <w:p w14:paraId="29724B97" w14:textId="77777777" w:rsidR="000C0771" w:rsidRDefault="000C0771" w:rsidP="001F1BB7">
      <w:pPr>
        <w:pStyle w:val="FootnoteText"/>
      </w:pPr>
    </w:p>
  </w:footnote>
  <w:footnote w:id="142">
    <w:p w14:paraId="20CAAD7C" w14:textId="56A82CB8" w:rsidR="000C0771" w:rsidRDefault="000C0771" w:rsidP="001F1BB7">
      <w:pPr>
        <w:pStyle w:val="FootnoteText"/>
      </w:pPr>
      <w:r w:rsidRPr="00F3497A">
        <w:rPr>
          <w:rStyle w:val="FootnoteReference"/>
        </w:rPr>
        <w:footnoteRef/>
      </w:r>
      <w:r>
        <w:t xml:space="preserve"> </w:t>
      </w:r>
      <w:r>
        <w:fldChar w:fldCharType="begin"/>
      </w:r>
      <w:r>
        <w:instrText xml:space="preserve"> ADDIN ZOTERO_ITEM CSL_CITATION {"citationID":"SLpBdcYs","properties":{"formattedCitation":"Susan Schulman, \\uc0\\u8220{}City Lifts Fruit Belt Moratorium after Adopting Strategic Development Plan,\\uc0\\u8221{} {\\i{}The Buffalo News} (blog), March 29, 2018, https://buffalonews.com/2018/05/29/city-lifts-fruit-belt-moratorium-after-adopting-strategic-development-plan/.","plainCitation":"Susan Schulman, “City Lifts Fruit Belt Moratorium after Adopting Strategic Development Plan,” The Buffalo News (blog), March 29, 2018, https://buffalonews.com/2018/05/29/city-lifts-fruit-belt-moratorium-after-adopting-strategic-development-plan/.","noteIndex":142},"citationItems":[{"id":386,"uris":["http://zotero.org/users/5043758/items/NH9KUZHP"],"uri":["http://zotero.org/users/5043758/items/NH9KUZHP"],"itemData":{"id":386,"type":"post-weblog","title":"City lifts Fruit Belt moratorium after adopting strategic development plan","container-title":"The Buffalo News","abstract":"A 2 1/2 year moratorium on the sale of city-owned property in the Fruit Belt was partially lifted Tuesday after the Common Council approv...","URL":"https://buffalonews.com/2018/05/29/city-lifts-fruit-belt-moratorium-after-adopting-strategic-development-plan/","language":"en-us","author":[{"family":"Schulman","given":"Susan"}],"issued":{"date-parts":[["2018",3,29]]},"accessed":{"date-parts":[["2019",2,24]]}}}],"schema":"https://github.com/citation-style-language/schema/raw/master/csl-citation.json"} </w:instrText>
      </w:r>
      <w:r>
        <w:fldChar w:fldCharType="separate"/>
      </w:r>
      <w:r w:rsidRPr="00337CA8">
        <w:rPr>
          <w:rFonts w:eastAsia="Times New Roman" w:cs="Times New Roman"/>
        </w:rPr>
        <w:t xml:space="preserve">Susan Schulman, “City Lifts Fruit Belt Moratorium after Adopting Strategic Development Plan,” </w:t>
      </w:r>
      <w:r w:rsidRPr="00337CA8">
        <w:rPr>
          <w:rFonts w:eastAsia="Times New Roman" w:cs="Times New Roman"/>
          <w:i/>
          <w:iCs/>
        </w:rPr>
        <w:t>The Buffalo News</w:t>
      </w:r>
      <w:r w:rsidRPr="00337CA8">
        <w:rPr>
          <w:rFonts w:eastAsia="Times New Roman" w:cs="Times New Roman"/>
        </w:rPr>
        <w:t xml:space="preserve"> (blog), March 29, 2018, https://buffalonews.com/2018/05/29/city-lifts-fruit-belt-moratorium-after-adopting-strategic-development-plan/.</w:t>
      </w:r>
      <w:r>
        <w:fldChar w:fldCharType="end"/>
      </w:r>
    </w:p>
  </w:footnote>
  <w:footnote w:id="143">
    <w:p w14:paraId="0DA9B890" w14:textId="502DD7D6"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{"citationID":"H1K9rf5V","properties":{"formattedCitation":"\\uc0\\u8220{}The Antiquities Act of 1906 - Legislative and Congressional Affairs (U.S. National Park Service),\\uc0\\u8221{} accessed April 22, 2019, https://www.nps.gov/subjects/legal/the-antiquities-act-of-1906.htm.","plainCitation":"“The Antiquities Act of 1906 - Legislative and Congressional Affairs (U.S. National Park Service),” accessed April 22, 2019, https://www.nps.gov/subjects/legal/the-antiquities-act-of-1906.htm.","noteIndex":143},"citationItems":[{"id":568,"uris":["http://zotero.org/users/5043758/items/IQLNQC24"],"uri":["http://zotero.org/users/5043758/items/IQLNQC24"],"itemData":{"id":568,"type":"webpage","title":"The Antiquities Act of 1906 - Legislative and Congressional Affairs (U.S. National Park Service)","URL":"https://www.nps.gov/subjects/legal/the-antiquities-act-of-1906.htm","language":"en","accessed":{"date-parts":[["2019",4,22]]}}}],"schema":"https://github.com/citation-style-language/schema/raw/master/csl-citation.json"} </w:instrText>
      </w:r>
      <w:r>
        <w:fldChar w:fldCharType="separate"/>
      </w:r>
      <w:r w:rsidRPr="00990477">
        <w:rPr>
          <w:rFonts w:eastAsia="Times New Roman" w:cs="Times New Roman"/>
        </w:rPr>
        <w:t>“The Antiquities Act of 1906 - Legislative and Congressional Affairs (U.S. National Park Service),” accessed April 22, 2019, https://www.nps.gov/subjects/legal/the-antiquities-act-of-1906.htm.</w:t>
      </w:r>
      <w:r>
        <w:fldChar w:fldCharType="end"/>
      </w:r>
    </w:p>
    <w:p w14:paraId="431A2303" w14:textId="77777777" w:rsidR="000C0771" w:rsidRDefault="000C0771" w:rsidP="00153831">
      <w:pPr>
        <w:pStyle w:val="FootnoteText"/>
      </w:pPr>
    </w:p>
  </w:footnote>
  <w:footnote w:id="144">
    <w:p w14:paraId="5CBDF47E" w14:textId="55C52BAF"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{"citationID":"8WWns7kA","properties":{"formattedCitation":"Norman Tyler, {\\i{}Historic Preservation: An Introduction to Its History, Principles, and Practice} (New York: W.W. Norton &amp; Company, 2000), 33\\uc0\\u8211{}36.","plainCitation":"Norman Tyler, Historic Preservation: An Introduction to Its History, Principles, and Practice (New York: W.W. Norton &amp; Company, 2000), 33–36.","noteIndex":144},"citationItems":[{"id":496,"uris":["http://zotero.org/users/5043758/items/AYRQ4SKR"],"uri":["http://zotero.org/users/5043758/items/AYRQ4SKR"],"itemData":{"id":496,"type":"book","title":"Historic Preservation: An Introduction to its History, Principles, and Practice","publisher":"W.W. Norton &amp; Company","publisher-place":"New York","event-place":"New York","author":[{"family":"Tyler","given":"Norman"}],"issued":{"date-parts":[["2000"]]}},"locator":"33-36","label":"page"}],"schema":"https://github.com/citation-style-language/schema/raw/master/csl-citation.json"} </w:instrText>
      </w:r>
      <w:r>
        <w:fldChar w:fldCharType="separate"/>
      </w:r>
      <w:r w:rsidRPr="005D0B7E">
        <w:rPr>
          <w:rFonts w:eastAsia="Times New Roman" w:cs="Times New Roman"/>
        </w:rPr>
        <w:t xml:space="preserve">Norman Tyler, </w:t>
      </w:r>
      <w:r w:rsidRPr="005D0B7E">
        <w:rPr>
          <w:rFonts w:eastAsia="Times New Roman" w:cs="Times New Roman"/>
          <w:i/>
          <w:iCs/>
        </w:rPr>
        <w:t>Historic Preservation: An Introduction to Its History, Principles, and Practice</w:t>
      </w:r>
      <w:r w:rsidRPr="005D0B7E">
        <w:rPr>
          <w:rFonts w:eastAsia="Times New Roman" w:cs="Times New Roman"/>
        </w:rPr>
        <w:t xml:space="preserve"> (New York: W.W. Norton &amp; Company, 2000), 33–36.</w:t>
      </w:r>
      <w:r>
        <w:fldChar w:fldCharType="end"/>
      </w:r>
    </w:p>
  </w:footnote>
  <w:footnote w:id="145">
    <w:p w14:paraId="7E596DC5" w14:textId="388E7109"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{"citationID":"Y2kQEWnx","properties":{"formattedCitation":"Tyler, 44\\uc0\\u8211{}45.","plainCitation":"Tyler, 44–45.","noteIndex":145},"citationItems":[{"id":496,"uris":["http://zotero.org/users/5043758/items/AYRQ4SKR"],"uri":["http://zotero.org/users/5043758/items/AYRQ4SKR"],"itemData":{"id":496,"type":"book","title":"Historic Preservation: An Introduction to its History, Principles, and Practice","publisher":"W.W. Norton &amp; Company","publisher-place":"New York","event-place":"New York","author":[{"family":"Tyler","given":"Norman"}],"issued":{"date-parts":[["2000"]]}},"locator":"44-45","label":"page"}],"schema":"https://github.com/citation-style-language/schema/raw/master/csl-citation.json"} </w:instrText>
      </w:r>
      <w:r>
        <w:fldChar w:fldCharType="separate"/>
      </w:r>
      <w:r w:rsidRPr="0013544C">
        <w:rPr>
          <w:rFonts w:eastAsia="Times New Roman" w:cs="Times New Roman"/>
        </w:rPr>
        <w:t>Tyler, 44–45.</w:t>
      </w:r>
      <w:r>
        <w:fldChar w:fldCharType="end"/>
      </w:r>
    </w:p>
    <w:p w14:paraId="47D52344" w14:textId="77777777" w:rsidR="000C0771" w:rsidRDefault="000C0771" w:rsidP="00153831">
      <w:pPr>
        <w:pStyle w:val="FootnoteText"/>
      </w:pPr>
    </w:p>
  </w:footnote>
  <w:footnote w:id="146">
    <w:p w14:paraId="56B6B58D" w14:textId="139E536C"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{"citationID":"0HGy1e2R","properties":{"formattedCitation":"\\uc0\\u8220{}National Historic Preservation Act - Historic Preservation (U.S. National Park Service),\\uc0\\u8221{} National Park Service, December 2, 2018, https://www.nps.gov/subjects/historicpreservation/national-historic-preservation-act.htm.","plainCitation":"“National Historic Preservation Act - Historic Preservation (U.S. National Park Service),” National Park Service, December 2, 2018, https://www.nps.gov/subjects/historicpreservation/national-historic-preservation-act.htm.","noteIndex":146},"citationItems":[{"id":498,"uris":["http://zotero.org/users/5043758/items/AR4SJEIU"],"uri":["http://zotero.org/users/5043758/items/AR4SJEIU"],"itemData":{"id":498,"type":"webpage","title":"National Historic Preservation Act - Historic Preservation (U.S. National Park Service)","container-title":"National Park Service","URL":"https://www.nps.gov/subjects/historicpreservation/national-historic-preservation-act.htm","language":"en","issued":{"date-parts":[["2018",12,2]]},"accessed":{"date-parts":[["2019",3,12]]}}}],"schema":"https://github.com/citation-style-language/schema/raw/master/csl-citation.json"} </w:instrText>
      </w:r>
      <w:r>
        <w:fldChar w:fldCharType="separate"/>
      </w:r>
      <w:r w:rsidRPr="00D27FCD">
        <w:rPr>
          <w:rFonts w:eastAsia="Times New Roman" w:cs="Times New Roman"/>
        </w:rPr>
        <w:t>“National Historic Preservation Act - Historic Preservation (U.S. National Park Service),” National Park Service, December 2, 2018, https://www.nps.gov/subjects/historicpreservation/national-historic-preservation-act.htm.</w:t>
      </w:r>
      <w:r>
        <w:fldChar w:fldCharType="end"/>
      </w:r>
    </w:p>
    <w:p w14:paraId="3A5FD7DC" w14:textId="77777777" w:rsidR="000C0771" w:rsidRDefault="000C0771" w:rsidP="00153831">
      <w:pPr>
        <w:pStyle w:val="FootnoteText"/>
      </w:pPr>
    </w:p>
  </w:footnote>
  <w:footnote w:id="147">
    <w:p w14:paraId="09E8F382" w14:textId="5CE559E5"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{"citationID":"wtDDP3oP","properties":{"formattedCitation":"\\uc0\\u8220{}Rehabilitation Standards and Guidelines\\uc0\\u8212{}Technical Preservation Services, National Park Service,\\uc0\\u8221{} accessed March 15, 2019, https://www.nps.gov/tps/standards/rehabilitation.htm.","plainCitation":"“Rehabilitation Standards and Guidelines—Technical Preservation Services, National Park Service,” accessed March 15, 2019, https://www.nps.gov/tps/standards/rehabilitation.htm.","noteIndex":147},"citationItems":[{"id":500,"uris":["http://zotero.org/users/5043758/items/KEPM7EZ4"],"uri":["http://zotero.org/users/5043758/items/KEPM7EZ4"],"itemData":{"id":500,"type":"webpage","title":"Rehabilitation Standards and Guidelines—Technical Preservation Services, National Park Service","URL":"https://www.nps.gov/tps/standards/rehabilitation.htm","accessed":{"date-parts":[["2019",3,15]]}}}],"schema":"https://github.com/citation-style-language/schema/raw/master/csl-citation.json"} </w:instrText>
      </w:r>
      <w:r>
        <w:fldChar w:fldCharType="separate"/>
      </w:r>
      <w:r w:rsidRPr="005D0B7E">
        <w:rPr>
          <w:rFonts w:eastAsia="Times New Roman" w:cs="Times New Roman"/>
        </w:rPr>
        <w:t>“Rehabilitation Standards and Guidelines—Technical Preservation Services, National Park Service,” accessed March 15, 2019, https://www.nps.gov/tps/standards/rehabilitation.htm.</w:t>
      </w:r>
      <w:r>
        <w:fldChar w:fldCharType="end"/>
      </w:r>
    </w:p>
    <w:p w14:paraId="48D27ADF" w14:textId="77777777" w:rsidR="000C0771" w:rsidRDefault="000C0771" w:rsidP="00153831">
      <w:pPr>
        <w:pStyle w:val="FootnoteText"/>
      </w:pPr>
    </w:p>
  </w:footnote>
  <w:footnote w:id="148">
    <w:p w14:paraId="4DC0A323" w14:textId="403732E8"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{"citationID":"5fDtTF7o","properties":{"formattedCitation":"\\uc0\\u8220{}Federal Tax Incentives for Rehabilitating Historic Buildings Annual Report for Fiscal Year 2018\\uc0\\u8221{} (Technical Preservation Services, National Park Service, U.S. Department of the Interior, March 2019).","plainCitation":"“Federal Tax Incentives for Rehabilitating Historic Buildings Annual Report for Fiscal Year 2018” (Technical Preservation Services, National Park Service, U.S. Department of the Interior, March 2019).","noteIndex":148},"citationItems":[{"id":508,"uris":["http://zotero.org/users/5043758/items/U6WMM3GF"],"uri":["http://zotero.org/users/5043758/items/U6WMM3GF"],"itemData":{"id":508,"type":"report","title":"Federal Tax Incentives for Rehabilitating Historic Buildings Annual Report for Fiscal Year 2018","publisher":"Technical Preservation Services, National Park Service, U.S. Department of the Interior","page":"4","source":"Zotero","language":"en","issued":{"date-parts":[["2019",3]]}}}],"schema":"https://github.com/citation-style-language/schema/raw/master/csl-citation.json"} </w:instrText>
      </w:r>
      <w:r>
        <w:fldChar w:fldCharType="separate"/>
      </w:r>
      <w:r w:rsidRPr="000F4BB9">
        <w:rPr>
          <w:rFonts w:eastAsia="Times New Roman" w:cs="Times New Roman"/>
        </w:rPr>
        <w:t>“Federal Tax Incentives for Rehabilitating Historic Buildings Annual Report for Fiscal Year 2018” (Technical Preservation Services, National Park Service, U.S. Department of the Interior, March 2019).</w:t>
      </w:r>
      <w:r>
        <w:fldChar w:fldCharType="end"/>
      </w:r>
    </w:p>
  </w:footnote>
  <w:footnote w:id="149">
    <w:p w14:paraId="723F65A8" w14:textId="32604FC9"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{"citationID":"5aHmZFri","properties":{"formattedCitation":"\\uc0\\u8220{}What Are Tribal Historic Preservation Officers,\\uc0\\u8221{} NATHPO, National Association of Tribal Historic Preservation Officers, 2019, https://www.nathpo.org/thpos/what-are-thpos/.","plainCitation":"“What Are Tribal Historic Preservation Officers,” NATHPO, National Association of Tribal Historic Preservation Officers, 2019, https://www.nathpo.org/thpos/what-are-thpos/.","noteIndex":149},"citationItems":[{"id":572,"uris":["http://zotero.org/users/5043758/items/B6T7GUMJ"],"uri":["http://zotero.org/users/5043758/items/B6T7GUMJ"],"itemData":{"id":572,"type":"webpage","title":"What Are Tribal Historic Preservation Officers","container-title":"NATHPO, National Association of Tribal Historic Preservation Officers","URL":"https://www.nathpo.org/thpos/what-are-thpos/","language":"en-US","issued":{"date-parts":[["2019"]]},"accessed":{"date-parts":[["2019",4,22]]}}}],"schema":"https://github.com/citation-style-language/schema/raw/master/csl-citation.json"} </w:instrText>
      </w:r>
      <w:r>
        <w:fldChar w:fldCharType="separate"/>
      </w:r>
      <w:r w:rsidRPr="00E36470">
        <w:rPr>
          <w:rFonts w:eastAsia="Times New Roman" w:cs="Times New Roman"/>
        </w:rPr>
        <w:t>“What Are Tribal Historic Preservation Officers,” NATHPO, National Association of Tribal Historic Preservation Officers, 2019, https://www.nathpo.org/thpos/what-are-thpos/.</w:t>
      </w:r>
      <w:r>
        <w:fldChar w:fldCharType="end"/>
      </w:r>
    </w:p>
    <w:p w14:paraId="052BC61C" w14:textId="77777777" w:rsidR="000C0771" w:rsidRDefault="000C0771" w:rsidP="00153831">
      <w:pPr>
        <w:pStyle w:val="FootnoteText"/>
      </w:pPr>
    </w:p>
  </w:footnote>
  <w:footnote w:id="150">
    <w:p w14:paraId="7B5BDF2F" w14:textId="4FE79EF9"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{"citationID":"q4wdDzQb","properties":{"formattedCitation":"Tyler, {\\i{}Historic Preservation: An Introduction to Its History, Principles, and Practice}, 52\\uc0\\u8211{}53.","plainCitation":"Tyler, Historic Preservation: An Introduction to Its History, Principles, and Practice, 52–53.","noteIndex":150},"citationItems":[{"id":496,"uris":["http://zotero.org/users/5043758/items/AYRQ4SKR"],"uri":["http://zotero.org/users/5043758/items/AYRQ4SKR"],"itemData":{"id":496,"type":"book","title":"Historic Preservation: An Introduction to its History, Principles, and Practice","publisher":"W.W. Norton &amp; Company","publisher-place":"New York","event-place":"New York","author":[{"family":"Tyler","given":"Norman"}],"issued":{"date-parts":[["2000"]]}},"locator":"52-53","label":"page"}],"schema":"https://github.com/citation-style-language/schema/raw/master/csl-citation.json"} </w:instrText>
      </w:r>
      <w:r>
        <w:fldChar w:fldCharType="separate"/>
      </w:r>
      <w:r w:rsidRPr="009A0FDB">
        <w:rPr>
          <w:rFonts w:eastAsia="Times New Roman" w:cs="Times New Roman"/>
        </w:rPr>
        <w:t xml:space="preserve">Tyler, </w:t>
      </w:r>
      <w:r w:rsidRPr="009A0FDB">
        <w:rPr>
          <w:rFonts w:eastAsia="Times New Roman" w:cs="Times New Roman"/>
          <w:i/>
          <w:iCs/>
        </w:rPr>
        <w:t>Historic Preservation: An Introduction to Its History, Principles, and Practice</w:t>
      </w:r>
      <w:r w:rsidRPr="009A0FDB">
        <w:rPr>
          <w:rFonts w:eastAsia="Times New Roman" w:cs="Times New Roman"/>
        </w:rPr>
        <w:t>, 52–53.</w:t>
      </w:r>
      <w:r>
        <w:fldChar w:fldCharType="end"/>
      </w:r>
    </w:p>
    <w:p w14:paraId="0E8E0510" w14:textId="77777777" w:rsidR="000C0771" w:rsidRDefault="000C0771" w:rsidP="00153831">
      <w:pPr>
        <w:pStyle w:val="FootnoteText"/>
      </w:pPr>
    </w:p>
  </w:footnote>
  <w:footnote w:id="151">
    <w:p w14:paraId="7964FB5E" w14:textId="14B78BDF"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{"citationID":"636qnrS5","properties":{"formattedCitation":"Tyler, 56\\uc0\\u8211{}57.","plainCitation":"Tyler, 56–57.","noteIndex":151},"citationItems":[{"id":496,"uris":["http://zotero.org/users/5043758/items/AYRQ4SKR"],"uri":["http://zotero.org/users/5043758/items/AYRQ4SKR"],"itemData":{"id":496,"type":"book","title":"Historic Preservation: An Introduction to its History, Principles, and Practice","publisher":"W.W. Norton &amp; Company","publisher-place":"New York","event-place":"New York","author":[{"family":"Tyler","given":"Norman"}],"issued":{"date-parts":[["2000"]]}},"locator":"56-57","label":"page"}],"schema":"https://github.com/citation-style-language/schema/raw/master/csl-citation.json"} </w:instrText>
      </w:r>
      <w:r>
        <w:fldChar w:fldCharType="separate"/>
      </w:r>
      <w:r w:rsidRPr="00FB0A9A">
        <w:rPr>
          <w:rFonts w:eastAsia="Times New Roman" w:cs="Times New Roman"/>
        </w:rPr>
        <w:t>Tyler, 56–57.</w:t>
      </w:r>
      <w:r>
        <w:fldChar w:fldCharType="end"/>
      </w:r>
    </w:p>
  </w:footnote>
  <w:footnote w:id="152">
    <w:p w14:paraId="320C4D12" w14:textId="42500A82"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{"citationID":"hbs0fjmp","properties":{"formattedCitation":"Tyler, 54\\uc0\\u8211{}55.","plainCitation":"Tyler, 54–55.","noteIndex":152},"citationItems":[{"id":496,"uris":["http://zotero.org/users/5043758/items/AYRQ4SKR"],"uri":["http://zotero.org/users/5043758/items/AYRQ4SKR"],"itemData":{"id":496,"type":"book","title":"Historic Preservation: An Introduction to its History, Principles, and Practice","publisher":"W.W. Norton &amp; Company","publisher-place":"New York","event-place":"New York","author":[{"family":"Tyler","given":"Norman"}],"issued":{"date-parts":[["2000"]]}},"locator":"54-55","label":"page"}],"schema":"https://github.com/citation-style-language/schema/raw/master/csl-citation.json"} </w:instrText>
      </w:r>
      <w:r>
        <w:fldChar w:fldCharType="separate"/>
      </w:r>
      <w:r w:rsidRPr="00D27FCD">
        <w:rPr>
          <w:rFonts w:eastAsia="Times New Roman" w:cs="Times New Roman"/>
        </w:rPr>
        <w:t>Tyler, 54–55.</w:t>
      </w:r>
      <w:r>
        <w:fldChar w:fldCharType="end"/>
      </w:r>
    </w:p>
  </w:footnote>
  <w:footnote w:id="153">
    <w:p w14:paraId="1CF57233" w14:textId="3D22CA91"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{"citationID":"OfI8V2Mn","properties":{"formattedCitation":"Australia ICOMOS and International Council on Monuments and Sites, {\\i{}The Burra Charter: The Australia ICOMOS Charter for Places of Cultural Significance}, 2013, 1, http://australia.icomos.org/wp-content/uploads/The-Burra-Charter-2013-Adopted-31.10.2013.pdf.","plainCitation":"Australia ICOMOS and International Council on Monuments and Sites, The Burra Charter: The Australia ICOMOS Charter for Places of Cultural Significance, 2013, 1, http://australia.icomos.org/wp-content/uploads/The-Burra-Charter-2013-Adopted-31.10.2013.pdf.","noteIndex":153},"citationItems":[{"id":143,"uris":["http://zotero.org/users/5043758/items/AI3CDURY"],"uri":["http://zotero.org/users/5043758/items/AI3CDURY"],"itemData":{"id":143,"type":"book","title":"The Burra Charter: The Australia ICOMOS Charter for Places of Cultural Significance","source":"Open WorldCat","URL":"http://australia.icomos.org/wp-content/uploads/The-Burra-Charter-2013-Adopted-31.10.2013.pdf","ISBN":"978-0-9578528-4-6","note":"OCLC: 936218685","title-short":"The Burra Charter","language":"en","author":[{"literal":"Australia ICOMOS"},{"literal":"International Council on Monuments and Sites"}],"issued":{"date-parts":[["2013"]]},"accessed":{"date-parts":[["2018",8,17]]}},"locator":"1","label":"page"}],"schema":"https://github.com/citation-style-language/schema/raw/master/csl-citation.json"} </w:instrText>
      </w:r>
      <w:r>
        <w:fldChar w:fldCharType="separate"/>
      </w:r>
      <w:r w:rsidRPr="00314D8C">
        <w:rPr>
          <w:rFonts w:eastAsia="Times New Roman" w:cs="Times New Roman"/>
        </w:rPr>
        <w:t xml:space="preserve">Australia ICOMOS and International Council on Monuments and Sites, </w:t>
      </w:r>
      <w:r w:rsidRPr="00314D8C">
        <w:rPr>
          <w:rFonts w:eastAsia="Times New Roman" w:cs="Times New Roman"/>
          <w:i/>
          <w:iCs/>
        </w:rPr>
        <w:t>The Burra Charter: The Australia ICOMOS Charter for Places of Cultural Significance</w:t>
      </w:r>
      <w:r w:rsidRPr="00314D8C">
        <w:rPr>
          <w:rFonts w:eastAsia="Times New Roman" w:cs="Times New Roman"/>
        </w:rPr>
        <w:t>, 2013, 1, http://australia.icomos.org/wp-content/uploads/The-Burra-Charter-2013-Adopted-31.10.2013.pdf.</w:t>
      </w:r>
      <w:r>
        <w:fldChar w:fldCharType="end"/>
      </w:r>
    </w:p>
    <w:p w14:paraId="0F2ACD05" w14:textId="77777777" w:rsidR="000C0771" w:rsidRDefault="000C0771" w:rsidP="00153831">
      <w:pPr>
        <w:pStyle w:val="FootnoteText"/>
      </w:pPr>
    </w:p>
  </w:footnote>
  <w:footnote w:id="154">
    <w:p w14:paraId="7807FF05" w14:textId="1FF5EA0A"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{"citationID":"8PsCdaLW","properties":{"formattedCitation":"Australia ICOMOS and International Council on Monuments and Sites, Article 6.1, 4.","plainCitation":"Australia ICOMOS and International Council on Monuments and Sites, Article 6.1, 4.","noteIndex":154},"citationItems":[{"id":143,"uris":["http://zotero.org/users/5043758/items/AI3CDURY"],"uri":["http://zotero.org/users/5043758/items/AI3CDURY"],"itemData":{"id":143,"type":"book","title":"The Burra Charter: The Australia ICOMOS Charter for Places of Cultural Significance","source":"Open WorldCat","URL":"http://australia.icomos.org/wp-content/uploads/The-Burra-Charter-2013-Adopted-31.10.2013.pdf","ISBN":"978-0-9578528-4-6","note":"OCLC: 936218685","title-short":"The Burra Charter","language":"en","author":[{"literal":"Australia ICOMOS"},{"literal":"International Council on Monuments and Sites"}],"issued":{"date-parts":[["2013"]]},"accessed":{"date-parts":[["2018",8,17]]}},"locator":"Article 6.1, 4"}],"schema":"https://github.com/citation-style-language/schema/raw/master/csl-citation.json"} </w:instrText>
      </w:r>
      <w:r>
        <w:fldChar w:fldCharType="separate"/>
      </w:r>
      <w:r>
        <w:rPr>
          <w:noProof/>
        </w:rPr>
        <w:t>Australia ICOMOS and International Council on Monuments and Sites, Article 6.1, 4.</w:t>
      </w:r>
      <w:r>
        <w:fldChar w:fldCharType="end"/>
      </w:r>
    </w:p>
  </w:footnote>
  <w:footnote w:id="155">
    <w:p w14:paraId="65CF6A96" w14:textId="4D867555"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{"citationID":"0qOYRjhj","properties":{"formattedCitation":"Australia ICOMOS and International Council on Monuments and Sites, Article 12, 5.","plainCitation":"Australia ICOMOS and International Council on Monuments and Sites, Article 12, 5.","noteIndex":155},"citationItems":[{"id":143,"uris":["http://zotero.org/users/5043758/items/AI3CDURY"],"uri":["http://zotero.org/users/5043758/items/AI3CDURY"],"itemData":{"id":143,"type":"book","title":"The Burra Charter: The Australia ICOMOS Charter for Places of Cultural Significance","source":"Open WorldCat","URL":"http://australia.icomos.org/wp-content/uploads/The-Burra-Charter-2013-Adopted-31.10.2013.pdf","ISBN":"978-0-9578528-4-6","note":"OCLC: 936218685","title-short":"The Burra Charter","language":"en","author":[{"literal":"Australia ICOMOS"},{"literal":"International Council on Monuments and Sites"}],"issued":{"date-parts":[["2013"]]},"accessed":{"date-parts":[["2018",8,17]]}},"locator":"Article 12, 5"}],"schema":"https://github.com/citation-style-language/schema/raw/master/csl-citation.json"} </w:instrText>
      </w:r>
      <w:r>
        <w:fldChar w:fldCharType="separate"/>
      </w:r>
      <w:r>
        <w:rPr>
          <w:noProof/>
        </w:rPr>
        <w:t>Australia ICOMOS and International Council on Monuments and Sites, Article 12, 5.</w:t>
      </w:r>
      <w:r>
        <w:fldChar w:fldCharType="end"/>
      </w:r>
    </w:p>
    <w:p w14:paraId="6138DB6D" w14:textId="77777777" w:rsidR="000C0771" w:rsidRDefault="000C0771" w:rsidP="00153831">
      <w:pPr>
        <w:pStyle w:val="FootnoteText"/>
      </w:pPr>
    </w:p>
  </w:footnote>
  <w:footnote w:id="156">
    <w:p w14:paraId="5D46C3C1" w14:textId="293E61E5"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{"citationID":"9YuPIp2G","properties":{"formattedCitation":"Australia ICOMOS and International Council on Monuments and Sites, Article 13, 5.","plainCitation":"Australia ICOMOS and International Council on Monuments and Sites, Article 13, 5.","noteIndex":156},"citationItems":[{"id":143,"uris":["http://zotero.org/users/5043758/items/AI3CDURY"],"uri":["http://zotero.org/users/5043758/items/AI3CDURY"],"itemData":{"id":143,"type":"book","title":"The Burra Charter: The Australia ICOMOS Charter for Places of Cultural Significance","source":"Open WorldCat","URL":"http://australia.icomos.org/wp-content/uploads/The-Burra-Charter-2013-Adopted-31.10.2013.pdf","ISBN":"978-0-9578528-4-6","note":"OCLC: 936218685","title-short":"The Burra Charter","language":"en","author":[{"literal":"Australia ICOMOS"},{"literal":"International Council on Monuments and Sites"}],"issued":{"date-parts":[["2013"]]},"accessed":{"date-parts":[["2018",8,17]]}},"locator":"Article 13, 5"}],"schema":"https://github.com/citation-style-language/schema/raw/master/csl-citation.json"} </w:instrText>
      </w:r>
      <w:r>
        <w:fldChar w:fldCharType="separate"/>
      </w:r>
      <w:r>
        <w:rPr>
          <w:noProof/>
        </w:rPr>
        <w:t>Australia ICOMOS and International Council on Monuments and Sites, Article 13, 5.</w:t>
      </w:r>
      <w:r>
        <w:fldChar w:fldCharType="end"/>
      </w:r>
    </w:p>
    <w:p w14:paraId="7ED0B72C" w14:textId="77777777" w:rsidR="000C0771" w:rsidRDefault="000C0771" w:rsidP="00153831">
      <w:pPr>
        <w:pStyle w:val="FootnoteText"/>
      </w:pPr>
    </w:p>
  </w:footnote>
  <w:footnote w:id="157">
    <w:p w14:paraId="2810210D" w14:textId="5CAF592D"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{"citationID":"MK6hGUJ8","properties":{"formattedCitation":"Patricia L. Parker and Thomas F. King, \\uc0\\u8220{}Guidelines for Evaluating and Documenting Traditional Cultural Properties,\\uc0\\u8221{} National Register Bulletin (U.S. Department of the Interior, National Park Service, 1998), 1, https://www.scribd.com/document/3328643/National-Register-Bulletin-38-Traditional-Cultural-Properties.","plainCitation":"Patricia L. Parker and Thomas F. King, “Guidelines for Evaluating and Documenting Traditional Cultural Properties,” National Register Bulletin (U.S. Department of the Interior, National Park Service, 1998), 1, https://www.scribd.com/document/3328643/National-Register-Bulletin-38-Traditional-Cultural-Properties.","noteIndex":157},"citationItems":[{"id":509,"uris":["http://zotero.org/users/5043758/items/K3THXJDZ"],"uri":["http://zotero.org/users/5043758/items/K3THXJDZ"],"itemData":{"id":509,"type":"report","title":"Guidelines for Evaluating and Documenting Traditional Cultural Properties","publisher":"U.S. Department of the Interior, National Park Service","genre":"National Register Bulletin","URL":"https://www.scribd.com/document/3328643/National-Register-Bulletin-38-Traditional-Cultural-Properties","author":[{"family":"Parker","given":"Patricia L."},{"family":"King","given":"Thomas F."}],"issued":{"date-parts":[["1998"]]}},"locator":"1","label":"page"}],"schema":"https://github.com/citation-style-language/schema/raw/master/csl-citation.json"} </w:instrText>
      </w:r>
      <w:r>
        <w:fldChar w:fldCharType="separate"/>
      </w:r>
      <w:r w:rsidRPr="0064451D">
        <w:rPr>
          <w:rFonts w:eastAsia="Times New Roman" w:cs="Times New Roman"/>
        </w:rPr>
        <w:t>Patricia L. Parker and Thomas F. King, “Guidelines for Evaluating and Documenting Traditional Cultural Properties,” National Register Bulletin (U.S. Department of the Interior, National Park Service, 1998), 1, https://www.scribd.com/document/3328643/National-Register-Bulletin-38-Traditional-Cultural-Properties.</w:t>
      </w:r>
      <w:r>
        <w:fldChar w:fldCharType="end"/>
      </w:r>
    </w:p>
    <w:p w14:paraId="1B143509" w14:textId="77777777" w:rsidR="000C0771" w:rsidRDefault="000C0771" w:rsidP="00153831">
      <w:pPr>
        <w:pStyle w:val="FootnoteText"/>
      </w:pPr>
    </w:p>
  </w:footnote>
  <w:footnote w:id="158">
    <w:p w14:paraId="0DD0B230" w14:textId="74BE3875"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{"citationID":"eiXn0ENi","properties":{"formattedCitation":"Parker and King, 2.","plainCitation":"Parker and King, 2.","noteIndex":158},"citationItems":[{"id":509,"uris":["http://zotero.org/users/5043758/items/K3THXJDZ"],"uri":["http://zotero.org/users/5043758/items/K3THXJDZ"],"itemData":{"id":509,"type":"report","title":"Guidelines for Evaluating and Documenting Traditional Cultural Properties","publisher":"U.S. Department of the Interior, National Park Service","genre":"National Register Bulletin","URL":"https://www.scribd.com/document/3328643/National-Register-Bulletin-38-Traditional-Cultural-Properties","author":[{"family":"Parker","given":"Patricia L."},{"family":"King","given":"Thomas F."}],"issued":{"date-parts":[["1998"]]}},"locator":"2","label":"page"}],"schema":"https://github.com/citation-style-language/schema/raw/master/csl-citation.json"} </w:instrText>
      </w:r>
      <w:r>
        <w:fldChar w:fldCharType="separate"/>
      </w:r>
      <w:r>
        <w:rPr>
          <w:noProof/>
        </w:rPr>
        <w:t>Parker and King, 2.</w:t>
      </w:r>
      <w:r>
        <w:fldChar w:fldCharType="end"/>
      </w:r>
    </w:p>
    <w:p w14:paraId="1A509356" w14:textId="77777777" w:rsidR="000C0771" w:rsidRDefault="000C0771" w:rsidP="00153831">
      <w:pPr>
        <w:pStyle w:val="FootnoteText"/>
      </w:pPr>
    </w:p>
  </w:footnote>
  <w:footnote w:id="159">
    <w:p w14:paraId="2031110D" w14:textId="2DA0BBE2"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{"citationID":"IYrDMRSS","properties":{"formattedCitation":"Parker and King, 3.","plainCitation":"Parker and King, 3.","noteIndex":159},"citationItems":[{"id":509,"uris":["http://zotero.org/users/5043758/items/K3THXJDZ"],"uri":["http://zotero.org/users/5043758/items/K3THXJDZ"],"itemData":{"id":509,"type":"report","title":"Guidelines for Evaluating and Documenting Traditional Cultural Properties","publisher":"U.S. Department of the Interior, National Park Service","genre":"National Register Bulletin","URL":"https://www.scribd.com/document/3328643/National-Register-Bulletin-38-Traditional-Cultural-Properties","author":[{"family":"Parker","given":"Patricia L."},{"family":"King","given":"Thomas F."}],"issued":{"date-parts":[["1998"]]}},"locator":"3","label":"page"}],"schema":"https://github.com/citation-style-language/schema/raw/master/csl-citation.json"} </w:instrText>
      </w:r>
      <w:r>
        <w:fldChar w:fldCharType="separate"/>
      </w:r>
      <w:r>
        <w:rPr>
          <w:noProof/>
        </w:rPr>
        <w:t>Parker and King, 3.</w:t>
      </w:r>
      <w:r>
        <w:fldChar w:fldCharType="end"/>
      </w:r>
    </w:p>
    <w:p w14:paraId="1567EC27" w14:textId="77777777" w:rsidR="000C0771" w:rsidRDefault="000C0771" w:rsidP="00153831">
      <w:pPr>
        <w:pStyle w:val="FootnoteText"/>
      </w:pPr>
    </w:p>
  </w:footnote>
  <w:footnote w:id="160">
    <w:p w14:paraId="4EDB5222" w14:textId="5810E07B"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{"citationID":"cPgtH4dF","properties":{"formattedCitation":"Parker and King, 3.","plainCitation":"Parker and King, 3.","noteIndex":160},"citationItems":[{"id":509,"uris":["http://zotero.org/users/5043758/items/K3THXJDZ"],"uri":["http://zotero.org/users/5043758/items/K3THXJDZ"],"itemData":{"id":509,"type":"report","title":"Guidelines for Evaluating and Documenting Traditional Cultural Properties","publisher":"U.S. Department of the Interior, National Park Service","genre":"National Register Bulletin","URL":"https://www.scribd.com/document/3328643/National-Register-Bulletin-38-Traditional-Cultural-Properties","author":[{"family":"Parker","given":"Patricia L."},{"family":"King","given":"Thomas F."}],"issued":{"date-parts":[["1998"]]}},"locator":"3","label":"page"}],"schema":"https://github.com/citation-style-language/schema/raw/master/csl-citation.json"} </w:instrText>
      </w:r>
      <w:r>
        <w:fldChar w:fldCharType="separate"/>
      </w:r>
      <w:r>
        <w:rPr>
          <w:noProof/>
        </w:rPr>
        <w:t>Parker and King, 3.</w:t>
      </w:r>
      <w:r>
        <w:fldChar w:fldCharType="end"/>
      </w:r>
    </w:p>
  </w:footnote>
  <w:footnote w:id="161">
    <w:p w14:paraId="4EEAC482" w14:textId="2CC36C63"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{"citationID":"7GvMz1Fw","properties":{"formattedCitation":"Thomas F. King, \\uc0\\u8220{}Rethinking Traditional Cultural Properties,\\uc0\\u8221{} {\\i{}The George Wright Forum} 26, no. 1 (2009): 34.","plainCitation":"Thomas F. King, “Rethinking Traditional Cultural Properties,” The George Wright Forum 26, no. 1 (2009): 34.","noteIndex":161},"citationItems":[{"id":510,"uris":["http://zotero.org/users/5043758/items/JC9WD9AB"],"uri":["http://zotero.org/users/5043758/items/JC9WD9AB"],"itemData":{"id":510,"type":"article-journal","title":"Rethinking Traditional Cultural Properties","container-title":"The George Wright Forum","page":"28-36","volume":"26","issue":"1","author":[{"family":"King","given":"Thomas F."}],"issued":{"date-parts":[["2009"]]}},"locator":"34","label":"page"}],"schema":"https://github.com/citation-style-language/schema/raw/master/csl-citation.json"} </w:instrText>
      </w:r>
      <w:r>
        <w:fldChar w:fldCharType="separate"/>
      </w:r>
      <w:r w:rsidRPr="00F36518">
        <w:rPr>
          <w:rFonts w:eastAsia="Times New Roman" w:cs="Times New Roman"/>
        </w:rPr>
        <w:t xml:space="preserve">Thomas F. King, “Rethinking Traditional Cultural Properties,” </w:t>
      </w:r>
      <w:r w:rsidRPr="00F36518">
        <w:rPr>
          <w:rFonts w:eastAsia="Times New Roman" w:cs="Times New Roman"/>
          <w:i/>
          <w:iCs/>
        </w:rPr>
        <w:t>The George Wright Forum</w:t>
      </w:r>
      <w:r w:rsidRPr="00F36518">
        <w:rPr>
          <w:rFonts w:eastAsia="Times New Roman" w:cs="Times New Roman"/>
        </w:rPr>
        <w:t xml:space="preserve"> 26, no. 1 (2009): 34.</w:t>
      </w:r>
      <w:r>
        <w:fldChar w:fldCharType="end"/>
      </w:r>
    </w:p>
    <w:p w14:paraId="1F81871F" w14:textId="77777777" w:rsidR="000C0771" w:rsidRDefault="000C0771" w:rsidP="00153831">
      <w:pPr>
        <w:pStyle w:val="FootnoteText"/>
      </w:pPr>
    </w:p>
  </w:footnote>
  <w:footnote w:id="162">
    <w:p w14:paraId="47296636" w14:textId="23B52E69"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{"citationID":"L0q9jKfK","properties":{"formattedCitation":"Chris Johnston, {\\i{}What Is Social Value: A Discussion Paper}, Technical Publication Series 3 (Canberra: Australian Government Publication Services, 1992), 1.","plainCitation":"Chris Johnston, What Is Social Value: A Discussion Paper, Technical Publication Series 3 (Canberra: Australian Government Publication Services, 1992), 1.","noteIndex":162},"citationItems":[{"id":167,"uris":["http://zotero.org/users/5043758/items/ASPHVUGN"],"uri":["http://zotero.org/users/5043758/items/ASPHVUGN"],"itemData":{"id":167,"type":"book","title":"What is Social Value: a Discussion Paper","collection-title":"Technical Publication Series","collection-number":"3","publisher":"Australian Government Publication Services","publisher-place":"Canberra","source":"Open WorldCat","event-place":"Canberra","note":"OCLC: 37089871","title-short":"What is Social Value","language":"en","author":[{"family":"Johnston","given":"Chris"}],"issued":{"date-parts":[["1992"]]}},"locator":"1","label":"page"}],"schema":"https://github.com/citation-style-language/schema/raw/master/csl-citation.json"} </w:instrText>
      </w:r>
      <w:r>
        <w:fldChar w:fldCharType="separate"/>
      </w:r>
      <w:r w:rsidRPr="00333EEC">
        <w:rPr>
          <w:rFonts w:eastAsia="Times New Roman" w:cs="Times New Roman"/>
        </w:rPr>
        <w:t xml:space="preserve">Chris Johnston, </w:t>
      </w:r>
      <w:r w:rsidRPr="00333EEC">
        <w:rPr>
          <w:rFonts w:eastAsia="Times New Roman" w:cs="Times New Roman"/>
          <w:i/>
          <w:iCs/>
        </w:rPr>
        <w:t>What Is Social Value: A Discussion Paper</w:t>
      </w:r>
      <w:r w:rsidRPr="00333EEC">
        <w:rPr>
          <w:rFonts w:eastAsia="Times New Roman" w:cs="Times New Roman"/>
        </w:rPr>
        <w:t>, Technical Publication Series 3 (Canberra: Australian Government Publication Services, 1992), 1.</w:t>
      </w:r>
      <w:r>
        <w:fldChar w:fldCharType="end"/>
      </w:r>
    </w:p>
    <w:p w14:paraId="71434BB8" w14:textId="77777777" w:rsidR="000C0771" w:rsidRDefault="000C0771" w:rsidP="00153831">
      <w:pPr>
        <w:pStyle w:val="FootnoteText"/>
      </w:pPr>
    </w:p>
  </w:footnote>
  <w:footnote w:id="163">
    <w:p w14:paraId="1A42F711" w14:textId="6E52A282"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{"citationID":"Jc4K2823","properties":{"formattedCitation":"Johnston, 10.","plainCitation":"Johnston, 10.","noteIndex":163},"citationItems":[{"id":167,"uris":["http://zotero.org/users/5043758/items/ASPHVUGN"],"uri":["http://zotero.org/users/5043758/items/ASPHVUGN"],"itemData":{"id":167,"type":"book","title":"What is Social Value: a Discussion Paper","collection-title":"Technical Publication Series","collection-number":"3","publisher":"Australian Government Publication Services","publisher-place":"Canberra","source":"Open WorldCat","event-place":"Canberra","note":"OCLC: 37089871","title-short":"What is Social Value","language":"en","author":[{"family":"Johnston","given":"Chris"}],"issued":{"date-parts":[["1992"]]}},"locator":"10","label":"page"}],"schema":"https://github.com/citation-style-language/schema/raw/master/csl-citation.json"} </w:instrText>
      </w:r>
      <w:r>
        <w:fldChar w:fldCharType="separate"/>
      </w:r>
      <w:r>
        <w:rPr>
          <w:noProof/>
        </w:rPr>
        <w:t>Johnston, 10.</w:t>
      </w:r>
      <w:r>
        <w:fldChar w:fldCharType="end"/>
      </w:r>
    </w:p>
    <w:p w14:paraId="160D0BAA" w14:textId="77777777" w:rsidR="000C0771" w:rsidRDefault="000C0771" w:rsidP="00153831">
      <w:pPr>
        <w:pStyle w:val="FootnoteText"/>
      </w:pPr>
    </w:p>
  </w:footnote>
  <w:footnote w:id="164">
    <w:p w14:paraId="0D852CFC" w14:textId="78B93F01"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{"citationID":"3dImEHjR","properties":{"formattedCitation":"Johnston, 6.","plainCitation":"Johnston, 6.","noteIndex":164},"citationItems":[{"id":167,"uris":["http://zotero.org/users/5043758/items/ASPHVUGN"],"uri":["http://zotero.org/users/5043758/items/ASPHVUGN"],"itemData":{"id":167,"type":"book","title":"What is Social Value: a Discussion Paper","collection-title":"Technical Publication Series","collection-number":"3","publisher":"Australian Government Publication Services","publisher-place":"Canberra","source":"Open WorldCat","event-place":"Canberra","note":"OCLC: 37089871","title-short":"What is Social Value","language":"en","author":[{"family":"Johnston","given":"Chris"}],"issued":{"date-parts":[["1992"]]}},"locator":"6","label":"page"}],"schema":"https://github.com/citation-style-language/schema/raw/master/csl-citation.json"} </w:instrText>
      </w:r>
      <w:r>
        <w:fldChar w:fldCharType="separate"/>
      </w:r>
      <w:r>
        <w:rPr>
          <w:noProof/>
        </w:rPr>
        <w:t>Johnston, 6.</w:t>
      </w:r>
      <w:r>
        <w:fldChar w:fldCharType="end"/>
      </w:r>
    </w:p>
    <w:p w14:paraId="491B8A2D" w14:textId="77777777" w:rsidR="000C0771" w:rsidRDefault="000C0771" w:rsidP="00153831">
      <w:pPr>
        <w:pStyle w:val="FootnoteText"/>
      </w:pPr>
    </w:p>
  </w:footnote>
  <w:footnote w:id="165">
    <w:p w14:paraId="4090B6E4" w14:textId="72E61398"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{"citationID":"ZUmdMDgH","properties":{"formattedCitation":"Johnston, 7.","plainCitation":"Johnston, 7.","noteIndex":165},"citationItems":[{"id":167,"uris":["http://zotero.org/users/5043758/items/ASPHVUGN"],"uri":["http://zotero.org/users/5043758/items/ASPHVUGN"],"itemData":{"id":167,"type":"book","title":"What is Social Value: a Discussion Paper","collection-title":"Technical Publication Series","collection-number":"3","publisher":"Australian Government Publication Services","publisher-place":"Canberra","source":"Open WorldCat","event-place":"Canberra","note":"OCLC: 37089871","title-short":"What is Social Value","language":"en","author":[{"family":"Johnston","given":"Chris"}],"issued":{"date-parts":[["1992"]]}},"locator":"7","label":"page"}],"schema":"https://github.com/citation-style-language/schema/raw/master/csl-citation.json"} </w:instrText>
      </w:r>
      <w:r>
        <w:fldChar w:fldCharType="separate"/>
      </w:r>
      <w:r>
        <w:rPr>
          <w:noProof/>
        </w:rPr>
        <w:t>Johnston, 7.</w:t>
      </w:r>
      <w:r>
        <w:fldChar w:fldCharType="end"/>
      </w:r>
    </w:p>
    <w:p w14:paraId="0AC51ACE" w14:textId="77777777" w:rsidR="000C0771" w:rsidRDefault="000C0771" w:rsidP="00153831">
      <w:pPr>
        <w:pStyle w:val="FootnoteText"/>
      </w:pPr>
    </w:p>
  </w:footnote>
  <w:footnote w:id="166">
    <w:p w14:paraId="46A1F95F" w14:textId="73B3D5C2"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{"citationID":"3yzE3XHM","properties":{"formattedCitation":"Johnston, 19.","plainCitation":"Johnston, 19.","noteIndex":166},"citationItems":[{"id":167,"uris":["http://zotero.org/users/5043758/items/ASPHVUGN"],"uri":["http://zotero.org/users/5043758/items/ASPHVUGN"],"itemData":{"id":167,"type":"book","title":"What is Social Value: a Discussion Paper","collection-title":"Technical Publication Series","collection-number":"3","publisher":"Australian Government Publication Services","publisher-place":"Canberra","source":"Open WorldCat","event-place":"Canberra","note":"OCLC: 37089871","title-short":"What is Social Value","language":"en","author":[{"family":"Johnston","given":"Chris"}],"issued":{"date-parts":[["1992"]]}},"locator":"19","label":"page"}],"schema":"https://github.com/citation-style-language/schema/raw/master/csl-citation.json"} </w:instrText>
      </w:r>
      <w:r>
        <w:fldChar w:fldCharType="separate"/>
      </w:r>
      <w:r>
        <w:rPr>
          <w:noProof/>
        </w:rPr>
        <w:t>Johnston, 19.</w:t>
      </w:r>
      <w:r>
        <w:fldChar w:fldCharType="end"/>
      </w:r>
    </w:p>
  </w:footnote>
  <w:footnote w:id="167">
    <w:p w14:paraId="4EE8959E" w14:textId="6E8ABFE1"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{"citationID":"60NnpdIz","properties":{"formattedCitation":"Johnston, 5\\uc0\\u8211{}6.","plainCitation":"Johnston, 5–6.","noteIndex":167},"citationItems":[{"id":167,"uris":["http://zotero.org/users/5043758/items/ASPHVUGN"],"uri":["http://zotero.org/users/5043758/items/ASPHVUGN"],"itemData":{"id":167,"type":"book","title":"What is Social Value: a Discussion Paper","collection-title":"Technical Publication Series","collection-number":"3","publisher":"Australian Government Publication Services","publisher-place":"Canberra","source":"Open WorldCat","event-place":"Canberra","note":"OCLC: 37089871","title-short":"What is Social Value","language":"en","author":[{"family":"Johnston","given":"Chris"}],"issued":{"date-parts":[["1992"]]}},"locator":"5-6","label":"page"}],"schema":"https://github.com/citation-style-language/schema/raw/master/csl-citation.json"} </w:instrText>
      </w:r>
      <w:r>
        <w:fldChar w:fldCharType="separate"/>
      </w:r>
      <w:r w:rsidRPr="00F16C65">
        <w:rPr>
          <w:rFonts w:eastAsia="Times New Roman" w:cs="Times New Roman"/>
        </w:rPr>
        <w:t>Johnston, 5–6.</w:t>
      </w:r>
      <w:r>
        <w:fldChar w:fldCharType="end"/>
      </w:r>
    </w:p>
    <w:p w14:paraId="4BC09BA6" w14:textId="77777777" w:rsidR="000C0771" w:rsidRDefault="000C0771" w:rsidP="00153831">
      <w:pPr>
        <w:pStyle w:val="FootnoteText"/>
      </w:pPr>
    </w:p>
  </w:footnote>
  <w:footnote w:id="168">
    <w:p w14:paraId="3720138F" w14:textId="3138C05D"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{"citationID":"IeFVcMLJ","properties":{"formattedCitation":"Johnston, 26.","plainCitation":"Johnston, 26.","noteIndex":168},"citationItems":[{"id":167,"uris":["http://zotero.org/users/5043758/items/ASPHVUGN"],"uri":["http://zotero.org/users/5043758/items/ASPHVUGN"],"itemData":{"id":167,"type":"book","title":"What is Social Value: a Discussion Paper","collection-title":"Technical Publication Series","collection-number":"3","publisher":"Australian Government Publication Services","publisher-place":"Canberra","source":"Open WorldCat","event-place":"Canberra","note":"OCLC: 37089871","title-short":"What is Social Value","language":"en","author":[{"family":"Johnston","given":"Chris"}],"issued":{"date-parts":[["1992"]]}},"locator":"26","label":"page"}],"schema":"https://github.com/citation-style-language/schema/raw/master/csl-citation.json"} </w:instrText>
      </w:r>
      <w:r>
        <w:fldChar w:fldCharType="separate"/>
      </w:r>
      <w:r>
        <w:rPr>
          <w:noProof/>
        </w:rPr>
        <w:t>Johnston, 26.</w:t>
      </w:r>
      <w:r>
        <w:fldChar w:fldCharType="end"/>
      </w:r>
    </w:p>
    <w:p w14:paraId="649B3023" w14:textId="77777777" w:rsidR="000C0771" w:rsidRDefault="000C0771" w:rsidP="00153831">
      <w:pPr>
        <w:pStyle w:val="FootnoteText"/>
      </w:pPr>
    </w:p>
  </w:footnote>
  <w:footnote w:id="169">
    <w:p w14:paraId="30928ABA" w14:textId="6FAF7BBE"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{"citationID":"YsOA9CcY","properties":{"formattedCitation":"Herb Stovel, \\uc0\\u8220{}Origins and Influence of the Nara Document on Authenticity,\\uc0\\u8221{} {\\i{}APT Bulletin} 39, no. 2/3 (2008): 9.","plainCitation":"Herb Stovel, “Origins and Influence of the Nara Document on Authenticity,” APT Bulletin 39, no. 2/3 (2008): 9.","noteIndex":169},"citationItems":[{"id":237,"uris":["http://zotero.org/users/5043758/items/RLIVRV79"],"uri":["http://zotero.org/users/5043758/items/RLIVRV79"],"itemData":{"id":237,"type":"article-journal","title":"Origins and Influence of the Nara Document on Authenticity","container-title":"APT Bulletin","page":"9-17","volume":"39","issue":"2/3","source":"Zotero","language":"en","author":[{"family":"Stovel","given":"Herb"}],"issued":{"date-parts":[["2008"]]}},"locator":"9","label":"page"}],"schema":"https://github.com/citation-style-language/schema/raw/master/csl-citation.json"} </w:instrText>
      </w:r>
      <w:r>
        <w:fldChar w:fldCharType="separate"/>
      </w:r>
      <w:r w:rsidRPr="00430E4C">
        <w:rPr>
          <w:rFonts w:eastAsia="Times New Roman" w:cs="Times New Roman"/>
        </w:rPr>
        <w:t xml:space="preserve">Herb Stovel, “Origins and Influence of the Nara Document on Authenticity,” </w:t>
      </w:r>
      <w:r w:rsidRPr="00430E4C">
        <w:rPr>
          <w:rFonts w:eastAsia="Times New Roman" w:cs="Times New Roman"/>
          <w:i/>
          <w:iCs/>
        </w:rPr>
        <w:t>APT Bulletin</w:t>
      </w:r>
      <w:r w:rsidRPr="00430E4C">
        <w:rPr>
          <w:rFonts w:eastAsia="Times New Roman" w:cs="Times New Roman"/>
        </w:rPr>
        <w:t xml:space="preserve"> 39, no. 2/3 (2008): 9.</w:t>
      </w:r>
      <w:r>
        <w:fldChar w:fldCharType="end"/>
      </w:r>
    </w:p>
  </w:footnote>
  <w:footnote w:id="170">
    <w:p w14:paraId="00E0DD83" w14:textId="267B28BE"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{"citationID":"hniM6BNT","properties":{"formattedCitation":"Raymond Lemaire and Stovel Stovel, \\uc0\\u8220{}The Nara Document on Authenticity (1994)\\uc0\\u8221{} (Nara, Japan: ICOMOS, November 1994), 47.","plainCitation":"Raymond Lemaire and Stovel Stovel, “The Nara Document on Authenticity (1994)” (Nara, Japan: ICOMOS, November 1994), 47.","noteIndex":170},"citationItems":[{"id":503,"uris":["http://zotero.org/users/5043758/items/HI9944QR"],"uri":["http://zotero.org/users/5043758/items/HI9944QR"],"itemData":{"id":503,"type":"report","title":"The Nara Document on Authenticity (1994)","publisher":"ICOMOS","publisher-place":"Nara, Japan","event-place":"Nara, Japan","author":[{"family":"Lemaire","given":"Raymond"},{"family":"Stovel","given":"Stovel"}],"issued":{"date-parts":[["1994",11]]}},"locator":"47"}],"schema":"https://github.com/citation-style-language/schema/raw/master/csl-citation.json"} </w:instrText>
      </w:r>
      <w:r>
        <w:fldChar w:fldCharType="separate"/>
      </w:r>
      <w:r w:rsidRPr="00AE62AE">
        <w:rPr>
          <w:rFonts w:eastAsia="Times New Roman" w:cs="Times New Roman"/>
        </w:rPr>
        <w:t>Raymond Lemaire and Stovel Stovel, “The Nara Document on Authenticity (1994)” (Nara, Japan: ICOMOS, November 1994), 47.</w:t>
      </w:r>
      <w:r>
        <w:fldChar w:fldCharType="end"/>
      </w:r>
    </w:p>
    <w:p w14:paraId="4D9E9932" w14:textId="77777777" w:rsidR="000C0771" w:rsidRDefault="000C0771" w:rsidP="00153831">
      <w:pPr>
        <w:pStyle w:val="FootnoteText"/>
      </w:pPr>
    </w:p>
  </w:footnote>
  <w:footnote w:id="171">
    <w:p w14:paraId="5867EC41" w14:textId="205B0FF7"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{"citationID":"X1giEddm","properties":{"formattedCitation":"Lemaire and Stovel, 46.","plainCitation":"Lemaire and Stovel, 46.","noteIndex":171},"citationItems":[{"id":503,"uris":["http://zotero.org/users/5043758/items/HI9944QR"],"uri":["http://zotero.org/users/5043758/items/HI9944QR"],"itemData":{"id":503,"type":"report","title":"The Nara Document on Authenticity (1994)","publisher":"ICOMOS","publisher-place":"Nara, Japan","event-place":"Nara, Japan","author":[{"family":"Lemaire","given":"Raymond"},{"family":"Stovel","given":"Stovel"}],"issued":{"date-parts":[["1994",11]]}},"locator":"46","label":"page"}],"schema":"https://github.com/citation-style-language/schema/raw/master/csl-citation.json"} </w:instrText>
      </w:r>
      <w:r>
        <w:fldChar w:fldCharType="separate"/>
      </w:r>
      <w:r>
        <w:rPr>
          <w:noProof/>
        </w:rPr>
        <w:t>Lemaire and Stovel, 46.</w:t>
      </w:r>
      <w:r>
        <w:fldChar w:fldCharType="end"/>
      </w:r>
    </w:p>
    <w:p w14:paraId="25DF5DCB" w14:textId="77777777" w:rsidR="000C0771" w:rsidRDefault="000C0771" w:rsidP="00153831">
      <w:pPr>
        <w:pStyle w:val="FootnoteText"/>
      </w:pPr>
    </w:p>
  </w:footnote>
  <w:footnote w:id="172">
    <w:p w14:paraId="051E08F8" w14:textId="25C3DE61"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{"citationID":"0vuwp1Es","properties":{"formattedCitation":"Lemaire and Stovel, 46.","plainCitation":"Lemaire and Stovel, 46.","noteIndex":172},"citationItems":[{"id":503,"uris":["http://zotero.org/users/5043758/items/HI9944QR"],"uri":["http://zotero.org/users/5043758/items/HI9944QR"],"itemData":{"id":503,"type":"report","title":"The Nara Document on Authenticity (1994)","publisher":"ICOMOS","publisher-place":"Nara, Japan","event-place":"Nara, Japan","author":[{"family":"Lemaire","given":"Raymond"},{"family":"Stovel","given":"Stovel"}],"issued":{"date-parts":[["1994",11]]}},"locator":"46","label":"page"}],"schema":"https://github.com/citation-style-language/schema/raw/master/csl-citation.json"} </w:instrText>
      </w:r>
      <w:r>
        <w:fldChar w:fldCharType="separate"/>
      </w:r>
      <w:r>
        <w:rPr>
          <w:noProof/>
        </w:rPr>
        <w:t>Lemaire and Stovel, 46.</w:t>
      </w:r>
      <w:r>
        <w:fldChar w:fldCharType="end"/>
      </w:r>
    </w:p>
    <w:p w14:paraId="6C4ACBDC" w14:textId="77777777" w:rsidR="000C0771" w:rsidRDefault="000C0771" w:rsidP="00153831">
      <w:pPr>
        <w:pStyle w:val="FootnoteText"/>
      </w:pPr>
    </w:p>
  </w:footnote>
  <w:footnote w:id="173">
    <w:p w14:paraId="0C7BB8DA" w14:textId="00CEF823"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{"citationID":"rcjMZp72","properties":{"formattedCitation":"Hawkes, {\\i{}The Fourth Pillar of Sustainability}, 1.","plainCitation":"Hawkes, The Fourth Pillar of Sustainability, 1.","noteIndex":173},"citationItems":[{"id":294,"uris":["http://zotero.org/users/5043758/items/RB5YRFKS"],"uri":["http://zotero.org/users/5043758/items/RB5YRFKS"],"itemData":{"id":294,"type":"book","title":"The fourth pillar of sustainability: culture's essential role in public planning","publisher":"Cultural Development Network: Common Ground","publisher-place":"Melbourne","source":"Open WorldCat","event-place":"Melbourne","ISBN":"978-1-86335-049-5","note":"OCLC: 957227746","title-short":"The fourth pillar of sustainability","language":"en","author":[{"family":"Hawkes","given":"Jon"}],"issued":{"date-parts":[["2001"]]}},"locator":"1","label":"page"}],"schema":"https://github.com/citation-style-language/schema/raw/master/csl-citation.json"} </w:instrText>
      </w:r>
      <w:r>
        <w:fldChar w:fldCharType="separate"/>
      </w:r>
      <w:r w:rsidRPr="005A2682">
        <w:rPr>
          <w:rFonts w:eastAsia="Times New Roman" w:cs="Times New Roman"/>
        </w:rPr>
        <w:t xml:space="preserve">Hawkes, </w:t>
      </w:r>
      <w:r w:rsidRPr="005A2682">
        <w:rPr>
          <w:rFonts w:eastAsia="Times New Roman" w:cs="Times New Roman"/>
          <w:i/>
          <w:iCs/>
        </w:rPr>
        <w:t>The Fourth Pillar of Sustainability</w:t>
      </w:r>
      <w:r w:rsidRPr="005A2682">
        <w:rPr>
          <w:rFonts w:eastAsia="Times New Roman" w:cs="Times New Roman"/>
        </w:rPr>
        <w:t>, 1.</w:t>
      </w:r>
      <w:r>
        <w:fldChar w:fldCharType="end"/>
      </w:r>
    </w:p>
    <w:p w14:paraId="016F357A" w14:textId="77777777" w:rsidR="000C0771" w:rsidRDefault="000C0771" w:rsidP="00153831">
      <w:pPr>
        <w:pStyle w:val="FootnoteText"/>
      </w:pPr>
    </w:p>
  </w:footnote>
  <w:footnote w:id="174">
    <w:p w14:paraId="2263383A" w14:textId="447B2A2F"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{"citationID":"ly18WWHc","properties":{"formattedCitation":"Hawkes, 25.","plainCitation":"Hawkes, 25.","noteIndex":174},"citationItems":[{"id":294,"uris":["http://zotero.org/users/5043758/items/RB5YRFKS"],"uri":["http://zotero.org/users/5043758/items/RB5YRFKS"],"itemData":{"id":294,"type":"book","title":"The fourth pillar of sustainability: culture's essential role in public planning","publisher":"Cultural Development Network: Common Ground","publisher-place":"Melbourne","source":"Open WorldCat","event-place":"Melbourne","ISBN":"978-1-86335-049-5","note":"OCLC: 957227746","title-short":"The fourth pillar of sustainability","language":"en","author":[{"family":"Hawkes","given":"Jon"}],"issued":{"date-parts":[["2001"]]}},"locator":"25","label":"page"}],"schema":"https://github.com/citation-style-language/schema/raw/master/csl-citation.json"} </w:instrText>
      </w:r>
      <w:r>
        <w:fldChar w:fldCharType="separate"/>
      </w:r>
      <w:r>
        <w:rPr>
          <w:noProof/>
        </w:rPr>
        <w:t>Hawkes, 25.</w:t>
      </w:r>
      <w:r>
        <w:fldChar w:fldCharType="end"/>
      </w:r>
    </w:p>
  </w:footnote>
  <w:footnote w:id="175">
    <w:p w14:paraId="5370D7AC" w14:textId="01EB42FC"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{"citationID":"w3gH3BSc","properties":{"formattedCitation":"Hawkes, 1.","plainCitation":"Hawkes, 1.","noteIndex":175},"citationItems":[{"id":294,"uris":["http://zotero.org/users/5043758/items/RB5YRFKS"],"uri":["http://zotero.org/users/5043758/items/RB5YRFKS"],"itemData":{"id":294,"type":"book","title":"The fourth pillar of sustainability: culture's essential role in public planning","publisher":"Cultural Development Network: Common Ground","publisher-place":"Melbourne","source":"Open WorldCat","event-place":"Melbourne","ISBN":"978-1-86335-049-5","note":"OCLC: 957227746","title-short":"The fourth pillar of sustainability","language":"en","author":[{"family":"Hawkes","given":"Jon"}],"issued":{"date-parts":[["2001"]]}},"locator":"1","label":"page"}],"schema":"https://github.com/citation-style-language/schema/raw/master/csl-citation.json"} </w:instrText>
      </w:r>
      <w:r>
        <w:fldChar w:fldCharType="separate"/>
      </w:r>
      <w:r>
        <w:rPr>
          <w:noProof/>
        </w:rPr>
        <w:t>Hawkes, 1.</w:t>
      </w:r>
      <w:r>
        <w:fldChar w:fldCharType="end"/>
      </w:r>
    </w:p>
    <w:p w14:paraId="2B0EB538" w14:textId="77777777" w:rsidR="000C0771" w:rsidRDefault="000C0771" w:rsidP="00153831">
      <w:pPr>
        <w:pStyle w:val="FootnoteText"/>
      </w:pPr>
    </w:p>
  </w:footnote>
  <w:footnote w:id="176">
    <w:p w14:paraId="6E4AEB53" w14:textId="54A02AE6"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{"citationID":"JxtkeeYa","properties":{"formattedCitation":"Hawkes, 2.","plainCitation":"Hawkes, 2.","noteIndex":176},"citationItems":[{"id":294,"uris":["http://zotero.org/users/5043758/items/RB5YRFKS"],"uri":["http://zotero.org/users/5043758/items/RB5YRFKS"],"itemData":{"id":294,"type":"book","title":"The fourth pillar of sustainability: culture's essential role in public planning","publisher":"Cultural Development Network: Common Ground","publisher-place":"Melbourne","source":"Open WorldCat","event-place":"Melbourne","ISBN":"978-1-86335-049-5","note":"OCLC: 957227746","title-short":"The fourth pillar of sustainability","language":"en","author":[{"family":"Hawkes","given":"Jon"}],"issued":{"date-parts":[["2001"]]}},"locator":"2","label":"page"}],"schema":"https://github.com/citation-style-language/schema/raw/master/csl-citation.json"} </w:instrText>
      </w:r>
      <w:r>
        <w:fldChar w:fldCharType="separate"/>
      </w:r>
      <w:r>
        <w:rPr>
          <w:noProof/>
        </w:rPr>
        <w:t>Hawkes, 2.</w:t>
      </w:r>
      <w:r>
        <w:fldChar w:fldCharType="end"/>
      </w:r>
    </w:p>
  </w:footnote>
  <w:footnote w:id="177">
    <w:p w14:paraId="4B32C204" w14:textId="015E579C"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{"citationID":"V9jlAa8e","properties":{"formattedCitation":"New Solutions Group, LLC, \\uc0\\u8220{}Placemaking in Legacy Cities: Opportunities and Good Practices,\\uc0\\u8221{} 33.","plainCitation":"New Solutions Group, LLC, “Placemaking in Legacy Cities: Opportunities and Good Practices,” 33.","noteIndex":177},"citationItems":[{"id":273,"uris":["http://zotero.org/users/5043758/items/NI5WE8F2"],"uri":["http://zotero.org/users/5043758/items/NI5WE8F2"],"itemData":{"id":273,"type":"report","title":"Placemaking in Legacy Cities: Opportunities and Good Practices","publisher":"Center for Community Progress","author":[{"family":"New Solutions Group, LLC","given":""}],"issued":{"date-parts":[["2013",12]]}},"locator":"33","label":"page"}],"schema":"https://github.com/citation-style-language/schema/raw/master/csl-citation.json"} </w:instrText>
      </w:r>
      <w:r>
        <w:fldChar w:fldCharType="separate"/>
      </w:r>
      <w:r w:rsidRPr="005A2682">
        <w:rPr>
          <w:rFonts w:eastAsia="Times New Roman" w:cs="Times New Roman"/>
        </w:rPr>
        <w:t>New Solutions Group, LLC, “Placemaking in Legacy Cities: Opportunities and Good Practices,” 33.</w:t>
      </w:r>
      <w:r>
        <w:fldChar w:fldCharType="end"/>
      </w:r>
    </w:p>
  </w:footnote>
  <w:footnote w:id="178">
    <w:p w14:paraId="7549FED3" w14:textId="625B22EA"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{"citationID":"re74D0uY","properties":{"formattedCitation":"Bedoya, \\uc0\\u8220{}Spatial Justice: Rasquachification, Race and the City.\\uc0\\u8221{}","plainCitation":"Bedoya, “Spatial Justice: Rasquachification, Race and the City.”","noteIndex":178},"citationItems":[{"id":18,"uris":["http://zotero.org/users/5043758/items/PSFKUG6F"],"uri":["http://zotero.org/users/5043758/items/PSFKUG6F"],"itemData":{"id":18,"type":"webpage","title":"Spatial Justice: Rasquachification, Race and the City","container-title":"Creative Time Reports","URL":"http://creativetimereports.org/2014/09/15/spatial-justice-rasquachification-race-and-the-city/","author":[{"family":"Bedoya","given":"Roberto"}],"issued":{"date-parts":[["2014",9,15]]},"accessed":{"date-parts":[["2018",7,31]]}}}],"schema":"https://github.com/citation-style-language/schema/raw/master/csl-citation.json"} </w:instrText>
      </w:r>
      <w:r>
        <w:fldChar w:fldCharType="separate"/>
      </w:r>
      <w:r w:rsidRPr="005A2682">
        <w:rPr>
          <w:rFonts w:eastAsia="Times New Roman" w:cs="Times New Roman"/>
        </w:rPr>
        <w:t>Bedoya, “Spatial Justice: Rasquachification, Race and the City.”</w:t>
      </w:r>
      <w:r>
        <w:fldChar w:fldCharType="end"/>
      </w:r>
    </w:p>
  </w:footnote>
  <w:footnote w:id="179">
    <w:p w14:paraId="32C1C9A8" w14:textId="0241312F"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{"citationID":"k7jAeDX9","properties":{"formattedCitation":"\\uc0\\u8220{}Cultural Heritage,\\uc0\\u8221{} San Francisco Planning, accessed April 2, 2019, https://sfplanning.org/cultural-heritage.","plainCitation":"“Cultural Heritage,” San Francisco Planning, accessed April 2, 2019, https://sfplanning.org/cultural-heritage.","noteIndex":179},"citationItems":[{"id":513,"uris":["http://zotero.org/users/5043758/items/RN5U9TUB"],"uri":["http://zotero.org/users/5043758/items/RN5U9TUB"],"itemData":{"id":513,"type":"webpage","title":"Cultural Heritage","container-title":"San Francisco Planning","URL":"https://sfplanning.org/cultural-heritage","accessed":{"date-parts":[["2019",4,2]]}}}],"schema":"https://github.com/citation-style-language/schema/raw/master/csl-citation.json"} </w:instrText>
      </w:r>
      <w:r>
        <w:fldChar w:fldCharType="separate"/>
      </w:r>
      <w:r w:rsidRPr="00782714">
        <w:rPr>
          <w:rFonts w:eastAsia="Times New Roman" w:cs="Times New Roman"/>
        </w:rPr>
        <w:t>“Cultural Heritage,” San Francisco Planning, accessed April 2, 2019, https://sfplanning.org/cultural-heritage.</w:t>
      </w:r>
      <w:r>
        <w:fldChar w:fldCharType="end"/>
      </w:r>
    </w:p>
    <w:p w14:paraId="4F62062D" w14:textId="77777777" w:rsidR="000C0771" w:rsidRDefault="000C0771" w:rsidP="00153831">
      <w:pPr>
        <w:pStyle w:val="FootnoteText"/>
      </w:pPr>
    </w:p>
  </w:footnote>
  <w:footnote w:id="180">
    <w:p w14:paraId="7E93C582" w14:textId="0EE5DB93"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{"citationID":"l6za2POj","properties":{"formattedCitation":"\\uc0\\u8220{}Culture &amp; Community,\\uc0\\u8221{} City of San Antonio, accessed April 3, 2019, https://www.sanantonio.gov/historic/Programs/Culture.","plainCitation":"“Culture &amp; Community,” City of San Antonio, accessed April 3, 2019, https://www.sanantonio.gov/historic/Programs/Culture.","noteIndex":180},"citationItems":[{"id":515,"uris":["http://zotero.org/users/5043758/items/QMGSSWLZ"],"uri":["http://zotero.org/users/5043758/items/QMGSSWLZ"],"itemData":{"id":515,"type":"webpage","title":"Culture &amp; Community","container-title":"City of San Antonio","URL":"https://www.sanantonio.gov/historic/Programs/Culture","accessed":{"date-parts":[["2019",4,3]]}}}],"schema":"https://github.com/citation-style-language/schema/raw/master/csl-citation.json"} </w:instrText>
      </w:r>
      <w:r>
        <w:fldChar w:fldCharType="separate"/>
      </w:r>
      <w:r w:rsidRPr="00FC0146">
        <w:rPr>
          <w:rFonts w:eastAsia="Times New Roman" w:cs="Times New Roman"/>
        </w:rPr>
        <w:t>“Culture &amp; Community,” City of San Antonio, accessed April 3, 2019, https://www.sanantonio.gov/historic/Programs/Culture.</w:t>
      </w:r>
      <w:r>
        <w:fldChar w:fldCharType="end"/>
      </w:r>
    </w:p>
  </w:footnote>
  <w:footnote w:id="181">
    <w:p w14:paraId="060D1247" w14:textId="08AFDF25"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{"citationID":"dPcnpwyg","properties":{"formattedCitation":"Nicholas Hamilton, \\uc0\\u8220{}Brain Gain in Legacy Cities,\\uc0\\u8221{} Legacy Cities Initiative, August 31, 2015, https://www.legacycities.org/2015/08/brain-gain-in-legacy-cities/.","plainCitation":"Nicholas Hamilton, “Brain Gain in Legacy Cities,” Legacy Cities Initiative, August 31, 2015, https://www.legacycities.org/2015/08/brain-gain-in-legacy-cities/.","noteIndex":181},"citationItems":[{"id":574,"uris":["http://zotero.org/users/5043758/items/EALXA3PG"],"uri":["http://zotero.org/users/5043758/items/EALXA3PG"],"itemData":{"id":574,"type":"webpage","title":"Brain Gain in Legacy Cities","container-title":"Legacy Cities Initiative","URL":"https://www.legacycities.org/2015/08/brain-gain-in-legacy-cities/","author":[{"family":"Hamilton","given":"Nicholas"}],"issued":{"date-parts":[["2015",8,31]]},"accessed":{"date-parts":[["2019",4,22]]}}}],"schema":"https://github.com/citation-style-language/schema/raw/master/csl-citation.json"} </w:instrText>
      </w:r>
      <w:r>
        <w:fldChar w:fldCharType="separate"/>
      </w:r>
      <w:r w:rsidRPr="00F4218E">
        <w:rPr>
          <w:rFonts w:eastAsia="Times New Roman" w:cs="Times New Roman"/>
        </w:rPr>
        <w:t>Nicholas Hamilton, “Brain Gain in Legacy Cities,” Legacy Cities Initiative, August 31, 2015, https://www.legacycities.org/2015/08/brain-gain-in-legacy-cities/.</w:t>
      </w:r>
      <w:r>
        <w:fldChar w:fldCharType="end"/>
      </w:r>
    </w:p>
  </w:footnote>
  <w:footnote w:id="182">
    <w:p w14:paraId="3E82DF9F" w14:textId="72CEEC87"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{"citationID":"fPbLarSU","properties":{"formattedCitation":"Edward Helmore, \\uc0\\u8220{}Detroit Redefined: City Hires America\\uc0\\u8217{}s First Official \\uc0\\u8216{}Chief Storyteller,\\uc0\\u8217{}\\uc0\\u8221{} {\\i{}The Guardian}, September 5, 2017, sec. Cities, https://www.theguardian.com/cities/2017/sep/05/detroit-redefined-america-first-official-chief-storyteller.","plainCitation":"Edward Helmore, “Detroit Redefined: City Hires America’s First Official ‘Chief Storyteller,’” The Guardian, September 5, 2017, sec. Cities, https://www.theguardian.com/cities/2017/sep/05/detroit-redefined-america-first-official-chief-storyteller.","noteIndex":182},"citationItems":[{"id":517,"uris":["http://zotero.org/users/5043758/items/3TLDLK82"],"uri":["http://zotero.org/users/5043758/items/3TLDLK82"],"itemData":{"id":517,"type":"article-newspaper","title":"Detroit redefined: city hires America's first official 'chief storyteller'","container-title":"The Guardian","section":"Cities","source":"www.theguardian.com","abstract":"Irritated by the relentless focus on ruin porn, or pre-emptive stories about the city’s tech resurgence, Aaron Foley will attempt to offer a more nuanced portrait","URL":"https://www.theguardian.com/cities/2017/sep/05/detroit-redefined-america-first-official-chief-storyteller","ISSN":"0261-3077","title-short":"Detroit redefined","language":"en-GB","author":[{"family":"Helmore","given":"Edward"}],"issued":{"date-parts":[["2017",9,5]]},"accessed":{"date-parts":[["2019",4,3]]}}}],"schema":"https://github.com/citation-style-language/schema/raw/master/csl-citation.json"} </w:instrText>
      </w:r>
      <w:r>
        <w:fldChar w:fldCharType="separate"/>
      </w:r>
      <w:r w:rsidRPr="009F6173">
        <w:rPr>
          <w:rFonts w:eastAsia="Times New Roman" w:cs="Times New Roman"/>
        </w:rPr>
        <w:t xml:space="preserve">Edward Helmore, “Detroit Redefined: City Hires America’s First Official ‘Chief Storyteller,’” </w:t>
      </w:r>
      <w:r w:rsidRPr="009F6173">
        <w:rPr>
          <w:rFonts w:eastAsia="Times New Roman" w:cs="Times New Roman"/>
          <w:i/>
          <w:iCs/>
        </w:rPr>
        <w:t>The Guardian</w:t>
      </w:r>
      <w:r w:rsidRPr="009F6173">
        <w:rPr>
          <w:rFonts w:eastAsia="Times New Roman" w:cs="Times New Roman"/>
        </w:rPr>
        <w:t>, September 5, 2017, sec. Cities, https://www.theguardian.com/cities/2017/sep/05/detroit-redefined-america-first-official-chief-storyteller.</w:t>
      </w:r>
      <w:r>
        <w:fldChar w:fldCharType="end"/>
      </w:r>
    </w:p>
    <w:p w14:paraId="3DC9A895" w14:textId="77777777" w:rsidR="000C0771" w:rsidRDefault="000C0771" w:rsidP="00153831">
      <w:pPr>
        <w:pStyle w:val="FootnoteText"/>
      </w:pPr>
    </w:p>
  </w:footnote>
  <w:footnote w:id="183">
    <w:p w14:paraId="7C554374" w14:textId="04E68E99"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{"citationID":"XDN6TKfC","properties":{"formattedCitation":"\\uc0\\u8220{}How to Navigate TheNeighborhoods.Org,\\uc0\\u8221{} The Neighborhoods, The Spirit of Detroit, accessed April 3, 2019, http://theneighborhoods.org/how-to.","plainCitation":"“How to Navigate TheNeighborhoods.Org,” The Neighborhoods, The Spirit of Detroit, accessed April 3, 2019, http://theneighborhoods.org/how-to.","noteIndex":183},"citationItems":[{"id":519,"uris":["http://zotero.org/users/5043758/items/ZX4B7G56"],"uri":["http://zotero.org/users/5043758/items/ZX4B7G56"],"itemData":{"id":519,"type":"webpage","title":"How to Navigate TheNeighborhoods.org","container-title":"The Neighborhoods, The Spirit of Detroit","URL":"http://theneighborhoods.org/how-to","accessed":{"date-parts":[["2019",4,3]]}}}],"schema":"https://github.com/citation-style-language/schema/raw/master/csl-citation.json"} </w:instrText>
      </w:r>
      <w:r>
        <w:fldChar w:fldCharType="separate"/>
      </w:r>
      <w:r w:rsidRPr="00156584">
        <w:rPr>
          <w:rFonts w:eastAsia="Times New Roman" w:cs="Times New Roman"/>
        </w:rPr>
        <w:t>“How to Navigate TheNeighborhoods.Org,” The Neighborhoods, The Spirit of Detroit, accessed April 3, 2019, http://theneighborhoods.org/how-to.</w:t>
      </w:r>
      <w:r>
        <w:fldChar w:fldCharType="end"/>
      </w:r>
    </w:p>
  </w:footnote>
  <w:footnote w:id="184">
    <w:p w14:paraId="6E09A57C" w14:textId="6C6C7E19"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{"citationID":"2oDhFlOb","properties":{"formattedCitation":"Helmore, \\uc0\\u8220{}Detroit Redefined.\\uc0\\u8221{}","plainCitation":"Helmore, “Detroit Redefined.”","noteIndex":184},"citationItems":[{"id":517,"uris":["http://zotero.org/users/5043758/items/3TLDLK82"],"uri":["http://zotero.org/users/5043758/items/3TLDLK82"],"itemData":{"id":517,"type":"article-newspaper","title":"Detroit redefined: city hires America's first official 'chief storyteller'","container-title":"The Guardian","section":"Cities","source":"www.theguardian.com","abstract":"Irritated by the relentless focus on ruin porn, or pre-emptive stories about the city’s tech resurgence, Aaron Foley will attempt to offer a more nuanced portrait","URL":"https://www.theguardian.com/cities/2017/sep/05/detroit-redefined-america-first-official-chief-storyteller","ISSN":"0261-3077","title-short":"Detroit redefined","language":"en-GB","author":[{"family":"Helmore","given":"Edward"}],"issued":{"date-parts":[["2017",9,5]]},"accessed":{"date-parts":[["2019",4,3]]}}}],"schema":"https://github.com/citation-style-language/schema/raw/master/csl-citation.json"} </w:instrText>
      </w:r>
      <w:r>
        <w:fldChar w:fldCharType="separate"/>
      </w:r>
      <w:r w:rsidRPr="00156584">
        <w:rPr>
          <w:rFonts w:eastAsia="Times New Roman" w:cs="Times New Roman"/>
        </w:rPr>
        <w:t>Helmore, “Detroit Redefined.”</w:t>
      </w:r>
      <w:r>
        <w:fldChar w:fldCharType="end"/>
      </w:r>
    </w:p>
    <w:p w14:paraId="031E7911" w14:textId="77777777" w:rsidR="000C0771" w:rsidRDefault="000C0771" w:rsidP="00153831">
      <w:pPr>
        <w:pStyle w:val="FootnoteText"/>
      </w:pPr>
    </w:p>
  </w:footnote>
  <w:footnote w:id="185">
    <w:p w14:paraId="43172DC2" w14:textId="4C41029A"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{"citationID":"l3hn2qRe","properties":{"formattedCitation":"\\uc0\\u8220{}About Us,\\uc0\\u8221{} Orton Family Foundation, accessed April 4, 2019, https://www.orton.org/about-us/.","plainCitation":"“About Us,” Orton Family Foundation, accessed April 4, 2019, https://www.orton.org/about-us/.","noteIndex":185},"citationItems":[{"id":527,"uris":["http://zotero.org/users/5043758/items/YLG88JP9"],"uri":["http://zotero.org/users/5043758/items/YLG88JP9"],"itemData":{"id":527,"type":"webpage","title":"About Us","container-title":"Orton Family Foundation","abstract":"…read more","URL":"https://www.orton.org/about-us/","language":"en-US","accessed":{"date-parts":[["2019",4,4]]}}}],"schema":"https://github.com/citation-style-language/schema/raw/master/csl-citation.json"} </w:instrText>
      </w:r>
      <w:r>
        <w:fldChar w:fldCharType="separate"/>
      </w:r>
      <w:r w:rsidRPr="006938A2">
        <w:rPr>
          <w:rFonts w:eastAsia="Times New Roman" w:cs="Times New Roman"/>
        </w:rPr>
        <w:t>“About Us,” Orton Family Foundation, accessed April 4, 2019, https://www.orton.org/about-us/.</w:t>
      </w:r>
      <w:r>
        <w:fldChar w:fldCharType="end"/>
      </w:r>
    </w:p>
    <w:p w14:paraId="6B43483D" w14:textId="77777777" w:rsidR="000C0771" w:rsidRDefault="000C0771" w:rsidP="00153831">
      <w:pPr>
        <w:pStyle w:val="FootnoteText"/>
      </w:pPr>
    </w:p>
  </w:footnote>
  <w:footnote w:id="186">
    <w:p w14:paraId="0F37380F" w14:textId="38E18DC3"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{"citationID":"WvUqFoNO","properties":{"formattedCitation":"\\uc0\\u8220{}Community Heart &amp; Soul Field Guide, 2nd Edition\\uc0\\u8221{} (Orton Family Foundation, 2015), 5.","plainCitation":"“Community Heart &amp; Soul Field Guide, 2nd Edition” (Orton Family Foundation, 2015), 5.","noteIndex":186},"citationItems":[{"id":526,"uris":["http://zotero.org/users/5043758/items/SGR7TBRQ"],"uri":["http://zotero.org/users/5043758/items/SGR7TBRQ"],"itemData":{"id":526,"type":"report","title":"Community Heart &amp; Soul Field Guide, 2nd Edition","publisher":"Orton Family Foundation","issued":{"date-parts":[["2015"]]}},"locator":"5","label":"page"}],"schema":"https://github.com/citation-style-language/schema/raw/master/csl-citation.json"} </w:instrText>
      </w:r>
      <w:r>
        <w:fldChar w:fldCharType="separate"/>
      </w:r>
      <w:r w:rsidRPr="0006506A">
        <w:rPr>
          <w:rFonts w:eastAsia="Times New Roman" w:cs="Times New Roman"/>
        </w:rPr>
        <w:t>“Community Heart &amp; Soul Field Guide, 2nd Edition” (Orton Family Foundation, 2015), 5.</w:t>
      </w:r>
      <w:r>
        <w:fldChar w:fldCharType="end"/>
      </w:r>
    </w:p>
  </w:footnote>
  <w:footnote w:id="187">
    <w:p w14:paraId="546E6081" w14:textId="6E605B74"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{"citationID":"Yr6g0Gkg","properties":{"formattedCitation":"\\uc0\\u8220{}Community Heart &amp; Soul Field Guide, 2nd Edition,\\uc0\\u8221{} 11.","plainCitation":"“Community Heart &amp; Soul Field Guide, 2nd Edition,” 11.","noteIndex":187},"citationItems":[{"id":526,"uris":["http://zotero.org/users/5043758/items/SGR7TBRQ"],"uri":["http://zotero.org/users/5043758/items/SGR7TBRQ"],"itemData":{"id":526,"type":"report","title":"Community Heart &amp; Soul Field Guide, 2nd Edition","publisher":"Orton Family Foundation","issued":{"date-parts":[["2015"]]}},"locator":"11","label":"page"}],"schema":"https://github.com/citation-style-language/schema/raw/master/csl-citation.json"} </w:instrText>
      </w:r>
      <w:r>
        <w:fldChar w:fldCharType="separate"/>
      </w:r>
      <w:r w:rsidRPr="003F5F6C">
        <w:rPr>
          <w:rFonts w:eastAsia="Times New Roman" w:cs="Times New Roman"/>
        </w:rPr>
        <w:t>“Community Heart &amp; Soul Field Guide, 2nd Edition,” 11.</w:t>
      </w:r>
      <w:r>
        <w:fldChar w:fldCharType="end"/>
      </w:r>
    </w:p>
    <w:p w14:paraId="29791286" w14:textId="77777777" w:rsidR="000C0771" w:rsidRDefault="000C0771" w:rsidP="00153831">
      <w:pPr>
        <w:pStyle w:val="FootnoteText"/>
      </w:pPr>
    </w:p>
  </w:footnote>
  <w:footnote w:id="188">
    <w:p w14:paraId="24C87A78" w14:textId="5D6AC4EA"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{"citationID":"5rAFfK9p","properties":{"formattedCitation":"David Karas, \\uc0\\u8220{}One Man\\uc0\\u8217{}s Mission to Revitalize Small-Town America,\\uc0\\u8221{} {\\i{}Christian Science Monitor}, January 6, 2019, https://www.csmonitor.com/World/Making-a-difference/2019/0106/One-man-s-mission-to-revitalize-small-town-America?fbclid=IwAR20VC-3fE5kxxbOEn3wRfoh2HlTzz7dKs3lvQn7XD-cJuTPipBQrQLsDto.","plainCitation":"David Karas, “One Man’s Mission to Revitalize Small-Town America,” Christian Science Monitor, January 6, 2019, https://www.csmonitor.com/World/Making-a-difference/2019/0106/One-man-s-mission-to-revitalize-small-town-America?fbclid=IwAR20VC-3fE5kxxbOEn3wRfoh2HlTzz7dKs3lvQn7XD-cJuTPipBQrQLsDto.","noteIndex":188},"citationItems":[{"id":252,"uris":["http://zotero.org/users/5043758/items/ZX6WFAN7"],"uri":["http://zotero.org/users/5043758/items/ZX6WFAN7"],"itemData":{"id":252,"type":"article-magazine","title":"One man's mission to revitalize small-town America","container-title":"Christian Science Monitor","source":"Christian Science Monitor","URL":"https://www.csmonitor.com/World/Making-a-difference/2019/0106/One-man-s-mission-to-revitalize-small-town-America?fbclid=IwAR20VC-3fE5kxxbOEn3wRfoh2HlTzz7dKs3lvQn7XD-cJuTPipBQrQLsDto","ISSN":"0882-7729","author":[{"family":"Karas","given":"David"}],"issued":{"date-parts":[["2019",1,6]]},"accessed":{"date-parts":[["2019",1,7]]}}}],"schema":"https://github.com/citation-style-language/schema/raw/master/csl-citation.json"} </w:instrText>
      </w:r>
      <w:r>
        <w:fldChar w:fldCharType="separate"/>
      </w:r>
      <w:r w:rsidRPr="00990B0A">
        <w:rPr>
          <w:rFonts w:eastAsia="Times New Roman" w:cs="Times New Roman"/>
        </w:rPr>
        <w:t xml:space="preserve">David Karas, “One Man’s Mission to Revitalize Small-Town America,” </w:t>
      </w:r>
      <w:r w:rsidRPr="00990B0A">
        <w:rPr>
          <w:rFonts w:eastAsia="Times New Roman" w:cs="Times New Roman"/>
          <w:i/>
          <w:iCs/>
        </w:rPr>
        <w:t>Christian Science Monitor</w:t>
      </w:r>
      <w:r w:rsidRPr="00990B0A">
        <w:rPr>
          <w:rFonts w:eastAsia="Times New Roman" w:cs="Times New Roman"/>
        </w:rPr>
        <w:t>, January 6, 2019, https://www.csmonitor.com/World/Making-a-difference/2019/0106/One-man-s-mission-to-revitalize-small-town-America?fbclid=IwAR20VC-3fE5kxxbOEn3wRfoh2HlTzz7dKs3lvQn7XD-cJuTPipBQrQLsDto.</w:t>
      </w:r>
      <w:r>
        <w:fldChar w:fldCharType="end"/>
      </w:r>
    </w:p>
  </w:footnote>
  <w:footnote w:id="189">
    <w:p w14:paraId="3A0F14A0" w14:textId="7E6F5247" w:rsidR="000C0771" w:rsidRDefault="000C0771" w:rsidP="00153831">
      <w:pPr>
        <w:pStyle w:val="FootnoteText"/>
      </w:pPr>
      <w:r w:rsidRPr="00F3497A">
        <w:rPr>
          <w:rStyle w:val="FootnoteReference"/>
        </w:rPr>
        <w:footnoteRef/>
      </w:r>
      <w:r>
        <w:t xml:space="preserve"> </w:t>
      </w:r>
      <w:r>
        <w:fldChar w:fldCharType="begin"/>
      </w:r>
      <w:r>
        <w:instrText xml:space="preserve"> ADDIN ZOTERO_ITEM CSL_CITATION {"citationID":"fdIVZW8m","properties":{"formattedCitation":"Author interview with Christiana Limniatis, Director of Preservation Services, Preservation Buffalo Niagara, March 21, 2019.","plainCitation":"Author interview with Christiana Limniatis, Director of Preservation Services, Preservation Buffalo Niagara, March 21, 2019.","noteIndex":189},"citationItems":[{"id":529,"uris":["http://zotero.org/users/5043758/items/KRNBZ3ZI"],"uri":["http://zotero.org/users/5043758/items/KRNBZ3ZI"],"itemData":{"id":529,"type":"interview","title":"Author interview with Christiana Limniatis, Director of Preservation Services, Preservation Buffalo Niagara","issued":{"date-parts":[["2019",3,21]]}}}],"schema":"https://github.com/citation-style-language/schema/raw/master/csl-citation.json"} </w:instrText>
      </w:r>
      <w:r>
        <w:fldChar w:fldCharType="separate"/>
      </w:r>
      <w:r>
        <w:rPr>
          <w:noProof/>
        </w:rPr>
        <w:t>Author interview with Christiana Limniatis, Director of Preservation Services, Preservation Buffalo Niagara, March 21, 2019.</w:t>
      </w:r>
      <w:r>
        <w:fldChar w:fldCharType="end"/>
      </w:r>
    </w:p>
  </w:footnote>
  <w:footnote w:id="190">
    <w:p w14:paraId="078F8439" w14:textId="08588EB1" w:rsidR="000C0771" w:rsidRPr="000239CC" w:rsidRDefault="000C0771" w:rsidP="00F031E5">
      <w:pPr>
        <w:pStyle w:val="FootnoteText"/>
        <w:rPr>
          <w:szCs w:val="22"/>
        </w:rPr>
      </w:pPr>
      <w:r w:rsidRPr="00F3497A">
        <w:rPr>
          <w:rStyle w:val="FootnoteReference"/>
        </w:rPr>
        <w:footnoteRef/>
      </w:r>
      <w:r w:rsidRPr="000239CC">
        <w:rPr>
          <w:szCs w:val="22"/>
        </w:rPr>
        <w:t xml:space="preserve"> </w:t>
      </w:r>
      <w:r w:rsidRPr="000239CC">
        <w:rPr>
          <w:szCs w:val="22"/>
        </w:rPr>
        <w:fldChar w:fldCharType="begin"/>
      </w:r>
      <w:r>
        <w:rPr>
          <w:szCs w:val="22"/>
        </w:rPr>
        <w:instrText xml:space="preserve"> ADDIN ZOTERO_ITEM CSL_CITATION {"citationID":"3YE00SgL","properties":{"formattedCitation":"\\uc0\\u8220{}Elmwood Historic District (East),\\uc0\\u8221{} accessed April 23, 2019, https://www.nps.gov/nr/feature/places/16000108.htm.","plainCitation":"“Elmwood Historic District (East),” accessed April 23, 2019, https://www.nps.gov/nr/feature/places/16000108.htm.","noteIndex":190},"citationItems":[{"id":576,"uris":["http://zotero.org/users/5043758/items/KMSJHEQS"],"uri":["http://zotero.org/users/5043758/items/KMSJHEQS"],"itemData":{"id":576,"type":"webpage","title":"Elmwood Historic District (East)","URL":"https://www.nps.gov/nr/feature/places/16000108.htm","accessed":{"date-parts":[["2019",4,23]]}}}],"schema":"https://github.com/citation-style-language/schema/raw/master/csl-citation.json"} </w:instrText>
      </w:r>
      <w:r w:rsidRPr="000239CC">
        <w:rPr>
          <w:szCs w:val="22"/>
        </w:rPr>
        <w:fldChar w:fldCharType="separate"/>
      </w:r>
      <w:r w:rsidRPr="000239CC">
        <w:rPr>
          <w:rFonts w:eastAsia="Times New Roman" w:cs="Times New Roman"/>
          <w:szCs w:val="22"/>
        </w:rPr>
        <w:t>“Elmwood Historic District (East),” accessed April 23, 2019, https://www.nps.gov/nr/feature/places/16000108.htm.</w:t>
      </w:r>
      <w:r w:rsidRPr="000239CC">
        <w:rPr>
          <w:szCs w:val="22"/>
        </w:rPr>
        <w:fldChar w:fldCharType="end"/>
      </w:r>
    </w:p>
  </w:footnote>
  <w:footnote w:id="191">
    <w:p w14:paraId="27D03BED" w14:textId="36403C61" w:rsidR="000C0771" w:rsidRDefault="000C0771" w:rsidP="00F031E5">
      <w:pPr>
        <w:pStyle w:val="FootnoteText"/>
        <w:rPr>
          <w:szCs w:val="22"/>
        </w:rPr>
      </w:pPr>
      <w:r w:rsidRPr="00F3497A">
        <w:rPr>
          <w:rStyle w:val="FootnoteReference"/>
        </w:rPr>
        <w:footnoteRef/>
      </w:r>
      <w:r w:rsidRPr="00460127">
        <w:rPr>
          <w:szCs w:val="22"/>
        </w:rPr>
        <w:t xml:space="preserve"> </w:t>
      </w:r>
      <w:r w:rsidRPr="00460127">
        <w:rPr>
          <w:szCs w:val="22"/>
        </w:rPr>
        <w:fldChar w:fldCharType="begin"/>
      </w:r>
      <w:r>
        <w:rPr>
          <w:szCs w:val="22"/>
        </w:rPr>
        <w:instrText xml:space="preserve"> ADDIN ZOTERO_ITEM CSL_CITATION {"citationID":"43t8nEDj","properties":{"formattedCitation":"Li Yin and Robert Mark Silverman, \\uc0\\u8220{}Housing Abandonment and Demolition: Exploring the Use of Micro-Level and Multi-Year Models,\\uc0\\u8221{} {\\i{}ISPRS Int. J. Geo-Information} 4 (2015): 1188, https://doi.org/10.3390/ijgi4031184.","plainCitation":"Li Yin and Robert Mark Silverman, “Housing Abandonment and Demolition: Exploring the Use of Micro-Level and Multi-Year Models,” ISPRS Int. J. Geo-Information 4 (2015): 1188, https://doi.org/10.3390/ijgi4031184.","noteIndex":191},"citationItems":[{"id":531,"uris":["http://zotero.org/users/5043758/items/GA3L9L7C"],"uri":["http://zotero.org/users/5043758/items/GA3L9L7C"],"itemData":{"id":531,"type":"article-journal","title":"Housing Abandonment and Demolition: Exploring the Use of Micro-Level and Multi-Year Models","container-title":"ISPRS Int. J. Geo-Information","page":"1184-1200","volume":"4","source":"Semantic Scholar","abstract":"Policies focusing on enforcing property code violations and the improvement of vacant properties are argued to be more efficacious than demolition policies to fight urban blight. This study applies parcel level data to a multi-year hybrid modeling structure. A fine-grained analysis is conducted on the dynamic patterns of abandonment and demolition for a unique period of four years before and after the City of Buffalo’s stepped-up demolition efforts. Results showed that proximity to vacant and abandoned properties, sustained over the years, had the greatest impact on the possibility of a property being abandoned. The second greatest positive impact on property abandonment was small lot front size. Results also showed that neighborhood vacancy density had the greatest negative impact on surrounding housing sales prices over the years. There was no significant impact of demolition on housing sales prices. These findings suggested that the City should aim to have more incentive programs that are tailored to control the number of vacant properties, rather than focusing primarily on demolition-oriented programs.","DOI":"10.3390/ijgi4031184","title-short":"Housing Abandonment and Demolition","author":[{"family":"Yin","given":"Li"},{"family":"Silverman","given":"Robert Mark"}],"issued":{"date-parts":[["2015"]]}},"locator":"1188","label":"page"}],"schema":"https://github.com/citation-style-language/schema/raw/master/csl-citation.json"} </w:instrText>
      </w:r>
      <w:r w:rsidRPr="00460127">
        <w:rPr>
          <w:szCs w:val="22"/>
        </w:rPr>
        <w:fldChar w:fldCharType="separate"/>
      </w:r>
      <w:r w:rsidRPr="00460127">
        <w:rPr>
          <w:rFonts w:eastAsia="Times New Roman" w:cs="Times New Roman"/>
          <w:szCs w:val="22"/>
        </w:rPr>
        <w:t xml:space="preserve">Li Yin and Robert Mark Silverman, “Housing Abandonment and Demolition: Exploring the Use of Micro-Level and Multi-Year Models,” </w:t>
      </w:r>
      <w:r w:rsidRPr="00460127">
        <w:rPr>
          <w:rFonts w:eastAsia="Times New Roman" w:cs="Times New Roman"/>
          <w:i/>
          <w:iCs/>
          <w:szCs w:val="22"/>
        </w:rPr>
        <w:t>ISPRS Int. J. Geo-Information</w:t>
      </w:r>
      <w:r w:rsidRPr="00460127">
        <w:rPr>
          <w:rFonts w:eastAsia="Times New Roman" w:cs="Times New Roman"/>
          <w:szCs w:val="22"/>
        </w:rPr>
        <w:t xml:space="preserve"> 4 (2015): 1188, https://doi.org/10.3390/ijgi4031184.</w:t>
      </w:r>
      <w:r w:rsidRPr="00460127">
        <w:rPr>
          <w:szCs w:val="22"/>
        </w:rPr>
        <w:fldChar w:fldCharType="end"/>
      </w:r>
    </w:p>
    <w:p w14:paraId="7A97B5EE" w14:textId="77777777" w:rsidR="000C0771" w:rsidRPr="00460127" w:rsidRDefault="000C0771" w:rsidP="00F031E5">
      <w:pPr>
        <w:pStyle w:val="FootnoteText"/>
        <w:rPr>
          <w:szCs w:val="22"/>
        </w:rPr>
      </w:pPr>
    </w:p>
  </w:footnote>
  <w:footnote w:id="192">
    <w:p w14:paraId="292B6C90" w14:textId="78B5D1E3" w:rsidR="000C0771" w:rsidRDefault="000C0771" w:rsidP="00F031E5">
      <w:pPr>
        <w:pStyle w:val="FootnoteText"/>
        <w:rPr>
          <w:szCs w:val="22"/>
        </w:rPr>
      </w:pPr>
      <w:r w:rsidRPr="00F3497A">
        <w:rPr>
          <w:rStyle w:val="FootnoteReference"/>
        </w:rPr>
        <w:footnoteRef/>
      </w:r>
      <w:r w:rsidRPr="00460127">
        <w:rPr>
          <w:szCs w:val="22"/>
        </w:rPr>
        <w:t xml:space="preserve"> </w:t>
      </w:r>
      <w:r w:rsidRPr="00460127">
        <w:rPr>
          <w:szCs w:val="22"/>
        </w:rPr>
        <w:fldChar w:fldCharType="begin"/>
      </w:r>
      <w:r>
        <w:rPr>
          <w:szCs w:val="22"/>
        </w:rPr>
        <w:instrText xml:space="preserve"> ADDIN ZOTERO_ITEM CSL_CITATION {"citationID":"QhDujif6","properties":{"formattedCitation":"Schulman, \\uc0\\u8220{}City Lifts Fruit Belt Moratorium after Adopting Strategic Development Plan.\\uc0\\u8221{}","plainCitation":"Schulman, “City Lifts Fruit Belt Moratorium after Adopting Strategic Development Plan.”","noteIndex":192},"citationItems":[{"id":386,"uris":["http://zotero.org/users/5043758/items/NH9KUZHP"],"uri":["http://zotero.org/users/5043758/items/NH9KUZHP"],"itemData":{"id":386,"type":"post-weblog","title":"City lifts Fruit Belt moratorium after adopting strategic development plan","container-title":"The Buffalo News","abstract":"A 2 1/2 year moratorium on the sale of city-owned property in the Fruit Belt was partially lifted Tuesday after the Common Council approv...","URL":"https://buffalonews.com/2018/05/29/city-lifts-fruit-belt-moratorium-after-adopting-strategic-development-plan/","language":"en-us","author":[{"family":"Schulman","given":"Susan"}],"issued":{"date-parts":[["2018",3,29]]},"accessed":{"date-parts":[["2019",2,24]]}}}],"schema":"https://github.com/citation-style-language/schema/raw/master/csl-citation.json"} </w:instrText>
      </w:r>
      <w:r w:rsidRPr="00460127">
        <w:rPr>
          <w:szCs w:val="22"/>
        </w:rPr>
        <w:fldChar w:fldCharType="separate"/>
      </w:r>
      <w:r w:rsidRPr="005A2682">
        <w:rPr>
          <w:rFonts w:eastAsia="Times New Roman" w:cs="Times New Roman"/>
        </w:rPr>
        <w:t>Schulman, “City Lifts Fruit Belt Moratorium after Adopting Strategic Development Plan.”</w:t>
      </w:r>
      <w:r w:rsidRPr="00460127">
        <w:rPr>
          <w:szCs w:val="22"/>
        </w:rPr>
        <w:fldChar w:fldCharType="end"/>
      </w:r>
    </w:p>
    <w:p w14:paraId="1DE30BDB" w14:textId="77777777" w:rsidR="000C0771" w:rsidRPr="00460127" w:rsidRDefault="000C0771" w:rsidP="00F031E5">
      <w:pPr>
        <w:pStyle w:val="FootnoteText"/>
        <w:rPr>
          <w:szCs w:val="22"/>
        </w:rPr>
      </w:pPr>
    </w:p>
  </w:footnote>
  <w:footnote w:id="193">
    <w:p w14:paraId="01F0A8F5" w14:textId="2FAADEAF" w:rsidR="000C0771" w:rsidRPr="00322F12" w:rsidRDefault="000C0771" w:rsidP="00F031E5">
      <w:pPr>
        <w:pStyle w:val="FootnoteText"/>
        <w:rPr>
          <w:szCs w:val="22"/>
        </w:rPr>
      </w:pPr>
      <w:r w:rsidRPr="00F3497A">
        <w:rPr>
          <w:rStyle w:val="FootnoteReference"/>
        </w:rPr>
        <w:footnoteRef/>
      </w:r>
      <w:r w:rsidRPr="00322F12">
        <w:rPr>
          <w:szCs w:val="22"/>
        </w:rPr>
        <w:t xml:space="preserve"> </w:t>
      </w:r>
      <w:r w:rsidRPr="00322F12">
        <w:rPr>
          <w:szCs w:val="22"/>
        </w:rPr>
        <w:fldChar w:fldCharType="begin"/>
      </w:r>
      <w:r>
        <w:rPr>
          <w:szCs w:val="22"/>
        </w:rPr>
        <w:instrText xml:space="preserve"> ADDIN ZOTERO_ITEM CSL_CITATION {"citationID":"rS4CPO8e","properties":{"formattedCitation":"Caitlin Dewey, \\uc0\\u8220{}Fruit Belt Fights For Its Name Over Fears Big Tech Is Erasing It,\\uc0\\u8221{} {\\i{}The Buffalo News} (blog), March 17, 2019, https://buffalonews.com/2019/03/17/fruit-belt-fights-for-its-name-over-fears-big-tech-is-erasing-it/.","plainCitation":"Caitlin Dewey, “Fruit Belt Fights For Its Name Over Fears Big Tech Is Erasing It,” The Buffalo News (blog), March 17, 2019, https://buffalonews.com/2019/03/17/fruit-belt-fights-for-its-name-over-fears-big-tech-is-erasing-it/.","noteIndex":193},"citationItems":[{"id":534,"uris":["http://zotero.org/users/5043758/items/KQQCB44L"],"uri":["http://zotero.org/users/5043758/items/KQQCB44L"],"itemData":{"id":534,"type":"post-weblog","title":"Fruit Belt Fights For Its Name Over Fears Big Tech Is Erasing It","container-title":"The Buffalo News","abstract":"The glitches go beyond the Fruit Belt: Digital maps of Buffalo frequently omit, replace or shrink well-known neighborhoods, from Kensington-","URL":"https://buffalonews.com/2019/03/17/fruit-belt-fights-for-its-name-over-fears-big-tech-is-erasing-it/","language":"en-us","author":[{"family":"Dewey","given":"Caitlin"}],"issued":{"date-parts":[["2019",3,17]]},"accessed":{"date-parts":[["2019",4,9]]}}}],"schema":"https://github.com/citation-style-language/schema/raw/master/csl-citation.json"} </w:instrText>
      </w:r>
      <w:r w:rsidRPr="00322F12">
        <w:rPr>
          <w:szCs w:val="22"/>
        </w:rPr>
        <w:fldChar w:fldCharType="separate"/>
      </w:r>
      <w:r w:rsidRPr="00322F12">
        <w:rPr>
          <w:rFonts w:eastAsia="Times New Roman" w:cs="Times New Roman"/>
          <w:szCs w:val="22"/>
        </w:rPr>
        <w:t xml:space="preserve">Caitlin Dewey, “Fruit Belt Fights For Its Name Over Fears Big Tech Is Erasing It,” </w:t>
      </w:r>
      <w:r w:rsidRPr="00322F12">
        <w:rPr>
          <w:rFonts w:eastAsia="Times New Roman" w:cs="Times New Roman"/>
          <w:i/>
          <w:iCs/>
          <w:szCs w:val="22"/>
        </w:rPr>
        <w:t>The Buffalo News</w:t>
      </w:r>
      <w:r w:rsidRPr="00322F12">
        <w:rPr>
          <w:rFonts w:eastAsia="Times New Roman" w:cs="Times New Roman"/>
          <w:szCs w:val="22"/>
        </w:rPr>
        <w:t xml:space="preserve"> (blog), March 17, 2019, https://buffalonews.com/2019/03/17/fruit-belt-fights-for-its-name-over-fears-big-tech-is-erasing-it/.</w:t>
      </w:r>
      <w:r w:rsidRPr="00322F12">
        <w:rPr>
          <w:szCs w:val="22"/>
        </w:rPr>
        <w:fldChar w:fldCharType="end"/>
      </w:r>
    </w:p>
  </w:footnote>
  <w:footnote w:id="194">
    <w:p w14:paraId="088E6DEA" w14:textId="3CFEC204" w:rsidR="000C0771" w:rsidRDefault="000C0771" w:rsidP="00F031E5">
      <w:pPr>
        <w:pStyle w:val="FootnoteText"/>
        <w:rPr>
          <w:szCs w:val="22"/>
        </w:rPr>
      </w:pPr>
      <w:r w:rsidRPr="00F3497A">
        <w:rPr>
          <w:rStyle w:val="FootnoteReference"/>
        </w:rPr>
        <w:footnoteRef/>
      </w:r>
      <w:r w:rsidRPr="00322F12">
        <w:rPr>
          <w:szCs w:val="22"/>
        </w:rPr>
        <w:t xml:space="preserve"> </w:t>
      </w:r>
      <w:r w:rsidRPr="00322F12">
        <w:rPr>
          <w:szCs w:val="22"/>
        </w:rPr>
        <w:fldChar w:fldCharType="begin"/>
      </w:r>
      <w:r>
        <w:rPr>
          <w:szCs w:val="22"/>
        </w:rPr>
        <w:instrText xml:space="preserve"> ADDIN ZOTERO_ITEM CSL_CITATION {"citationID":"gEWR0ibS","properties":{"formattedCitation":"\\uc0\\u8220{}Using Storytelling in Community Heart &amp; Soul\\uc0\\u8221{} (Orton Family Foundation, 2015), https://www.orton.org/wp-content/uploads/2017/03/using-storytelling-in-heart-soul.pdf.","plainCitation":"“Using Storytelling in Community Heart &amp; Soul” (Orton Family Foundation, 2015), https://www.orton.org/wp-content/uploads/2017/03/using-storytelling-in-heart-soul.pdf.","noteIndex":194},"citationItems":[{"id":538,"uris":["http://zotero.org/users/5043758/items/WRSUTAM9"],"uri":["http://zotero.org/users/5043758/items/WRSUTAM9"],"itemData":{"id":538,"type":"report","title":"Using Storytelling in Community Heart &amp; Soul","publisher":"Orton Family Foundation","URL":"https://www.orton.org/wp-content/uploads/2017/03/using-storytelling-in-heart-soul.pdf","issued":{"date-parts":[["2015"]]},"accessed":{"date-parts":[["2019",4,11]]}}}],"schema":"https://github.com/citation-style-language/schema/raw/master/csl-citation.json"} </w:instrText>
      </w:r>
      <w:r w:rsidRPr="00322F12">
        <w:rPr>
          <w:szCs w:val="22"/>
        </w:rPr>
        <w:fldChar w:fldCharType="separate"/>
      </w:r>
      <w:r w:rsidRPr="00322F12">
        <w:rPr>
          <w:rFonts w:eastAsia="Times New Roman" w:cs="Times New Roman"/>
          <w:szCs w:val="22"/>
        </w:rPr>
        <w:t>“Using Storytelling in Community Heart &amp; Soul” (Orton Family Foundation, 2015), https://www.orton.org/wp-content/uploads/2017/03/using-storytelling-in-heart-soul.pdf.</w:t>
      </w:r>
      <w:r w:rsidRPr="00322F12">
        <w:rPr>
          <w:szCs w:val="22"/>
        </w:rPr>
        <w:fldChar w:fldCharType="end"/>
      </w:r>
    </w:p>
    <w:p w14:paraId="3332486C" w14:textId="77777777" w:rsidR="000C0771" w:rsidRPr="00322F12" w:rsidRDefault="000C0771" w:rsidP="00F031E5">
      <w:pPr>
        <w:pStyle w:val="FootnoteText"/>
        <w:rPr>
          <w:szCs w:val="22"/>
        </w:rPr>
      </w:pPr>
    </w:p>
  </w:footnote>
  <w:footnote w:id="195">
    <w:p w14:paraId="5B1B523F" w14:textId="43F479D1" w:rsidR="000C0771" w:rsidRPr="00594240" w:rsidRDefault="000C0771" w:rsidP="00F031E5">
      <w:pPr>
        <w:pStyle w:val="FootnoteText"/>
        <w:rPr>
          <w:szCs w:val="22"/>
        </w:rPr>
      </w:pPr>
      <w:r w:rsidRPr="00F3497A">
        <w:rPr>
          <w:rStyle w:val="FootnoteReference"/>
        </w:rPr>
        <w:footnoteRef/>
      </w:r>
      <w:r w:rsidRPr="00594240">
        <w:rPr>
          <w:szCs w:val="22"/>
        </w:rPr>
        <w:t xml:space="preserve"> </w:t>
      </w:r>
      <w:r w:rsidRPr="00594240">
        <w:rPr>
          <w:szCs w:val="22"/>
        </w:rPr>
        <w:fldChar w:fldCharType="begin"/>
      </w:r>
      <w:r>
        <w:rPr>
          <w:szCs w:val="22"/>
        </w:rPr>
        <w:instrText xml:space="preserve"> ADDIN ZOTERO_ITEM CSL_CITATION {"citationID":"w4O8sYgW","properties":{"formattedCitation":"\\uc0\\u8220{}Using Storytelling in Community Heart &amp; Soul,\\uc0\\u8221{} 1\\uc0\\u8211{}2.","plainCitation":"“Using Storytelling in Community Heart &amp; Soul,” 1–2.","noteIndex":195},"citationItems":[{"id":538,"uris":["http://zotero.org/users/5043758/items/WRSUTAM9"],"uri":["http://zotero.org/users/5043758/items/WRSUTAM9"],"itemData":{"id":538,"type":"report","title":"Using Storytelling in Community Heart &amp; Soul","publisher":"Orton Family Foundation","URL":"https://www.orton.org/wp-content/uploads/2017/03/using-storytelling-in-heart-soul.pdf","issued":{"date-parts":[["2015"]]},"accessed":{"date-parts":[["2019",4,11]]}},"locator":"1-2","label":"page"}],"schema":"https://github.com/citation-style-language/schema/raw/master/csl-citation.json"} </w:instrText>
      </w:r>
      <w:r w:rsidRPr="00594240">
        <w:rPr>
          <w:szCs w:val="22"/>
        </w:rPr>
        <w:fldChar w:fldCharType="separate"/>
      </w:r>
      <w:r w:rsidRPr="00594240">
        <w:rPr>
          <w:rFonts w:eastAsia="Times New Roman" w:cs="Times New Roman"/>
          <w:szCs w:val="22"/>
        </w:rPr>
        <w:t>“Using Storytelling in Community Heart &amp; Soul,” 1–2.</w:t>
      </w:r>
      <w:r w:rsidRPr="00594240">
        <w:rPr>
          <w:szCs w:val="22"/>
        </w:rPr>
        <w:fldChar w:fldCharType="end"/>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1199A1" w14:textId="77777777" w:rsidR="000C0771" w:rsidRDefault="000C0771">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D8A826" w14:textId="77777777" w:rsidR="000C0771" w:rsidRDefault="000C0771">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691BDF" w14:textId="77777777" w:rsidR="000C0771" w:rsidRDefault="000C0771">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176AE"/>
    <w:multiLevelType w:val="multilevel"/>
    <w:tmpl w:val="48B4734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nsid w:val="09FE7922"/>
    <w:multiLevelType w:val="hybridMultilevel"/>
    <w:tmpl w:val="1A8E32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643F0673"/>
    <w:multiLevelType w:val="hybridMultilevel"/>
    <w:tmpl w:val="431E276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6E60382B"/>
    <w:multiLevelType w:val="hybridMultilevel"/>
    <w:tmpl w:val="2F040D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0262"/>
    <w:rsid w:val="00000091"/>
    <w:rsid w:val="00000ECD"/>
    <w:rsid w:val="00002EA8"/>
    <w:rsid w:val="000062CC"/>
    <w:rsid w:val="0001383C"/>
    <w:rsid w:val="00021AA7"/>
    <w:rsid w:val="000221A5"/>
    <w:rsid w:val="000221FF"/>
    <w:rsid w:val="000225FD"/>
    <w:rsid w:val="00023515"/>
    <w:rsid w:val="00024484"/>
    <w:rsid w:val="00024AAB"/>
    <w:rsid w:val="00024BCA"/>
    <w:rsid w:val="00030C63"/>
    <w:rsid w:val="00032D7F"/>
    <w:rsid w:val="000466A5"/>
    <w:rsid w:val="0004672C"/>
    <w:rsid w:val="00053EBF"/>
    <w:rsid w:val="00056BBD"/>
    <w:rsid w:val="00057AC3"/>
    <w:rsid w:val="0006047A"/>
    <w:rsid w:val="000616C7"/>
    <w:rsid w:val="00064189"/>
    <w:rsid w:val="000659E2"/>
    <w:rsid w:val="00065D41"/>
    <w:rsid w:val="000709E0"/>
    <w:rsid w:val="000748AC"/>
    <w:rsid w:val="000751E1"/>
    <w:rsid w:val="00076CD7"/>
    <w:rsid w:val="000806CA"/>
    <w:rsid w:val="000859EE"/>
    <w:rsid w:val="00094C70"/>
    <w:rsid w:val="0009523C"/>
    <w:rsid w:val="0009598C"/>
    <w:rsid w:val="0009688C"/>
    <w:rsid w:val="00096C04"/>
    <w:rsid w:val="000A1DBF"/>
    <w:rsid w:val="000A4B61"/>
    <w:rsid w:val="000A7BCF"/>
    <w:rsid w:val="000B04A6"/>
    <w:rsid w:val="000B39FC"/>
    <w:rsid w:val="000B3CE8"/>
    <w:rsid w:val="000C0771"/>
    <w:rsid w:val="000C27E2"/>
    <w:rsid w:val="000D0E32"/>
    <w:rsid w:val="000D445E"/>
    <w:rsid w:val="000D463B"/>
    <w:rsid w:val="000E306F"/>
    <w:rsid w:val="000E36ED"/>
    <w:rsid w:val="000E3F0E"/>
    <w:rsid w:val="000E50BB"/>
    <w:rsid w:val="000E67BC"/>
    <w:rsid w:val="000F12FF"/>
    <w:rsid w:val="000F1608"/>
    <w:rsid w:val="000F3B2C"/>
    <w:rsid w:val="001002BB"/>
    <w:rsid w:val="00100602"/>
    <w:rsid w:val="00100F24"/>
    <w:rsid w:val="00104311"/>
    <w:rsid w:val="0010795B"/>
    <w:rsid w:val="0011019E"/>
    <w:rsid w:val="0011127B"/>
    <w:rsid w:val="00111B41"/>
    <w:rsid w:val="00112754"/>
    <w:rsid w:val="00117496"/>
    <w:rsid w:val="0011793A"/>
    <w:rsid w:val="00117B60"/>
    <w:rsid w:val="00120E55"/>
    <w:rsid w:val="00127059"/>
    <w:rsid w:val="00133A19"/>
    <w:rsid w:val="0013559B"/>
    <w:rsid w:val="00137808"/>
    <w:rsid w:val="001515A1"/>
    <w:rsid w:val="00151A51"/>
    <w:rsid w:val="00153831"/>
    <w:rsid w:val="00153B99"/>
    <w:rsid w:val="00157F32"/>
    <w:rsid w:val="0017719A"/>
    <w:rsid w:val="00182702"/>
    <w:rsid w:val="001846C0"/>
    <w:rsid w:val="00186CF8"/>
    <w:rsid w:val="00190C27"/>
    <w:rsid w:val="0019270A"/>
    <w:rsid w:val="001A1645"/>
    <w:rsid w:val="001A2C7D"/>
    <w:rsid w:val="001A3A4F"/>
    <w:rsid w:val="001B220F"/>
    <w:rsid w:val="001C1A56"/>
    <w:rsid w:val="001C3841"/>
    <w:rsid w:val="001C4322"/>
    <w:rsid w:val="001C5599"/>
    <w:rsid w:val="001C6251"/>
    <w:rsid w:val="001D2B45"/>
    <w:rsid w:val="001D2EFA"/>
    <w:rsid w:val="001D52CC"/>
    <w:rsid w:val="001D5315"/>
    <w:rsid w:val="001D7549"/>
    <w:rsid w:val="001D7C35"/>
    <w:rsid w:val="001E0A36"/>
    <w:rsid w:val="001F0488"/>
    <w:rsid w:val="001F1BB7"/>
    <w:rsid w:val="001F234C"/>
    <w:rsid w:val="001F7B76"/>
    <w:rsid w:val="00201009"/>
    <w:rsid w:val="0020389A"/>
    <w:rsid w:val="00204185"/>
    <w:rsid w:val="00204E24"/>
    <w:rsid w:val="00205877"/>
    <w:rsid w:val="002078AF"/>
    <w:rsid w:val="0021157B"/>
    <w:rsid w:val="00220B09"/>
    <w:rsid w:val="0022168B"/>
    <w:rsid w:val="002216EE"/>
    <w:rsid w:val="002249EC"/>
    <w:rsid w:val="00225540"/>
    <w:rsid w:val="00235A83"/>
    <w:rsid w:val="0023674A"/>
    <w:rsid w:val="00236FFB"/>
    <w:rsid w:val="002414AA"/>
    <w:rsid w:val="002427F4"/>
    <w:rsid w:val="00246BEA"/>
    <w:rsid w:val="00247EF3"/>
    <w:rsid w:val="00250345"/>
    <w:rsid w:val="0025074F"/>
    <w:rsid w:val="002523B4"/>
    <w:rsid w:val="002542C3"/>
    <w:rsid w:val="00262A5D"/>
    <w:rsid w:val="0026318B"/>
    <w:rsid w:val="00264807"/>
    <w:rsid w:val="00265925"/>
    <w:rsid w:val="00274E9D"/>
    <w:rsid w:val="00291755"/>
    <w:rsid w:val="00294090"/>
    <w:rsid w:val="0029453D"/>
    <w:rsid w:val="002A0DE8"/>
    <w:rsid w:val="002A1725"/>
    <w:rsid w:val="002A2EBD"/>
    <w:rsid w:val="002A6E52"/>
    <w:rsid w:val="002B6D6F"/>
    <w:rsid w:val="002B771A"/>
    <w:rsid w:val="002C2EAC"/>
    <w:rsid w:val="002C35EB"/>
    <w:rsid w:val="002C4763"/>
    <w:rsid w:val="002C7F08"/>
    <w:rsid w:val="002D2C1F"/>
    <w:rsid w:val="002D30F2"/>
    <w:rsid w:val="002D4151"/>
    <w:rsid w:val="002D4AB5"/>
    <w:rsid w:val="002E10C9"/>
    <w:rsid w:val="002E4525"/>
    <w:rsid w:val="002E59B0"/>
    <w:rsid w:val="002F1D0F"/>
    <w:rsid w:val="0030022A"/>
    <w:rsid w:val="00300572"/>
    <w:rsid w:val="003022F7"/>
    <w:rsid w:val="00304F60"/>
    <w:rsid w:val="00305281"/>
    <w:rsid w:val="003059D6"/>
    <w:rsid w:val="00306A60"/>
    <w:rsid w:val="00313115"/>
    <w:rsid w:val="003157A3"/>
    <w:rsid w:val="00315D47"/>
    <w:rsid w:val="003168B0"/>
    <w:rsid w:val="0032426D"/>
    <w:rsid w:val="003261FC"/>
    <w:rsid w:val="00326D61"/>
    <w:rsid w:val="003272C4"/>
    <w:rsid w:val="0033046B"/>
    <w:rsid w:val="00331DE9"/>
    <w:rsid w:val="00343907"/>
    <w:rsid w:val="00345BA6"/>
    <w:rsid w:val="00347F95"/>
    <w:rsid w:val="00350EE2"/>
    <w:rsid w:val="00352913"/>
    <w:rsid w:val="0036756C"/>
    <w:rsid w:val="00370189"/>
    <w:rsid w:val="00371099"/>
    <w:rsid w:val="003711E1"/>
    <w:rsid w:val="003767E6"/>
    <w:rsid w:val="00384297"/>
    <w:rsid w:val="00386468"/>
    <w:rsid w:val="00395754"/>
    <w:rsid w:val="003A280D"/>
    <w:rsid w:val="003A2D11"/>
    <w:rsid w:val="003A45F6"/>
    <w:rsid w:val="003A6839"/>
    <w:rsid w:val="003C0FFE"/>
    <w:rsid w:val="003C4BC8"/>
    <w:rsid w:val="003C5CA5"/>
    <w:rsid w:val="003C766F"/>
    <w:rsid w:val="003D181D"/>
    <w:rsid w:val="003D3EE1"/>
    <w:rsid w:val="003E031F"/>
    <w:rsid w:val="003E4962"/>
    <w:rsid w:val="003E6FF0"/>
    <w:rsid w:val="003F12E6"/>
    <w:rsid w:val="00403658"/>
    <w:rsid w:val="004100AF"/>
    <w:rsid w:val="004109A5"/>
    <w:rsid w:val="00412D30"/>
    <w:rsid w:val="00420EB0"/>
    <w:rsid w:val="0042313D"/>
    <w:rsid w:val="00427F95"/>
    <w:rsid w:val="00433B05"/>
    <w:rsid w:val="004362DC"/>
    <w:rsid w:val="00440275"/>
    <w:rsid w:val="004404D2"/>
    <w:rsid w:val="00442916"/>
    <w:rsid w:val="0045584F"/>
    <w:rsid w:val="00455BAB"/>
    <w:rsid w:val="00461063"/>
    <w:rsid w:val="00466812"/>
    <w:rsid w:val="004713DC"/>
    <w:rsid w:val="00471C13"/>
    <w:rsid w:val="00472023"/>
    <w:rsid w:val="004748C2"/>
    <w:rsid w:val="004749AB"/>
    <w:rsid w:val="00475B80"/>
    <w:rsid w:val="00477818"/>
    <w:rsid w:val="00486F40"/>
    <w:rsid w:val="004928F2"/>
    <w:rsid w:val="004A1182"/>
    <w:rsid w:val="004A3AAF"/>
    <w:rsid w:val="004A68D5"/>
    <w:rsid w:val="004A6C69"/>
    <w:rsid w:val="004B2D40"/>
    <w:rsid w:val="004B6773"/>
    <w:rsid w:val="004B6EBA"/>
    <w:rsid w:val="004C4187"/>
    <w:rsid w:val="004C4736"/>
    <w:rsid w:val="004C7B59"/>
    <w:rsid w:val="004D3279"/>
    <w:rsid w:val="004D436C"/>
    <w:rsid w:val="004D6E9E"/>
    <w:rsid w:val="004D7C04"/>
    <w:rsid w:val="004E1DDD"/>
    <w:rsid w:val="004E4B61"/>
    <w:rsid w:val="004F5B0D"/>
    <w:rsid w:val="004F71B1"/>
    <w:rsid w:val="004F788F"/>
    <w:rsid w:val="0050394F"/>
    <w:rsid w:val="00510C25"/>
    <w:rsid w:val="005111D3"/>
    <w:rsid w:val="0051693A"/>
    <w:rsid w:val="00520B89"/>
    <w:rsid w:val="0052508D"/>
    <w:rsid w:val="005324B7"/>
    <w:rsid w:val="005350D0"/>
    <w:rsid w:val="0054040E"/>
    <w:rsid w:val="005456A8"/>
    <w:rsid w:val="0054733C"/>
    <w:rsid w:val="005513C3"/>
    <w:rsid w:val="005549BE"/>
    <w:rsid w:val="00557C78"/>
    <w:rsid w:val="00557D48"/>
    <w:rsid w:val="005603EB"/>
    <w:rsid w:val="005629CF"/>
    <w:rsid w:val="00564489"/>
    <w:rsid w:val="00566EF4"/>
    <w:rsid w:val="00567194"/>
    <w:rsid w:val="00573E4F"/>
    <w:rsid w:val="00580FCA"/>
    <w:rsid w:val="00583B08"/>
    <w:rsid w:val="00583E6D"/>
    <w:rsid w:val="00585D21"/>
    <w:rsid w:val="00587E3B"/>
    <w:rsid w:val="00592901"/>
    <w:rsid w:val="0059368D"/>
    <w:rsid w:val="00593F80"/>
    <w:rsid w:val="00595632"/>
    <w:rsid w:val="005A2682"/>
    <w:rsid w:val="005A3CCF"/>
    <w:rsid w:val="005A77A3"/>
    <w:rsid w:val="005B1A10"/>
    <w:rsid w:val="005B213D"/>
    <w:rsid w:val="005B4A8E"/>
    <w:rsid w:val="005B7727"/>
    <w:rsid w:val="005C0F02"/>
    <w:rsid w:val="005C4E0D"/>
    <w:rsid w:val="005C6707"/>
    <w:rsid w:val="005C7141"/>
    <w:rsid w:val="005D0689"/>
    <w:rsid w:val="005D3554"/>
    <w:rsid w:val="005D458C"/>
    <w:rsid w:val="005D4CE0"/>
    <w:rsid w:val="005E1B55"/>
    <w:rsid w:val="005E379E"/>
    <w:rsid w:val="005E678F"/>
    <w:rsid w:val="005E6DB6"/>
    <w:rsid w:val="005F1F9E"/>
    <w:rsid w:val="005F47DF"/>
    <w:rsid w:val="005F7EE8"/>
    <w:rsid w:val="00602E6D"/>
    <w:rsid w:val="00607AF2"/>
    <w:rsid w:val="0061668B"/>
    <w:rsid w:val="006259A1"/>
    <w:rsid w:val="00633CEB"/>
    <w:rsid w:val="00633E34"/>
    <w:rsid w:val="00634684"/>
    <w:rsid w:val="0063681C"/>
    <w:rsid w:val="00637BCE"/>
    <w:rsid w:val="00641D79"/>
    <w:rsid w:val="006432A2"/>
    <w:rsid w:val="00643AAF"/>
    <w:rsid w:val="006455AE"/>
    <w:rsid w:val="0064591C"/>
    <w:rsid w:val="00647631"/>
    <w:rsid w:val="006512C2"/>
    <w:rsid w:val="00653ED5"/>
    <w:rsid w:val="00672E6D"/>
    <w:rsid w:val="00674927"/>
    <w:rsid w:val="0067615A"/>
    <w:rsid w:val="00676581"/>
    <w:rsid w:val="00676E19"/>
    <w:rsid w:val="00677EF3"/>
    <w:rsid w:val="00680764"/>
    <w:rsid w:val="00682AEE"/>
    <w:rsid w:val="00686291"/>
    <w:rsid w:val="00690663"/>
    <w:rsid w:val="00695A6C"/>
    <w:rsid w:val="006B18BF"/>
    <w:rsid w:val="006B193D"/>
    <w:rsid w:val="006C2E30"/>
    <w:rsid w:val="006C583D"/>
    <w:rsid w:val="006C5A20"/>
    <w:rsid w:val="006C60B2"/>
    <w:rsid w:val="006D4F48"/>
    <w:rsid w:val="006D6E50"/>
    <w:rsid w:val="006E0E24"/>
    <w:rsid w:val="006E3559"/>
    <w:rsid w:val="006E65A4"/>
    <w:rsid w:val="006F17BA"/>
    <w:rsid w:val="006F454B"/>
    <w:rsid w:val="0070173D"/>
    <w:rsid w:val="00703F46"/>
    <w:rsid w:val="00710746"/>
    <w:rsid w:val="00711274"/>
    <w:rsid w:val="007169BF"/>
    <w:rsid w:val="00723784"/>
    <w:rsid w:val="00731716"/>
    <w:rsid w:val="007338F9"/>
    <w:rsid w:val="00742231"/>
    <w:rsid w:val="00744207"/>
    <w:rsid w:val="00744811"/>
    <w:rsid w:val="00751B11"/>
    <w:rsid w:val="00756562"/>
    <w:rsid w:val="00762411"/>
    <w:rsid w:val="007772DB"/>
    <w:rsid w:val="00777E34"/>
    <w:rsid w:val="00781018"/>
    <w:rsid w:val="00784063"/>
    <w:rsid w:val="00785DF7"/>
    <w:rsid w:val="0079066C"/>
    <w:rsid w:val="00790E93"/>
    <w:rsid w:val="00791C75"/>
    <w:rsid w:val="00795325"/>
    <w:rsid w:val="00795786"/>
    <w:rsid w:val="007A52BE"/>
    <w:rsid w:val="007A5925"/>
    <w:rsid w:val="007A7353"/>
    <w:rsid w:val="007B171B"/>
    <w:rsid w:val="007B366A"/>
    <w:rsid w:val="007B5E72"/>
    <w:rsid w:val="007B6D27"/>
    <w:rsid w:val="007C1A27"/>
    <w:rsid w:val="007C31B8"/>
    <w:rsid w:val="007D0954"/>
    <w:rsid w:val="007D4355"/>
    <w:rsid w:val="007D4D75"/>
    <w:rsid w:val="007E0306"/>
    <w:rsid w:val="007E7A08"/>
    <w:rsid w:val="007F131B"/>
    <w:rsid w:val="00800F4B"/>
    <w:rsid w:val="00801927"/>
    <w:rsid w:val="0081253F"/>
    <w:rsid w:val="008149A1"/>
    <w:rsid w:val="008210C3"/>
    <w:rsid w:val="00822B42"/>
    <w:rsid w:val="00822D50"/>
    <w:rsid w:val="00826654"/>
    <w:rsid w:val="00827C2D"/>
    <w:rsid w:val="0083104A"/>
    <w:rsid w:val="0083334D"/>
    <w:rsid w:val="00840925"/>
    <w:rsid w:val="00846B03"/>
    <w:rsid w:val="00847AEA"/>
    <w:rsid w:val="008502B5"/>
    <w:rsid w:val="008559AB"/>
    <w:rsid w:val="00856615"/>
    <w:rsid w:val="00857124"/>
    <w:rsid w:val="008637C4"/>
    <w:rsid w:val="008645A6"/>
    <w:rsid w:val="00864DA6"/>
    <w:rsid w:val="00865E78"/>
    <w:rsid w:val="008660A4"/>
    <w:rsid w:val="00870517"/>
    <w:rsid w:val="00871AE2"/>
    <w:rsid w:val="00873789"/>
    <w:rsid w:val="008855AF"/>
    <w:rsid w:val="00887C1A"/>
    <w:rsid w:val="00892F47"/>
    <w:rsid w:val="00892F9B"/>
    <w:rsid w:val="008B39EB"/>
    <w:rsid w:val="008B3A02"/>
    <w:rsid w:val="008C4467"/>
    <w:rsid w:val="008C48CE"/>
    <w:rsid w:val="008C64C3"/>
    <w:rsid w:val="008C73BE"/>
    <w:rsid w:val="008C75D0"/>
    <w:rsid w:val="008D4452"/>
    <w:rsid w:val="008E190A"/>
    <w:rsid w:val="008E2DBC"/>
    <w:rsid w:val="008E3690"/>
    <w:rsid w:val="008E3FB0"/>
    <w:rsid w:val="008E4D08"/>
    <w:rsid w:val="008E7A40"/>
    <w:rsid w:val="008F3BDA"/>
    <w:rsid w:val="008F4774"/>
    <w:rsid w:val="008F5FC1"/>
    <w:rsid w:val="009012D3"/>
    <w:rsid w:val="009038F3"/>
    <w:rsid w:val="009039FD"/>
    <w:rsid w:val="00906956"/>
    <w:rsid w:val="00911404"/>
    <w:rsid w:val="009149C3"/>
    <w:rsid w:val="00921FBE"/>
    <w:rsid w:val="009230FC"/>
    <w:rsid w:val="009251DE"/>
    <w:rsid w:val="00926C38"/>
    <w:rsid w:val="00930FB7"/>
    <w:rsid w:val="00931B36"/>
    <w:rsid w:val="009334F9"/>
    <w:rsid w:val="00935188"/>
    <w:rsid w:val="00940FB5"/>
    <w:rsid w:val="00942F37"/>
    <w:rsid w:val="009440D6"/>
    <w:rsid w:val="009475E2"/>
    <w:rsid w:val="00947DBD"/>
    <w:rsid w:val="00952C6B"/>
    <w:rsid w:val="00960AAA"/>
    <w:rsid w:val="00960B3F"/>
    <w:rsid w:val="00970A68"/>
    <w:rsid w:val="00971BAC"/>
    <w:rsid w:val="00972431"/>
    <w:rsid w:val="00976184"/>
    <w:rsid w:val="0098690B"/>
    <w:rsid w:val="00990796"/>
    <w:rsid w:val="00993BDB"/>
    <w:rsid w:val="00997C90"/>
    <w:rsid w:val="009A28EF"/>
    <w:rsid w:val="009A3FB6"/>
    <w:rsid w:val="009B0CDF"/>
    <w:rsid w:val="009B2BB1"/>
    <w:rsid w:val="009B5428"/>
    <w:rsid w:val="009C05FD"/>
    <w:rsid w:val="009C0EB7"/>
    <w:rsid w:val="009C2BB0"/>
    <w:rsid w:val="009C3A43"/>
    <w:rsid w:val="009C3DD5"/>
    <w:rsid w:val="009C482D"/>
    <w:rsid w:val="009D0E4F"/>
    <w:rsid w:val="009D1425"/>
    <w:rsid w:val="009D2B5F"/>
    <w:rsid w:val="009D2BDE"/>
    <w:rsid w:val="009D4994"/>
    <w:rsid w:val="009D6A2E"/>
    <w:rsid w:val="009E1C7B"/>
    <w:rsid w:val="009F565C"/>
    <w:rsid w:val="009F7832"/>
    <w:rsid w:val="00A03645"/>
    <w:rsid w:val="00A05978"/>
    <w:rsid w:val="00A12721"/>
    <w:rsid w:val="00A25894"/>
    <w:rsid w:val="00A301C6"/>
    <w:rsid w:val="00A346E9"/>
    <w:rsid w:val="00A36E25"/>
    <w:rsid w:val="00A374D0"/>
    <w:rsid w:val="00A42782"/>
    <w:rsid w:val="00A47859"/>
    <w:rsid w:val="00A47C38"/>
    <w:rsid w:val="00A50833"/>
    <w:rsid w:val="00A53FE0"/>
    <w:rsid w:val="00A57507"/>
    <w:rsid w:val="00A620CD"/>
    <w:rsid w:val="00A65E36"/>
    <w:rsid w:val="00A67559"/>
    <w:rsid w:val="00A71623"/>
    <w:rsid w:val="00A71739"/>
    <w:rsid w:val="00A744C3"/>
    <w:rsid w:val="00A76B89"/>
    <w:rsid w:val="00A8092E"/>
    <w:rsid w:val="00A80FB2"/>
    <w:rsid w:val="00A8193A"/>
    <w:rsid w:val="00A82371"/>
    <w:rsid w:val="00A82926"/>
    <w:rsid w:val="00A87B98"/>
    <w:rsid w:val="00A94680"/>
    <w:rsid w:val="00AA2DDF"/>
    <w:rsid w:val="00AB395A"/>
    <w:rsid w:val="00AB677A"/>
    <w:rsid w:val="00AC0262"/>
    <w:rsid w:val="00AC0B62"/>
    <w:rsid w:val="00AC1654"/>
    <w:rsid w:val="00AD2DFE"/>
    <w:rsid w:val="00AD3093"/>
    <w:rsid w:val="00AD36FA"/>
    <w:rsid w:val="00AD685C"/>
    <w:rsid w:val="00AD6E2D"/>
    <w:rsid w:val="00AD7CBA"/>
    <w:rsid w:val="00AF15AA"/>
    <w:rsid w:val="00AF3CFB"/>
    <w:rsid w:val="00AF743E"/>
    <w:rsid w:val="00B00C40"/>
    <w:rsid w:val="00B05528"/>
    <w:rsid w:val="00B05AF6"/>
    <w:rsid w:val="00B071B3"/>
    <w:rsid w:val="00B0797B"/>
    <w:rsid w:val="00B11CF5"/>
    <w:rsid w:val="00B121D7"/>
    <w:rsid w:val="00B15B8F"/>
    <w:rsid w:val="00B173B3"/>
    <w:rsid w:val="00B20B37"/>
    <w:rsid w:val="00B26397"/>
    <w:rsid w:val="00B273EE"/>
    <w:rsid w:val="00B27C29"/>
    <w:rsid w:val="00B27FFE"/>
    <w:rsid w:val="00B30EB3"/>
    <w:rsid w:val="00B3517B"/>
    <w:rsid w:val="00B367F9"/>
    <w:rsid w:val="00B37B38"/>
    <w:rsid w:val="00B37F37"/>
    <w:rsid w:val="00B402F8"/>
    <w:rsid w:val="00B42709"/>
    <w:rsid w:val="00B44012"/>
    <w:rsid w:val="00B44CC6"/>
    <w:rsid w:val="00B50981"/>
    <w:rsid w:val="00B5665C"/>
    <w:rsid w:val="00B64F44"/>
    <w:rsid w:val="00B716F4"/>
    <w:rsid w:val="00B820F6"/>
    <w:rsid w:val="00B830E7"/>
    <w:rsid w:val="00B8484A"/>
    <w:rsid w:val="00B85441"/>
    <w:rsid w:val="00B920F9"/>
    <w:rsid w:val="00B97459"/>
    <w:rsid w:val="00BA08BF"/>
    <w:rsid w:val="00BA314F"/>
    <w:rsid w:val="00BA4635"/>
    <w:rsid w:val="00BA50BA"/>
    <w:rsid w:val="00BA6B4A"/>
    <w:rsid w:val="00BB0AA0"/>
    <w:rsid w:val="00BB50CA"/>
    <w:rsid w:val="00BD4D22"/>
    <w:rsid w:val="00BD6776"/>
    <w:rsid w:val="00BD7F99"/>
    <w:rsid w:val="00BE2C29"/>
    <w:rsid w:val="00BE49BD"/>
    <w:rsid w:val="00BE6B3C"/>
    <w:rsid w:val="00BF01D0"/>
    <w:rsid w:val="00C12A16"/>
    <w:rsid w:val="00C17D7E"/>
    <w:rsid w:val="00C20663"/>
    <w:rsid w:val="00C21766"/>
    <w:rsid w:val="00C23C05"/>
    <w:rsid w:val="00C241EB"/>
    <w:rsid w:val="00C27F33"/>
    <w:rsid w:val="00C33582"/>
    <w:rsid w:val="00C33D2D"/>
    <w:rsid w:val="00C419AD"/>
    <w:rsid w:val="00C477CC"/>
    <w:rsid w:val="00C56B8E"/>
    <w:rsid w:val="00C621E5"/>
    <w:rsid w:val="00C63547"/>
    <w:rsid w:val="00C64C07"/>
    <w:rsid w:val="00C6564F"/>
    <w:rsid w:val="00C663B4"/>
    <w:rsid w:val="00C66949"/>
    <w:rsid w:val="00C66D65"/>
    <w:rsid w:val="00C67B60"/>
    <w:rsid w:val="00C70076"/>
    <w:rsid w:val="00C70A0A"/>
    <w:rsid w:val="00C7126E"/>
    <w:rsid w:val="00C73AD4"/>
    <w:rsid w:val="00C74DFE"/>
    <w:rsid w:val="00C8103C"/>
    <w:rsid w:val="00C82D50"/>
    <w:rsid w:val="00C86518"/>
    <w:rsid w:val="00C91096"/>
    <w:rsid w:val="00C92A65"/>
    <w:rsid w:val="00C95C9A"/>
    <w:rsid w:val="00C9602F"/>
    <w:rsid w:val="00C97A1A"/>
    <w:rsid w:val="00CA797A"/>
    <w:rsid w:val="00CB325B"/>
    <w:rsid w:val="00CB7610"/>
    <w:rsid w:val="00CC0EEB"/>
    <w:rsid w:val="00CC346F"/>
    <w:rsid w:val="00CC4D74"/>
    <w:rsid w:val="00CD0F3D"/>
    <w:rsid w:val="00CD5F10"/>
    <w:rsid w:val="00CE488E"/>
    <w:rsid w:val="00CF09DF"/>
    <w:rsid w:val="00CF3364"/>
    <w:rsid w:val="00CF57FE"/>
    <w:rsid w:val="00CF7BD7"/>
    <w:rsid w:val="00D05044"/>
    <w:rsid w:val="00D06B90"/>
    <w:rsid w:val="00D111EE"/>
    <w:rsid w:val="00D20667"/>
    <w:rsid w:val="00D25113"/>
    <w:rsid w:val="00D25E46"/>
    <w:rsid w:val="00D26E1E"/>
    <w:rsid w:val="00D36021"/>
    <w:rsid w:val="00D36497"/>
    <w:rsid w:val="00D44B5D"/>
    <w:rsid w:val="00D53B0E"/>
    <w:rsid w:val="00D53F59"/>
    <w:rsid w:val="00D54AAC"/>
    <w:rsid w:val="00D647CA"/>
    <w:rsid w:val="00D735D1"/>
    <w:rsid w:val="00D76A2F"/>
    <w:rsid w:val="00D81B61"/>
    <w:rsid w:val="00D8293B"/>
    <w:rsid w:val="00D832FE"/>
    <w:rsid w:val="00D934F9"/>
    <w:rsid w:val="00D95868"/>
    <w:rsid w:val="00D95943"/>
    <w:rsid w:val="00DA7A53"/>
    <w:rsid w:val="00DB213A"/>
    <w:rsid w:val="00DB4B61"/>
    <w:rsid w:val="00DC6B93"/>
    <w:rsid w:val="00DD2674"/>
    <w:rsid w:val="00DD3C9A"/>
    <w:rsid w:val="00DE5A54"/>
    <w:rsid w:val="00DE5D55"/>
    <w:rsid w:val="00DE79F8"/>
    <w:rsid w:val="00DF1224"/>
    <w:rsid w:val="00DF7525"/>
    <w:rsid w:val="00E02FA9"/>
    <w:rsid w:val="00E04E55"/>
    <w:rsid w:val="00E05947"/>
    <w:rsid w:val="00E07886"/>
    <w:rsid w:val="00E11774"/>
    <w:rsid w:val="00E15062"/>
    <w:rsid w:val="00E153D8"/>
    <w:rsid w:val="00E1605C"/>
    <w:rsid w:val="00E17C33"/>
    <w:rsid w:val="00E202FF"/>
    <w:rsid w:val="00E22CE2"/>
    <w:rsid w:val="00E23962"/>
    <w:rsid w:val="00E30E01"/>
    <w:rsid w:val="00E33E2A"/>
    <w:rsid w:val="00E35B80"/>
    <w:rsid w:val="00E46DAC"/>
    <w:rsid w:val="00E479C7"/>
    <w:rsid w:val="00E5120A"/>
    <w:rsid w:val="00E52BBE"/>
    <w:rsid w:val="00E548FC"/>
    <w:rsid w:val="00E57998"/>
    <w:rsid w:val="00E57F17"/>
    <w:rsid w:val="00E6214E"/>
    <w:rsid w:val="00E626A1"/>
    <w:rsid w:val="00E649A8"/>
    <w:rsid w:val="00E674FB"/>
    <w:rsid w:val="00E73993"/>
    <w:rsid w:val="00E74D1A"/>
    <w:rsid w:val="00E806DD"/>
    <w:rsid w:val="00E86469"/>
    <w:rsid w:val="00E8720D"/>
    <w:rsid w:val="00E901F0"/>
    <w:rsid w:val="00E90AAF"/>
    <w:rsid w:val="00E95D38"/>
    <w:rsid w:val="00EA311B"/>
    <w:rsid w:val="00EB389D"/>
    <w:rsid w:val="00EB3F13"/>
    <w:rsid w:val="00EB4492"/>
    <w:rsid w:val="00EB6B25"/>
    <w:rsid w:val="00EC230A"/>
    <w:rsid w:val="00ED0FEA"/>
    <w:rsid w:val="00ED1151"/>
    <w:rsid w:val="00ED619D"/>
    <w:rsid w:val="00EE097D"/>
    <w:rsid w:val="00EE0D26"/>
    <w:rsid w:val="00EE7DD9"/>
    <w:rsid w:val="00EF0996"/>
    <w:rsid w:val="00EF0BC7"/>
    <w:rsid w:val="00EF4491"/>
    <w:rsid w:val="00EF7295"/>
    <w:rsid w:val="00F00764"/>
    <w:rsid w:val="00F0117F"/>
    <w:rsid w:val="00F01AAD"/>
    <w:rsid w:val="00F031E5"/>
    <w:rsid w:val="00F03F27"/>
    <w:rsid w:val="00F04DCA"/>
    <w:rsid w:val="00F05034"/>
    <w:rsid w:val="00F10634"/>
    <w:rsid w:val="00F13DB9"/>
    <w:rsid w:val="00F25A06"/>
    <w:rsid w:val="00F26014"/>
    <w:rsid w:val="00F2783D"/>
    <w:rsid w:val="00F27C5B"/>
    <w:rsid w:val="00F30DF4"/>
    <w:rsid w:val="00F32A94"/>
    <w:rsid w:val="00F3497A"/>
    <w:rsid w:val="00F37013"/>
    <w:rsid w:val="00F37072"/>
    <w:rsid w:val="00F374F6"/>
    <w:rsid w:val="00F43EB7"/>
    <w:rsid w:val="00F44217"/>
    <w:rsid w:val="00F471D2"/>
    <w:rsid w:val="00F5101C"/>
    <w:rsid w:val="00F5246F"/>
    <w:rsid w:val="00F55BA2"/>
    <w:rsid w:val="00F57440"/>
    <w:rsid w:val="00F62D28"/>
    <w:rsid w:val="00F65020"/>
    <w:rsid w:val="00F66BD2"/>
    <w:rsid w:val="00F77FA2"/>
    <w:rsid w:val="00F8391B"/>
    <w:rsid w:val="00F90AFA"/>
    <w:rsid w:val="00F91943"/>
    <w:rsid w:val="00F932DC"/>
    <w:rsid w:val="00F9489A"/>
    <w:rsid w:val="00F949A9"/>
    <w:rsid w:val="00F9613F"/>
    <w:rsid w:val="00F966C2"/>
    <w:rsid w:val="00F97B9A"/>
    <w:rsid w:val="00F97C7B"/>
    <w:rsid w:val="00FA07DE"/>
    <w:rsid w:val="00FA1975"/>
    <w:rsid w:val="00FA2CA3"/>
    <w:rsid w:val="00FA5560"/>
    <w:rsid w:val="00FA6DD7"/>
    <w:rsid w:val="00FA7F2F"/>
    <w:rsid w:val="00FB3A70"/>
    <w:rsid w:val="00FB4CD0"/>
    <w:rsid w:val="00FB5650"/>
    <w:rsid w:val="00FB582F"/>
    <w:rsid w:val="00FC5E3C"/>
    <w:rsid w:val="00FD0190"/>
    <w:rsid w:val="00FD4FD7"/>
    <w:rsid w:val="00FD6573"/>
    <w:rsid w:val="00FE0265"/>
    <w:rsid w:val="00FE1E91"/>
    <w:rsid w:val="00FE4E22"/>
    <w:rsid w:val="00FE5BC4"/>
    <w:rsid w:val="00FE6995"/>
    <w:rsid w:val="00FF44F3"/>
    <w:rsid w:val="00FF4915"/>
    <w:rsid w:val="00FF50A7"/>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7B41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928F2"/>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hesis">
    <w:name w:val="Thesis"/>
    <w:basedOn w:val="Heading1"/>
    <w:next w:val="Normal"/>
    <w:autoRedefine/>
    <w:qFormat/>
    <w:rsid w:val="004928F2"/>
    <w:pPr>
      <w:keepNext w:val="0"/>
      <w:keepLines w:val="0"/>
      <w:spacing w:before="400" w:beforeAutospacing="1" w:after="120" w:afterAutospacing="1" w:line="480" w:lineRule="auto"/>
      <w:jc w:val="center"/>
    </w:pPr>
    <w:rPr>
      <w:rFonts w:ascii="Times New Roman" w:eastAsia="Times New Roman" w:hAnsi="Times New Roman" w:cs="Times New Roman"/>
      <w:bCs/>
      <w:color w:val="000000"/>
      <w:kern w:val="36"/>
      <w:sz w:val="28"/>
      <w:szCs w:val="40"/>
    </w:rPr>
  </w:style>
  <w:style w:type="character" w:customStyle="1" w:styleId="Heading1Char">
    <w:name w:val="Heading 1 Char"/>
    <w:basedOn w:val="DefaultParagraphFont"/>
    <w:link w:val="Heading1"/>
    <w:uiPriority w:val="9"/>
    <w:rsid w:val="004928F2"/>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B42709"/>
    <w:pPr>
      <w:ind w:left="720"/>
      <w:contextualSpacing/>
    </w:pPr>
  </w:style>
  <w:style w:type="paragraph" w:styleId="NormalWeb">
    <w:name w:val="Normal (Web)"/>
    <w:basedOn w:val="Normal"/>
    <w:uiPriority w:val="99"/>
    <w:unhideWhenUsed/>
    <w:rsid w:val="00F10634"/>
    <w:pPr>
      <w:spacing w:before="100" w:beforeAutospacing="1" w:after="100" w:afterAutospacing="1"/>
    </w:pPr>
    <w:rPr>
      <w:rFonts w:ascii="Times New Roman" w:hAnsi="Times New Roman" w:cs="Times New Roman"/>
    </w:rPr>
  </w:style>
  <w:style w:type="paragraph" w:styleId="FootnoteText">
    <w:name w:val="footnote text"/>
    <w:basedOn w:val="Normal"/>
    <w:link w:val="FootnoteTextChar"/>
    <w:uiPriority w:val="99"/>
    <w:unhideWhenUsed/>
    <w:rsid w:val="00942F37"/>
    <w:rPr>
      <w:rFonts w:ascii="Times New Roman" w:hAnsi="Times New Roman"/>
      <w:sz w:val="22"/>
    </w:rPr>
  </w:style>
  <w:style w:type="character" w:customStyle="1" w:styleId="FootnoteTextChar">
    <w:name w:val="Footnote Text Char"/>
    <w:basedOn w:val="DefaultParagraphFont"/>
    <w:link w:val="FootnoteText"/>
    <w:uiPriority w:val="99"/>
    <w:rsid w:val="00942F37"/>
    <w:rPr>
      <w:rFonts w:ascii="Times New Roman" w:hAnsi="Times New Roman"/>
      <w:sz w:val="22"/>
    </w:rPr>
  </w:style>
  <w:style w:type="character" w:styleId="FootnoteReference">
    <w:name w:val="footnote reference"/>
    <w:basedOn w:val="DefaultParagraphFont"/>
    <w:uiPriority w:val="99"/>
    <w:unhideWhenUsed/>
    <w:rsid w:val="00942F37"/>
    <w:rPr>
      <w:rFonts w:ascii="Times New Roman" w:hAnsi="Times New Roman"/>
      <w:sz w:val="22"/>
      <w:vertAlign w:val="superscript"/>
    </w:rPr>
  </w:style>
  <w:style w:type="character" w:customStyle="1" w:styleId="apple-converted-space">
    <w:name w:val="apple-converted-space"/>
    <w:basedOn w:val="DefaultParagraphFont"/>
    <w:rsid w:val="0019270A"/>
  </w:style>
  <w:style w:type="paragraph" w:styleId="Footer">
    <w:name w:val="footer"/>
    <w:basedOn w:val="Normal"/>
    <w:link w:val="FooterChar"/>
    <w:uiPriority w:val="99"/>
    <w:unhideWhenUsed/>
    <w:rsid w:val="00A76B89"/>
    <w:pPr>
      <w:tabs>
        <w:tab w:val="center" w:pos="4680"/>
        <w:tab w:val="right" w:pos="9360"/>
      </w:tabs>
    </w:pPr>
  </w:style>
  <w:style w:type="character" w:customStyle="1" w:styleId="FooterChar">
    <w:name w:val="Footer Char"/>
    <w:basedOn w:val="DefaultParagraphFont"/>
    <w:link w:val="Footer"/>
    <w:uiPriority w:val="99"/>
    <w:rsid w:val="00A76B89"/>
  </w:style>
  <w:style w:type="character" w:styleId="PageNumber">
    <w:name w:val="page number"/>
    <w:basedOn w:val="DefaultParagraphFont"/>
    <w:uiPriority w:val="99"/>
    <w:semiHidden/>
    <w:unhideWhenUsed/>
    <w:rsid w:val="00A76B89"/>
  </w:style>
  <w:style w:type="character" w:styleId="CommentReference">
    <w:name w:val="annotation reference"/>
    <w:basedOn w:val="DefaultParagraphFont"/>
    <w:uiPriority w:val="99"/>
    <w:semiHidden/>
    <w:unhideWhenUsed/>
    <w:rsid w:val="00990796"/>
    <w:rPr>
      <w:sz w:val="18"/>
      <w:szCs w:val="18"/>
    </w:rPr>
  </w:style>
  <w:style w:type="paragraph" w:styleId="CommentText">
    <w:name w:val="annotation text"/>
    <w:basedOn w:val="Normal"/>
    <w:link w:val="CommentTextChar"/>
    <w:uiPriority w:val="99"/>
    <w:semiHidden/>
    <w:unhideWhenUsed/>
    <w:rsid w:val="00990796"/>
  </w:style>
  <w:style w:type="character" w:customStyle="1" w:styleId="CommentTextChar">
    <w:name w:val="Comment Text Char"/>
    <w:basedOn w:val="DefaultParagraphFont"/>
    <w:link w:val="CommentText"/>
    <w:uiPriority w:val="99"/>
    <w:semiHidden/>
    <w:rsid w:val="00990796"/>
  </w:style>
  <w:style w:type="paragraph" w:styleId="CommentSubject">
    <w:name w:val="annotation subject"/>
    <w:basedOn w:val="CommentText"/>
    <w:next w:val="CommentText"/>
    <w:link w:val="CommentSubjectChar"/>
    <w:uiPriority w:val="99"/>
    <w:semiHidden/>
    <w:unhideWhenUsed/>
    <w:rsid w:val="00990796"/>
    <w:rPr>
      <w:b/>
      <w:bCs/>
      <w:sz w:val="20"/>
      <w:szCs w:val="20"/>
    </w:rPr>
  </w:style>
  <w:style w:type="character" w:customStyle="1" w:styleId="CommentSubjectChar">
    <w:name w:val="Comment Subject Char"/>
    <w:basedOn w:val="CommentTextChar"/>
    <w:link w:val="CommentSubject"/>
    <w:uiPriority w:val="99"/>
    <w:semiHidden/>
    <w:rsid w:val="00990796"/>
    <w:rPr>
      <w:b/>
      <w:bCs/>
      <w:sz w:val="20"/>
      <w:szCs w:val="20"/>
    </w:rPr>
  </w:style>
  <w:style w:type="paragraph" w:styleId="BalloonText">
    <w:name w:val="Balloon Text"/>
    <w:basedOn w:val="Normal"/>
    <w:link w:val="BalloonTextChar"/>
    <w:uiPriority w:val="99"/>
    <w:semiHidden/>
    <w:unhideWhenUsed/>
    <w:rsid w:val="0099079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90796"/>
    <w:rPr>
      <w:rFonts w:ascii="Times New Roman" w:hAnsi="Times New Roman" w:cs="Times New Roman"/>
      <w:sz w:val="18"/>
      <w:szCs w:val="18"/>
    </w:rPr>
  </w:style>
  <w:style w:type="character" w:styleId="Hyperlink">
    <w:name w:val="Hyperlink"/>
    <w:basedOn w:val="DefaultParagraphFont"/>
    <w:uiPriority w:val="99"/>
    <w:unhideWhenUsed/>
    <w:rsid w:val="00C8103C"/>
    <w:rPr>
      <w:color w:val="0000FF"/>
      <w:u w:val="single"/>
    </w:rPr>
  </w:style>
  <w:style w:type="character" w:styleId="FollowedHyperlink">
    <w:name w:val="FollowedHyperlink"/>
    <w:basedOn w:val="DefaultParagraphFont"/>
    <w:uiPriority w:val="99"/>
    <w:semiHidden/>
    <w:unhideWhenUsed/>
    <w:rsid w:val="00942F37"/>
    <w:rPr>
      <w:color w:val="954F72" w:themeColor="followedHyperlink"/>
      <w:u w:val="single"/>
    </w:rPr>
  </w:style>
  <w:style w:type="paragraph" w:customStyle="1" w:styleId="Style1">
    <w:name w:val="Style1"/>
    <w:basedOn w:val="FootnoteText"/>
    <w:qFormat/>
    <w:rsid w:val="00942F37"/>
    <w:rPr>
      <w:rFonts w:eastAsia="Times New Roman" w:cs="Times New Roman"/>
    </w:rPr>
  </w:style>
  <w:style w:type="character" w:styleId="EndnoteReference">
    <w:name w:val="endnote reference"/>
    <w:basedOn w:val="DefaultParagraphFont"/>
    <w:uiPriority w:val="99"/>
    <w:semiHidden/>
    <w:unhideWhenUsed/>
    <w:rsid w:val="003022F7"/>
    <w:rPr>
      <w:vertAlign w:val="superscript"/>
    </w:rPr>
  </w:style>
  <w:style w:type="paragraph" w:styleId="Caption">
    <w:name w:val="caption"/>
    <w:basedOn w:val="Normal"/>
    <w:next w:val="Normal"/>
    <w:uiPriority w:val="35"/>
    <w:unhideWhenUsed/>
    <w:qFormat/>
    <w:rsid w:val="001F1BB7"/>
    <w:pPr>
      <w:spacing w:after="200"/>
    </w:pPr>
    <w:rPr>
      <w:i/>
      <w:iCs/>
      <w:color w:val="44546A" w:themeColor="text2"/>
      <w:sz w:val="18"/>
      <w:szCs w:val="18"/>
    </w:rPr>
  </w:style>
  <w:style w:type="paragraph" w:styleId="Header">
    <w:name w:val="header"/>
    <w:basedOn w:val="Normal"/>
    <w:link w:val="HeaderChar"/>
    <w:uiPriority w:val="99"/>
    <w:unhideWhenUsed/>
    <w:rsid w:val="00153831"/>
    <w:pPr>
      <w:tabs>
        <w:tab w:val="center" w:pos="4680"/>
        <w:tab w:val="right" w:pos="9360"/>
      </w:tabs>
    </w:pPr>
  </w:style>
  <w:style w:type="character" w:customStyle="1" w:styleId="HeaderChar">
    <w:name w:val="Header Char"/>
    <w:basedOn w:val="DefaultParagraphFont"/>
    <w:link w:val="Header"/>
    <w:uiPriority w:val="99"/>
    <w:rsid w:val="00153831"/>
  </w:style>
  <w:style w:type="paragraph" w:styleId="Bibliography">
    <w:name w:val="Bibliography"/>
    <w:basedOn w:val="Normal"/>
    <w:next w:val="Normal"/>
    <w:uiPriority w:val="37"/>
    <w:unhideWhenUsed/>
    <w:rsid w:val="00F27C5B"/>
    <w:pPr>
      <w:ind w:left="720" w:hanging="720"/>
    </w:pPr>
  </w:style>
  <w:style w:type="paragraph" w:styleId="TOC1">
    <w:name w:val="toc 1"/>
    <w:basedOn w:val="Normal"/>
    <w:next w:val="Normal"/>
    <w:autoRedefine/>
    <w:uiPriority w:val="39"/>
    <w:unhideWhenUsed/>
    <w:rsid w:val="00686291"/>
    <w:pPr>
      <w:tabs>
        <w:tab w:val="right" w:pos="9350"/>
      </w:tabs>
      <w:spacing w:before="120" w:line="480" w:lineRule="auto"/>
    </w:pPr>
    <w:rPr>
      <w:rFonts w:ascii="Times New Roman" w:hAnsi="Times New Roman" w:cs="Times New Roman"/>
      <w:bCs/>
      <w:sz w:val="28"/>
      <w:szCs w:val="28"/>
    </w:rPr>
  </w:style>
  <w:style w:type="paragraph" w:styleId="TOC2">
    <w:name w:val="toc 2"/>
    <w:basedOn w:val="Normal"/>
    <w:next w:val="Normal"/>
    <w:autoRedefine/>
    <w:uiPriority w:val="39"/>
    <w:unhideWhenUsed/>
    <w:rsid w:val="001C3841"/>
    <w:pPr>
      <w:ind w:left="240"/>
    </w:pPr>
    <w:rPr>
      <w:b/>
      <w:bCs/>
      <w:sz w:val="22"/>
      <w:szCs w:val="22"/>
    </w:rPr>
  </w:style>
  <w:style w:type="paragraph" w:styleId="TOC3">
    <w:name w:val="toc 3"/>
    <w:basedOn w:val="Normal"/>
    <w:next w:val="Normal"/>
    <w:autoRedefine/>
    <w:uiPriority w:val="39"/>
    <w:unhideWhenUsed/>
    <w:rsid w:val="001C3841"/>
    <w:pPr>
      <w:ind w:left="480"/>
    </w:pPr>
    <w:rPr>
      <w:sz w:val="22"/>
      <w:szCs w:val="22"/>
    </w:rPr>
  </w:style>
  <w:style w:type="paragraph" w:styleId="TOC4">
    <w:name w:val="toc 4"/>
    <w:basedOn w:val="Normal"/>
    <w:next w:val="Normal"/>
    <w:autoRedefine/>
    <w:uiPriority w:val="39"/>
    <w:unhideWhenUsed/>
    <w:rsid w:val="001C3841"/>
    <w:pPr>
      <w:ind w:left="720"/>
    </w:pPr>
    <w:rPr>
      <w:sz w:val="20"/>
      <w:szCs w:val="20"/>
    </w:rPr>
  </w:style>
  <w:style w:type="paragraph" w:styleId="TOC5">
    <w:name w:val="toc 5"/>
    <w:basedOn w:val="Normal"/>
    <w:next w:val="Normal"/>
    <w:autoRedefine/>
    <w:uiPriority w:val="39"/>
    <w:unhideWhenUsed/>
    <w:rsid w:val="001C3841"/>
    <w:pPr>
      <w:ind w:left="960"/>
    </w:pPr>
    <w:rPr>
      <w:sz w:val="20"/>
      <w:szCs w:val="20"/>
    </w:rPr>
  </w:style>
  <w:style w:type="paragraph" w:styleId="TOC6">
    <w:name w:val="toc 6"/>
    <w:basedOn w:val="Normal"/>
    <w:next w:val="Normal"/>
    <w:autoRedefine/>
    <w:uiPriority w:val="39"/>
    <w:unhideWhenUsed/>
    <w:rsid w:val="001C3841"/>
    <w:pPr>
      <w:ind w:left="1200"/>
    </w:pPr>
    <w:rPr>
      <w:sz w:val="20"/>
      <w:szCs w:val="20"/>
    </w:rPr>
  </w:style>
  <w:style w:type="paragraph" w:styleId="TOC7">
    <w:name w:val="toc 7"/>
    <w:basedOn w:val="Normal"/>
    <w:next w:val="Normal"/>
    <w:autoRedefine/>
    <w:uiPriority w:val="39"/>
    <w:unhideWhenUsed/>
    <w:rsid w:val="001C3841"/>
    <w:pPr>
      <w:ind w:left="1440"/>
    </w:pPr>
    <w:rPr>
      <w:sz w:val="20"/>
      <w:szCs w:val="20"/>
    </w:rPr>
  </w:style>
  <w:style w:type="paragraph" w:styleId="TOC8">
    <w:name w:val="toc 8"/>
    <w:basedOn w:val="Normal"/>
    <w:next w:val="Normal"/>
    <w:autoRedefine/>
    <w:uiPriority w:val="39"/>
    <w:unhideWhenUsed/>
    <w:rsid w:val="001C3841"/>
    <w:pPr>
      <w:ind w:left="1680"/>
    </w:pPr>
    <w:rPr>
      <w:sz w:val="20"/>
      <w:szCs w:val="20"/>
    </w:rPr>
  </w:style>
  <w:style w:type="paragraph" w:styleId="TOC9">
    <w:name w:val="toc 9"/>
    <w:basedOn w:val="Normal"/>
    <w:next w:val="Normal"/>
    <w:autoRedefine/>
    <w:uiPriority w:val="39"/>
    <w:unhideWhenUsed/>
    <w:rsid w:val="001C3841"/>
    <w:pPr>
      <w:ind w:left="1920"/>
    </w:pPr>
    <w:rPr>
      <w:sz w:val="20"/>
      <w:szCs w:val="20"/>
    </w:rPr>
  </w:style>
  <w:style w:type="paragraph" w:styleId="TOCHeading">
    <w:name w:val="TOC Heading"/>
    <w:basedOn w:val="Heading1"/>
    <w:next w:val="Normal"/>
    <w:uiPriority w:val="39"/>
    <w:unhideWhenUsed/>
    <w:qFormat/>
    <w:rsid w:val="00F05034"/>
    <w:pPr>
      <w:spacing w:before="480" w:line="276" w:lineRule="auto"/>
      <w:outlineLvl w:val="9"/>
    </w:pPr>
    <w:rPr>
      <w:b/>
      <w:bCs/>
      <w:sz w:val="28"/>
      <w:szCs w:val="28"/>
    </w:rPr>
  </w:style>
  <w:style w:type="paragraph" w:styleId="Revision">
    <w:name w:val="Revision"/>
    <w:hidden/>
    <w:uiPriority w:val="99"/>
    <w:semiHidden/>
    <w:rsid w:val="00FE0265"/>
  </w:style>
  <w:style w:type="paragraph" w:styleId="TableofFigures">
    <w:name w:val="table of figures"/>
    <w:basedOn w:val="Normal"/>
    <w:next w:val="Normal"/>
    <w:uiPriority w:val="99"/>
    <w:unhideWhenUsed/>
    <w:rsid w:val="000709E0"/>
    <w:pPr>
      <w:ind w:left="480" w:hanging="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7545007">
      <w:bodyDiv w:val="1"/>
      <w:marLeft w:val="0"/>
      <w:marRight w:val="0"/>
      <w:marTop w:val="0"/>
      <w:marBottom w:val="0"/>
      <w:divBdr>
        <w:top w:val="none" w:sz="0" w:space="0" w:color="auto"/>
        <w:left w:val="none" w:sz="0" w:space="0" w:color="auto"/>
        <w:bottom w:val="none" w:sz="0" w:space="0" w:color="auto"/>
        <w:right w:val="none" w:sz="0" w:space="0" w:color="auto"/>
      </w:divBdr>
    </w:div>
    <w:div w:id="538933366">
      <w:bodyDiv w:val="1"/>
      <w:marLeft w:val="0"/>
      <w:marRight w:val="0"/>
      <w:marTop w:val="0"/>
      <w:marBottom w:val="0"/>
      <w:divBdr>
        <w:top w:val="none" w:sz="0" w:space="0" w:color="auto"/>
        <w:left w:val="none" w:sz="0" w:space="0" w:color="auto"/>
        <w:bottom w:val="none" w:sz="0" w:space="0" w:color="auto"/>
        <w:right w:val="none" w:sz="0" w:space="0" w:color="auto"/>
      </w:divBdr>
      <w:divsChild>
        <w:div w:id="1179931705">
          <w:marLeft w:val="0"/>
          <w:marRight w:val="0"/>
          <w:marTop w:val="0"/>
          <w:marBottom w:val="0"/>
          <w:divBdr>
            <w:top w:val="none" w:sz="0" w:space="0" w:color="auto"/>
            <w:left w:val="none" w:sz="0" w:space="0" w:color="auto"/>
            <w:bottom w:val="none" w:sz="0" w:space="0" w:color="auto"/>
            <w:right w:val="none" w:sz="0" w:space="0" w:color="auto"/>
          </w:divBdr>
          <w:divsChild>
            <w:div w:id="339167476">
              <w:marLeft w:val="0"/>
              <w:marRight w:val="0"/>
              <w:marTop w:val="0"/>
              <w:marBottom w:val="0"/>
              <w:divBdr>
                <w:top w:val="none" w:sz="0" w:space="0" w:color="auto"/>
                <w:left w:val="none" w:sz="0" w:space="0" w:color="auto"/>
                <w:bottom w:val="none" w:sz="0" w:space="0" w:color="auto"/>
                <w:right w:val="none" w:sz="0" w:space="0" w:color="auto"/>
              </w:divBdr>
              <w:divsChild>
                <w:div w:id="1683899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03505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9" Type="http://schemas.openxmlformats.org/officeDocument/2006/relationships/footer" Target="footer2.xml"/><Relationship Id="rId20" Type="http://schemas.openxmlformats.org/officeDocument/2006/relationships/image" Target="media/image4.png"/><Relationship Id="rId21" Type="http://schemas.openxmlformats.org/officeDocument/2006/relationships/fontTable" Target="fontTable.xml"/><Relationship Id="rId22" Type="http://schemas.openxmlformats.org/officeDocument/2006/relationships/theme" Target="theme/theme1.xml"/><Relationship Id="rId10" Type="http://schemas.openxmlformats.org/officeDocument/2006/relationships/footer" Target="footer3.xml"/><Relationship Id="rId11" Type="http://schemas.openxmlformats.org/officeDocument/2006/relationships/header" Target="header1.xml"/><Relationship Id="rId12" Type="http://schemas.openxmlformats.org/officeDocument/2006/relationships/footer" Target="footer4.xml"/><Relationship Id="rId13" Type="http://schemas.openxmlformats.org/officeDocument/2006/relationships/header" Target="header2.xml"/><Relationship Id="rId14" Type="http://schemas.openxmlformats.org/officeDocument/2006/relationships/footer" Target="footer5.xml"/><Relationship Id="rId15" Type="http://schemas.openxmlformats.org/officeDocument/2006/relationships/header" Target="header3.xml"/><Relationship Id="rId16" Type="http://schemas.openxmlformats.org/officeDocument/2006/relationships/footer" Target="footer6.xml"/><Relationship Id="rId17" Type="http://schemas.openxmlformats.org/officeDocument/2006/relationships/image" Target="media/image1.png"/><Relationship Id="rId18" Type="http://schemas.openxmlformats.org/officeDocument/2006/relationships/image" Target="media/image2.png"/><Relationship Id="rId19" Type="http://schemas.openxmlformats.org/officeDocument/2006/relationships/image" Target="media/image3.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creativetimereports.org/2014/09/15/spatial-justice-rasquachification-race-and-the-c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A1B20B01-6DD5-F34A-A034-AA7E5FA915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129</Pages>
  <Words>31451</Words>
  <Characters>179277</Characters>
  <Application>Microsoft Macintosh Word</Application>
  <DocSecurity>0</DocSecurity>
  <Lines>1493</Lines>
  <Paragraphs>420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210308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Travis</dc:creator>
  <cp:keywords/>
  <dc:description/>
  <cp:lastModifiedBy>Samantha Travis</cp:lastModifiedBy>
  <cp:revision>2</cp:revision>
  <dcterms:created xsi:type="dcterms:W3CDTF">2019-06-01T22:53:00Z</dcterms:created>
  <dcterms:modified xsi:type="dcterms:W3CDTF">2019-06-01T22:53:00Z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zotero-version="5.0.66"&gt;&lt;session id="shD3knXs"/&gt;&lt;style id="http://www.zotero.org/styles/chicago-fullnote-bibliography" locale="en-US" hasBibliography="1" bibliographyStyleHasBeenSet="1"/&gt;&lt;prefs&gt;&lt;pref name="fieldType" value="Field"/&gt;</vt:lpwstr>
  </property>
  <property fmtid="{D5CDD505-2E9C-101B-9397-08002B2CF9AE}" pid="3" name="ZOTERO_PREF_2">
    <vt:lpwstr>&lt;pref name="automaticJournalAbbreviations" value="true"/&gt;&lt;pref name="noteType" value="1"/&gt;&lt;/prefs&gt;&lt;/data&gt;</vt:lpwstr>
  </property>
</Properties>
</file>