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003C0B61" w:rsidR="0069153A" w:rsidRDefault="0069153A" w:rsidP="0069153A">
      <w:pPr>
        <w:jc w:val="center"/>
      </w:pPr>
      <w:r>
        <w:rPr>
          <w:b/>
        </w:rPr>
        <w:t xml:space="preserve">Faculty Senate </w:t>
      </w:r>
      <w:r w:rsidR="00C06314">
        <w:rPr>
          <w:b/>
        </w:rPr>
        <w:t>Notes</w:t>
      </w:r>
    </w:p>
    <w:p w14:paraId="0037B8F5" w14:textId="6C889374" w:rsidR="0069153A" w:rsidRDefault="00C30896" w:rsidP="0069153A">
      <w:pPr>
        <w:jc w:val="center"/>
      </w:pPr>
      <w:r>
        <w:t xml:space="preserve">November </w:t>
      </w:r>
      <w:r w:rsidR="000317CD">
        <w:t>24</w:t>
      </w:r>
      <w:r w:rsidR="0069153A">
        <w:t>, 2020, 3:30 p.m.</w:t>
      </w:r>
    </w:p>
    <w:p w14:paraId="74BF3A03" w14:textId="528E2E48" w:rsidR="0069153A" w:rsidRDefault="0069153A" w:rsidP="0069153A">
      <w:pPr>
        <w:jc w:val="center"/>
      </w:pPr>
      <w:r>
        <w:t>Via Zoom</w:t>
      </w:r>
    </w:p>
    <w:p w14:paraId="672168F8" w14:textId="77777777" w:rsidR="0069153A" w:rsidRPr="006B79A8" w:rsidRDefault="001315BE"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51CA520A" w:rsidR="0069153A" w:rsidRDefault="0069153A" w:rsidP="0069153A">
      <w:pPr>
        <w:jc w:val="center"/>
        <w:rPr>
          <w:szCs w:val="24"/>
        </w:rPr>
      </w:pPr>
    </w:p>
    <w:p w14:paraId="56541A97" w14:textId="5A5973C3" w:rsidR="006754DD" w:rsidRDefault="006754DD" w:rsidP="006754DD">
      <w:pPr>
        <w:tabs>
          <w:tab w:val="left" w:pos="1020"/>
        </w:tabs>
        <w:rPr>
          <w:szCs w:val="24"/>
        </w:rPr>
      </w:pPr>
      <w:r>
        <w:rPr>
          <w:szCs w:val="24"/>
        </w:rPr>
        <w:t xml:space="preserve">In attendance: </w:t>
      </w:r>
      <w:r w:rsidR="00AC7078">
        <w:rPr>
          <w:szCs w:val="24"/>
        </w:rPr>
        <w:t>18</w:t>
      </w:r>
      <w:r>
        <w:rPr>
          <w:szCs w:val="24"/>
        </w:rPr>
        <w:t xml:space="preserve"> of 18</w:t>
      </w:r>
    </w:p>
    <w:p w14:paraId="738D0651" w14:textId="77777777" w:rsidR="006754DD" w:rsidRDefault="006754DD" w:rsidP="006754DD">
      <w:r w:rsidRPr="00E02486">
        <w:t xml:space="preserve">Leonard Arvi, Matthew Bailey, Anita Brown, Randy Cone (President), Dan Ervin, Christy Harper, </w:t>
      </w:r>
      <w:proofErr w:type="spellStart"/>
      <w:r w:rsidRPr="00E02486">
        <w:t>Kosta</w:t>
      </w:r>
      <w:proofErr w:type="spellEnd"/>
      <w:r w:rsidRPr="00E02486">
        <w:t xml:space="preserve"> Kyriacopoulos, Thomas Lamey, Deneen Long-White, Jennifer Martin (Secretary), John Nieves, John Raley, Ellen Schaefer-Salins, Kathleen Shannon, Ron Siers, Teddy Stocking, Bart Talbert, Adam Wood</w:t>
      </w:r>
    </w:p>
    <w:p w14:paraId="04384E1C" w14:textId="77777777" w:rsidR="006754DD" w:rsidRDefault="006754DD" w:rsidP="006754DD">
      <w:pPr>
        <w:tabs>
          <w:tab w:val="left" w:pos="1020"/>
        </w:tabs>
        <w:rPr>
          <w:szCs w:val="24"/>
        </w:rPr>
      </w:pPr>
    </w:p>
    <w:p w14:paraId="7F19453C" w14:textId="656226C0" w:rsidR="006754DD" w:rsidRDefault="006754DD" w:rsidP="006754DD">
      <w:pPr>
        <w:tabs>
          <w:tab w:val="left" w:pos="1020"/>
        </w:tabs>
        <w:rPr>
          <w:szCs w:val="24"/>
        </w:rPr>
      </w:pPr>
      <w:r>
        <w:rPr>
          <w:szCs w:val="24"/>
        </w:rPr>
        <w:t>Called to order (3:3</w:t>
      </w:r>
      <w:r w:rsidR="006A6F86">
        <w:rPr>
          <w:szCs w:val="24"/>
        </w:rPr>
        <w:t>1</w:t>
      </w:r>
      <w:r>
        <w:rPr>
          <w:szCs w:val="24"/>
        </w:rPr>
        <w:t xml:space="preserve"> p.m.)</w:t>
      </w:r>
    </w:p>
    <w:p w14:paraId="59BA2CC3" w14:textId="77777777" w:rsidR="006754DD" w:rsidRPr="00716178" w:rsidRDefault="006754DD" w:rsidP="0069153A">
      <w:pPr>
        <w:jc w:val="center"/>
        <w:rPr>
          <w:szCs w:val="24"/>
        </w:rPr>
      </w:pPr>
    </w:p>
    <w:p w14:paraId="26B60022" w14:textId="72A07DF6" w:rsidR="0069153A" w:rsidRDefault="0069153A" w:rsidP="0069153A">
      <w:pPr>
        <w:pStyle w:val="ListParagraph"/>
        <w:numPr>
          <w:ilvl w:val="0"/>
          <w:numId w:val="1"/>
        </w:numPr>
        <w:rPr>
          <w:szCs w:val="24"/>
        </w:rPr>
      </w:pPr>
      <w:r w:rsidRPr="00716178">
        <w:rPr>
          <w:szCs w:val="24"/>
        </w:rPr>
        <w:t>Remarks from President Wight</w:t>
      </w:r>
    </w:p>
    <w:p w14:paraId="120D4812" w14:textId="4374FAC7" w:rsidR="00A67A13" w:rsidRDefault="006A6F86" w:rsidP="007B53CD">
      <w:pPr>
        <w:pStyle w:val="ListParagraph"/>
        <w:numPr>
          <w:ilvl w:val="1"/>
          <w:numId w:val="1"/>
        </w:numPr>
        <w:ind w:left="1080"/>
        <w:rPr>
          <w:szCs w:val="24"/>
        </w:rPr>
      </w:pPr>
      <w:r>
        <w:rPr>
          <w:szCs w:val="24"/>
        </w:rPr>
        <w:t xml:space="preserve">No big news. Things </w:t>
      </w:r>
      <w:r w:rsidR="000E42CA">
        <w:rPr>
          <w:szCs w:val="24"/>
        </w:rPr>
        <w:t xml:space="preserve">are </w:t>
      </w:r>
      <w:r>
        <w:rPr>
          <w:szCs w:val="24"/>
        </w:rPr>
        <w:t xml:space="preserve">going along very well. </w:t>
      </w:r>
      <w:r w:rsidR="000E42CA">
        <w:rPr>
          <w:szCs w:val="24"/>
        </w:rPr>
        <w:t>Our p</w:t>
      </w:r>
      <w:r>
        <w:rPr>
          <w:szCs w:val="24"/>
        </w:rPr>
        <w:t xml:space="preserve">ositivity rate </w:t>
      </w:r>
      <w:r w:rsidR="000E42CA">
        <w:rPr>
          <w:szCs w:val="24"/>
        </w:rPr>
        <w:t xml:space="preserve">is </w:t>
      </w:r>
      <w:r>
        <w:rPr>
          <w:szCs w:val="24"/>
        </w:rPr>
        <w:t>still</w:t>
      </w:r>
      <w:r w:rsidR="000E42CA">
        <w:rPr>
          <w:szCs w:val="24"/>
        </w:rPr>
        <w:t xml:space="preserve"> around</w:t>
      </w:r>
      <w:r>
        <w:rPr>
          <w:szCs w:val="24"/>
        </w:rPr>
        <w:t xml:space="preserve"> 1-2%, and declining slightly. 700 tests yesterday; </w:t>
      </w:r>
      <w:r w:rsidR="000E42CA">
        <w:rPr>
          <w:szCs w:val="24"/>
        </w:rPr>
        <w:t xml:space="preserve">they are </w:t>
      </w:r>
      <w:r>
        <w:rPr>
          <w:szCs w:val="24"/>
        </w:rPr>
        <w:t xml:space="preserve">still waiting on those results. On Thursday he will be </w:t>
      </w:r>
      <w:r w:rsidR="000E42CA">
        <w:rPr>
          <w:szCs w:val="24"/>
        </w:rPr>
        <w:t>helping serve</w:t>
      </w:r>
      <w:r>
        <w:rPr>
          <w:szCs w:val="24"/>
        </w:rPr>
        <w:t xml:space="preserve"> </w:t>
      </w:r>
      <w:r w:rsidR="000E42CA">
        <w:rPr>
          <w:szCs w:val="24"/>
        </w:rPr>
        <w:t>T</w:t>
      </w:r>
      <w:r>
        <w:rPr>
          <w:szCs w:val="24"/>
        </w:rPr>
        <w:t xml:space="preserve">hanksgiving dinner to students still on campus. </w:t>
      </w:r>
      <w:r w:rsidR="000E42CA">
        <w:rPr>
          <w:szCs w:val="24"/>
        </w:rPr>
        <w:t>He wishes everyone a h</w:t>
      </w:r>
      <w:r>
        <w:rPr>
          <w:szCs w:val="24"/>
        </w:rPr>
        <w:t xml:space="preserve">appy Thanksgiving. Thanks for all that we do to keep educational opportunities </w:t>
      </w:r>
      <w:r w:rsidR="000E42CA">
        <w:rPr>
          <w:szCs w:val="24"/>
        </w:rPr>
        <w:t xml:space="preserve">open </w:t>
      </w:r>
      <w:r>
        <w:rPr>
          <w:szCs w:val="24"/>
        </w:rPr>
        <w:t>for students.</w:t>
      </w:r>
    </w:p>
    <w:p w14:paraId="57ABBC07" w14:textId="545C4591" w:rsidR="006A6F86" w:rsidRDefault="006A6F86" w:rsidP="007B53CD">
      <w:pPr>
        <w:pStyle w:val="ListParagraph"/>
        <w:numPr>
          <w:ilvl w:val="1"/>
          <w:numId w:val="1"/>
        </w:numPr>
        <w:ind w:left="1080"/>
        <w:rPr>
          <w:szCs w:val="24"/>
        </w:rPr>
      </w:pPr>
      <w:r>
        <w:rPr>
          <w:szCs w:val="24"/>
        </w:rPr>
        <w:t>Questions?</w:t>
      </w:r>
    </w:p>
    <w:p w14:paraId="72E5B2C6" w14:textId="12399826" w:rsidR="006A6F86" w:rsidRDefault="000E42CA" w:rsidP="007B53CD">
      <w:pPr>
        <w:pStyle w:val="ListParagraph"/>
        <w:numPr>
          <w:ilvl w:val="2"/>
          <w:numId w:val="1"/>
        </w:numPr>
        <w:ind w:left="1440"/>
        <w:rPr>
          <w:szCs w:val="24"/>
        </w:rPr>
      </w:pPr>
      <w:r>
        <w:rPr>
          <w:szCs w:val="24"/>
        </w:rPr>
        <w:t xml:space="preserve">Question (Q): </w:t>
      </w:r>
      <w:r w:rsidR="006A6F86">
        <w:rPr>
          <w:szCs w:val="24"/>
        </w:rPr>
        <w:t xml:space="preserve">Are you concerned about the rising county </w:t>
      </w:r>
      <w:r>
        <w:rPr>
          <w:szCs w:val="24"/>
        </w:rPr>
        <w:t xml:space="preserve">positivity </w:t>
      </w:r>
      <w:r w:rsidR="006A6F86">
        <w:rPr>
          <w:szCs w:val="24"/>
        </w:rPr>
        <w:t xml:space="preserve">rates? Is there a threshold for that </w:t>
      </w:r>
      <w:r>
        <w:rPr>
          <w:szCs w:val="24"/>
        </w:rPr>
        <w:t>where we would shut down</w:t>
      </w:r>
      <w:r w:rsidR="006A6F86">
        <w:rPr>
          <w:szCs w:val="24"/>
        </w:rPr>
        <w:t>?</w:t>
      </w:r>
    </w:p>
    <w:p w14:paraId="3115697D" w14:textId="6285049D" w:rsidR="006A6F86" w:rsidRPr="006A6F86" w:rsidRDefault="000E42CA" w:rsidP="007B53CD">
      <w:pPr>
        <w:pStyle w:val="ListParagraph"/>
        <w:numPr>
          <w:ilvl w:val="3"/>
          <w:numId w:val="1"/>
        </w:numPr>
        <w:ind w:left="1800"/>
        <w:rPr>
          <w:szCs w:val="24"/>
        </w:rPr>
      </w:pPr>
      <w:r>
        <w:rPr>
          <w:szCs w:val="24"/>
        </w:rPr>
        <w:t xml:space="preserve">Response (R): </w:t>
      </w:r>
      <w:r w:rsidR="006A6F86" w:rsidRPr="006A6F86">
        <w:rPr>
          <w:szCs w:val="24"/>
        </w:rPr>
        <w:t xml:space="preserve">Usually </w:t>
      </w:r>
      <w:r>
        <w:rPr>
          <w:szCs w:val="24"/>
        </w:rPr>
        <w:t>they consider shutdowns related to positivity rates</w:t>
      </w:r>
      <w:r w:rsidR="006A6F86" w:rsidRPr="006A6F86">
        <w:rPr>
          <w:szCs w:val="24"/>
        </w:rPr>
        <w:t xml:space="preserve"> by comparing our positivity rate with</w:t>
      </w:r>
      <w:r>
        <w:rPr>
          <w:szCs w:val="24"/>
        </w:rPr>
        <w:t xml:space="preserve"> the positivity rates</w:t>
      </w:r>
      <w:r w:rsidR="006A6F86" w:rsidRPr="006A6F86">
        <w:rPr>
          <w:szCs w:val="24"/>
        </w:rPr>
        <w:t xml:space="preserve"> where </w:t>
      </w:r>
      <w:r>
        <w:rPr>
          <w:szCs w:val="24"/>
        </w:rPr>
        <w:t>students</w:t>
      </w:r>
      <w:r w:rsidR="006A6F86" w:rsidRPr="006A6F86">
        <w:rPr>
          <w:szCs w:val="24"/>
        </w:rPr>
        <w:t xml:space="preserve"> would go if we were to move instruction online</w:t>
      </w:r>
      <w:r>
        <w:rPr>
          <w:szCs w:val="24"/>
        </w:rPr>
        <w:t xml:space="preserve"> or </w:t>
      </w:r>
      <w:r w:rsidR="006A6F86" w:rsidRPr="006A6F86">
        <w:rPr>
          <w:szCs w:val="24"/>
        </w:rPr>
        <w:t>close campus. So far, campus seems the safest place to be. The other issue might be if the county was nearing hospital capacity; but we’re nowhere near that for now.</w:t>
      </w:r>
    </w:p>
    <w:p w14:paraId="6058592A" w14:textId="0B48239B" w:rsidR="00EB72FE" w:rsidRPr="00716178" w:rsidRDefault="00A93889" w:rsidP="00EB72FE">
      <w:pPr>
        <w:pStyle w:val="ListParagraph"/>
        <w:numPr>
          <w:ilvl w:val="0"/>
          <w:numId w:val="1"/>
        </w:numPr>
        <w:rPr>
          <w:szCs w:val="24"/>
        </w:rPr>
      </w:pPr>
      <w:r w:rsidRPr="00716178">
        <w:rPr>
          <w:szCs w:val="24"/>
        </w:rPr>
        <w:t xml:space="preserve">Approval of </w:t>
      </w:r>
      <w:r w:rsidR="0069153A" w:rsidRPr="00716178">
        <w:rPr>
          <w:szCs w:val="24"/>
        </w:rPr>
        <w:t xml:space="preserve">Minutes from </w:t>
      </w:r>
      <w:r w:rsidR="00C30896">
        <w:rPr>
          <w:szCs w:val="24"/>
        </w:rPr>
        <w:t>1</w:t>
      </w:r>
      <w:r w:rsidR="000317CD">
        <w:rPr>
          <w:szCs w:val="24"/>
        </w:rPr>
        <w:t>1</w:t>
      </w:r>
      <w:r w:rsidR="009123EE" w:rsidRPr="00716178">
        <w:rPr>
          <w:szCs w:val="24"/>
        </w:rPr>
        <w:t>-</w:t>
      </w:r>
      <w:r w:rsidR="000317CD">
        <w:rPr>
          <w:szCs w:val="24"/>
        </w:rPr>
        <w:t>10</w:t>
      </w:r>
      <w:r w:rsidR="0069153A" w:rsidRPr="00716178">
        <w:rPr>
          <w:szCs w:val="24"/>
        </w:rPr>
        <w:t>-2020</w:t>
      </w:r>
      <w:r w:rsidR="006A6F86">
        <w:rPr>
          <w:szCs w:val="24"/>
        </w:rPr>
        <w:t>. Minutes approved as written.</w:t>
      </w:r>
    </w:p>
    <w:p w14:paraId="41974593" w14:textId="2277F872" w:rsidR="0069153A" w:rsidRDefault="0069153A" w:rsidP="00EB72FE">
      <w:pPr>
        <w:pStyle w:val="ListParagraph"/>
        <w:numPr>
          <w:ilvl w:val="0"/>
          <w:numId w:val="1"/>
        </w:numPr>
        <w:rPr>
          <w:szCs w:val="24"/>
        </w:rPr>
      </w:pPr>
      <w:r w:rsidRPr="00716178">
        <w:rPr>
          <w:szCs w:val="24"/>
        </w:rPr>
        <w:t xml:space="preserve">Announcements from </w:t>
      </w:r>
      <w:r w:rsidR="00EB6DD7">
        <w:rPr>
          <w:szCs w:val="24"/>
        </w:rPr>
        <w:t>Provost</w:t>
      </w:r>
      <w:r w:rsidRPr="00716178">
        <w:rPr>
          <w:szCs w:val="24"/>
        </w:rPr>
        <w:t xml:space="preserve"> Olmstead</w:t>
      </w:r>
      <w:r w:rsidR="00D442F3">
        <w:rPr>
          <w:szCs w:val="24"/>
        </w:rPr>
        <w:t>. (See Appendix 1 for written announcements.)</w:t>
      </w:r>
    </w:p>
    <w:p w14:paraId="6DCBE530" w14:textId="59B8B6E5" w:rsidR="00A67A13" w:rsidRDefault="000E42CA" w:rsidP="007B53CD">
      <w:pPr>
        <w:pStyle w:val="ListParagraph"/>
        <w:numPr>
          <w:ilvl w:val="1"/>
          <w:numId w:val="1"/>
        </w:numPr>
        <w:ind w:left="1080"/>
        <w:rPr>
          <w:szCs w:val="24"/>
        </w:rPr>
      </w:pPr>
      <w:r>
        <w:rPr>
          <w:szCs w:val="24"/>
        </w:rPr>
        <w:t>E</w:t>
      </w:r>
      <w:r w:rsidR="006A6F86">
        <w:rPr>
          <w:szCs w:val="24"/>
        </w:rPr>
        <w:t>veryone needs to be tested post-</w:t>
      </w:r>
      <w:r>
        <w:rPr>
          <w:szCs w:val="24"/>
        </w:rPr>
        <w:t>T</w:t>
      </w:r>
      <w:r w:rsidR="006A6F86">
        <w:rPr>
          <w:szCs w:val="24"/>
        </w:rPr>
        <w:t>hanksgiving. We feel we’re in a better position with returning students if we remain open and can therefore conduct testing, etc.</w:t>
      </w:r>
    </w:p>
    <w:p w14:paraId="422B8881" w14:textId="34A754B3" w:rsidR="006A6F86" w:rsidRDefault="000E42CA" w:rsidP="007B53CD">
      <w:pPr>
        <w:pStyle w:val="ListParagraph"/>
        <w:numPr>
          <w:ilvl w:val="1"/>
          <w:numId w:val="1"/>
        </w:numPr>
        <w:ind w:left="1080"/>
        <w:rPr>
          <w:szCs w:val="24"/>
        </w:rPr>
      </w:pPr>
      <w:r>
        <w:rPr>
          <w:szCs w:val="24"/>
        </w:rPr>
        <w:t xml:space="preserve">She </w:t>
      </w:r>
      <w:r w:rsidR="006A6F86">
        <w:rPr>
          <w:szCs w:val="24"/>
        </w:rPr>
        <w:t xml:space="preserve">would like to work with the senate to put together a task group to consider the impact </w:t>
      </w:r>
      <w:r>
        <w:rPr>
          <w:szCs w:val="24"/>
        </w:rPr>
        <w:t>of</w:t>
      </w:r>
      <w:r w:rsidR="006A6F86">
        <w:rPr>
          <w:szCs w:val="24"/>
        </w:rPr>
        <w:t xml:space="preserve"> COVID on the tenure and promotion process</w:t>
      </w:r>
      <w:r>
        <w:rPr>
          <w:szCs w:val="24"/>
        </w:rPr>
        <w:t>.</w:t>
      </w:r>
    </w:p>
    <w:p w14:paraId="37E05B0D" w14:textId="6B695125" w:rsidR="006A6F86" w:rsidRDefault="000E42CA" w:rsidP="007B53CD">
      <w:pPr>
        <w:pStyle w:val="ListParagraph"/>
        <w:numPr>
          <w:ilvl w:val="1"/>
          <w:numId w:val="1"/>
        </w:numPr>
        <w:ind w:left="1080"/>
        <w:rPr>
          <w:szCs w:val="24"/>
        </w:rPr>
      </w:pPr>
      <w:r>
        <w:rPr>
          <w:szCs w:val="24"/>
        </w:rPr>
        <w:t>The UCC</w:t>
      </w:r>
      <w:r w:rsidR="006A6F86">
        <w:rPr>
          <w:szCs w:val="24"/>
        </w:rPr>
        <w:t xml:space="preserve"> approved </w:t>
      </w:r>
      <w:r>
        <w:rPr>
          <w:szCs w:val="24"/>
        </w:rPr>
        <w:t>accepting</w:t>
      </w:r>
      <w:r w:rsidR="006A6F86">
        <w:rPr>
          <w:szCs w:val="24"/>
        </w:rPr>
        <w:t xml:space="preserve"> an AA or AS</w:t>
      </w:r>
      <w:r>
        <w:rPr>
          <w:szCs w:val="24"/>
        </w:rPr>
        <w:t xml:space="preserve"> degree</w:t>
      </w:r>
      <w:r w:rsidR="006A6F86">
        <w:rPr>
          <w:szCs w:val="24"/>
        </w:rPr>
        <w:t xml:space="preserve"> as having completed gen ed (i.e.</w:t>
      </w:r>
      <w:r>
        <w:rPr>
          <w:szCs w:val="24"/>
        </w:rPr>
        <w:t>,</w:t>
      </w:r>
      <w:r w:rsidR="006A6F86">
        <w:rPr>
          <w:szCs w:val="24"/>
        </w:rPr>
        <w:t xml:space="preserve"> accept their gen ed as </w:t>
      </w:r>
      <w:r>
        <w:rPr>
          <w:szCs w:val="24"/>
        </w:rPr>
        <w:t>equivalent</w:t>
      </w:r>
      <w:r w:rsidR="006A6F86">
        <w:rPr>
          <w:szCs w:val="24"/>
        </w:rPr>
        <w:t xml:space="preserve"> to ours). We already essentially do </w:t>
      </w:r>
      <w:r>
        <w:rPr>
          <w:szCs w:val="24"/>
        </w:rPr>
        <w:t>this</w:t>
      </w:r>
      <w:r w:rsidR="006A6F86">
        <w:rPr>
          <w:szCs w:val="24"/>
        </w:rPr>
        <w:t xml:space="preserve">, but </w:t>
      </w:r>
      <w:r>
        <w:rPr>
          <w:szCs w:val="24"/>
        </w:rPr>
        <w:t xml:space="preserve">the process requires going through and matching up courses </w:t>
      </w:r>
      <w:r w:rsidR="006A6F86">
        <w:rPr>
          <w:szCs w:val="24"/>
        </w:rPr>
        <w:t xml:space="preserve">on a case-by-case basis; this </w:t>
      </w:r>
      <w:r>
        <w:rPr>
          <w:szCs w:val="24"/>
        </w:rPr>
        <w:t xml:space="preserve">approval </w:t>
      </w:r>
      <w:r w:rsidR="006A6F86">
        <w:rPr>
          <w:szCs w:val="24"/>
        </w:rPr>
        <w:t xml:space="preserve">will streamline </w:t>
      </w:r>
      <w:r>
        <w:rPr>
          <w:szCs w:val="24"/>
        </w:rPr>
        <w:t>the process for us</w:t>
      </w:r>
      <w:r w:rsidR="006A6F86">
        <w:rPr>
          <w:szCs w:val="24"/>
        </w:rPr>
        <w:t xml:space="preserve"> and make it easier to market</w:t>
      </w:r>
      <w:r>
        <w:rPr>
          <w:szCs w:val="24"/>
        </w:rPr>
        <w:t xml:space="preserve"> to potential students with those degrees</w:t>
      </w:r>
      <w:r w:rsidR="006A6F86">
        <w:rPr>
          <w:szCs w:val="24"/>
        </w:rPr>
        <w:t xml:space="preserve">. This </w:t>
      </w:r>
      <w:r>
        <w:rPr>
          <w:szCs w:val="24"/>
        </w:rPr>
        <w:t>approval applies only to the</w:t>
      </w:r>
      <w:r w:rsidR="006A6F86">
        <w:rPr>
          <w:szCs w:val="24"/>
        </w:rPr>
        <w:t xml:space="preserve"> current gen ed model.</w:t>
      </w:r>
    </w:p>
    <w:p w14:paraId="757DDA68" w14:textId="2C6FF110" w:rsidR="006A6F86" w:rsidRDefault="000E42CA" w:rsidP="007B53CD">
      <w:pPr>
        <w:pStyle w:val="ListParagraph"/>
        <w:numPr>
          <w:ilvl w:val="1"/>
          <w:numId w:val="1"/>
        </w:numPr>
        <w:ind w:left="1080"/>
        <w:rPr>
          <w:szCs w:val="24"/>
        </w:rPr>
      </w:pPr>
      <w:r>
        <w:rPr>
          <w:szCs w:val="24"/>
        </w:rPr>
        <w:t>She wishes</w:t>
      </w:r>
      <w:r w:rsidR="006A6F86">
        <w:rPr>
          <w:szCs w:val="24"/>
        </w:rPr>
        <w:t xml:space="preserve"> us all a good thanksgiving break.</w:t>
      </w:r>
      <w:r w:rsidR="0025268D">
        <w:rPr>
          <w:szCs w:val="24"/>
        </w:rPr>
        <w:t xml:space="preserve"> Thank you.</w:t>
      </w:r>
    </w:p>
    <w:p w14:paraId="3937E410" w14:textId="5D7FB592" w:rsidR="0025268D" w:rsidRDefault="0025268D" w:rsidP="007B53CD">
      <w:pPr>
        <w:pStyle w:val="ListParagraph"/>
        <w:numPr>
          <w:ilvl w:val="1"/>
          <w:numId w:val="1"/>
        </w:numPr>
        <w:ind w:left="1080"/>
        <w:rPr>
          <w:szCs w:val="24"/>
        </w:rPr>
      </w:pPr>
      <w:r>
        <w:rPr>
          <w:szCs w:val="24"/>
        </w:rPr>
        <w:t>Questions</w:t>
      </w:r>
      <w:r w:rsidR="000E42CA">
        <w:rPr>
          <w:szCs w:val="24"/>
        </w:rPr>
        <w:t>?</w:t>
      </w:r>
    </w:p>
    <w:p w14:paraId="1B4BB2BF" w14:textId="06DB6227" w:rsidR="0025268D" w:rsidRDefault="000E42CA" w:rsidP="007B53CD">
      <w:pPr>
        <w:pStyle w:val="ListParagraph"/>
        <w:numPr>
          <w:ilvl w:val="2"/>
          <w:numId w:val="1"/>
        </w:numPr>
        <w:ind w:left="1440"/>
        <w:rPr>
          <w:szCs w:val="24"/>
        </w:rPr>
      </w:pPr>
      <w:r>
        <w:rPr>
          <w:szCs w:val="24"/>
        </w:rPr>
        <w:t xml:space="preserve">Q: </w:t>
      </w:r>
      <w:r w:rsidR="0025268D">
        <w:rPr>
          <w:szCs w:val="24"/>
        </w:rPr>
        <w:t xml:space="preserve">When students return on </w:t>
      </w:r>
      <w:r w:rsidR="00216DEB">
        <w:rPr>
          <w:szCs w:val="24"/>
        </w:rPr>
        <w:t>November</w:t>
      </w:r>
      <w:r w:rsidR="0025268D">
        <w:rPr>
          <w:szCs w:val="24"/>
        </w:rPr>
        <w:t xml:space="preserve"> 30, </w:t>
      </w:r>
      <w:r w:rsidR="00216DEB">
        <w:rPr>
          <w:szCs w:val="24"/>
        </w:rPr>
        <w:t>will students who were blue-gray on the roster due to testing non-compliance be reset to neutral?</w:t>
      </w:r>
    </w:p>
    <w:p w14:paraId="5E2A464F" w14:textId="58EFC11B" w:rsidR="0025268D" w:rsidRDefault="00216DEB" w:rsidP="007B53CD">
      <w:pPr>
        <w:pStyle w:val="ListParagraph"/>
        <w:numPr>
          <w:ilvl w:val="3"/>
          <w:numId w:val="1"/>
        </w:numPr>
        <w:ind w:left="1800"/>
        <w:rPr>
          <w:szCs w:val="24"/>
        </w:rPr>
      </w:pPr>
      <w:r>
        <w:rPr>
          <w:szCs w:val="24"/>
        </w:rPr>
        <w:t>R: Yes, they</w:t>
      </w:r>
      <w:r w:rsidR="0025268D">
        <w:rPr>
          <w:szCs w:val="24"/>
        </w:rPr>
        <w:t xml:space="preserve"> will be reset.</w:t>
      </w:r>
    </w:p>
    <w:p w14:paraId="45FFB79E" w14:textId="1D34EA3E" w:rsidR="00216DEB" w:rsidRDefault="00216DEB" w:rsidP="00216DEB">
      <w:pPr>
        <w:pStyle w:val="ListParagraph"/>
        <w:numPr>
          <w:ilvl w:val="4"/>
          <w:numId w:val="1"/>
        </w:numPr>
        <w:ind w:left="2160"/>
        <w:rPr>
          <w:szCs w:val="24"/>
        </w:rPr>
      </w:pPr>
      <w:r>
        <w:rPr>
          <w:szCs w:val="24"/>
        </w:rPr>
        <w:t>Q: When will students get flagged as blue-gray for not being tested after Thanksgiving?</w:t>
      </w:r>
    </w:p>
    <w:p w14:paraId="00CFFBE9" w14:textId="5E841AD7" w:rsidR="00216DEB" w:rsidRDefault="00216DEB" w:rsidP="00216DEB">
      <w:pPr>
        <w:pStyle w:val="ListParagraph"/>
        <w:numPr>
          <w:ilvl w:val="5"/>
          <w:numId w:val="1"/>
        </w:numPr>
        <w:ind w:left="2520"/>
        <w:rPr>
          <w:szCs w:val="24"/>
        </w:rPr>
      </w:pPr>
      <w:r>
        <w:rPr>
          <w:szCs w:val="24"/>
        </w:rPr>
        <w:lastRenderedPageBreak/>
        <w:t>R: It will happen over the weekend. They will not be flagged if we’re still waiting on their test result.</w:t>
      </w:r>
    </w:p>
    <w:p w14:paraId="1E2C2E5B" w14:textId="2169715C" w:rsidR="0025268D" w:rsidRDefault="00216DEB" w:rsidP="007B53CD">
      <w:pPr>
        <w:pStyle w:val="ListParagraph"/>
        <w:numPr>
          <w:ilvl w:val="3"/>
          <w:numId w:val="1"/>
        </w:numPr>
        <w:ind w:left="1800"/>
        <w:rPr>
          <w:szCs w:val="24"/>
        </w:rPr>
      </w:pPr>
      <w:r>
        <w:rPr>
          <w:szCs w:val="24"/>
        </w:rPr>
        <w:t xml:space="preserve">Comment (C): </w:t>
      </w:r>
      <w:r w:rsidR="0025268D">
        <w:rPr>
          <w:szCs w:val="24"/>
        </w:rPr>
        <w:t>4000 people are already signed up</w:t>
      </w:r>
      <w:r>
        <w:rPr>
          <w:szCs w:val="24"/>
        </w:rPr>
        <w:t xml:space="preserve"> for tests</w:t>
      </w:r>
      <w:r w:rsidR="0025268D">
        <w:rPr>
          <w:szCs w:val="24"/>
        </w:rPr>
        <w:t xml:space="preserve">, but </w:t>
      </w:r>
      <w:r>
        <w:rPr>
          <w:szCs w:val="24"/>
        </w:rPr>
        <w:t>that’s not everyone who will need them</w:t>
      </w:r>
      <w:r w:rsidR="0025268D">
        <w:rPr>
          <w:szCs w:val="24"/>
        </w:rPr>
        <w:t xml:space="preserve">. </w:t>
      </w:r>
      <w:r>
        <w:rPr>
          <w:szCs w:val="24"/>
        </w:rPr>
        <w:t>A</w:t>
      </w:r>
      <w:r w:rsidR="0025268D">
        <w:rPr>
          <w:szCs w:val="24"/>
        </w:rPr>
        <w:t xml:space="preserve">ll employees and all students who </w:t>
      </w:r>
      <w:r>
        <w:rPr>
          <w:szCs w:val="24"/>
        </w:rPr>
        <w:t>had</w:t>
      </w:r>
      <w:r w:rsidR="0025268D">
        <w:rPr>
          <w:szCs w:val="24"/>
        </w:rPr>
        <w:t xml:space="preserve"> not already scheduled received another reminder email, and they will continue to receive reminders until they sign up. </w:t>
      </w:r>
      <w:r>
        <w:rPr>
          <w:szCs w:val="24"/>
        </w:rPr>
        <w:t xml:space="preserve">Also, </w:t>
      </w:r>
      <w:r w:rsidR="0025268D">
        <w:rPr>
          <w:szCs w:val="24"/>
        </w:rPr>
        <w:t>Calendly now has the option to send text message reminders of appointments.</w:t>
      </w:r>
    </w:p>
    <w:p w14:paraId="0E3CCE62" w14:textId="07572E61" w:rsidR="0025268D" w:rsidRDefault="00216DEB" w:rsidP="007B53CD">
      <w:pPr>
        <w:pStyle w:val="ListParagraph"/>
        <w:numPr>
          <w:ilvl w:val="3"/>
          <w:numId w:val="1"/>
        </w:numPr>
        <w:ind w:left="1800"/>
        <w:rPr>
          <w:szCs w:val="24"/>
        </w:rPr>
      </w:pPr>
      <w:r>
        <w:rPr>
          <w:szCs w:val="24"/>
        </w:rPr>
        <w:t xml:space="preserve">C: </w:t>
      </w:r>
      <w:r w:rsidR="0025268D">
        <w:rPr>
          <w:szCs w:val="24"/>
        </w:rPr>
        <w:t xml:space="preserve">Remember that testing will be in </w:t>
      </w:r>
      <w:proofErr w:type="spellStart"/>
      <w:r w:rsidR="0025268D">
        <w:rPr>
          <w:szCs w:val="24"/>
        </w:rPr>
        <w:t>Maggs</w:t>
      </w:r>
      <w:proofErr w:type="spellEnd"/>
      <w:r w:rsidR="0025268D">
        <w:rPr>
          <w:szCs w:val="24"/>
        </w:rPr>
        <w:t>.</w:t>
      </w:r>
    </w:p>
    <w:p w14:paraId="40699213" w14:textId="37708577" w:rsidR="0025268D" w:rsidRDefault="00216DEB" w:rsidP="007B53CD">
      <w:pPr>
        <w:pStyle w:val="ListParagraph"/>
        <w:numPr>
          <w:ilvl w:val="2"/>
          <w:numId w:val="1"/>
        </w:numPr>
        <w:ind w:left="1440"/>
        <w:rPr>
          <w:szCs w:val="24"/>
        </w:rPr>
      </w:pPr>
      <w:r>
        <w:rPr>
          <w:szCs w:val="24"/>
        </w:rPr>
        <w:t xml:space="preserve">C: </w:t>
      </w:r>
      <w:r w:rsidR="0025268D">
        <w:rPr>
          <w:szCs w:val="24"/>
        </w:rPr>
        <w:t>Suggest making it very</w:t>
      </w:r>
      <w:r>
        <w:rPr>
          <w:szCs w:val="24"/>
        </w:rPr>
        <w:t>,</w:t>
      </w:r>
      <w:r w:rsidR="0025268D">
        <w:rPr>
          <w:szCs w:val="24"/>
        </w:rPr>
        <w:t xml:space="preserve"> very clear to students that they might get zeros on exams/finals if they don’t get tested.</w:t>
      </w:r>
    </w:p>
    <w:p w14:paraId="4A09B606" w14:textId="1146F448" w:rsidR="0025268D" w:rsidRDefault="00216DEB" w:rsidP="007B53CD">
      <w:pPr>
        <w:pStyle w:val="ListParagraph"/>
        <w:numPr>
          <w:ilvl w:val="3"/>
          <w:numId w:val="1"/>
        </w:numPr>
        <w:ind w:left="1800"/>
        <w:rPr>
          <w:szCs w:val="24"/>
        </w:rPr>
      </w:pPr>
      <w:r>
        <w:rPr>
          <w:szCs w:val="24"/>
        </w:rPr>
        <w:t xml:space="preserve">R: </w:t>
      </w:r>
      <w:r w:rsidR="0025268D">
        <w:rPr>
          <w:szCs w:val="24"/>
        </w:rPr>
        <w:t>Can try, but not sure if people will pay attention to it right now. Maybe a reminder near the end of break</w:t>
      </w:r>
      <w:r>
        <w:rPr>
          <w:szCs w:val="24"/>
        </w:rPr>
        <w:t xml:space="preserve"> would be appropriate</w:t>
      </w:r>
      <w:r w:rsidR="0025268D">
        <w:rPr>
          <w:szCs w:val="24"/>
        </w:rPr>
        <w:t>.</w:t>
      </w:r>
    </w:p>
    <w:p w14:paraId="58C88939" w14:textId="3E1B9333" w:rsidR="0025268D" w:rsidRDefault="0025268D" w:rsidP="007B53CD">
      <w:pPr>
        <w:pStyle w:val="ListParagraph"/>
        <w:numPr>
          <w:ilvl w:val="3"/>
          <w:numId w:val="1"/>
        </w:numPr>
        <w:ind w:left="1800"/>
        <w:rPr>
          <w:szCs w:val="24"/>
        </w:rPr>
      </w:pPr>
      <w:r>
        <w:rPr>
          <w:szCs w:val="24"/>
        </w:rPr>
        <w:t xml:space="preserve">C: Suggest that faculty make </w:t>
      </w:r>
      <w:r w:rsidR="00216DEB">
        <w:rPr>
          <w:szCs w:val="24"/>
        </w:rPr>
        <w:t>that</w:t>
      </w:r>
      <w:r>
        <w:rPr>
          <w:szCs w:val="24"/>
        </w:rPr>
        <w:t xml:space="preserve"> clear to students if the</w:t>
      </w:r>
      <w:r w:rsidR="00216DEB">
        <w:rPr>
          <w:szCs w:val="24"/>
        </w:rPr>
        <w:t xml:space="preserve"> faculty member is</w:t>
      </w:r>
      <w:r>
        <w:rPr>
          <w:szCs w:val="24"/>
        </w:rPr>
        <w:t xml:space="preserve"> going to have that policy.</w:t>
      </w:r>
    </w:p>
    <w:p w14:paraId="4061049F" w14:textId="3EAAB848" w:rsidR="0025268D" w:rsidRDefault="00216DEB" w:rsidP="007B53CD">
      <w:pPr>
        <w:pStyle w:val="ListParagraph"/>
        <w:numPr>
          <w:ilvl w:val="2"/>
          <w:numId w:val="1"/>
        </w:numPr>
        <w:ind w:left="1440"/>
        <w:rPr>
          <w:szCs w:val="24"/>
        </w:rPr>
      </w:pPr>
      <w:r>
        <w:rPr>
          <w:szCs w:val="24"/>
        </w:rPr>
        <w:t xml:space="preserve">Q: </w:t>
      </w:r>
      <w:r w:rsidR="0025268D">
        <w:rPr>
          <w:szCs w:val="24"/>
        </w:rPr>
        <w:t>How were the testing centers in the GAC used this year? What might the future use be?</w:t>
      </w:r>
    </w:p>
    <w:p w14:paraId="1963DF53" w14:textId="789D1DB4" w:rsidR="0025268D" w:rsidRDefault="00216DEB" w:rsidP="007B53CD">
      <w:pPr>
        <w:pStyle w:val="ListParagraph"/>
        <w:numPr>
          <w:ilvl w:val="3"/>
          <w:numId w:val="1"/>
        </w:numPr>
        <w:ind w:left="1800"/>
        <w:rPr>
          <w:szCs w:val="24"/>
        </w:rPr>
      </w:pPr>
      <w:r>
        <w:rPr>
          <w:szCs w:val="24"/>
        </w:rPr>
        <w:t>R: Don’t have information to hand, but m</w:t>
      </w:r>
      <w:r w:rsidR="0025268D">
        <w:rPr>
          <w:szCs w:val="24"/>
        </w:rPr>
        <w:t xml:space="preserve">aybe </w:t>
      </w:r>
      <w:r>
        <w:rPr>
          <w:szCs w:val="24"/>
        </w:rPr>
        <w:t xml:space="preserve">could </w:t>
      </w:r>
      <w:r w:rsidR="0025268D">
        <w:rPr>
          <w:szCs w:val="24"/>
        </w:rPr>
        <w:t xml:space="preserve">get a little report for next </w:t>
      </w:r>
      <w:r>
        <w:rPr>
          <w:szCs w:val="24"/>
        </w:rPr>
        <w:t>meeting</w:t>
      </w:r>
      <w:r w:rsidR="0025268D">
        <w:rPr>
          <w:szCs w:val="24"/>
        </w:rPr>
        <w:t xml:space="preserve">. </w:t>
      </w:r>
      <w:r>
        <w:rPr>
          <w:szCs w:val="24"/>
        </w:rPr>
        <w:t>Knows it w</w:t>
      </w:r>
      <w:r w:rsidR="0025268D">
        <w:rPr>
          <w:szCs w:val="24"/>
        </w:rPr>
        <w:t>as slow initially, but then</w:t>
      </w:r>
      <w:r>
        <w:rPr>
          <w:szCs w:val="24"/>
        </w:rPr>
        <w:t xml:space="preserve"> there was</w:t>
      </w:r>
      <w:r w:rsidR="0025268D">
        <w:rPr>
          <w:szCs w:val="24"/>
        </w:rPr>
        <w:t xml:space="preserve"> a significant uptick.</w:t>
      </w:r>
    </w:p>
    <w:p w14:paraId="333E9401" w14:textId="03F895A2" w:rsidR="0025268D" w:rsidRPr="00716178" w:rsidRDefault="00216DEB" w:rsidP="007B53CD">
      <w:pPr>
        <w:pStyle w:val="ListParagraph"/>
        <w:numPr>
          <w:ilvl w:val="2"/>
          <w:numId w:val="1"/>
        </w:numPr>
        <w:ind w:left="1440"/>
        <w:rPr>
          <w:szCs w:val="24"/>
        </w:rPr>
      </w:pPr>
      <w:r>
        <w:rPr>
          <w:szCs w:val="24"/>
        </w:rPr>
        <w:t xml:space="preserve">C: </w:t>
      </w:r>
      <w:r w:rsidR="0025268D">
        <w:rPr>
          <w:szCs w:val="24"/>
        </w:rPr>
        <w:t xml:space="preserve">Very excited about Dr. </w:t>
      </w:r>
      <w:proofErr w:type="spellStart"/>
      <w:r w:rsidR="0025268D">
        <w:rPr>
          <w:szCs w:val="24"/>
        </w:rPr>
        <w:t>Wormack</w:t>
      </w:r>
      <w:proofErr w:type="spellEnd"/>
      <w:r w:rsidR="0025268D">
        <w:rPr>
          <w:szCs w:val="24"/>
        </w:rPr>
        <w:t xml:space="preserve"> joining SU. Thank you for having faculty involved</w:t>
      </w:r>
      <w:r>
        <w:rPr>
          <w:szCs w:val="24"/>
        </w:rPr>
        <w:t xml:space="preserve"> in the search process</w:t>
      </w:r>
      <w:r w:rsidR="0025268D">
        <w:rPr>
          <w:szCs w:val="24"/>
        </w:rPr>
        <w:t>.</w:t>
      </w:r>
    </w:p>
    <w:p w14:paraId="3BD9B56D" w14:textId="42245A66" w:rsidR="00B647CD" w:rsidRDefault="0069153A" w:rsidP="008B3A19">
      <w:pPr>
        <w:pStyle w:val="ListParagraph"/>
        <w:numPr>
          <w:ilvl w:val="0"/>
          <w:numId w:val="1"/>
        </w:numPr>
        <w:rPr>
          <w:szCs w:val="24"/>
        </w:rPr>
      </w:pPr>
      <w:r w:rsidRPr="00716178">
        <w:rPr>
          <w:szCs w:val="24"/>
        </w:rPr>
        <w:t>Announcements from the Senate President</w:t>
      </w:r>
    </w:p>
    <w:p w14:paraId="07ACCD8E" w14:textId="7C3C9AE5" w:rsidR="00A67A13" w:rsidRDefault="0025268D" w:rsidP="007B53CD">
      <w:pPr>
        <w:pStyle w:val="ListParagraph"/>
        <w:numPr>
          <w:ilvl w:val="1"/>
          <w:numId w:val="1"/>
        </w:numPr>
        <w:ind w:left="1080"/>
        <w:rPr>
          <w:szCs w:val="24"/>
        </w:rPr>
      </w:pPr>
      <w:r>
        <w:rPr>
          <w:szCs w:val="24"/>
        </w:rPr>
        <w:t xml:space="preserve">Tom </w:t>
      </w:r>
      <w:proofErr w:type="spellStart"/>
      <w:r>
        <w:rPr>
          <w:szCs w:val="24"/>
        </w:rPr>
        <w:t>Cawthorn</w:t>
      </w:r>
      <w:proofErr w:type="spellEnd"/>
      <w:r>
        <w:rPr>
          <w:szCs w:val="24"/>
        </w:rPr>
        <w:t xml:space="preserve"> and </w:t>
      </w:r>
      <w:r w:rsidR="00094393">
        <w:rPr>
          <w:szCs w:val="24"/>
        </w:rPr>
        <w:t>he</w:t>
      </w:r>
      <w:r>
        <w:rPr>
          <w:szCs w:val="24"/>
        </w:rPr>
        <w:t xml:space="preserve"> are working on</w:t>
      </w:r>
      <w:r w:rsidR="006437C4">
        <w:rPr>
          <w:szCs w:val="24"/>
        </w:rPr>
        <w:t xml:space="preserve"> a</w:t>
      </w:r>
      <w:r>
        <w:rPr>
          <w:szCs w:val="24"/>
        </w:rPr>
        <w:t xml:space="preserve"> timeline for </w:t>
      </w:r>
      <w:r w:rsidR="006437C4">
        <w:rPr>
          <w:szCs w:val="24"/>
        </w:rPr>
        <w:t xml:space="preserve">the </w:t>
      </w:r>
      <w:r>
        <w:rPr>
          <w:szCs w:val="24"/>
        </w:rPr>
        <w:t>gen ed discussion and vote. Rough outline (pending GESC</w:t>
      </w:r>
      <w:r w:rsidR="006437C4">
        <w:rPr>
          <w:szCs w:val="24"/>
        </w:rPr>
        <w:t xml:space="preserve"> approval</w:t>
      </w:r>
      <w:r>
        <w:rPr>
          <w:szCs w:val="24"/>
        </w:rPr>
        <w:t xml:space="preserve">): discussion in Jan and Feb; chance for </w:t>
      </w:r>
      <w:r w:rsidR="006437C4">
        <w:rPr>
          <w:szCs w:val="24"/>
        </w:rPr>
        <w:t xml:space="preserve">the GESC to </w:t>
      </w:r>
      <w:r>
        <w:rPr>
          <w:szCs w:val="24"/>
        </w:rPr>
        <w:t xml:space="preserve">reflect on feedback for ~3 weeks, and then move towards a vote at the beginning of April. GESC will be facilitating the open discussions, with some assistance of </w:t>
      </w:r>
      <w:r w:rsidR="006437C4">
        <w:rPr>
          <w:szCs w:val="24"/>
        </w:rPr>
        <w:t>the Faculty Senate</w:t>
      </w:r>
      <w:r>
        <w:rPr>
          <w:szCs w:val="24"/>
        </w:rPr>
        <w:t>. Hopefully will have more info by next meeting.</w:t>
      </w:r>
    </w:p>
    <w:p w14:paraId="5317BB6D" w14:textId="2B37D483" w:rsidR="0025268D" w:rsidRDefault="0025268D" w:rsidP="007B53CD">
      <w:pPr>
        <w:pStyle w:val="ListParagraph"/>
        <w:numPr>
          <w:ilvl w:val="1"/>
          <w:numId w:val="1"/>
        </w:numPr>
        <w:ind w:left="1080"/>
        <w:rPr>
          <w:szCs w:val="24"/>
        </w:rPr>
      </w:pPr>
      <w:r>
        <w:rPr>
          <w:szCs w:val="24"/>
        </w:rPr>
        <w:t>Appeal for faculty to be involved in Metrics Working Group for the Strategic Plan (sub-committee of the SPBC); looking for 1-2 more faculty.</w:t>
      </w:r>
      <w:r w:rsidR="00883E42">
        <w:rPr>
          <w:szCs w:val="24"/>
        </w:rPr>
        <w:t xml:space="preserve"> Also, asks Matt Bailey (designated senator) to ask LRAP for volunteer </w:t>
      </w:r>
      <w:r w:rsidR="006437C4">
        <w:rPr>
          <w:szCs w:val="24"/>
        </w:rPr>
        <w:t xml:space="preserve">from the committee </w:t>
      </w:r>
      <w:r w:rsidR="00883E42">
        <w:rPr>
          <w:szCs w:val="24"/>
        </w:rPr>
        <w:t xml:space="preserve">for the </w:t>
      </w:r>
      <w:r w:rsidR="006437C4">
        <w:rPr>
          <w:szCs w:val="24"/>
        </w:rPr>
        <w:t xml:space="preserve">working </w:t>
      </w:r>
      <w:r w:rsidR="00883E42">
        <w:rPr>
          <w:szCs w:val="24"/>
        </w:rPr>
        <w:t>group.</w:t>
      </w:r>
    </w:p>
    <w:p w14:paraId="3611EA32" w14:textId="5EDB3D4A" w:rsidR="002D7514" w:rsidRDefault="00C30896" w:rsidP="00383A30">
      <w:pPr>
        <w:pStyle w:val="ListParagraph"/>
        <w:numPr>
          <w:ilvl w:val="0"/>
          <w:numId w:val="1"/>
        </w:numPr>
        <w:rPr>
          <w:szCs w:val="24"/>
        </w:rPr>
      </w:pPr>
      <w:r>
        <w:rPr>
          <w:szCs w:val="24"/>
        </w:rPr>
        <w:t>Committee Reports</w:t>
      </w:r>
    </w:p>
    <w:p w14:paraId="247B8B0E" w14:textId="0B56738A" w:rsidR="00AA2A6A" w:rsidRDefault="002C0FB7" w:rsidP="007B53CD">
      <w:pPr>
        <w:pStyle w:val="ListParagraph"/>
        <w:numPr>
          <w:ilvl w:val="1"/>
          <w:numId w:val="1"/>
        </w:numPr>
        <w:ind w:left="1080"/>
        <w:rPr>
          <w:szCs w:val="24"/>
        </w:rPr>
      </w:pPr>
      <w:r w:rsidRPr="0050534A">
        <w:rPr>
          <w:szCs w:val="24"/>
        </w:rPr>
        <w:t>A</w:t>
      </w:r>
      <w:r w:rsidR="00D123BB" w:rsidRPr="0050534A">
        <w:rPr>
          <w:szCs w:val="24"/>
        </w:rPr>
        <w:t>cademic Policies Committee</w:t>
      </w:r>
    </w:p>
    <w:p w14:paraId="0E9B3C65" w14:textId="7BF9ECFF" w:rsidR="00A67A13" w:rsidRDefault="003D511D" w:rsidP="007B53CD">
      <w:pPr>
        <w:pStyle w:val="ListParagraph"/>
        <w:numPr>
          <w:ilvl w:val="2"/>
          <w:numId w:val="1"/>
        </w:numPr>
        <w:ind w:left="1440"/>
        <w:rPr>
          <w:szCs w:val="24"/>
        </w:rPr>
      </w:pPr>
      <w:r>
        <w:rPr>
          <w:szCs w:val="24"/>
        </w:rPr>
        <w:t>Final exam schedule and proposed policy</w:t>
      </w:r>
      <w:r w:rsidR="001315BE">
        <w:rPr>
          <w:szCs w:val="24"/>
        </w:rPr>
        <w:t xml:space="preserve"> (</w:t>
      </w:r>
      <w:r w:rsidR="00682758">
        <w:rPr>
          <w:szCs w:val="24"/>
        </w:rPr>
        <w:t>s</w:t>
      </w:r>
      <w:r w:rsidR="001315BE">
        <w:rPr>
          <w:szCs w:val="24"/>
        </w:rPr>
        <w:t>ee Appendix 2 for proposed recommendations)</w:t>
      </w:r>
      <w:r>
        <w:rPr>
          <w:szCs w:val="24"/>
        </w:rPr>
        <w:t>. Charge</w:t>
      </w:r>
      <w:r w:rsidR="009951E0">
        <w:rPr>
          <w:szCs w:val="24"/>
        </w:rPr>
        <w:t xml:space="preserve"> was made</w:t>
      </w:r>
      <w:r>
        <w:rPr>
          <w:szCs w:val="24"/>
        </w:rPr>
        <w:t xml:space="preserve"> in </w:t>
      </w:r>
      <w:r w:rsidR="009951E0">
        <w:rPr>
          <w:szCs w:val="24"/>
        </w:rPr>
        <w:t>N</w:t>
      </w:r>
      <w:r>
        <w:rPr>
          <w:szCs w:val="24"/>
        </w:rPr>
        <w:t>ov. 2018</w:t>
      </w:r>
      <w:r w:rsidR="009951E0">
        <w:rPr>
          <w:szCs w:val="24"/>
        </w:rPr>
        <w:t xml:space="preserve">, in the </w:t>
      </w:r>
      <w:r>
        <w:rPr>
          <w:szCs w:val="24"/>
        </w:rPr>
        <w:t xml:space="preserve">wake of </w:t>
      </w:r>
      <w:r w:rsidR="009951E0">
        <w:rPr>
          <w:szCs w:val="24"/>
        </w:rPr>
        <w:t xml:space="preserve">the </w:t>
      </w:r>
      <w:r>
        <w:rPr>
          <w:szCs w:val="24"/>
        </w:rPr>
        <w:t xml:space="preserve">website redesign, which </w:t>
      </w:r>
      <w:r w:rsidR="009951E0">
        <w:rPr>
          <w:szCs w:val="24"/>
        </w:rPr>
        <w:t xml:space="preserve">changes </w:t>
      </w:r>
      <w:r>
        <w:rPr>
          <w:szCs w:val="24"/>
        </w:rPr>
        <w:t xml:space="preserve">made it hard to tell when final exams should be. </w:t>
      </w:r>
      <w:r w:rsidR="009951E0">
        <w:rPr>
          <w:szCs w:val="24"/>
        </w:rPr>
        <w:t>The c</w:t>
      </w:r>
      <w:r>
        <w:rPr>
          <w:szCs w:val="24"/>
        </w:rPr>
        <w:t>harge was to find a way to best disseminate that information to faculty and students. What</w:t>
      </w:r>
      <w:r w:rsidR="009951E0">
        <w:rPr>
          <w:szCs w:val="24"/>
        </w:rPr>
        <w:t xml:space="preserve"> APC </w:t>
      </w:r>
      <w:r>
        <w:rPr>
          <w:szCs w:val="24"/>
        </w:rPr>
        <w:t>recommended</w:t>
      </w:r>
      <w:r w:rsidR="009951E0">
        <w:rPr>
          <w:szCs w:val="24"/>
        </w:rPr>
        <w:t xml:space="preserve"> for presenting the schedule</w:t>
      </w:r>
      <w:r>
        <w:rPr>
          <w:szCs w:val="24"/>
        </w:rPr>
        <w:t xml:space="preserve"> is now what is currently on the </w:t>
      </w:r>
      <w:r w:rsidR="009951E0">
        <w:rPr>
          <w:szCs w:val="24"/>
        </w:rPr>
        <w:t>R</w:t>
      </w:r>
      <w:r>
        <w:rPr>
          <w:szCs w:val="24"/>
        </w:rPr>
        <w:t>egistrar’s page, so that</w:t>
      </w:r>
      <w:r w:rsidR="009951E0">
        <w:rPr>
          <w:szCs w:val="24"/>
        </w:rPr>
        <w:t xml:space="preserve"> recommendation</w:t>
      </w:r>
      <w:r>
        <w:rPr>
          <w:szCs w:val="24"/>
        </w:rPr>
        <w:t xml:space="preserve"> appears to have already been </w:t>
      </w:r>
      <w:r w:rsidR="009951E0">
        <w:rPr>
          <w:szCs w:val="24"/>
        </w:rPr>
        <w:t xml:space="preserve">informally </w:t>
      </w:r>
      <w:r>
        <w:rPr>
          <w:szCs w:val="24"/>
        </w:rPr>
        <w:t>taken</w:t>
      </w:r>
      <w:r w:rsidR="009951E0">
        <w:rPr>
          <w:szCs w:val="24"/>
        </w:rPr>
        <w:t xml:space="preserve"> up</w:t>
      </w:r>
      <w:r>
        <w:rPr>
          <w:szCs w:val="24"/>
        </w:rPr>
        <w:t xml:space="preserve">. There were also issues of final exam scheduling; </w:t>
      </w:r>
      <w:r w:rsidR="009951E0">
        <w:rPr>
          <w:szCs w:val="24"/>
        </w:rPr>
        <w:t xml:space="preserve">APC’s </w:t>
      </w:r>
      <w:r>
        <w:rPr>
          <w:szCs w:val="24"/>
        </w:rPr>
        <w:t>recommend</w:t>
      </w:r>
      <w:r w:rsidR="009951E0">
        <w:rPr>
          <w:szCs w:val="24"/>
        </w:rPr>
        <w:t>ations</w:t>
      </w:r>
      <w:r>
        <w:rPr>
          <w:szCs w:val="24"/>
        </w:rPr>
        <w:t xml:space="preserve"> </w:t>
      </w:r>
      <w:r w:rsidR="009951E0">
        <w:rPr>
          <w:szCs w:val="24"/>
        </w:rPr>
        <w:t xml:space="preserve">clear </w:t>
      </w:r>
      <w:r>
        <w:rPr>
          <w:szCs w:val="24"/>
        </w:rPr>
        <w:t xml:space="preserve">up some details. This was </w:t>
      </w:r>
      <w:r w:rsidR="009951E0">
        <w:rPr>
          <w:szCs w:val="24"/>
        </w:rPr>
        <w:t>presented at the</w:t>
      </w:r>
      <w:r>
        <w:rPr>
          <w:szCs w:val="24"/>
        </w:rPr>
        <w:t xml:space="preserve"> end of </w:t>
      </w:r>
      <w:r w:rsidR="009951E0">
        <w:rPr>
          <w:szCs w:val="24"/>
        </w:rPr>
        <w:t xml:space="preserve">the </w:t>
      </w:r>
      <w:r>
        <w:rPr>
          <w:szCs w:val="24"/>
        </w:rPr>
        <w:t>2018-2019 year, but still needs to be voted on.</w:t>
      </w:r>
    </w:p>
    <w:p w14:paraId="7B3F18C1" w14:textId="0D580D41" w:rsidR="003D511D" w:rsidRDefault="009951E0" w:rsidP="007B53CD">
      <w:pPr>
        <w:pStyle w:val="ListParagraph"/>
        <w:numPr>
          <w:ilvl w:val="3"/>
          <w:numId w:val="1"/>
        </w:numPr>
        <w:ind w:left="1800"/>
        <w:rPr>
          <w:szCs w:val="24"/>
        </w:rPr>
      </w:pPr>
      <w:r>
        <w:rPr>
          <w:szCs w:val="24"/>
        </w:rPr>
        <w:t xml:space="preserve">C: </w:t>
      </w:r>
      <w:r w:rsidR="003D511D">
        <w:rPr>
          <w:szCs w:val="24"/>
        </w:rPr>
        <w:t xml:space="preserve">Should have something in there to the effect that faculty are allowed to work with students to help facilitate their taking an exam at an alternate time, when and if faculty can. Should be something in there to allow faculty wiggle room to work with students as long as it doesn’t </w:t>
      </w:r>
      <w:r w:rsidR="00FB76B0">
        <w:rPr>
          <w:szCs w:val="24"/>
        </w:rPr>
        <w:t>cause</w:t>
      </w:r>
      <w:r w:rsidR="003D511D">
        <w:rPr>
          <w:szCs w:val="24"/>
        </w:rPr>
        <w:t xml:space="preserve"> conflict</w:t>
      </w:r>
      <w:r w:rsidR="00FB76B0">
        <w:rPr>
          <w:szCs w:val="24"/>
        </w:rPr>
        <w:t>s</w:t>
      </w:r>
      <w:r w:rsidR="003D511D">
        <w:rPr>
          <w:szCs w:val="24"/>
        </w:rPr>
        <w:t>.</w:t>
      </w:r>
    </w:p>
    <w:p w14:paraId="51C1F161" w14:textId="7DBCE557" w:rsidR="003D511D" w:rsidRDefault="00FB76B0" w:rsidP="007B53CD">
      <w:pPr>
        <w:pStyle w:val="ListParagraph"/>
        <w:numPr>
          <w:ilvl w:val="3"/>
          <w:numId w:val="1"/>
        </w:numPr>
        <w:ind w:left="1800"/>
        <w:rPr>
          <w:szCs w:val="24"/>
        </w:rPr>
      </w:pPr>
      <w:r>
        <w:rPr>
          <w:szCs w:val="24"/>
        </w:rPr>
        <w:t xml:space="preserve">C: </w:t>
      </w:r>
      <w:r w:rsidR="003D511D">
        <w:rPr>
          <w:szCs w:val="24"/>
        </w:rPr>
        <w:t>Should be reviewed by current registrar.</w:t>
      </w:r>
    </w:p>
    <w:p w14:paraId="2AC5DE01" w14:textId="137028D9" w:rsidR="003D511D" w:rsidRDefault="00FB76B0" w:rsidP="007B53CD">
      <w:pPr>
        <w:pStyle w:val="ListParagraph"/>
        <w:numPr>
          <w:ilvl w:val="4"/>
          <w:numId w:val="1"/>
        </w:numPr>
        <w:ind w:left="2160"/>
        <w:rPr>
          <w:szCs w:val="24"/>
        </w:rPr>
      </w:pPr>
      <w:r>
        <w:rPr>
          <w:szCs w:val="24"/>
        </w:rPr>
        <w:lastRenderedPageBreak/>
        <w:t xml:space="preserve">R: </w:t>
      </w:r>
      <w:r w:rsidR="003D511D">
        <w:rPr>
          <w:szCs w:val="24"/>
        </w:rPr>
        <w:t>Has been seen by him and there were no suggested changes.</w:t>
      </w:r>
    </w:p>
    <w:p w14:paraId="640ECDE6" w14:textId="1203B511" w:rsidR="003D511D" w:rsidRDefault="00FB76B0" w:rsidP="007B53CD">
      <w:pPr>
        <w:pStyle w:val="ListParagraph"/>
        <w:numPr>
          <w:ilvl w:val="3"/>
          <w:numId w:val="1"/>
        </w:numPr>
        <w:ind w:left="1800"/>
        <w:rPr>
          <w:szCs w:val="24"/>
        </w:rPr>
      </w:pPr>
      <w:r>
        <w:rPr>
          <w:szCs w:val="24"/>
        </w:rPr>
        <w:t xml:space="preserve">C: </w:t>
      </w:r>
      <w:r w:rsidR="003D511D">
        <w:rPr>
          <w:szCs w:val="24"/>
        </w:rPr>
        <w:t xml:space="preserve">Read it as requiring </w:t>
      </w:r>
      <w:r>
        <w:rPr>
          <w:szCs w:val="24"/>
        </w:rPr>
        <w:t>faculty</w:t>
      </w:r>
      <w:r w:rsidR="003D511D">
        <w:rPr>
          <w:szCs w:val="24"/>
        </w:rPr>
        <w:t xml:space="preserve"> to give make-up exams in the last slot on the next day where the student doesn’t have too many exams. That seems too </w:t>
      </w:r>
      <w:r>
        <w:rPr>
          <w:szCs w:val="24"/>
        </w:rPr>
        <w:t>restrictive</w:t>
      </w:r>
      <w:r w:rsidR="003D511D">
        <w:rPr>
          <w:szCs w:val="24"/>
        </w:rPr>
        <w:t xml:space="preserve">, and might be a problem for the </w:t>
      </w:r>
      <w:r>
        <w:rPr>
          <w:szCs w:val="24"/>
        </w:rPr>
        <w:t>faculty</w:t>
      </w:r>
      <w:r w:rsidR="003D511D">
        <w:rPr>
          <w:szCs w:val="24"/>
        </w:rPr>
        <w:t>.</w:t>
      </w:r>
    </w:p>
    <w:p w14:paraId="08140DDE" w14:textId="4E3CBD5A" w:rsidR="003D511D" w:rsidRDefault="00FB76B0" w:rsidP="007B53CD">
      <w:pPr>
        <w:pStyle w:val="ListParagraph"/>
        <w:numPr>
          <w:ilvl w:val="4"/>
          <w:numId w:val="1"/>
        </w:numPr>
        <w:ind w:left="2160"/>
        <w:rPr>
          <w:szCs w:val="24"/>
        </w:rPr>
      </w:pPr>
      <w:r>
        <w:rPr>
          <w:szCs w:val="24"/>
        </w:rPr>
        <w:t xml:space="preserve">R: </w:t>
      </w:r>
      <w:r w:rsidR="003D511D">
        <w:rPr>
          <w:szCs w:val="24"/>
        </w:rPr>
        <w:t>As written, it allows for rescheduling for any day that the student has one or less other exam, at any time that day.</w:t>
      </w:r>
    </w:p>
    <w:p w14:paraId="0472CADF" w14:textId="048D864F" w:rsidR="003D511D" w:rsidRDefault="00FB76B0" w:rsidP="007B53CD">
      <w:pPr>
        <w:pStyle w:val="ListParagraph"/>
        <w:numPr>
          <w:ilvl w:val="3"/>
          <w:numId w:val="1"/>
        </w:numPr>
        <w:ind w:left="1800"/>
        <w:rPr>
          <w:szCs w:val="24"/>
        </w:rPr>
      </w:pPr>
      <w:r>
        <w:rPr>
          <w:szCs w:val="24"/>
        </w:rPr>
        <w:t>C: T</w:t>
      </w:r>
      <w:r w:rsidR="003D511D">
        <w:rPr>
          <w:szCs w:val="24"/>
        </w:rPr>
        <w:t xml:space="preserve">his doesn’t address online exams and </w:t>
      </w:r>
      <w:r>
        <w:rPr>
          <w:szCs w:val="24"/>
        </w:rPr>
        <w:t>the differences in that</w:t>
      </w:r>
      <w:r w:rsidR="003D511D">
        <w:rPr>
          <w:szCs w:val="24"/>
        </w:rPr>
        <w:t xml:space="preserve"> environment.</w:t>
      </w:r>
    </w:p>
    <w:p w14:paraId="5B07FA59" w14:textId="43B2C092" w:rsidR="003D511D" w:rsidRDefault="003D511D" w:rsidP="007B53CD">
      <w:pPr>
        <w:pStyle w:val="ListParagraph"/>
        <w:numPr>
          <w:ilvl w:val="2"/>
          <w:numId w:val="1"/>
        </w:numPr>
        <w:ind w:left="1440"/>
        <w:rPr>
          <w:szCs w:val="24"/>
        </w:rPr>
      </w:pPr>
      <w:r>
        <w:rPr>
          <w:szCs w:val="24"/>
        </w:rPr>
        <w:t xml:space="preserve">Charge from </w:t>
      </w:r>
      <w:r w:rsidR="00D445A5">
        <w:rPr>
          <w:szCs w:val="24"/>
        </w:rPr>
        <w:t>Senate</w:t>
      </w:r>
      <w:r>
        <w:rPr>
          <w:szCs w:val="24"/>
        </w:rPr>
        <w:t xml:space="preserve"> in </w:t>
      </w:r>
      <w:r w:rsidR="00D445A5">
        <w:rPr>
          <w:szCs w:val="24"/>
        </w:rPr>
        <w:t>M</w:t>
      </w:r>
      <w:r>
        <w:rPr>
          <w:szCs w:val="24"/>
        </w:rPr>
        <w:t xml:space="preserve">ay 2019 to look at </w:t>
      </w:r>
      <w:r w:rsidR="00D445A5">
        <w:rPr>
          <w:szCs w:val="24"/>
        </w:rPr>
        <w:t xml:space="preserve">the </w:t>
      </w:r>
      <w:r>
        <w:rPr>
          <w:szCs w:val="24"/>
        </w:rPr>
        <w:t xml:space="preserve">policy </w:t>
      </w:r>
      <w:r w:rsidR="00D445A5">
        <w:rPr>
          <w:szCs w:val="24"/>
        </w:rPr>
        <w:t>on</w:t>
      </w:r>
      <w:r>
        <w:rPr>
          <w:szCs w:val="24"/>
        </w:rPr>
        <w:t xml:space="preserve"> maintaining records </w:t>
      </w:r>
      <w:r w:rsidR="00D445A5">
        <w:rPr>
          <w:szCs w:val="24"/>
        </w:rPr>
        <w:t>of</w:t>
      </w:r>
      <w:r>
        <w:rPr>
          <w:szCs w:val="24"/>
        </w:rPr>
        <w:t xml:space="preserve"> academic misconduct</w:t>
      </w:r>
      <w:r w:rsidR="00FC2E4B">
        <w:rPr>
          <w:szCs w:val="24"/>
        </w:rPr>
        <w:t xml:space="preserve"> (</w:t>
      </w:r>
      <w:r w:rsidR="00682758">
        <w:rPr>
          <w:szCs w:val="24"/>
        </w:rPr>
        <w:t>s</w:t>
      </w:r>
      <w:r w:rsidR="00FC2E4B">
        <w:rPr>
          <w:szCs w:val="24"/>
        </w:rPr>
        <w:t>ee Appendix 3 for the draft policy)</w:t>
      </w:r>
      <w:r>
        <w:rPr>
          <w:szCs w:val="24"/>
        </w:rPr>
        <w:t>.</w:t>
      </w:r>
      <w:r w:rsidR="00D445A5">
        <w:rPr>
          <w:szCs w:val="24"/>
        </w:rPr>
        <w:t xml:space="preserve"> A discussion draft was brought to Senate on February 11, 2020.</w:t>
      </w:r>
      <w:r>
        <w:rPr>
          <w:szCs w:val="24"/>
        </w:rPr>
        <w:t xml:space="preserve"> The issue here is that some faculty have concerns about how these records might be used if they are released to </w:t>
      </w:r>
      <w:r w:rsidR="00F023CA">
        <w:rPr>
          <w:szCs w:val="24"/>
        </w:rPr>
        <w:t xml:space="preserve">grad schools or future employers, when </w:t>
      </w:r>
      <w:r w:rsidR="00A065A2">
        <w:rPr>
          <w:szCs w:val="24"/>
        </w:rPr>
        <w:t>students</w:t>
      </w:r>
      <w:r w:rsidR="00F023CA">
        <w:rPr>
          <w:szCs w:val="24"/>
        </w:rPr>
        <w:t xml:space="preserve"> have minor misconduct</w:t>
      </w:r>
      <w:r w:rsidR="00A17FB9">
        <w:rPr>
          <w:szCs w:val="24"/>
        </w:rPr>
        <w:t>; some faculty are concerned</w:t>
      </w:r>
      <w:r w:rsidR="00F023CA">
        <w:rPr>
          <w:szCs w:val="24"/>
        </w:rPr>
        <w:t xml:space="preserve"> that those records might harm students</w:t>
      </w:r>
      <w:r w:rsidR="00A17FB9">
        <w:rPr>
          <w:szCs w:val="24"/>
        </w:rPr>
        <w:t>’</w:t>
      </w:r>
      <w:r w:rsidR="00F023CA">
        <w:rPr>
          <w:szCs w:val="24"/>
        </w:rPr>
        <w:t xml:space="preserve"> </w:t>
      </w:r>
      <w:proofErr w:type="gramStart"/>
      <w:r w:rsidR="00F023CA">
        <w:rPr>
          <w:szCs w:val="24"/>
        </w:rPr>
        <w:t>long term</w:t>
      </w:r>
      <w:proofErr w:type="gramEnd"/>
      <w:r w:rsidR="00F023CA">
        <w:rPr>
          <w:szCs w:val="24"/>
        </w:rPr>
        <w:t xml:space="preserve"> prospects. The committee came up with an idea to designate misconduct as major or minor; most of what happens with the academic misconduct process would be unchanged. For a minor offense, it would disappear after 1 year; one concern is that subsequent offenses might </w:t>
      </w:r>
      <w:r w:rsidR="00A17FB9">
        <w:rPr>
          <w:szCs w:val="24"/>
        </w:rPr>
        <w:t>not be recognized as subsequent offenses</w:t>
      </w:r>
      <w:r w:rsidR="00F023CA">
        <w:rPr>
          <w:szCs w:val="24"/>
        </w:rPr>
        <w:t xml:space="preserve"> if they were more than 1 year apart. </w:t>
      </w:r>
      <w:r w:rsidR="00A17FB9">
        <w:rPr>
          <w:szCs w:val="24"/>
        </w:rPr>
        <w:t>M</w:t>
      </w:r>
      <w:r w:rsidR="00F023CA">
        <w:rPr>
          <w:szCs w:val="24"/>
        </w:rPr>
        <w:t>ajor offenses would remain on record for the current 5 years. The changes for the APC would be that they would have purview to review the seriousness of the charge and the sanction, in order to ensure some consistency in sanctions across the university. This would allow APC to align the sanction to the seriousness.</w:t>
      </w:r>
      <w:r w:rsidR="00492D6D">
        <w:rPr>
          <w:szCs w:val="24"/>
        </w:rPr>
        <w:t xml:space="preserve"> This is a discussion draft.</w:t>
      </w:r>
    </w:p>
    <w:p w14:paraId="72FA990B" w14:textId="7B277C51" w:rsidR="00F023CA" w:rsidRDefault="00A17FB9" w:rsidP="007B53CD">
      <w:pPr>
        <w:pStyle w:val="ListParagraph"/>
        <w:numPr>
          <w:ilvl w:val="3"/>
          <w:numId w:val="1"/>
        </w:numPr>
        <w:ind w:left="1800"/>
        <w:rPr>
          <w:szCs w:val="24"/>
        </w:rPr>
      </w:pPr>
      <w:r>
        <w:rPr>
          <w:szCs w:val="24"/>
        </w:rPr>
        <w:t>C: Troubled</w:t>
      </w:r>
      <w:r w:rsidR="00F023CA">
        <w:rPr>
          <w:szCs w:val="24"/>
        </w:rPr>
        <w:t xml:space="preserve"> by notion that APC could decide that something isn’t as serious as the faculty </w:t>
      </w:r>
      <w:r>
        <w:rPr>
          <w:szCs w:val="24"/>
        </w:rPr>
        <w:t>member decided it is</w:t>
      </w:r>
      <w:r w:rsidR="00F023CA">
        <w:rPr>
          <w:szCs w:val="24"/>
        </w:rPr>
        <w:t>. Academic freedom seems to allow faculty to decide sanctions. Also</w:t>
      </w:r>
      <w:r>
        <w:rPr>
          <w:szCs w:val="24"/>
        </w:rPr>
        <w:t>,</w:t>
      </w:r>
      <w:r w:rsidR="00F023CA">
        <w:rPr>
          <w:szCs w:val="24"/>
        </w:rPr>
        <w:t xml:space="preserve"> there is some variance across the departments</w:t>
      </w:r>
      <w:r>
        <w:rPr>
          <w:szCs w:val="24"/>
        </w:rPr>
        <w:t xml:space="preserve"> regarding what is viewed as serious; for example</w:t>
      </w:r>
      <w:r w:rsidR="00F023CA">
        <w:rPr>
          <w:szCs w:val="24"/>
        </w:rPr>
        <w:t xml:space="preserve">, some </w:t>
      </w:r>
      <w:r>
        <w:rPr>
          <w:szCs w:val="24"/>
        </w:rPr>
        <w:t>departments</w:t>
      </w:r>
      <w:r w:rsidR="00F023CA">
        <w:rPr>
          <w:szCs w:val="24"/>
        </w:rPr>
        <w:t xml:space="preserve"> take plagiarism more seriously </w:t>
      </w:r>
      <w:r>
        <w:rPr>
          <w:szCs w:val="24"/>
        </w:rPr>
        <w:t>than</w:t>
      </w:r>
      <w:r w:rsidR="00F023CA">
        <w:rPr>
          <w:szCs w:val="24"/>
        </w:rPr>
        <w:t xml:space="preserve"> others.</w:t>
      </w:r>
    </w:p>
    <w:p w14:paraId="05D53B68" w14:textId="30375122" w:rsidR="00F023CA" w:rsidRDefault="00A17FB9" w:rsidP="007B53CD">
      <w:pPr>
        <w:pStyle w:val="ListParagraph"/>
        <w:numPr>
          <w:ilvl w:val="4"/>
          <w:numId w:val="1"/>
        </w:numPr>
        <w:ind w:left="2160"/>
        <w:rPr>
          <w:szCs w:val="24"/>
        </w:rPr>
      </w:pPr>
      <w:r>
        <w:rPr>
          <w:szCs w:val="24"/>
        </w:rPr>
        <w:t xml:space="preserve">R: </w:t>
      </w:r>
      <w:r w:rsidR="00F023CA">
        <w:rPr>
          <w:szCs w:val="24"/>
        </w:rPr>
        <w:t xml:space="preserve">Does this address the concerns about length of time </w:t>
      </w:r>
      <w:r>
        <w:rPr>
          <w:szCs w:val="24"/>
        </w:rPr>
        <w:t xml:space="preserve">the misconduct stays </w:t>
      </w:r>
      <w:r w:rsidR="00F023CA">
        <w:rPr>
          <w:szCs w:val="24"/>
        </w:rPr>
        <w:t>on record</w:t>
      </w:r>
      <w:r>
        <w:rPr>
          <w:szCs w:val="24"/>
        </w:rPr>
        <w:t>?</w:t>
      </w:r>
    </w:p>
    <w:p w14:paraId="66310437" w14:textId="17F21022" w:rsidR="00F023CA" w:rsidRDefault="00A17FB9" w:rsidP="007B53CD">
      <w:pPr>
        <w:pStyle w:val="ListParagraph"/>
        <w:numPr>
          <w:ilvl w:val="5"/>
          <w:numId w:val="1"/>
        </w:numPr>
        <w:ind w:left="2520"/>
        <w:rPr>
          <w:szCs w:val="24"/>
        </w:rPr>
      </w:pPr>
      <w:r>
        <w:rPr>
          <w:szCs w:val="24"/>
        </w:rPr>
        <w:t xml:space="preserve">R: </w:t>
      </w:r>
      <w:r w:rsidR="00F023CA">
        <w:rPr>
          <w:szCs w:val="24"/>
        </w:rPr>
        <w:t xml:space="preserve">Yes. But thinks </w:t>
      </w:r>
      <w:r>
        <w:rPr>
          <w:szCs w:val="24"/>
        </w:rPr>
        <w:t>it</w:t>
      </w:r>
      <w:r w:rsidR="00F023CA">
        <w:rPr>
          <w:szCs w:val="24"/>
        </w:rPr>
        <w:t xml:space="preserve"> needs to be built into the policy to allow faculty to make their own decisions about how serious things are. Especially if information </w:t>
      </w:r>
      <w:r>
        <w:rPr>
          <w:szCs w:val="24"/>
        </w:rPr>
        <w:t>on</w:t>
      </w:r>
      <w:r w:rsidR="00F023CA">
        <w:rPr>
          <w:szCs w:val="24"/>
        </w:rPr>
        <w:t xml:space="preserve"> consequences </w:t>
      </w:r>
      <w:r>
        <w:rPr>
          <w:szCs w:val="24"/>
        </w:rPr>
        <w:t xml:space="preserve">for a given type of misconduct </w:t>
      </w:r>
      <w:r w:rsidR="00F023CA">
        <w:rPr>
          <w:szCs w:val="24"/>
        </w:rPr>
        <w:t>is included in the syllabus.</w:t>
      </w:r>
    </w:p>
    <w:p w14:paraId="01F8E313" w14:textId="6B92818F" w:rsidR="00F023CA" w:rsidRDefault="003507E0" w:rsidP="007B53CD">
      <w:pPr>
        <w:pStyle w:val="ListParagraph"/>
        <w:numPr>
          <w:ilvl w:val="4"/>
          <w:numId w:val="1"/>
        </w:numPr>
        <w:ind w:left="2160"/>
        <w:rPr>
          <w:szCs w:val="24"/>
        </w:rPr>
      </w:pPr>
      <w:r>
        <w:rPr>
          <w:szCs w:val="24"/>
        </w:rPr>
        <w:t xml:space="preserve">C: </w:t>
      </w:r>
      <w:r w:rsidR="00F023CA">
        <w:rPr>
          <w:szCs w:val="24"/>
        </w:rPr>
        <w:t>This policy changes only 1 thing: how first offenses are treated. 2</w:t>
      </w:r>
      <w:r w:rsidR="00F023CA" w:rsidRPr="00F023CA">
        <w:rPr>
          <w:szCs w:val="24"/>
          <w:vertAlign w:val="superscript"/>
        </w:rPr>
        <w:t>nd</w:t>
      </w:r>
      <w:r w:rsidR="00F023CA">
        <w:rPr>
          <w:szCs w:val="24"/>
        </w:rPr>
        <w:t xml:space="preserve"> offences still stay for 5 years, </w:t>
      </w:r>
      <w:r>
        <w:rPr>
          <w:szCs w:val="24"/>
        </w:rPr>
        <w:t>as do 3</w:t>
      </w:r>
      <w:r w:rsidRPr="003507E0">
        <w:rPr>
          <w:szCs w:val="24"/>
          <w:vertAlign w:val="superscript"/>
        </w:rPr>
        <w:t>rd</w:t>
      </w:r>
      <w:r>
        <w:rPr>
          <w:szCs w:val="24"/>
        </w:rPr>
        <w:t xml:space="preserve"> offenses, </w:t>
      </w:r>
      <w:r w:rsidR="00F023CA">
        <w:rPr>
          <w:szCs w:val="24"/>
        </w:rPr>
        <w:t xml:space="preserve">etc. </w:t>
      </w:r>
      <w:r>
        <w:rPr>
          <w:szCs w:val="24"/>
        </w:rPr>
        <w:t>This change</w:t>
      </w:r>
      <w:r w:rsidR="00F023CA">
        <w:rPr>
          <w:szCs w:val="24"/>
        </w:rPr>
        <w:t xml:space="preserve"> would apply only to </w:t>
      </w:r>
      <w:r>
        <w:rPr>
          <w:szCs w:val="24"/>
        </w:rPr>
        <w:t xml:space="preserve">a </w:t>
      </w:r>
      <w:r w:rsidR="00F023CA">
        <w:rPr>
          <w:szCs w:val="24"/>
        </w:rPr>
        <w:t xml:space="preserve">first offense. In terms of major/minor, </w:t>
      </w:r>
      <w:r>
        <w:rPr>
          <w:szCs w:val="24"/>
        </w:rPr>
        <w:t>APC</w:t>
      </w:r>
      <w:r w:rsidR="00F023CA">
        <w:rPr>
          <w:szCs w:val="24"/>
        </w:rPr>
        <w:t xml:space="preserve"> do</w:t>
      </w:r>
      <w:r>
        <w:rPr>
          <w:szCs w:val="24"/>
        </w:rPr>
        <w:t>es</w:t>
      </w:r>
      <w:r w:rsidR="00F023CA">
        <w:rPr>
          <w:szCs w:val="24"/>
        </w:rPr>
        <w:t xml:space="preserve"> expect </w:t>
      </w:r>
      <w:r>
        <w:rPr>
          <w:szCs w:val="24"/>
        </w:rPr>
        <w:t xml:space="preserve">there to be </w:t>
      </w:r>
      <w:r w:rsidR="00F023CA">
        <w:rPr>
          <w:szCs w:val="24"/>
        </w:rPr>
        <w:t>differen</w:t>
      </w:r>
      <w:r>
        <w:rPr>
          <w:szCs w:val="24"/>
        </w:rPr>
        <w:t>t</w:t>
      </w:r>
      <w:r w:rsidR="00F023CA">
        <w:rPr>
          <w:szCs w:val="24"/>
        </w:rPr>
        <w:t xml:space="preserve"> expectations based on course level, etc. APC has seen cases where a freshman gets failed a course for missing a citation </w:t>
      </w:r>
      <w:r>
        <w:rPr>
          <w:szCs w:val="24"/>
        </w:rPr>
        <w:t>yet</w:t>
      </w:r>
      <w:r w:rsidR="00F023CA">
        <w:rPr>
          <w:szCs w:val="24"/>
        </w:rPr>
        <w:t xml:space="preserve"> a grad student who copied two </w:t>
      </w:r>
      <w:r>
        <w:rPr>
          <w:szCs w:val="24"/>
        </w:rPr>
        <w:t>paragraphs</w:t>
      </w:r>
      <w:r w:rsidR="00F023CA">
        <w:rPr>
          <w:szCs w:val="24"/>
        </w:rPr>
        <w:t xml:space="preserve"> get</w:t>
      </w:r>
      <w:r>
        <w:rPr>
          <w:szCs w:val="24"/>
        </w:rPr>
        <w:t>s</w:t>
      </w:r>
      <w:r w:rsidR="00F023CA">
        <w:rPr>
          <w:szCs w:val="24"/>
        </w:rPr>
        <w:t xml:space="preserve"> a written warning,</w:t>
      </w:r>
      <w:r>
        <w:rPr>
          <w:szCs w:val="24"/>
        </w:rPr>
        <w:t xml:space="preserve"> </w:t>
      </w:r>
      <w:r w:rsidR="00F023CA">
        <w:rPr>
          <w:szCs w:val="24"/>
        </w:rPr>
        <w:t>which</w:t>
      </w:r>
      <w:r>
        <w:rPr>
          <w:szCs w:val="24"/>
        </w:rPr>
        <w:t xml:space="preserve"> disparity</w:t>
      </w:r>
      <w:r w:rsidR="00F023CA">
        <w:rPr>
          <w:szCs w:val="24"/>
        </w:rPr>
        <w:t xml:space="preserve"> is a concern. </w:t>
      </w:r>
      <w:r>
        <w:rPr>
          <w:szCs w:val="24"/>
        </w:rPr>
        <w:t>“</w:t>
      </w:r>
      <w:r w:rsidR="00F023CA">
        <w:rPr>
          <w:szCs w:val="24"/>
        </w:rPr>
        <w:t>Removed from the record</w:t>
      </w:r>
      <w:r>
        <w:rPr>
          <w:szCs w:val="24"/>
        </w:rPr>
        <w:t>”</w:t>
      </w:r>
      <w:r w:rsidR="00F023CA">
        <w:rPr>
          <w:szCs w:val="24"/>
        </w:rPr>
        <w:t xml:space="preserve"> means removed to some extent; in some cases, </w:t>
      </w:r>
      <w:r>
        <w:rPr>
          <w:szCs w:val="24"/>
        </w:rPr>
        <w:t>SU</w:t>
      </w:r>
      <w:r w:rsidR="00F023CA">
        <w:rPr>
          <w:szCs w:val="24"/>
        </w:rPr>
        <w:t xml:space="preserve"> would </w:t>
      </w:r>
      <w:r>
        <w:rPr>
          <w:szCs w:val="24"/>
        </w:rPr>
        <w:t>still</w:t>
      </w:r>
      <w:r w:rsidR="00F023CA">
        <w:rPr>
          <w:szCs w:val="24"/>
        </w:rPr>
        <w:t xml:space="preserve"> be legally mandated to report everything. If a student appeals the charge, then APC </w:t>
      </w:r>
      <w:r>
        <w:rPr>
          <w:szCs w:val="24"/>
        </w:rPr>
        <w:t>considers</w:t>
      </w:r>
      <w:r w:rsidR="00F023CA">
        <w:rPr>
          <w:szCs w:val="24"/>
        </w:rPr>
        <w:t xml:space="preserve"> whether the action</w:t>
      </w:r>
      <w:r>
        <w:rPr>
          <w:szCs w:val="24"/>
        </w:rPr>
        <w:t xml:space="preserve"> actually</w:t>
      </w:r>
      <w:r w:rsidR="00F023CA">
        <w:rPr>
          <w:szCs w:val="24"/>
        </w:rPr>
        <w:t xml:space="preserve"> is </w:t>
      </w:r>
      <w:r>
        <w:rPr>
          <w:szCs w:val="24"/>
        </w:rPr>
        <w:t>what the faculty member says it is</w:t>
      </w:r>
      <w:r w:rsidR="00F023CA">
        <w:rPr>
          <w:szCs w:val="24"/>
        </w:rPr>
        <w:t>; APC would not have the ability to change</w:t>
      </w:r>
      <w:r>
        <w:rPr>
          <w:szCs w:val="24"/>
        </w:rPr>
        <w:t xml:space="preserve"> the</w:t>
      </w:r>
      <w:r w:rsidR="00F023CA">
        <w:rPr>
          <w:szCs w:val="24"/>
        </w:rPr>
        <w:t xml:space="preserve"> sanction on a denied appeal.</w:t>
      </w:r>
    </w:p>
    <w:p w14:paraId="04ED6B92" w14:textId="0FF326C0" w:rsidR="00F023CA" w:rsidRDefault="003507E0" w:rsidP="007B53CD">
      <w:pPr>
        <w:pStyle w:val="ListParagraph"/>
        <w:numPr>
          <w:ilvl w:val="3"/>
          <w:numId w:val="1"/>
        </w:numPr>
        <w:ind w:left="1800"/>
        <w:rPr>
          <w:szCs w:val="24"/>
        </w:rPr>
      </w:pPr>
      <w:r>
        <w:rPr>
          <w:szCs w:val="24"/>
        </w:rPr>
        <w:t xml:space="preserve">C: </w:t>
      </w:r>
      <w:r w:rsidR="00492D6D">
        <w:rPr>
          <w:szCs w:val="24"/>
        </w:rPr>
        <w:t xml:space="preserve">Don’t see where it says where minor offenses are only first offenses. </w:t>
      </w:r>
      <w:r>
        <w:rPr>
          <w:szCs w:val="24"/>
        </w:rPr>
        <w:t>S</w:t>
      </w:r>
      <w:r w:rsidR="00492D6D">
        <w:rPr>
          <w:szCs w:val="24"/>
        </w:rPr>
        <w:t>uggest</w:t>
      </w:r>
      <w:r>
        <w:rPr>
          <w:szCs w:val="24"/>
        </w:rPr>
        <w:t>s</w:t>
      </w:r>
      <w:r w:rsidR="00492D6D">
        <w:rPr>
          <w:szCs w:val="24"/>
        </w:rPr>
        <w:t xml:space="preserve"> that any second offense within a year </w:t>
      </w:r>
      <w:r>
        <w:rPr>
          <w:szCs w:val="24"/>
        </w:rPr>
        <w:t>be</w:t>
      </w:r>
      <w:r w:rsidR="00492D6D">
        <w:rPr>
          <w:szCs w:val="24"/>
        </w:rPr>
        <w:t xml:space="preserve"> automatically treated as a </w:t>
      </w:r>
      <w:r w:rsidR="00492D6D">
        <w:rPr>
          <w:szCs w:val="24"/>
        </w:rPr>
        <w:lastRenderedPageBreak/>
        <w:t xml:space="preserve">major offense. Is there another policy elsewhere which is also </w:t>
      </w:r>
      <w:r>
        <w:rPr>
          <w:szCs w:val="24"/>
        </w:rPr>
        <w:t>impacts</w:t>
      </w:r>
      <w:r w:rsidR="00492D6D">
        <w:rPr>
          <w:szCs w:val="24"/>
        </w:rPr>
        <w:t xml:space="preserve"> this? Do</w:t>
      </w:r>
      <w:r>
        <w:rPr>
          <w:szCs w:val="24"/>
        </w:rPr>
        <w:t>es</w:t>
      </w:r>
      <w:r w:rsidR="00492D6D">
        <w:rPr>
          <w:szCs w:val="24"/>
        </w:rPr>
        <w:t xml:space="preserve"> not think APC should have purview over sanction. And have concerns over APC deciding seriousness of sanction as well.</w:t>
      </w:r>
    </w:p>
    <w:p w14:paraId="4202FC70" w14:textId="33A16DF3" w:rsidR="00492D6D" w:rsidRDefault="003507E0" w:rsidP="007B53CD">
      <w:pPr>
        <w:pStyle w:val="ListParagraph"/>
        <w:numPr>
          <w:ilvl w:val="4"/>
          <w:numId w:val="1"/>
        </w:numPr>
        <w:ind w:left="2160"/>
        <w:rPr>
          <w:szCs w:val="24"/>
        </w:rPr>
      </w:pPr>
      <w:r>
        <w:rPr>
          <w:szCs w:val="24"/>
        </w:rPr>
        <w:t xml:space="preserve">R: </w:t>
      </w:r>
      <w:r w:rsidR="00492D6D">
        <w:rPr>
          <w:szCs w:val="24"/>
        </w:rPr>
        <w:t xml:space="preserve">Point 4 talks about subsequent offenses </w:t>
      </w:r>
      <w:r>
        <w:rPr>
          <w:szCs w:val="24"/>
        </w:rPr>
        <w:t>remaining</w:t>
      </w:r>
      <w:r w:rsidR="00492D6D">
        <w:rPr>
          <w:szCs w:val="24"/>
        </w:rPr>
        <w:t xml:space="preserve"> for 5 years, so de facto</w:t>
      </w:r>
      <w:r>
        <w:rPr>
          <w:szCs w:val="24"/>
        </w:rPr>
        <w:t xml:space="preserve"> they are</w:t>
      </w:r>
      <w:r w:rsidR="00492D6D">
        <w:rPr>
          <w:szCs w:val="24"/>
        </w:rPr>
        <w:t xml:space="preserve"> treated as</w:t>
      </w:r>
      <w:r>
        <w:rPr>
          <w:szCs w:val="24"/>
        </w:rPr>
        <w:t xml:space="preserve"> a</w:t>
      </w:r>
      <w:r w:rsidR="00492D6D">
        <w:rPr>
          <w:szCs w:val="24"/>
        </w:rPr>
        <w:t xml:space="preserve"> major offense.</w:t>
      </w:r>
    </w:p>
    <w:p w14:paraId="238E4919" w14:textId="674EF2D8" w:rsidR="00492D6D" w:rsidRDefault="003507E0" w:rsidP="007B53CD">
      <w:pPr>
        <w:pStyle w:val="ListParagraph"/>
        <w:numPr>
          <w:ilvl w:val="4"/>
          <w:numId w:val="1"/>
        </w:numPr>
        <w:ind w:left="2160"/>
        <w:rPr>
          <w:szCs w:val="24"/>
        </w:rPr>
      </w:pPr>
      <w:r>
        <w:rPr>
          <w:szCs w:val="24"/>
        </w:rPr>
        <w:t xml:space="preserve">R: </w:t>
      </w:r>
      <w:r w:rsidR="00492D6D">
        <w:rPr>
          <w:szCs w:val="24"/>
        </w:rPr>
        <w:t>This does not mean that APC automatically gets to decide</w:t>
      </w:r>
      <w:r>
        <w:rPr>
          <w:szCs w:val="24"/>
        </w:rPr>
        <w:t xml:space="preserve"> about </w:t>
      </w:r>
      <w:proofErr w:type="spellStart"/>
      <w:r>
        <w:rPr>
          <w:szCs w:val="24"/>
        </w:rPr>
        <w:t>saction</w:t>
      </w:r>
      <w:proofErr w:type="spellEnd"/>
      <w:r>
        <w:rPr>
          <w:szCs w:val="24"/>
        </w:rPr>
        <w:t xml:space="preserve"> and seriousness</w:t>
      </w:r>
      <w:r w:rsidR="00492D6D">
        <w:rPr>
          <w:szCs w:val="24"/>
        </w:rPr>
        <w:t>. APC can only review if a student appeals, and then only if the student appeals the sanction or the seriousness.</w:t>
      </w:r>
    </w:p>
    <w:p w14:paraId="4C2BB07D" w14:textId="35FC67B3" w:rsidR="00492D6D" w:rsidRDefault="003507E0" w:rsidP="007B53CD">
      <w:pPr>
        <w:pStyle w:val="ListParagraph"/>
        <w:numPr>
          <w:ilvl w:val="4"/>
          <w:numId w:val="1"/>
        </w:numPr>
        <w:ind w:left="2160"/>
        <w:rPr>
          <w:szCs w:val="24"/>
        </w:rPr>
      </w:pPr>
      <w:r>
        <w:rPr>
          <w:szCs w:val="24"/>
        </w:rPr>
        <w:t xml:space="preserve">C: </w:t>
      </w:r>
      <w:r w:rsidR="00492D6D">
        <w:rPr>
          <w:szCs w:val="24"/>
        </w:rPr>
        <w:t xml:space="preserve">Suggest removing the bullet that says APC has purview over sanction, and changing </w:t>
      </w:r>
      <w:r>
        <w:rPr>
          <w:szCs w:val="24"/>
        </w:rPr>
        <w:t xml:space="preserve">the </w:t>
      </w:r>
      <w:r w:rsidR="00492D6D">
        <w:rPr>
          <w:szCs w:val="24"/>
        </w:rPr>
        <w:t>third bullet to “recommended”</w:t>
      </w:r>
      <w:r>
        <w:rPr>
          <w:szCs w:val="24"/>
        </w:rPr>
        <w:t xml:space="preserve"> language</w:t>
      </w:r>
      <w:r w:rsidR="00492D6D">
        <w:rPr>
          <w:szCs w:val="24"/>
        </w:rPr>
        <w:t xml:space="preserve"> instead of </w:t>
      </w:r>
      <w:r>
        <w:rPr>
          <w:szCs w:val="24"/>
        </w:rPr>
        <w:t xml:space="preserve">its </w:t>
      </w:r>
      <w:r w:rsidR="00492D6D">
        <w:rPr>
          <w:szCs w:val="24"/>
        </w:rPr>
        <w:t xml:space="preserve">current </w:t>
      </w:r>
      <w:r>
        <w:rPr>
          <w:szCs w:val="24"/>
        </w:rPr>
        <w:t xml:space="preserve">phrasing </w:t>
      </w:r>
      <w:r w:rsidR="00492D6D">
        <w:rPr>
          <w:szCs w:val="24"/>
        </w:rPr>
        <w:t>which makes it sound mandatory.</w:t>
      </w:r>
    </w:p>
    <w:p w14:paraId="155E9F55" w14:textId="21542612" w:rsidR="00492D6D" w:rsidRDefault="003507E0" w:rsidP="003507E0">
      <w:pPr>
        <w:pStyle w:val="ListParagraph"/>
        <w:numPr>
          <w:ilvl w:val="3"/>
          <w:numId w:val="1"/>
        </w:numPr>
        <w:ind w:left="1800"/>
        <w:rPr>
          <w:szCs w:val="24"/>
        </w:rPr>
      </w:pPr>
      <w:r>
        <w:rPr>
          <w:szCs w:val="24"/>
        </w:rPr>
        <w:t xml:space="preserve">C: </w:t>
      </w:r>
      <w:r w:rsidR="00492D6D">
        <w:rPr>
          <w:szCs w:val="24"/>
        </w:rPr>
        <w:t xml:space="preserve">Thinks APC should kick it back to the faculty member for </w:t>
      </w:r>
      <w:r>
        <w:rPr>
          <w:szCs w:val="24"/>
        </w:rPr>
        <w:t>sanctions</w:t>
      </w:r>
      <w:r w:rsidR="00492D6D">
        <w:rPr>
          <w:szCs w:val="24"/>
        </w:rPr>
        <w:t xml:space="preserve"> if APC agrees with the student’s appeal of the seriousness of the charge. If faculty are going to fail a student from a class, then </w:t>
      </w:r>
      <w:r>
        <w:rPr>
          <w:szCs w:val="24"/>
        </w:rPr>
        <w:t>t</w:t>
      </w:r>
      <w:r w:rsidR="00492D6D">
        <w:rPr>
          <w:szCs w:val="24"/>
        </w:rPr>
        <w:t>hey probably should mark it</w:t>
      </w:r>
      <w:r>
        <w:rPr>
          <w:szCs w:val="24"/>
        </w:rPr>
        <w:t xml:space="preserve"> as</w:t>
      </w:r>
      <w:r w:rsidR="00492D6D">
        <w:rPr>
          <w:szCs w:val="24"/>
        </w:rPr>
        <w:t xml:space="preserve"> major.</w:t>
      </w:r>
    </w:p>
    <w:p w14:paraId="645AAB0C" w14:textId="6B3DED90" w:rsidR="00492D6D" w:rsidRDefault="000F4D1E" w:rsidP="007B53CD">
      <w:pPr>
        <w:pStyle w:val="ListParagraph"/>
        <w:numPr>
          <w:ilvl w:val="2"/>
          <w:numId w:val="1"/>
        </w:numPr>
        <w:ind w:left="1440"/>
        <w:rPr>
          <w:szCs w:val="24"/>
        </w:rPr>
      </w:pPr>
      <w:r>
        <w:rPr>
          <w:szCs w:val="24"/>
        </w:rPr>
        <w:t>APC was charged to create a p</w:t>
      </w:r>
      <w:r w:rsidR="00492D6D">
        <w:rPr>
          <w:szCs w:val="24"/>
        </w:rPr>
        <w:t xml:space="preserve">olicy on </w:t>
      </w:r>
      <w:r w:rsidR="00C600FE">
        <w:rPr>
          <w:szCs w:val="24"/>
        </w:rPr>
        <w:t xml:space="preserve">extra activities (especially required activities) which </w:t>
      </w:r>
      <w:r w:rsidR="00492D6D">
        <w:rPr>
          <w:szCs w:val="24"/>
        </w:rPr>
        <w:t xml:space="preserve">conflict with </w:t>
      </w:r>
      <w:r w:rsidR="00C600FE">
        <w:rPr>
          <w:szCs w:val="24"/>
        </w:rPr>
        <w:t xml:space="preserve">other </w:t>
      </w:r>
      <w:r w:rsidR="00492D6D">
        <w:rPr>
          <w:szCs w:val="24"/>
        </w:rPr>
        <w:t>scheduled courses and exams</w:t>
      </w:r>
      <w:r w:rsidR="00682758">
        <w:rPr>
          <w:szCs w:val="24"/>
        </w:rPr>
        <w:t xml:space="preserve"> (see Appendix 4 for the draft policy)</w:t>
      </w:r>
      <w:r w:rsidR="00C600FE">
        <w:rPr>
          <w:szCs w:val="24"/>
        </w:rPr>
        <w:t>.</w:t>
      </w:r>
      <w:r w:rsidR="00492D6D">
        <w:rPr>
          <w:szCs w:val="24"/>
        </w:rPr>
        <w:t xml:space="preserve"> </w:t>
      </w:r>
      <w:r w:rsidR="00C600FE">
        <w:rPr>
          <w:szCs w:val="24"/>
        </w:rPr>
        <w:t>A discussion draft was brought to Senate on February 11, 2020. S</w:t>
      </w:r>
      <w:r w:rsidR="00492D6D">
        <w:rPr>
          <w:szCs w:val="24"/>
        </w:rPr>
        <w:t>ometimes extra activities conflict</w:t>
      </w:r>
      <w:r w:rsidR="00C600FE">
        <w:rPr>
          <w:szCs w:val="24"/>
        </w:rPr>
        <w:t xml:space="preserve"> with other class times</w:t>
      </w:r>
      <w:r w:rsidR="00492D6D">
        <w:rPr>
          <w:szCs w:val="24"/>
        </w:rPr>
        <w:t>, and you have situations such as students say</w:t>
      </w:r>
      <w:r w:rsidR="00C600FE">
        <w:rPr>
          <w:szCs w:val="24"/>
        </w:rPr>
        <w:t>ing</w:t>
      </w:r>
      <w:r w:rsidR="00492D6D">
        <w:rPr>
          <w:szCs w:val="24"/>
        </w:rPr>
        <w:t xml:space="preserve"> they need to be excused without evidence, and </w:t>
      </w:r>
      <w:r w:rsidR="00C600FE">
        <w:rPr>
          <w:szCs w:val="24"/>
        </w:rPr>
        <w:t>faculty</w:t>
      </w:r>
      <w:r w:rsidR="00492D6D">
        <w:rPr>
          <w:szCs w:val="24"/>
        </w:rPr>
        <w:t xml:space="preserve"> wondering why they should excuse a student from their class/exam for another faculty’s </w:t>
      </w:r>
      <w:r w:rsidR="00C600FE">
        <w:rPr>
          <w:szCs w:val="24"/>
        </w:rPr>
        <w:t>activity</w:t>
      </w:r>
      <w:r w:rsidR="00492D6D">
        <w:rPr>
          <w:szCs w:val="24"/>
        </w:rPr>
        <w:t xml:space="preserve">. </w:t>
      </w:r>
      <w:proofErr w:type="gramStart"/>
      <w:r w:rsidR="00492D6D">
        <w:rPr>
          <w:szCs w:val="24"/>
        </w:rPr>
        <w:t>So</w:t>
      </w:r>
      <w:proofErr w:type="gramEnd"/>
      <w:r w:rsidR="00492D6D">
        <w:rPr>
          <w:szCs w:val="24"/>
        </w:rPr>
        <w:t xml:space="preserve"> this is to help bring clarity and give guidance, to create a policy that’s fair to everyone. This is a discussion draft. The idea is that faculty need to let students know ahead of time what the activities outside of regular class time are, so that students can look ahead and decide whether they can meet those requirements. </w:t>
      </w:r>
      <w:proofErr w:type="gramStart"/>
      <w:r w:rsidR="00492D6D">
        <w:rPr>
          <w:szCs w:val="24"/>
        </w:rPr>
        <w:t>Also</w:t>
      </w:r>
      <w:proofErr w:type="gramEnd"/>
      <w:r w:rsidR="00492D6D">
        <w:rPr>
          <w:szCs w:val="24"/>
        </w:rPr>
        <w:t xml:space="preserve"> would </w:t>
      </w:r>
      <w:r w:rsidR="00C600FE">
        <w:rPr>
          <w:szCs w:val="24"/>
        </w:rPr>
        <w:t>require</w:t>
      </w:r>
      <w:r w:rsidR="00492D6D">
        <w:rPr>
          <w:szCs w:val="24"/>
        </w:rPr>
        <w:t xml:space="preserve"> that students can’t be penalized if the other faculty member refuses to excuse them.</w:t>
      </w:r>
    </w:p>
    <w:p w14:paraId="1AAC627B" w14:textId="7673E463" w:rsidR="00492D6D" w:rsidRDefault="00C600FE" w:rsidP="007B53CD">
      <w:pPr>
        <w:pStyle w:val="ListParagraph"/>
        <w:numPr>
          <w:ilvl w:val="3"/>
          <w:numId w:val="1"/>
        </w:numPr>
        <w:ind w:left="1800"/>
        <w:rPr>
          <w:szCs w:val="24"/>
        </w:rPr>
      </w:pPr>
      <w:r>
        <w:rPr>
          <w:szCs w:val="24"/>
        </w:rPr>
        <w:t xml:space="preserve">C: </w:t>
      </w:r>
      <w:r w:rsidR="00727A89">
        <w:rPr>
          <w:szCs w:val="24"/>
        </w:rPr>
        <w:t xml:space="preserve">The </w:t>
      </w:r>
      <w:r>
        <w:rPr>
          <w:szCs w:val="24"/>
        </w:rPr>
        <w:t>Mid-Atlantic Sales and Marketing Institute</w:t>
      </w:r>
      <w:r w:rsidR="00727A89">
        <w:rPr>
          <w:szCs w:val="24"/>
        </w:rPr>
        <w:t xml:space="preserve"> (MASMI) extracurricular activities conflict with </w:t>
      </w:r>
      <w:r>
        <w:rPr>
          <w:szCs w:val="24"/>
        </w:rPr>
        <w:t>5 and 6 in the proposed policy</w:t>
      </w:r>
      <w:r w:rsidR="00727A89">
        <w:rPr>
          <w:szCs w:val="24"/>
        </w:rPr>
        <w:t xml:space="preserve">. </w:t>
      </w:r>
      <w:r w:rsidR="00560B24">
        <w:rPr>
          <w:szCs w:val="24"/>
        </w:rPr>
        <w:t>MASMI</w:t>
      </w:r>
      <w:r w:rsidR="00727A89">
        <w:rPr>
          <w:szCs w:val="24"/>
        </w:rPr>
        <w:t xml:space="preserve"> already do</w:t>
      </w:r>
      <w:r w:rsidR="00560B24">
        <w:rPr>
          <w:szCs w:val="24"/>
        </w:rPr>
        <w:t>es</w:t>
      </w:r>
      <w:r w:rsidR="00727A89">
        <w:rPr>
          <w:szCs w:val="24"/>
        </w:rPr>
        <w:t xml:space="preserve"> 1-4. Problem with 5-6 is that sometimes there is no equivalent work </w:t>
      </w:r>
      <w:r w:rsidR="00560B24">
        <w:rPr>
          <w:szCs w:val="24"/>
        </w:rPr>
        <w:t>which could be used to</w:t>
      </w:r>
      <w:r w:rsidR="00727A89">
        <w:rPr>
          <w:szCs w:val="24"/>
        </w:rPr>
        <w:t xml:space="preserve"> make up. </w:t>
      </w:r>
      <w:r w:rsidR="00560B24">
        <w:rPr>
          <w:szCs w:val="24"/>
        </w:rPr>
        <w:t>T</w:t>
      </w:r>
      <w:r w:rsidR="00727A89">
        <w:rPr>
          <w:szCs w:val="24"/>
        </w:rPr>
        <w:t xml:space="preserve">his policy would require faculty to allow students to get full points even if they don’t participate. </w:t>
      </w:r>
      <w:r w:rsidR="00560B24">
        <w:rPr>
          <w:szCs w:val="24"/>
        </w:rPr>
        <w:t>MASMI</w:t>
      </w:r>
      <w:r w:rsidR="00727A89">
        <w:rPr>
          <w:szCs w:val="24"/>
        </w:rPr>
        <w:t xml:space="preserve"> expect</w:t>
      </w:r>
      <w:r w:rsidR="00560B24">
        <w:rPr>
          <w:szCs w:val="24"/>
        </w:rPr>
        <w:t>s</w:t>
      </w:r>
      <w:r w:rsidR="00727A89">
        <w:rPr>
          <w:szCs w:val="24"/>
        </w:rPr>
        <w:t xml:space="preserve"> students to drop the class if they can’t make the experiences. Example: 3 students</w:t>
      </w:r>
      <w:r w:rsidR="00560B24">
        <w:rPr>
          <w:szCs w:val="24"/>
        </w:rPr>
        <w:t xml:space="preserve"> today</w:t>
      </w:r>
      <w:r w:rsidR="00727A89">
        <w:rPr>
          <w:szCs w:val="24"/>
        </w:rPr>
        <w:t xml:space="preserve"> reached out and said they couldn’t make a major event for the class, because they have an exam on that day</w:t>
      </w:r>
      <w:r w:rsidR="00560B24">
        <w:rPr>
          <w:szCs w:val="24"/>
        </w:rPr>
        <w:t>; this is an event which is required and was on the syllabus from the beginning</w:t>
      </w:r>
      <w:r w:rsidR="00727A89">
        <w:rPr>
          <w:szCs w:val="24"/>
        </w:rPr>
        <w:t xml:space="preserve">. 40% of students </w:t>
      </w:r>
      <w:r w:rsidR="00560B24">
        <w:rPr>
          <w:szCs w:val="24"/>
        </w:rPr>
        <w:t>in</w:t>
      </w:r>
      <w:r w:rsidR="00727A89">
        <w:rPr>
          <w:szCs w:val="24"/>
        </w:rPr>
        <w:t xml:space="preserve"> this program are from other majors; the only way </w:t>
      </w:r>
      <w:r w:rsidR="00560B24">
        <w:rPr>
          <w:szCs w:val="24"/>
        </w:rPr>
        <w:t>MASMI would</w:t>
      </w:r>
      <w:r w:rsidR="00727A89">
        <w:rPr>
          <w:szCs w:val="24"/>
        </w:rPr>
        <w:t xml:space="preserve"> be able to completely prevent potential conflicts </w:t>
      </w:r>
      <w:r w:rsidR="00560B24">
        <w:rPr>
          <w:szCs w:val="24"/>
        </w:rPr>
        <w:t xml:space="preserve">with other courses </w:t>
      </w:r>
      <w:r w:rsidR="00727A89">
        <w:rPr>
          <w:szCs w:val="24"/>
        </w:rPr>
        <w:t xml:space="preserve">would be </w:t>
      </w:r>
      <w:r w:rsidR="00560B24">
        <w:rPr>
          <w:szCs w:val="24"/>
        </w:rPr>
        <w:t xml:space="preserve">to </w:t>
      </w:r>
      <w:r w:rsidR="00727A89">
        <w:rPr>
          <w:szCs w:val="24"/>
        </w:rPr>
        <w:t xml:space="preserve">refuse participation to those outside Perdue. 5-6 conflict with 1-4 in </w:t>
      </w:r>
      <w:r w:rsidR="00560B24">
        <w:rPr>
          <w:szCs w:val="24"/>
        </w:rPr>
        <w:t>the speaker’s</w:t>
      </w:r>
      <w:r w:rsidR="00727A89">
        <w:rPr>
          <w:szCs w:val="24"/>
        </w:rPr>
        <w:t xml:space="preserve"> opinion.</w:t>
      </w:r>
    </w:p>
    <w:p w14:paraId="3924AE88" w14:textId="75E87A66" w:rsidR="00041007" w:rsidRDefault="00560B24" w:rsidP="007B53CD">
      <w:pPr>
        <w:pStyle w:val="ListParagraph"/>
        <w:numPr>
          <w:ilvl w:val="4"/>
          <w:numId w:val="1"/>
        </w:numPr>
        <w:ind w:left="2160"/>
        <w:rPr>
          <w:szCs w:val="24"/>
        </w:rPr>
      </w:pPr>
      <w:r>
        <w:rPr>
          <w:szCs w:val="24"/>
        </w:rPr>
        <w:t>R: It has n</w:t>
      </w:r>
      <w:r w:rsidR="00041007">
        <w:rPr>
          <w:szCs w:val="24"/>
        </w:rPr>
        <w:t xml:space="preserve">ever been a suggestion that students should get full credit for not showing up. </w:t>
      </w:r>
      <w:r>
        <w:rPr>
          <w:szCs w:val="24"/>
        </w:rPr>
        <w:t>T</w:t>
      </w:r>
      <w:r w:rsidR="00041007">
        <w:rPr>
          <w:szCs w:val="24"/>
        </w:rPr>
        <w:t xml:space="preserve">he problem is when one part of the academic house is telling another part that </w:t>
      </w:r>
      <w:r>
        <w:rPr>
          <w:szCs w:val="24"/>
        </w:rPr>
        <w:t>the other part’s</w:t>
      </w:r>
      <w:r w:rsidR="00041007">
        <w:rPr>
          <w:szCs w:val="24"/>
        </w:rPr>
        <w:t xml:space="preserve"> activity/course/exam is not</w:t>
      </w:r>
      <w:r>
        <w:rPr>
          <w:szCs w:val="24"/>
        </w:rPr>
        <w:t xml:space="preserve"> as</w:t>
      </w:r>
      <w:r w:rsidR="00041007">
        <w:rPr>
          <w:szCs w:val="24"/>
        </w:rPr>
        <w:t xml:space="preserve"> important</w:t>
      </w:r>
      <w:r>
        <w:rPr>
          <w:szCs w:val="24"/>
        </w:rPr>
        <w:t xml:space="preserve"> as theirs</w:t>
      </w:r>
      <w:r w:rsidR="00041007">
        <w:rPr>
          <w:szCs w:val="24"/>
        </w:rPr>
        <w:t>.</w:t>
      </w:r>
    </w:p>
    <w:p w14:paraId="27AAAFFD" w14:textId="2161F1F8" w:rsidR="00727A89" w:rsidRDefault="00560B24" w:rsidP="007B53CD">
      <w:pPr>
        <w:pStyle w:val="ListParagraph"/>
        <w:numPr>
          <w:ilvl w:val="3"/>
          <w:numId w:val="1"/>
        </w:numPr>
        <w:ind w:left="1800"/>
        <w:rPr>
          <w:szCs w:val="24"/>
        </w:rPr>
      </w:pPr>
      <w:r>
        <w:rPr>
          <w:szCs w:val="24"/>
        </w:rPr>
        <w:t xml:space="preserve">C: </w:t>
      </w:r>
      <w:r w:rsidR="00041007">
        <w:rPr>
          <w:szCs w:val="24"/>
        </w:rPr>
        <w:t>Recall there having been a suggestion previously</w:t>
      </w:r>
      <w:r>
        <w:rPr>
          <w:szCs w:val="24"/>
        </w:rPr>
        <w:t xml:space="preserve"> made</w:t>
      </w:r>
      <w:r w:rsidR="00041007">
        <w:rPr>
          <w:szCs w:val="24"/>
        </w:rPr>
        <w:t xml:space="preserve"> by Dr. Scott, that for courses where there’s a standing </w:t>
      </w:r>
      <w:r>
        <w:rPr>
          <w:szCs w:val="24"/>
        </w:rPr>
        <w:t xml:space="preserve">weekly </w:t>
      </w:r>
      <w:r w:rsidR="00041007">
        <w:rPr>
          <w:szCs w:val="24"/>
        </w:rPr>
        <w:t xml:space="preserve">commitment for the class, that a </w:t>
      </w:r>
      <w:r w:rsidR="00041007">
        <w:rPr>
          <w:szCs w:val="24"/>
        </w:rPr>
        <w:lastRenderedPageBreak/>
        <w:t xml:space="preserve">lab </w:t>
      </w:r>
      <w:r w:rsidR="00210F5E">
        <w:rPr>
          <w:szCs w:val="24"/>
        </w:rPr>
        <w:t xml:space="preserve">be </w:t>
      </w:r>
      <w:r w:rsidR="00041007">
        <w:rPr>
          <w:szCs w:val="24"/>
        </w:rPr>
        <w:t>created for the course in the scheduling</w:t>
      </w:r>
      <w:r w:rsidR="00210F5E">
        <w:rPr>
          <w:szCs w:val="24"/>
        </w:rPr>
        <w:t xml:space="preserve"> system</w:t>
      </w:r>
      <w:r w:rsidR="00041007">
        <w:rPr>
          <w:szCs w:val="24"/>
        </w:rPr>
        <w:t>, so that conflicts like this can’t happen.</w:t>
      </w:r>
    </w:p>
    <w:p w14:paraId="3AFAED78" w14:textId="7B0C5956" w:rsidR="00041007" w:rsidRDefault="00210F5E" w:rsidP="007B53CD">
      <w:pPr>
        <w:pStyle w:val="ListParagraph"/>
        <w:numPr>
          <w:ilvl w:val="3"/>
          <w:numId w:val="1"/>
        </w:numPr>
        <w:ind w:left="1800"/>
        <w:rPr>
          <w:szCs w:val="24"/>
        </w:rPr>
      </w:pPr>
      <w:r>
        <w:rPr>
          <w:szCs w:val="24"/>
        </w:rPr>
        <w:t xml:space="preserve">C: </w:t>
      </w:r>
      <w:r w:rsidR="00041007">
        <w:rPr>
          <w:szCs w:val="24"/>
        </w:rPr>
        <w:t>Also thought that 1-4 conflicts with 5-6. Suggests that if there’s a single day commitment</w:t>
      </w:r>
      <w:r w:rsidRPr="00210F5E">
        <w:rPr>
          <w:szCs w:val="24"/>
        </w:rPr>
        <w:t xml:space="preserve"> </w:t>
      </w:r>
      <w:r>
        <w:rPr>
          <w:szCs w:val="24"/>
        </w:rPr>
        <w:t>or the like</w:t>
      </w:r>
      <w:r w:rsidR="00041007">
        <w:rPr>
          <w:szCs w:val="24"/>
        </w:rPr>
        <w:t xml:space="preserve">, that should be noted in </w:t>
      </w:r>
      <w:proofErr w:type="spellStart"/>
      <w:r w:rsidR="00041007">
        <w:rPr>
          <w:szCs w:val="24"/>
        </w:rPr>
        <w:t>GullNet</w:t>
      </w:r>
      <w:proofErr w:type="spellEnd"/>
      <w:r w:rsidR="00041007">
        <w:rPr>
          <w:szCs w:val="24"/>
        </w:rPr>
        <w:t xml:space="preserve"> so that students know when they are signing up for the course. The other issue is </w:t>
      </w:r>
      <w:r w:rsidR="00033A7F">
        <w:rPr>
          <w:szCs w:val="24"/>
        </w:rPr>
        <w:t>activities</w:t>
      </w:r>
      <w:r w:rsidR="00041007">
        <w:rPr>
          <w:szCs w:val="24"/>
        </w:rPr>
        <w:t xml:space="preserve"> which come up over the course of the semester that you didn’t and couldn’t know about ahead of time; for those, do think that </w:t>
      </w:r>
      <w:r w:rsidR="00033A7F">
        <w:rPr>
          <w:szCs w:val="24"/>
        </w:rPr>
        <w:t>faculty</w:t>
      </w:r>
      <w:r w:rsidR="00041007">
        <w:rPr>
          <w:szCs w:val="24"/>
        </w:rPr>
        <w:t xml:space="preserve"> need to allow alternates if the student can’t make it, for any reason, not just for other classes. Sent</w:t>
      </w:r>
      <w:r w:rsidR="00033A7F">
        <w:rPr>
          <w:szCs w:val="24"/>
        </w:rPr>
        <w:t xml:space="preserve"> a</w:t>
      </w:r>
      <w:r w:rsidR="00041007">
        <w:rPr>
          <w:szCs w:val="24"/>
        </w:rPr>
        <w:t xml:space="preserve"> document with suggested edits</w:t>
      </w:r>
      <w:r w:rsidR="00157E8E">
        <w:rPr>
          <w:szCs w:val="24"/>
        </w:rPr>
        <w:t xml:space="preserve"> (see Appendix 5 for this document)</w:t>
      </w:r>
      <w:r w:rsidR="00041007">
        <w:rPr>
          <w:szCs w:val="24"/>
        </w:rPr>
        <w:t>.</w:t>
      </w:r>
    </w:p>
    <w:p w14:paraId="15B7010B" w14:textId="44851847" w:rsidR="00254A70" w:rsidRDefault="00033A7F" w:rsidP="007B53CD">
      <w:pPr>
        <w:pStyle w:val="ListParagraph"/>
        <w:numPr>
          <w:ilvl w:val="3"/>
          <w:numId w:val="1"/>
        </w:numPr>
        <w:ind w:left="1800"/>
        <w:rPr>
          <w:szCs w:val="24"/>
        </w:rPr>
      </w:pPr>
      <w:r>
        <w:rPr>
          <w:szCs w:val="24"/>
        </w:rPr>
        <w:t xml:space="preserve">C: </w:t>
      </w:r>
      <w:r w:rsidR="00254A70">
        <w:rPr>
          <w:szCs w:val="24"/>
        </w:rPr>
        <w:t xml:space="preserve">Faculty are usually willing to work with other faculty for a one-day </w:t>
      </w:r>
      <w:r>
        <w:rPr>
          <w:szCs w:val="24"/>
        </w:rPr>
        <w:t>exception</w:t>
      </w:r>
      <w:r w:rsidR="00254A70">
        <w:rPr>
          <w:szCs w:val="24"/>
        </w:rPr>
        <w:t xml:space="preserve">. Feels this </w:t>
      </w:r>
      <w:r>
        <w:rPr>
          <w:szCs w:val="24"/>
        </w:rPr>
        <w:t xml:space="preserve">policy </w:t>
      </w:r>
      <w:r w:rsidR="00254A70">
        <w:rPr>
          <w:szCs w:val="24"/>
        </w:rPr>
        <w:t>means that students have no responsibility with regards to activities</w:t>
      </w:r>
      <w:r>
        <w:rPr>
          <w:szCs w:val="24"/>
        </w:rPr>
        <w:t xml:space="preserve"> outside class time</w:t>
      </w:r>
      <w:r w:rsidR="00254A70">
        <w:rPr>
          <w:szCs w:val="24"/>
        </w:rPr>
        <w:t>, because all they have to say is that they have a conflict</w:t>
      </w:r>
      <w:r>
        <w:rPr>
          <w:szCs w:val="24"/>
        </w:rPr>
        <w:t xml:space="preserve"> in order to get out of it</w:t>
      </w:r>
      <w:r w:rsidR="00254A70">
        <w:rPr>
          <w:szCs w:val="24"/>
        </w:rPr>
        <w:t>.</w:t>
      </w:r>
    </w:p>
    <w:p w14:paraId="689B0BC4" w14:textId="06359731" w:rsidR="00381900" w:rsidRPr="0050534A" w:rsidRDefault="00381900" w:rsidP="007B53CD">
      <w:pPr>
        <w:pStyle w:val="ListParagraph"/>
        <w:numPr>
          <w:ilvl w:val="3"/>
          <w:numId w:val="1"/>
        </w:numPr>
        <w:ind w:left="1800"/>
        <w:rPr>
          <w:szCs w:val="24"/>
        </w:rPr>
      </w:pPr>
      <w:r>
        <w:rPr>
          <w:szCs w:val="24"/>
        </w:rPr>
        <w:t xml:space="preserve">If there’s further comments, please send them to </w:t>
      </w:r>
      <w:r w:rsidR="00033A7F">
        <w:rPr>
          <w:szCs w:val="24"/>
        </w:rPr>
        <w:t xml:space="preserve">the </w:t>
      </w:r>
      <w:r>
        <w:rPr>
          <w:szCs w:val="24"/>
        </w:rPr>
        <w:t>APC</w:t>
      </w:r>
      <w:r w:rsidR="00033A7F">
        <w:rPr>
          <w:szCs w:val="24"/>
        </w:rPr>
        <w:t xml:space="preserve"> or to </w:t>
      </w:r>
      <w:r>
        <w:rPr>
          <w:szCs w:val="24"/>
        </w:rPr>
        <w:t>Beth Ragan</w:t>
      </w:r>
      <w:r w:rsidR="00033A7F">
        <w:rPr>
          <w:szCs w:val="24"/>
        </w:rPr>
        <w:t xml:space="preserve"> specifically</w:t>
      </w:r>
      <w:r>
        <w:rPr>
          <w:szCs w:val="24"/>
        </w:rPr>
        <w:t>.</w:t>
      </w:r>
    </w:p>
    <w:p w14:paraId="39A99781" w14:textId="74689833" w:rsidR="002C0FB7" w:rsidRDefault="002C0FB7" w:rsidP="007B53CD">
      <w:pPr>
        <w:pStyle w:val="ListParagraph"/>
        <w:numPr>
          <w:ilvl w:val="1"/>
          <w:numId w:val="1"/>
        </w:numPr>
        <w:ind w:left="1080"/>
        <w:rPr>
          <w:szCs w:val="24"/>
        </w:rPr>
      </w:pPr>
      <w:r w:rsidRPr="0050534A">
        <w:rPr>
          <w:szCs w:val="24"/>
        </w:rPr>
        <w:t>Promotions Committee</w:t>
      </w:r>
    </w:p>
    <w:p w14:paraId="6BA3CE7E" w14:textId="63AAB29F" w:rsidR="00A67A13" w:rsidRDefault="00381900" w:rsidP="007B53CD">
      <w:pPr>
        <w:pStyle w:val="ListParagraph"/>
        <w:numPr>
          <w:ilvl w:val="2"/>
          <w:numId w:val="1"/>
        </w:numPr>
        <w:ind w:left="1440"/>
        <w:rPr>
          <w:szCs w:val="24"/>
        </w:rPr>
      </w:pPr>
      <w:r>
        <w:rPr>
          <w:szCs w:val="24"/>
        </w:rPr>
        <w:t xml:space="preserve">In fall 2018, </w:t>
      </w:r>
      <w:r w:rsidR="00A55CF6">
        <w:rPr>
          <w:szCs w:val="24"/>
        </w:rPr>
        <w:t>Faculty Senate charged the Committee on Promotions</w:t>
      </w:r>
      <w:r>
        <w:rPr>
          <w:szCs w:val="24"/>
        </w:rPr>
        <w:t xml:space="preserve"> to work with </w:t>
      </w:r>
      <w:r w:rsidR="00A55CF6">
        <w:rPr>
          <w:szCs w:val="24"/>
        </w:rPr>
        <w:t xml:space="preserve">the </w:t>
      </w:r>
      <w:proofErr w:type="spellStart"/>
      <w:r>
        <w:rPr>
          <w:szCs w:val="24"/>
        </w:rPr>
        <w:t>CHHS</w:t>
      </w:r>
      <w:proofErr w:type="spellEnd"/>
      <w:r>
        <w:rPr>
          <w:szCs w:val="24"/>
        </w:rPr>
        <w:t xml:space="preserve"> ad hoc committee on clinical faculty promotion policies. </w:t>
      </w:r>
      <w:r w:rsidR="00A55CF6">
        <w:rPr>
          <w:szCs w:val="24"/>
        </w:rPr>
        <w:t>The c</w:t>
      </w:r>
      <w:r>
        <w:rPr>
          <w:szCs w:val="24"/>
        </w:rPr>
        <w:t>harge</w:t>
      </w:r>
      <w:r w:rsidR="00A55CF6">
        <w:rPr>
          <w:szCs w:val="24"/>
        </w:rPr>
        <w:t xml:space="preserve"> was</w:t>
      </w:r>
      <w:r>
        <w:rPr>
          <w:szCs w:val="24"/>
        </w:rPr>
        <w:t xml:space="preserve"> to collaborate to create </w:t>
      </w:r>
      <w:r w:rsidR="00A55CF6">
        <w:rPr>
          <w:szCs w:val="24"/>
        </w:rPr>
        <w:t>a policy</w:t>
      </w:r>
      <w:r>
        <w:rPr>
          <w:szCs w:val="24"/>
        </w:rPr>
        <w:t xml:space="preserve">, including timeline, criteria, and eligibility. In April 2019, </w:t>
      </w:r>
      <w:r w:rsidR="00A55CF6">
        <w:rPr>
          <w:szCs w:val="24"/>
        </w:rPr>
        <w:t>a policy</w:t>
      </w:r>
      <w:r>
        <w:rPr>
          <w:szCs w:val="24"/>
        </w:rPr>
        <w:t xml:space="preserve"> was approved </w:t>
      </w:r>
      <w:r w:rsidR="00A55CF6">
        <w:rPr>
          <w:szCs w:val="24"/>
        </w:rPr>
        <w:t>by</w:t>
      </w:r>
      <w:r>
        <w:rPr>
          <w:szCs w:val="24"/>
        </w:rPr>
        <w:t xml:space="preserve"> CHHS</w:t>
      </w:r>
      <w:r w:rsidR="00157E8E">
        <w:rPr>
          <w:szCs w:val="24"/>
        </w:rPr>
        <w:t xml:space="preserve"> (see Appendix 6 for the text of this policy)</w:t>
      </w:r>
      <w:r>
        <w:rPr>
          <w:szCs w:val="24"/>
        </w:rPr>
        <w:t>. The Committee on Promotions decided to go with what the ad hoc committee recommended</w:t>
      </w:r>
      <w:r w:rsidR="00A55CF6">
        <w:rPr>
          <w:szCs w:val="24"/>
        </w:rPr>
        <w:t>,</w:t>
      </w:r>
      <w:r>
        <w:rPr>
          <w:szCs w:val="24"/>
        </w:rPr>
        <w:t xml:space="preserve"> </w:t>
      </w:r>
      <w:r w:rsidR="00A55CF6">
        <w:rPr>
          <w:szCs w:val="24"/>
        </w:rPr>
        <w:t>but their policy is</w:t>
      </w:r>
      <w:r>
        <w:rPr>
          <w:szCs w:val="24"/>
        </w:rPr>
        <w:t xml:space="preserve"> specific to CHHS. Looking at the suggested process, the CoP is not part of the process</w:t>
      </w:r>
      <w:r w:rsidR="00A55CF6">
        <w:rPr>
          <w:szCs w:val="24"/>
        </w:rPr>
        <w:t>.</w:t>
      </w:r>
      <w:r>
        <w:rPr>
          <w:szCs w:val="24"/>
        </w:rPr>
        <w:t xml:space="preserve"> </w:t>
      </w:r>
      <w:r w:rsidR="00A55CF6">
        <w:rPr>
          <w:szCs w:val="24"/>
        </w:rPr>
        <w:t>T</w:t>
      </w:r>
      <w:r>
        <w:rPr>
          <w:szCs w:val="24"/>
        </w:rPr>
        <w:t xml:space="preserve">he CoP’s purpose is to focus on the promotion of tenure-track faculty. </w:t>
      </w:r>
      <w:r w:rsidR="00A55CF6">
        <w:rPr>
          <w:szCs w:val="24"/>
        </w:rPr>
        <w:t>CoP is asking</w:t>
      </w:r>
      <w:r>
        <w:rPr>
          <w:szCs w:val="24"/>
        </w:rPr>
        <w:t xml:space="preserve"> whether </w:t>
      </w:r>
      <w:r w:rsidR="00A55CF6">
        <w:rPr>
          <w:szCs w:val="24"/>
        </w:rPr>
        <w:t>they</w:t>
      </w:r>
      <w:r>
        <w:rPr>
          <w:szCs w:val="24"/>
        </w:rPr>
        <w:t xml:space="preserve"> should create a </w:t>
      </w:r>
      <w:r w:rsidR="00A55CF6">
        <w:rPr>
          <w:szCs w:val="24"/>
        </w:rPr>
        <w:t>policy</w:t>
      </w:r>
      <w:r>
        <w:rPr>
          <w:szCs w:val="24"/>
        </w:rPr>
        <w:t xml:space="preserve"> that’s university</w:t>
      </w:r>
      <w:r w:rsidR="00A55CF6">
        <w:rPr>
          <w:szCs w:val="24"/>
        </w:rPr>
        <w:t>-</w:t>
      </w:r>
      <w:r>
        <w:rPr>
          <w:szCs w:val="24"/>
        </w:rPr>
        <w:t xml:space="preserve">wide, since this </w:t>
      </w:r>
      <w:r w:rsidR="00A55CF6">
        <w:rPr>
          <w:szCs w:val="24"/>
        </w:rPr>
        <w:t xml:space="preserve">policy </w:t>
      </w:r>
      <w:r>
        <w:rPr>
          <w:szCs w:val="24"/>
        </w:rPr>
        <w:t>is specific to CHHS</w:t>
      </w:r>
      <w:r w:rsidR="00A55CF6">
        <w:rPr>
          <w:szCs w:val="24"/>
        </w:rPr>
        <w:t>.</w:t>
      </w:r>
    </w:p>
    <w:p w14:paraId="71144A6B" w14:textId="39BF3280" w:rsidR="00381900" w:rsidRDefault="00A55CF6" w:rsidP="007B53CD">
      <w:pPr>
        <w:pStyle w:val="ListParagraph"/>
        <w:numPr>
          <w:ilvl w:val="3"/>
          <w:numId w:val="1"/>
        </w:numPr>
        <w:ind w:left="1800"/>
        <w:rPr>
          <w:szCs w:val="24"/>
        </w:rPr>
      </w:pPr>
      <w:r>
        <w:rPr>
          <w:szCs w:val="24"/>
        </w:rPr>
        <w:t xml:space="preserve">Q: </w:t>
      </w:r>
      <w:r w:rsidR="00381900">
        <w:rPr>
          <w:szCs w:val="24"/>
        </w:rPr>
        <w:t>Is it an oversight? Did they mean to cut out the CoP?</w:t>
      </w:r>
    </w:p>
    <w:p w14:paraId="6DB54E22" w14:textId="4C8CB951" w:rsidR="00381900" w:rsidRDefault="00A55CF6" w:rsidP="007B53CD">
      <w:pPr>
        <w:pStyle w:val="ListParagraph"/>
        <w:numPr>
          <w:ilvl w:val="4"/>
          <w:numId w:val="1"/>
        </w:numPr>
        <w:ind w:left="2160"/>
        <w:rPr>
          <w:szCs w:val="24"/>
        </w:rPr>
      </w:pPr>
      <w:r>
        <w:rPr>
          <w:szCs w:val="24"/>
        </w:rPr>
        <w:t xml:space="preserve">R: </w:t>
      </w:r>
      <w:r w:rsidR="00381900">
        <w:rPr>
          <w:szCs w:val="24"/>
        </w:rPr>
        <w:t xml:space="preserve">Not an oversight; </w:t>
      </w:r>
      <w:r>
        <w:rPr>
          <w:szCs w:val="24"/>
        </w:rPr>
        <w:t xml:space="preserve">it </w:t>
      </w:r>
      <w:r w:rsidR="00381900">
        <w:rPr>
          <w:szCs w:val="24"/>
        </w:rPr>
        <w:t>was intentional.</w:t>
      </w:r>
    </w:p>
    <w:p w14:paraId="67F11CFF" w14:textId="5F2AB71F" w:rsidR="00381900" w:rsidRDefault="00A55CF6" w:rsidP="007B53CD">
      <w:pPr>
        <w:pStyle w:val="ListParagraph"/>
        <w:numPr>
          <w:ilvl w:val="5"/>
          <w:numId w:val="1"/>
        </w:numPr>
        <w:ind w:left="2520"/>
        <w:rPr>
          <w:szCs w:val="24"/>
        </w:rPr>
      </w:pPr>
      <w:r>
        <w:rPr>
          <w:szCs w:val="24"/>
        </w:rPr>
        <w:t xml:space="preserve">Q: </w:t>
      </w:r>
      <w:r w:rsidR="00381900">
        <w:rPr>
          <w:szCs w:val="24"/>
        </w:rPr>
        <w:t>Interesting that one school would do it different than everyone else then. Was there a rationale for that?</w:t>
      </w:r>
    </w:p>
    <w:p w14:paraId="7048AD1F" w14:textId="170B2DE5" w:rsidR="00381900" w:rsidRDefault="00A55CF6" w:rsidP="007B53CD">
      <w:pPr>
        <w:pStyle w:val="ListParagraph"/>
        <w:numPr>
          <w:ilvl w:val="6"/>
          <w:numId w:val="1"/>
        </w:numPr>
        <w:ind w:left="2880"/>
        <w:rPr>
          <w:szCs w:val="24"/>
        </w:rPr>
      </w:pPr>
      <w:r>
        <w:rPr>
          <w:szCs w:val="24"/>
        </w:rPr>
        <w:t xml:space="preserve">R: </w:t>
      </w:r>
      <w:r w:rsidR="00381900">
        <w:rPr>
          <w:szCs w:val="24"/>
        </w:rPr>
        <w:t>Clinical faculty are relatively new, and</w:t>
      </w:r>
      <w:r>
        <w:rPr>
          <w:szCs w:val="24"/>
        </w:rPr>
        <w:t xml:space="preserve"> are mostly in</w:t>
      </w:r>
      <w:r w:rsidR="00381900">
        <w:rPr>
          <w:szCs w:val="24"/>
        </w:rPr>
        <w:t xml:space="preserve"> CHHS. CoP was never part of the process before.</w:t>
      </w:r>
    </w:p>
    <w:p w14:paraId="6AC7150D" w14:textId="498E8B0A" w:rsidR="00381900" w:rsidRDefault="00A55CF6" w:rsidP="007B53CD">
      <w:pPr>
        <w:pStyle w:val="ListParagraph"/>
        <w:numPr>
          <w:ilvl w:val="3"/>
          <w:numId w:val="1"/>
        </w:numPr>
        <w:ind w:left="1800"/>
        <w:rPr>
          <w:szCs w:val="24"/>
        </w:rPr>
      </w:pPr>
      <w:r>
        <w:rPr>
          <w:szCs w:val="24"/>
        </w:rPr>
        <w:t xml:space="preserve">C from </w:t>
      </w:r>
      <w:r w:rsidR="00381900">
        <w:rPr>
          <w:szCs w:val="24"/>
        </w:rPr>
        <w:t>Dr</w:t>
      </w:r>
      <w:r>
        <w:rPr>
          <w:szCs w:val="24"/>
        </w:rPr>
        <w:t>.</w:t>
      </w:r>
      <w:r w:rsidR="00381900">
        <w:rPr>
          <w:szCs w:val="24"/>
        </w:rPr>
        <w:t xml:space="preserve"> Olmstead: </w:t>
      </w:r>
      <w:r>
        <w:rPr>
          <w:szCs w:val="24"/>
        </w:rPr>
        <w:t>S</w:t>
      </w:r>
      <w:r w:rsidR="00381900">
        <w:rPr>
          <w:szCs w:val="24"/>
        </w:rPr>
        <w:t xml:space="preserve">ome background: clinical </w:t>
      </w:r>
      <w:r>
        <w:rPr>
          <w:szCs w:val="24"/>
        </w:rPr>
        <w:t>faculty</w:t>
      </w:r>
      <w:r w:rsidR="00381900">
        <w:rPr>
          <w:szCs w:val="24"/>
        </w:rPr>
        <w:t xml:space="preserve"> </w:t>
      </w:r>
      <w:r>
        <w:rPr>
          <w:szCs w:val="24"/>
        </w:rPr>
        <w:t>were first employed for the</w:t>
      </w:r>
      <w:r w:rsidR="00381900">
        <w:rPr>
          <w:szCs w:val="24"/>
        </w:rPr>
        <w:t xml:space="preserve"> </w:t>
      </w:r>
      <w:r>
        <w:rPr>
          <w:szCs w:val="24"/>
        </w:rPr>
        <w:t>H</w:t>
      </w:r>
      <w:r w:rsidR="00381900">
        <w:rPr>
          <w:szCs w:val="24"/>
        </w:rPr>
        <w:t xml:space="preserve">ealth </w:t>
      </w:r>
      <w:r>
        <w:rPr>
          <w:szCs w:val="24"/>
        </w:rPr>
        <w:t>S</w:t>
      </w:r>
      <w:r w:rsidR="00381900">
        <w:rPr>
          <w:szCs w:val="24"/>
        </w:rPr>
        <w:t xml:space="preserve">ciences. </w:t>
      </w:r>
      <w:r>
        <w:rPr>
          <w:szCs w:val="24"/>
        </w:rPr>
        <w:t>Their role</w:t>
      </w:r>
      <w:r w:rsidR="00381900">
        <w:rPr>
          <w:szCs w:val="24"/>
        </w:rPr>
        <w:t xml:space="preserve"> look</w:t>
      </w:r>
      <w:r>
        <w:rPr>
          <w:szCs w:val="24"/>
        </w:rPr>
        <w:t>s</w:t>
      </w:r>
      <w:r w:rsidR="00381900">
        <w:rPr>
          <w:szCs w:val="24"/>
        </w:rPr>
        <w:t xml:space="preserve"> similar to tenure</w:t>
      </w:r>
      <w:r>
        <w:rPr>
          <w:szCs w:val="24"/>
        </w:rPr>
        <w:t>d</w:t>
      </w:r>
      <w:r w:rsidR="00381900">
        <w:rPr>
          <w:szCs w:val="24"/>
        </w:rPr>
        <w:t xml:space="preserve"> </w:t>
      </w:r>
      <w:r>
        <w:rPr>
          <w:szCs w:val="24"/>
        </w:rPr>
        <w:t>faculty</w:t>
      </w:r>
      <w:r w:rsidR="00381900">
        <w:rPr>
          <w:szCs w:val="24"/>
        </w:rPr>
        <w:t xml:space="preserve">; but </w:t>
      </w:r>
      <w:r>
        <w:rPr>
          <w:szCs w:val="24"/>
        </w:rPr>
        <w:t xml:space="preserve">it’s </w:t>
      </w:r>
      <w:r w:rsidR="00381900">
        <w:rPr>
          <w:szCs w:val="24"/>
        </w:rPr>
        <w:t>not the same</w:t>
      </w:r>
      <w:r>
        <w:rPr>
          <w:szCs w:val="24"/>
        </w:rPr>
        <w:t xml:space="preserve">: </w:t>
      </w:r>
      <w:r w:rsidR="00381900">
        <w:rPr>
          <w:szCs w:val="24"/>
        </w:rPr>
        <w:t xml:space="preserve">they’re not </w:t>
      </w:r>
      <w:r>
        <w:rPr>
          <w:szCs w:val="24"/>
        </w:rPr>
        <w:t>tenured</w:t>
      </w:r>
      <w:r w:rsidR="002629C6">
        <w:rPr>
          <w:szCs w:val="24"/>
        </w:rPr>
        <w:t>;</w:t>
      </w:r>
      <w:r w:rsidR="00381900">
        <w:rPr>
          <w:szCs w:val="24"/>
        </w:rPr>
        <w:t xml:space="preserve"> they have to stay fully licensed and </w:t>
      </w:r>
      <w:r w:rsidR="002629C6">
        <w:rPr>
          <w:szCs w:val="24"/>
        </w:rPr>
        <w:t>credentialed,</w:t>
      </w:r>
      <w:r w:rsidR="00381900">
        <w:rPr>
          <w:szCs w:val="24"/>
        </w:rPr>
        <w:t xml:space="preserve"> which tenured faculty might not have</w:t>
      </w:r>
      <w:r w:rsidR="002629C6">
        <w:rPr>
          <w:szCs w:val="24"/>
        </w:rPr>
        <w:t xml:space="preserve"> to;</w:t>
      </w:r>
      <w:r w:rsidR="00381900">
        <w:rPr>
          <w:szCs w:val="24"/>
        </w:rPr>
        <w:t xml:space="preserve"> </w:t>
      </w:r>
      <w:r w:rsidR="00116D60">
        <w:rPr>
          <w:szCs w:val="24"/>
        </w:rPr>
        <w:t>they might be working elsewhere as well</w:t>
      </w:r>
      <w:r w:rsidR="002629C6">
        <w:rPr>
          <w:szCs w:val="24"/>
        </w:rPr>
        <w:t xml:space="preserve"> to maintain that licensure;</w:t>
      </w:r>
      <w:r w:rsidR="00116D60">
        <w:rPr>
          <w:szCs w:val="24"/>
        </w:rPr>
        <w:t xml:space="preserve"> </w:t>
      </w:r>
      <w:r w:rsidR="00381900">
        <w:rPr>
          <w:szCs w:val="24"/>
        </w:rPr>
        <w:t xml:space="preserve">and </w:t>
      </w:r>
      <w:r w:rsidR="002629C6">
        <w:rPr>
          <w:szCs w:val="24"/>
        </w:rPr>
        <w:t xml:space="preserve">their </w:t>
      </w:r>
      <w:r w:rsidR="00381900">
        <w:rPr>
          <w:szCs w:val="24"/>
        </w:rPr>
        <w:t xml:space="preserve">research/publishing expectations are very minor. </w:t>
      </w:r>
      <w:proofErr w:type="gramStart"/>
      <w:r w:rsidR="00381900">
        <w:rPr>
          <w:szCs w:val="24"/>
        </w:rPr>
        <w:t>So</w:t>
      </w:r>
      <w:proofErr w:type="gramEnd"/>
      <w:r w:rsidR="00381900">
        <w:rPr>
          <w:szCs w:val="24"/>
        </w:rPr>
        <w:t xml:space="preserve"> it’s overall very different. </w:t>
      </w:r>
      <w:r w:rsidR="002629C6">
        <w:rPr>
          <w:szCs w:val="24"/>
        </w:rPr>
        <w:t>It</w:t>
      </w:r>
      <w:r w:rsidR="00381900">
        <w:rPr>
          <w:szCs w:val="24"/>
        </w:rPr>
        <w:t xml:space="preserve"> was thought that </w:t>
      </w:r>
      <w:r w:rsidR="00116D60">
        <w:rPr>
          <w:szCs w:val="24"/>
        </w:rPr>
        <w:t>it might be better to have clinical faculty review clinical faculty.</w:t>
      </w:r>
      <w:r w:rsidR="002629C6">
        <w:rPr>
          <w:szCs w:val="24"/>
        </w:rPr>
        <w:t xml:space="preserve"> Since CoP is tenured faculty, this means they don’t have a role.</w:t>
      </w:r>
      <w:r w:rsidR="00116D60">
        <w:rPr>
          <w:szCs w:val="24"/>
        </w:rPr>
        <w:t xml:space="preserve"> </w:t>
      </w:r>
      <w:r w:rsidR="002629C6">
        <w:rPr>
          <w:szCs w:val="24"/>
        </w:rPr>
        <w:t>T</w:t>
      </w:r>
      <w:r w:rsidR="00116D60">
        <w:rPr>
          <w:szCs w:val="24"/>
        </w:rPr>
        <w:t xml:space="preserve">his is a common setup at other </w:t>
      </w:r>
      <w:r w:rsidR="002629C6">
        <w:rPr>
          <w:szCs w:val="24"/>
        </w:rPr>
        <w:t>institutions</w:t>
      </w:r>
      <w:r w:rsidR="00116D60">
        <w:rPr>
          <w:szCs w:val="24"/>
        </w:rPr>
        <w:t>.</w:t>
      </w:r>
    </w:p>
    <w:p w14:paraId="461688C9" w14:textId="4557DB2F" w:rsidR="00116D60" w:rsidRDefault="002629C6" w:rsidP="007B53CD">
      <w:pPr>
        <w:pStyle w:val="ListParagraph"/>
        <w:numPr>
          <w:ilvl w:val="3"/>
          <w:numId w:val="1"/>
        </w:numPr>
        <w:ind w:left="1800"/>
        <w:rPr>
          <w:szCs w:val="24"/>
        </w:rPr>
      </w:pPr>
      <w:r>
        <w:rPr>
          <w:szCs w:val="24"/>
        </w:rPr>
        <w:t xml:space="preserve">Q: </w:t>
      </w:r>
      <w:proofErr w:type="gramStart"/>
      <w:r w:rsidR="00116D60">
        <w:rPr>
          <w:szCs w:val="24"/>
        </w:rPr>
        <w:t>So</w:t>
      </w:r>
      <w:proofErr w:type="gramEnd"/>
      <w:r w:rsidR="00116D60">
        <w:rPr>
          <w:szCs w:val="24"/>
        </w:rPr>
        <w:t xml:space="preserve"> if </w:t>
      </w:r>
      <w:r>
        <w:rPr>
          <w:szCs w:val="24"/>
        </w:rPr>
        <w:t>clinical faculty are</w:t>
      </w:r>
      <w:r w:rsidR="00116D60">
        <w:rPr>
          <w:szCs w:val="24"/>
        </w:rPr>
        <w:t xml:space="preserve"> working elsewhere, are they not teaching full time?</w:t>
      </w:r>
    </w:p>
    <w:p w14:paraId="76C193B7" w14:textId="01752652" w:rsidR="00116D60" w:rsidRDefault="002629C6" w:rsidP="007B53CD">
      <w:pPr>
        <w:pStyle w:val="ListParagraph"/>
        <w:numPr>
          <w:ilvl w:val="4"/>
          <w:numId w:val="1"/>
        </w:numPr>
        <w:ind w:left="2160"/>
        <w:rPr>
          <w:szCs w:val="24"/>
        </w:rPr>
      </w:pPr>
      <w:r>
        <w:rPr>
          <w:szCs w:val="24"/>
        </w:rPr>
        <w:t xml:space="preserve">R: </w:t>
      </w:r>
      <w:r w:rsidR="00116D60">
        <w:rPr>
          <w:szCs w:val="24"/>
        </w:rPr>
        <w:t xml:space="preserve">No, they teach full time. But they might do a day a week in a hospital or a clinic, </w:t>
      </w:r>
      <w:r>
        <w:rPr>
          <w:szCs w:val="24"/>
        </w:rPr>
        <w:t>for example</w:t>
      </w:r>
      <w:r w:rsidR="00116D60">
        <w:rPr>
          <w:szCs w:val="24"/>
        </w:rPr>
        <w:t>.</w:t>
      </w:r>
    </w:p>
    <w:p w14:paraId="668D4DE2" w14:textId="51212C80" w:rsidR="00116D60" w:rsidRDefault="002629C6" w:rsidP="007B53CD">
      <w:pPr>
        <w:pStyle w:val="ListParagraph"/>
        <w:numPr>
          <w:ilvl w:val="3"/>
          <w:numId w:val="1"/>
        </w:numPr>
        <w:ind w:left="1800"/>
        <w:rPr>
          <w:szCs w:val="24"/>
        </w:rPr>
      </w:pPr>
      <w:r>
        <w:rPr>
          <w:szCs w:val="24"/>
        </w:rPr>
        <w:lastRenderedPageBreak/>
        <w:t xml:space="preserve">C: There’s a lot of variation in professional requirements for clinical </w:t>
      </w:r>
      <w:proofErr w:type="spellStart"/>
      <w:r>
        <w:rPr>
          <w:szCs w:val="24"/>
        </w:rPr>
        <w:t>fauclyt</w:t>
      </w:r>
      <w:proofErr w:type="spellEnd"/>
      <w:r>
        <w:rPr>
          <w:szCs w:val="24"/>
        </w:rPr>
        <w:t>, so there was</w:t>
      </w:r>
      <w:r w:rsidR="00116D60">
        <w:rPr>
          <w:szCs w:val="24"/>
        </w:rPr>
        <w:t xml:space="preserve"> a lot of discussion about coming up with a document that fits for every clinical faculty within </w:t>
      </w:r>
      <w:r>
        <w:rPr>
          <w:szCs w:val="24"/>
        </w:rPr>
        <w:t>CHHS</w:t>
      </w:r>
      <w:r w:rsidR="00116D60">
        <w:rPr>
          <w:szCs w:val="24"/>
        </w:rPr>
        <w:t>, which is why it took so long to develop.</w:t>
      </w:r>
    </w:p>
    <w:p w14:paraId="4594E888" w14:textId="644EB216" w:rsidR="00FA3379" w:rsidRPr="002629C6" w:rsidRDefault="002629C6" w:rsidP="001315BE">
      <w:pPr>
        <w:pStyle w:val="ListParagraph"/>
        <w:numPr>
          <w:ilvl w:val="3"/>
          <w:numId w:val="1"/>
        </w:numPr>
        <w:ind w:left="1800"/>
        <w:rPr>
          <w:szCs w:val="24"/>
        </w:rPr>
      </w:pPr>
      <w:r w:rsidRPr="002629C6">
        <w:rPr>
          <w:szCs w:val="24"/>
        </w:rPr>
        <w:t xml:space="preserve">C: </w:t>
      </w:r>
      <w:r w:rsidR="00FA3379" w:rsidRPr="002629C6">
        <w:rPr>
          <w:szCs w:val="24"/>
        </w:rPr>
        <w:t xml:space="preserve">Thinks that if CoP has looked at </w:t>
      </w:r>
      <w:r w:rsidRPr="002629C6">
        <w:rPr>
          <w:szCs w:val="24"/>
        </w:rPr>
        <w:t>the policy</w:t>
      </w:r>
      <w:r w:rsidR="00FA3379" w:rsidRPr="002629C6">
        <w:rPr>
          <w:szCs w:val="24"/>
        </w:rPr>
        <w:t xml:space="preserve">, and they are fine with it, </w:t>
      </w:r>
      <w:r w:rsidRPr="002629C6">
        <w:rPr>
          <w:szCs w:val="24"/>
        </w:rPr>
        <w:t>then the policy is fine</w:t>
      </w:r>
      <w:r w:rsidR="00FA3379" w:rsidRPr="002629C6">
        <w:rPr>
          <w:szCs w:val="24"/>
        </w:rPr>
        <w:t>. Thinks the points made</w:t>
      </w:r>
      <w:r w:rsidRPr="002629C6">
        <w:rPr>
          <w:szCs w:val="24"/>
        </w:rPr>
        <w:t xml:space="preserve"> previously</w:t>
      </w:r>
      <w:r w:rsidR="00FA3379" w:rsidRPr="002629C6">
        <w:rPr>
          <w:szCs w:val="24"/>
        </w:rPr>
        <w:t xml:space="preserve"> make sense.</w:t>
      </w:r>
      <w:r w:rsidRPr="002629C6">
        <w:rPr>
          <w:szCs w:val="24"/>
        </w:rPr>
        <w:t xml:space="preserve"> Regarding number</w:t>
      </w:r>
      <w:r w:rsidR="00FA3379" w:rsidRPr="002629C6">
        <w:rPr>
          <w:szCs w:val="24"/>
        </w:rPr>
        <w:t xml:space="preserve"> 4</w:t>
      </w:r>
      <w:r w:rsidRPr="002629C6">
        <w:rPr>
          <w:szCs w:val="24"/>
        </w:rPr>
        <w:t xml:space="preserve"> in the policy: the </w:t>
      </w:r>
      <w:r w:rsidR="00FA3379" w:rsidRPr="002629C6">
        <w:rPr>
          <w:szCs w:val="24"/>
        </w:rPr>
        <w:t xml:space="preserve">faculty member is allowed to include rebuttal </w:t>
      </w:r>
      <w:r w:rsidRPr="002629C6">
        <w:rPr>
          <w:szCs w:val="24"/>
        </w:rPr>
        <w:t>when their package is</w:t>
      </w:r>
      <w:r w:rsidR="00FA3379" w:rsidRPr="002629C6">
        <w:rPr>
          <w:szCs w:val="24"/>
        </w:rPr>
        <w:t xml:space="preserve"> pass</w:t>
      </w:r>
      <w:r w:rsidRPr="002629C6">
        <w:rPr>
          <w:szCs w:val="24"/>
        </w:rPr>
        <w:t>ed</w:t>
      </w:r>
      <w:r w:rsidR="00FA3379" w:rsidRPr="002629C6">
        <w:rPr>
          <w:szCs w:val="24"/>
        </w:rPr>
        <w:t xml:space="preserve"> to</w:t>
      </w:r>
      <w:r w:rsidRPr="002629C6">
        <w:rPr>
          <w:szCs w:val="24"/>
        </w:rPr>
        <w:t xml:space="preserve"> the</w:t>
      </w:r>
      <w:r w:rsidR="00FA3379" w:rsidRPr="002629C6">
        <w:rPr>
          <w:szCs w:val="24"/>
        </w:rPr>
        <w:t xml:space="preserve"> dean, but number 5 says </w:t>
      </w:r>
      <w:r w:rsidRPr="002629C6">
        <w:rPr>
          <w:szCs w:val="24"/>
        </w:rPr>
        <w:t xml:space="preserve">the </w:t>
      </w:r>
      <w:r w:rsidR="00FA3379" w:rsidRPr="002629C6">
        <w:rPr>
          <w:szCs w:val="24"/>
        </w:rPr>
        <w:t xml:space="preserve">candidate and dean will be notified at the same time. </w:t>
      </w:r>
      <w:r w:rsidRPr="002629C6">
        <w:rPr>
          <w:szCs w:val="24"/>
        </w:rPr>
        <w:t>Since you can’t</w:t>
      </w:r>
      <w:r w:rsidR="00FA3379" w:rsidRPr="002629C6">
        <w:rPr>
          <w:szCs w:val="24"/>
        </w:rPr>
        <w:t xml:space="preserve"> rebut something until </w:t>
      </w:r>
      <w:r w:rsidRPr="002629C6">
        <w:rPr>
          <w:szCs w:val="24"/>
        </w:rPr>
        <w:t>you’ve</w:t>
      </w:r>
      <w:r w:rsidR="00FA3379" w:rsidRPr="002629C6">
        <w:rPr>
          <w:szCs w:val="24"/>
        </w:rPr>
        <w:t xml:space="preserve"> seen it, </w:t>
      </w:r>
      <w:r w:rsidRPr="002629C6">
        <w:rPr>
          <w:szCs w:val="24"/>
        </w:rPr>
        <w:t>the</w:t>
      </w:r>
      <w:r w:rsidR="00FA3379" w:rsidRPr="002629C6">
        <w:rPr>
          <w:szCs w:val="24"/>
        </w:rPr>
        <w:t xml:space="preserve"> candidate needs to be notified ahead of </w:t>
      </w:r>
      <w:r w:rsidRPr="002629C6">
        <w:rPr>
          <w:szCs w:val="24"/>
        </w:rPr>
        <w:t>the dean</w:t>
      </w:r>
      <w:r w:rsidR="00FA3379" w:rsidRPr="002629C6">
        <w:rPr>
          <w:szCs w:val="24"/>
        </w:rPr>
        <w:t>.</w:t>
      </w:r>
    </w:p>
    <w:p w14:paraId="78325924" w14:textId="39550C4A" w:rsidR="003E4EA6" w:rsidRDefault="002629C6" w:rsidP="007B53CD">
      <w:pPr>
        <w:pStyle w:val="ListParagraph"/>
        <w:numPr>
          <w:ilvl w:val="3"/>
          <w:numId w:val="1"/>
        </w:numPr>
        <w:ind w:left="1800"/>
        <w:rPr>
          <w:szCs w:val="24"/>
        </w:rPr>
      </w:pPr>
      <w:r>
        <w:rPr>
          <w:szCs w:val="24"/>
        </w:rPr>
        <w:t xml:space="preserve">Q: </w:t>
      </w:r>
      <w:r w:rsidR="003E4EA6">
        <w:rPr>
          <w:szCs w:val="24"/>
        </w:rPr>
        <w:t>Since there’s currently no director, would that step be skipped? Or would dean appoint someone for that role?</w:t>
      </w:r>
    </w:p>
    <w:p w14:paraId="63FFE971" w14:textId="5684AAD9" w:rsidR="003E4EA6" w:rsidRDefault="002629C6" w:rsidP="007B53CD">
      <w:pPr>
        <w:pStyle w:val="ListParagraph"/>
        <w:numPr>
          <w:ilvl w:val="4"/>
          <w:numId w:val="1"/>
        </w:numPr>
        <w:ind w:left="2160"/>
        <w:rPr>
          <w:szCs w:val="24"/>
        </w:rPr>
      </w:pPr>
      <w:r>
        <w:rPr>
          <w:szCs w:val="24"/>
        </w:rPr>
        <w:t xml:space="preserve">R: </w:t>
      </w:r>
      <w:r w:rsidR="003E4EA6">
        <w:rPr>
          <w:szCs w:val="24"/>
        </w:rPr>
        <w:t>Doesn’t know; can ask about that.</w:t>
      </w:r>
    </w:p>
    <w:p w14:paraId="174AD12D" w14:textId="562C4CC4" w:rsidR="003E4EA6" w:rsidRDefault="002629C6" w:rsidP="007B53CD">
      <w:pPr>
        <w:pStyle w:val="ListParagraph"/>
        <w:numPr>
          <w:ilvl w:val="3"/>
          <w:numId w:val="1"/>
        </w:numPr>
        <w:ind w:left="1800"/>
        <w:rPr>
          <w:szCs w:val="24"/>
        </w:rPr>
      </w:pPr>
      <w:r>
        <w:rPr>
          <w:szCs w:val="24"/>
        </w:rPr>
        <w:t xml:space="preserve">Q: </w:t>
      </w:r>
      <w:r w:rsidR="003E4EA6">
        <w:rPr>
          <w:szCs w:val="24"/>
        </w:rPr>
        <w:t xml:space="preserve">Who advocates for someone who has an issue with the process? </w:t>
      </w:r>
      <w:r>
        <w:rPr>
          <w:szCs w:val="24"/>
        </w:rPr>
        <w:t>Don’t</w:t>
      </w:r>
      <w:r w:rsidR="003E4EA6">
        <w:rPr>
          <w:szCs w:val="24"/>
        </w:rPr>
        <w:t xml:space="preserve"> want to leave </w:t>
      </w:r>
      <w:r>
        <w:rPr>
          <w:szCs w:val="24"/>
        </w:rPr>
        <w:t>clinical faculty</w:t>
      </w:r>
      <w:r w:rsidR="003E4EA6">
        <w:rPr>
          <w:szCs w:val="24"/>
        </w:rPr>
        <w:t xml:space="preserve"> without advocate. The difference </w:t>
      </w:r>
      <w:r>
        <w:rPr>
          <w:szCs w:val="24"/>
        </w:rPr>
        <w:t xml:space="preserve">in process </w:t>
      </w:r>
      <w:r w:rsidR="003E4EA6">
        <w:rPr>
          <w:szCs w:val="24"/>
        </w:rPr>
        <w:t xml:space="preserve">because of the </w:t>
      </w:r>
      <w:r>
        <w:rPr>
          <w:szCs w:val="24"/>
        </w:rPr>
        <w:t>difference between clinical and tenured faculty</w:t>
      </w:r>
      <w:r w:rsidR="003E4EA6">
        <w:rPr>
          <w:szCs w:val="24"/>
        </w:rPr>
        <w:t xml:space="preserve"> makes sense.</w:t>
      </w:r>
    </w:p>
    <w:p w14:paraId="74789697" w14:textId="433C1694" w:rsidR="003E4EA6" w:rsidRDefault="002629C6" w:rsidP="007B53CD">
      <w:pPr>
        <w:pStyle w:val="ListParagraph"/>
        <w:numPr>
          <w:ilvl w:val="4"/>
          <w:numId w:val="1"/>
        </w:numPr>
        <w:ind w:left="2160"/>
        <w:rPr>
          <w:szCs w:val="24"/>
        </w:rPr>
      </w:pPr>
      <w:r>
        <w:rPr>
          <w:szCs w:val="24"/>
        </w:rPr>
        <w:t>R: The</w:t>
      </w:r>
      <w:r w:rsidR="003E4EA6">
        <w:rPr>
          <w:szCs w:val="24"/>
        </w:rPr>
        <w:t xml:space="preserve"> CoP bylaws </w:t>
      </w:r>
      <w:r>
        <w:rPr>
          <w:szCs w:val="24"/>
        </w:rPr>
        <w:t xml:space="preserve">would need to be changed </w:t>
      </w:r>
      <w:r w:rsidR="003E4EA6">
        <w:rPr>
          <w:szCs w:val="24"/>
        </w:rPr>
        <w:t xml:space="preserve">to allow them to review these promotions if needed. </w:t>
      </w:r>
      <w:r>
        <w:rPr>
          <w:szCs w:val="24"/>
        </w:rPr>
        <w:t>T</w:t>
      </w:r>
      <w:r w:rsidR="003E4EA6">
        <w:rPr>
          <w:szCs w:val="24"/>
        </w:rPr>
        <w:t xml:space="preserve">hat </w:t>
      </w:r>
      <w:r>
        <w:rPr>
          <w:szCs w:val="24"/>
        </w:rPr>
        <w:t>could be done</w:t>
      </w:r>
      <w:r w:rsidR="003E4EA6">
        <w:rPr>
          <w:szCs w:val="24"/>
        </w:rPr>
        <w:t>.</w:t>
      </w:r>
    </w:p>
    <w:p w14:paraId="6EB27A3C" w14:textId="64EE4077" w:rsidR="003E4EA6" w:rsidRPr="0050534A" w:rsidRDefault="003E4EA6" w:rsidP="007B53CD">
      <w:pPr>
        <w:pStyle w:val="ListParagraph"/>
        <w:numPr>
          <w:ilvl w:val="3"/>
          <w:numId w:val="1"/>
        </w:numPr>
        <w:ind w:left="1800"/>
        <w:rPr>
          <w:szCs w:val="24"/>
        </w:rPr>
      </w:pPr>
      <w:r>
        <w:rPr>
          <w:szCs w:val="24"/>
        </w:rPr>
        <w:t>FS consensus to continue the work.</w:t>
      </w:r>
    </w:p>
    <w:p w14:paraId="428CBA83" w14:textId="06359C42" w:rsidR="008701EF" w:rsidRDefault="008701EF" w:rsidP="007B53CD">
      <w:pPr>
        <w:pStyle w:val="ListParagraph"/>
        <w:numPr>
          <w:ilvl w:val="1"/>
          <w:numId w:val="1"/>
        </w:numPr>
        <w:ind w:left="1080"/>
        <w:rPr>
          <w:szCs w:val="24"/>
        </w:rPr>
      </w:pPr>
      <w:r w:rsidRPr="0050534A">
        <w:rPr>
          <w:szCs w:val="24"/>
        </w:rPr>
        <w:t>GESC: General Education Model – Comprehensive Introduction</w:t>
      </w:r>
      <w:r w:rsidR="002C0FB7" w:rsidRPr="0050534A">
        <w:rPr>
          <w:szCs w:val="24"/>
        </w:rPr>
        <w:t xml:space="preserve"> – Part II</w:t>
      </w:r>
    </w:p>
    <w:p w14:paraId="51B8336B" w14:textId="05FEF949" w:rsidR="00A67A13" w:rsidRDefault="002629C6" w:rsidP="007B53CD">
      <w:pPr>
        <w:pStyle w:val="ListParagraph"/>
        <w:numPr>
          <w:ilvl w:val="2"/>
          <w:numId w:val="1"/>
        </w:numPr>
        <w:ind w:left="1440"/>
        <w:rPr>
          <w:szCs w:val="24"/>
        </w:rPr>
      </w:pPr>
      <w:r>
        <w:rPr>
          <w:szCs w:val="24"/>
        </w:rPr>
        <w:t>Tom Cawthern is h</w:t>
      </w:r>
      <w:r w:rsidR="001F0225">
        <w:rPr>
          <w:szCs w:val="24"/>
        </w:rPr>
        <w:t xml:space="preserve">appy to meet with individual departments </w:t>
      </w:r>
      <w:r>
        <w:rPr>
          <w:szCs w:val="24"/>
        </w:rPr>
        <w:t>at end of this semester or start of next semester to go over the model</w:t>
      </w:r>
      <w:r w:rsidR="001F0225">
        <w:rPr>
          <w:szCs w:val="24"/>
        </w:rPr>
        <w:t xml:space="preserve">. </w:t>
      </w:r>
      <w:r>
        <w:rPr>
          <w:szCs w:val="24"/>
        </w:rPr>
        <w:t>Or he can be consulted by email</w:t>
      </w:r>
      <w:r w:rsidR="001F0225">
        <w:rPr>
          <w:szCs w:val="24"/>
        </w:rPr>
        <w:t>.</w:t>
      </w:r>
    </w:p>
    <w:p w14:paraId="394B9C8F" w14:textId="436A0060" w:rsidR="001F0225" w:rsidRPr="0050534A" w:rsidRDefault="00464D10" w:rsidP="007B53CD">
      <w:pPr>
        <w:pStyle w:val="ListParagraph"/>
        <w:numPr>
          <w:ilvl w:val="2"/>
          <w:numId w:val="1"/>
        </w:numPr>
        <w:ind w:left="1440"/>
        <w:rPr>
          <w:szCs w:val="24"/>
        </w:rPr>
      </w:pPr>
      <w:r>
        <w:rPr>
          <w:szCs w:val="24"/>
        </w:rPr>
        <w:t>This part of the update looks</w:t>
      </w:r>
      <w:r w:rsidR="001F0225">
        <w:rPr>
          <w:szCs w:val="24"/>
        </w:rPr>
        <w:t xml:space="preserve"> at the course section projection model</w:t>
      </w:r>
      <w:r w:rsidR="00267B98">
        <w:rPr>
          <w:szCs w:val="24"/>
        </w:rPr>
        <w:t xml:space="preserve"> (see Appendix 7 for a copy of the relevant charts)</w:t>
      </w:r>
      <w:r w:rsidR="001F0225">
        <w:rPr>
          <w:szCs w:val="24"/>
        </w:rPr>
        <w:t>.</w:t>
      </w:r>
      <w:r w:rsidR="00833007">
        <w:rPr>
          <w:szCs w:val="24"/>
        </w:rPr>
        <w:t xml:space="preserve"> </w:t>
      </w:r>
      <w:r>
        <w:rPr>
          <w:szCs w:val="24"/>
        </w:rPr>
        <w:t>GESC s</w:t>
      </w:r>
      <w:r w:rsidR="00833007">
        <w:rPr>
          <w:szCs w:val="24"/>
        </w:rPr>
        <w:t xml:space="preserve">tarted </w:t>
      </w:r>
      <w:r>
        <w:rPr>
          <w:szCs w:val="24"/>
        </w:rPr>
        <w:t>by</w:t>
      </w:r>
      <w:r w:rsidR="00833007">
        <w:rPr>
          <w:szCs w:val="24"/>
        </w:rPr>
        <w:t xml:space="preserve"> taking </w:t>
      </w:r>
      <w:r>
        <w:rPr>
          <w:szCs w:val="24"/>
        </w:rPr>
        <w:t xml:space="preserve">our </w:t>
      </w:r>
      <w:r w:rsidR="00833007">
        <w:rPr>
          <w:szCs w:val="24"/>
        </w:rPr>
        <w:t xml:space="preserve">current gen ed and analyzing it. </w:t>
      </w:r>
      <w:r>
        <w:rPr>
          <w:szCs w:val="24"/>
        </w:rPr>
        <w:t>“</w:t>
      </w:r>
      <w:r w:rsidR="00833007">
        <w:rPr>
          <w:szCs w:val="24"/>
        </w:rPr>
        <w:t xml:space="preserve">% </w:t>
      </w:r>
      <w:r w:rsidR="008B24BB">
        <w:rPr>
          <w:szCs w:val="24"/>
        </w:rPr>
        <w:t>T</w:t>
      </w:r>
      <w:r w:rsidR="00833007">
        <w:rPr>
          <w:szCs w:val="24"/>
        </w:rPr>
        <w:t xml:space="preserve">aking </w:t>
      </w:r>
      <w:proofErr w:type="spellStart"/>
      <w:r w:rsidR="008B24BB">
        <w:rPr>
          <w:szCs w:val="24"/>
        </w:rPr>
        <w:t>GenEd</w:t>
      </w:r>
      <w:proofErr w:type="spellEnd"/>
      <w:r w:rsidR="008B24BB">
        <w:rPr>
          <w:szCs w:val="24"/>
        </w:rPr>
        <w:t xml:space="preserve"> group at SU</w:t>
      </w:r>
      <w:r>
        <w:rPr>
          <w:szCs w:val="24"/>
        </w:rPr>
        <w:t>”</w:t>
      </w:r>
      <w:r w:rsidR="00833007">
        <w:rPr>
          <w:szCs w:val="24"/>
        </w:rPr>
        <w:t xml:space="preserve"> is approximately </w:t>
      </w:r>
      <w:r>
        <w:rPr>
          <w:szCs w:val="24"/>
        </w:rPr>
        <w:t xml:space="preserve">the </w:t>
      </w:r>
      <w:r w:rsidR="00833007">
        <w:rPr>
          <w:szCs w:val="24"/>
        </w:rPr>
        <w:t xml:space="preserve">total </w:t>
      </w:r>
      <w:r w:rsidR="00994CD3">
        <w:rPr>
          <w:szCs w:val="24"/>
        </w:rPr>
        <w:t>percentage</w:t>
      </w:r>
      <w:r w:rsidR="00833007">
        <w:rPr>
          <w:szCs w:val="24"/>
        </w:rPr>
        <w:t xml:space="preserve"> of students who end up taking the </w:t>
      </w:r>
      <w:r>
        <w:rPr>
          <w:szCs w:val="24"/>
        </w:rPr>
        <w:t xml:space="preserve">given </w:t>
      </w:r>
      <w:r w:rsidR="00833007">
        <w:rPr>
          <w:szCs w:val="24"/>
        </w:rPr>
        <w:t xml:space="preserve">gen ed requirement at SU. The </w:t>
      </w:r>
      <w:r w:rsidR="00994CD3">
        <w:rPr>
          <w:szCs w:val="24"/>
        </w:rPr>
        <w:t>“</w:t>
      </w:r>
      <w:r w:rsidR="00833007">
        <w:rPr>
          <w:szCs w:val="24"/>
        </w:rPr>
        <w:t xml:space="preserve">expected </w:t>
      </w:r>
      <w:r>
        <w:rPr>
          <w:szCs w:val="24"/>
        </w:rPr>
        <w:t>students</w:t>
      </w:r>
      <w:r w:rsidR="00994CD3">
        <w:rPr>
          <w:szCs w:val="24"/>
        </w:rPr>
        <w:t>”</w:t>
      </w:r>
      <w:r w:rsidR="00833007">
        <w:rPr>
          <w:szCs w:val="24"/>
        </w:rPr>
        <w:t xml:space="preserve"> column </w:t>
      </w:r>
      <w:proofErr w:type="gramStart"/>
      <w:r w:rsidR="00833007">
        <w:rPr>
          <w:szCs w:val="24"/>
        </w:rPr>
        <w:t>takes into account</w:t>
      </w:r>
      <w:proofErr w:type="gramEnd"/>
      <w:r w:rsidR="00833007">
        <w:rPr>
          <w:szCs w:val="24"/>
        </w:rPr>
        <w:t xml:space="preserve"> attrition over </w:t>
      </w:r>
      <w:r>
        <w:rPr>
          <w:szCs w:val="24"/>
        </w:rPr>
        <w:t xml:space="preserve">the </w:t>
      </w:r>
      <w:r w:rsidR="00833007">
        <w:rPr>
          <w:szCs w:val="24"/>
        </w:rPr>
        <w:t xml:space="preserve">years, so it looks at how many students complete the course at what point in their academic career at SU; percentages by year were taken from </w:t>
      </w:r>
      <w:r>
        <w:rPr>
          <w:szCs w:val="24"/>
        </w:rPr>
        <w:t xml:space="preserve">when </w:t>
      </w:r>
      <w:r w:rsidR="00833007">
        <w:rPr>
          <w:szCs w:val="24"/>
        </w:rPr>
        <w:t xml:space="preserve">departmental curriculum guides recommended the courses be taken. </w:t>
      </w:r>
      <w:r w:rsidR="00994CD3">
        <w:rPr>
          <w:szCs w:val="24"/>
        </w:rPr>
        <w:t>“</w:t>
      </w:r>
      <w:r w:rsidR="00833007">
        <w:rPr>
          <w:szCs w:val="24"/>
        </w:rPr>
        <w:t>Av</w:t>
      </w:r>
      <w:r w:rsidR="008B24BB">
        <w:rPr>
          <w:szCs w:val="24"/>
        </w:rPr>
        <w:t>g</w:t>
      </w:r>
      <w:r w:rsidR="00833007">
        <w:rPr>
          <w:szCs w:val="24"/>
        </w:rPr>
        <w:t xml:space="preserve"> course size</w:t>
      </w:r>
      <w:r w:rsidR="008B24BB">
        <w:rPr>
          <w:szCs w:val="24"/>
        </w:rPr>
        <w:t xml:space="preserve"> (AY19)</w:t>
      </w:r>
      <w:r w:rsidR="00994CD3">
        <w:rPr>
          <w:szCs w:val="24"/>
        </w:rPr>
        <w:t>”</w:t>
      </w:r>
      <w:r w:rsidR="00833007">
        <w:rPr>
          <w:szCs w:val="24"/>
        </w:rPr>
        <w:t xml:space="preserve"> is from </w:t>
      </w:r>
      <w:proofErr w:type="spellStart"/>
      <w:r w:rsidR="00833007">
        <w:rPr>
          <w:szCs w:val="24"/>
        </w:rPr>
        <w:t>GullNet</w:t>
      </w:r>
      <w:proofErr w:type="spellEnd"/>
      <w:r w:rsidR="00833007">
        <w:rPr>
          <w:szCs w:val="24"/>
        </w:rPr>
        <w:t xml:space="preserve"> from 2018 and 2019; same with </w:t>
      </w:r>
      <w:r w:rsidR="00994CD3">
        <w:rPr>
          <w:szCs w:val="24"/>
        </w:rPr>
        <w:t>“</w:t>
      </w:r>
      <w:r w:rsidR="00833007">
        <w:rPr>
          <w:szCs w:val="24"/>
        </w:rPr>
        <w:t>sections offered</w:t>
      </w:r>
      <w:r w:rsidR="008B24BB">
        <w:rPr>
          <w:szCs w:val="24"/>
        </w:rPr>
        <w:t xml:space="preserve"> in AY19</w:t>
      </w:r>
      <w:r w:rsidR="00994CD3">
        <w:rPr>
          <w:szCs w:val="24"/>
        </w:rPr>
        <w:t>”</w:t>
      </w:r>
      <w:r w:rsidR="00833007">
        <w:rPr>
          <w:szCs w:val="24"/>
        </w:rPr>
        <w:t xml:space="preserve">. </w:t>
      </w:r>
      <w:r w:rsidR="00994CD3">
        <w:rPr>
          <w:szCs w:val="24"/>
        </w:rPr>
        <w:t>“</w:t>
      </w:r>
      <w:r w:rsidR="00833007">
        <w:rPr>
          <w:szCs w:val="24"/>
        </w:rPr>
        <w:t xml:space="preserve">Course sections needed for </w:t>
      </w:r>
      <w:proofErr w:type="spellStart"/>
      <w:r w:rsidR="008B24BB">
        <w:rPr>
          <w:szCs w:val="24"/>
        </w:rPr>
        <w:t>GenEd</w:t>
      </w:r>
      <w:proofErr w:type="spellEnd"/>
      <w:r w:rsidR="00994CD3">
        <w:rPr>
          <w:szCs w:val="24"/>
        </w:rPr>
        <w:t>”</w:t>
      </w:r>
      <w:r w:rsidR="00833007">
        <w:rPr>
          <w:szCs w:val="24"/>
        </w:rPr>
        <w:t xml:space="preserve"> takes the </w:t>
      </w:r>
      <w:r w:rsidR="00994CD3">
        <w:rPr>
          <w:szCs w:val="24"/>
        </w:rPr>
        <w:t xml:space="preserve">number of </w:t>
      </w:r>
      <w:r w:rsidR="00833007">
        <w:rPr>
          <w:szCs w:val="24"/>
        </w:rPr>
        <w:t xml:space="preserve">expected students and divides it by </w:t>
      </w:r>
      <w:r w:rsidR="00994CD3">
        <w:rPr>
          <w:szCs w:val="24"/>
        </w:rPr>
        <w:t xml:space="preserve">the </w:t>
      </w:r>
      <w:r w:rsidR="00833007">
        <w:rPr>
          <w:szCs w:val="24"/>
        </w:rPr>
        <w:t xml:space="preserve">average course size to determine </w:t>
      </w:r>
      <w:r w:rsidR="00994CD3">
        <w:rPr>
          <w:szCs w:val="24"/>
        </w:rPr>
        <w:t>the number of sections needed just to fulfill gen ed</w:t>
      </w:r>
      <w:r w:rsidR="00833007">
        <w:rPr>
          <w:szCs w:val="24"/>
        </w:rPr>
        <w:t>;</w:t>
      </w:r>
      <w:r w:rsidR="00994CD3">
        <w:rPr>
          <w:szCs w:val="24"/>
        </w:rPr>
        <w:t xml:space="preserve"> the assumption is that the</w:t>
      </w:r>
      <w:r w:rsidR="00833007">
        <w:rPr>
          <w:szCs w:val="24"/>
        </w:rPr>
        <w:t xml:space="preserve"> difference between that number and </w:t>
      </w:r>
      <w:r w:rsidR="00994CD3">
        <w:rPr>
          <w:szCs w:val="24"/>
        </w:rPr>
        <w:t xml:space="preserve">the </w:t>
      </w:r>
      <w:r w:rsidR="00833007">
        <w:rPr>
          <w:szCs w:val="24"/>
        </w:rPr>
        <w:t>actual course sections are</w:t>
      </w:r>
      <w:r w:rsidR="00994CD3">
        <w:rPr>
          <w:szCs w:val="24"/>
        </w:rPr>
        <w:t xml:space="preserve"> sections</w:t>
      </w:r>
      <w:r w:rsidR="00833007">
        <w:rPr>
          <w:szCs w:val="24"/>
        </w:rPr>
        <w:t xml:space="preserve"> taken to fill demands other than gen ed (e.g. major requirements, student electives, etc.). The alternate model page shows the new requirements </w:t>
      </w:r>
      <w:r w:rsidR="00994CD3">
        <w:rPr>
          <w:szCs w:val="24"/>
        </w:rPr>
        <w:t>with</w:t>
      </w:r>
      <w:r w:rsidR="00833007">
        <w:rPr>
          <w:szCs w:val="24"/>
        </w:rPr>
        <w:t xml:space="preserve"> the</w:t>
      </w:r>
      <w:r w:rsidR="00994CD3">
        <w:rPr>
          <w:szCs w:val="24"/>
        </w:rPr>
        <w:t>ir</w:t>
      </w:r>
      <w:r w:rsidR="00833007">
        <w:rPr>
          <w:szCs w:val="24"/>
        </w:rPr>
        <w:t xml:space="preserve"> mapped closest equivalent from the current model. </w:t>
      </w:r>
      <w:r w:rsidR="00994CD3">
        <w:rPr>
          <w:szCs w:val="24"/>
        </w:rPr>
        <w:t>GESC</w:t>
      </w:r>
      <w:r w:rsidR="00833007">
        <w:rPr>
          <w:szCs w:val="24"/>
        </w:rPr>
        <w:t xml:space="preserve"> then use</w:t>
      </w:r>
      <w:r w:rsidR="00994CD3">
        <w:rPr>
          <w:szCs w:val="24"/>
        </w:rPr>
        <w:t>s</w:t>
      </w:r>
      <w:r w:rsidR="00833007">
        <w:rPr>
          <w:szCs w:val="24"/>
        </w:rPr>
        <w:t xml:space="preserve"> the info from the existing gen ed to populate their projections. </w:t>
      </w:r>
      <w:r w:rsidR="00994CD3">
        <w:rPr>
          <w:szCs w:val="24"/>
        </w:rPr>
        <w:t>GESC</w:t>
      </w:r>
      <w:r w:rsidR="00833007">
        <w:rPr>
          <w:szCs w:val="24"/>
        </w:rPr>
        <w:t xml:space="preserve"> group</w:t>
      </w:r>
      <w:r w:rsidR="00994CD3">
        <w:rPr>
          <w:szCs w:val="24"/>
        </w:rPr>
        <w:t>s</w:t>
      </w:r>
      <w:r w:rsidR="00833007">
        <w:rPr>
          <w:szCs w:val="24"/>
        </w:rPr>
        <w:t xml:space="preserve"> related courses together and</w:t>
      </w:r>
      <w:r w:rsidR="00994CD3">
        <w:rPr>
          <w:szCs w:val="24"/>
        </w:rPr>
        <w:t xml:space="preserve"> then</w:t>
      </w:r>
      <w:r w:rsidR="00833007">
        <w:rPr>
          <w:szCs w:val="24"/>
        </w:rPr>
        <w:t xml:space="preserve"> take</w:t>
      </w:r>
      <w:r w:rsidR="00994CD3">
        <w:rPr>
          <w:szCs w:val="24"/>
        </w:rPr>
        <w:t>s</w:t>
      </w:r>
      <w:r w:rsidR="00833007">
        <w:rPr>
          <w:szCs w:val="24"/>
        </w:rPr>
        <w:t xml:space="preserve"> the total expected number of </w:t>
      </w:r>
      <w:r w:rsidR="00994CD3">
        <w:rPr>
          <w:szCs w:val="24"/>
        </w:rPr>
        <w:t>students</w:t>
      </w:r>
      <w:r w:rsidR="00833007">
        <w:rPr>
          <w:szCs w:val="24"/>
        </w:rPr>
        <w:t xml:space="preserve"> and </w:t>
      </w:r>
      <w:r w:rsidR="00994CD3">
        <w:rPr>
          <w:szCs w:val="24"/>
        </w:rPr>
        <w:t>divides it by average course size to get</w:t>
      </w:r>
      <w:r w:rsidR="00833007">
        <w:rPr>
          <w:szCs w:val="24"/>
        </w:rPr>
        <w:t xml:space="preserve"> </w:t>
      </w:r>
      <w:r w:rsidR="00994CD3">
        <w:rPr>
          <w:szCs w:val="24"/>
        </w:rPr>
        <w:t>“</w:t>
      </w:r>
      <w:r w:rsidR="00833007">
        <w:rPr>
          <w:szCs w:val="24"/>
        </w:rPr>
        <w:t>course sections needed</w:t>
      </w:r>
      <w:r w:rsidR="008B24BB">
        <w:rPr>
          <w:szCs w:val="24"/>
        </w:rPr>
        <w:t xml:space="preserve"> for </w:t>
      </w:r>
      <w:proofErr w:type="spellStart"/>
      <w:r w:rsidR="008B24BB">
        <w:rPr>
          <w:szCs w:val="24"/>
        </w:rPr>
        <w:t>GenEd</w:t>
      </w:r>
      <w:proofErr w:type="spellEnd"/>
      <w:r w:rsidR="00994CD3">
        <w:rPr>
          <w:szCs w:val="24"/>
        </w:rPr>
        <w:t>”</w:t>
      </w:r>
      <w:r w:rsidR="00833007">
        <w:rPr>
          <w:szCs w:val="24"/>
        </w:rPr>
        <w:t xml:space="preserve">. Then </w:t>
      </w:r>
      <w:r w:rsidR="00994CD3">
        <w:rPr>
          <w:szCs w:val="24"/>
        </w:rPr>
        <w:t>GESC compares</w:t>
      </w:r>
      <w:r w:rsidR="00833007">
        <w:rPr>
          <w:szCs w:val="24"/>
        </w:rPr>
        <w:t xml:space="preserve"> the actual </w:t>
      </w:r>
      <w:r w:rsidR="008B24BB">
        <w:rPr>
          <w:szCs w:val="24"/>
        </w:rPr>
        <w:t>sections</w:t>
      </w:r>
      <w:r w:rsidR="00833007">
        <w:rPr>
          <w:szCs w:val="24"/>
        </w:rPr>
        <w:t xml:space="preserve"> offered</w:t>
      </w:r>
      <w:r w:rsidR="00994CD3">
        <w:rPr>
          <w:szCs w:val="24"/>
        </w:rPr>
        <w:t xml:space="preserve"> with</w:t>
      </w:r>
      <w:r w:rsidR="00833007">
        <w:rPr>
          <w:szCs w:val="24"/>
        </w:rPr>
        <w:t xml:space="preserve"> the projected </w:t>
      </w:r>
      <w:r w:rsidR="00994CD3">
        <w:rPr>
          <w:szCs w:val="24"/>
        </w:rPr>
        <w:t xml:space="preserve">number </w:t>
      </w:r>
      <w:r w:rsidR="008B24BB">
        <w:rPr>
          <w:szCs w:val="24"/>
        </w:rPr>
        <w:t xml:space="preserve">of </w:t>
      </w:r>
      <w:r w:rsidR="00833007">
        <w:rPr>
          <w:szCs w:val="24"/>
        </w:rPr>
        <w:t xml:space="preserve">course sections needed for gen ed </w:t>
      </w:r>
      <w:r w:rsidR="00994CD3">
        <w:rPr>
          <w:szCs w:val="24"/>
        </w:rPr>
        <w:t>plus</w:t>
      </w:r>
      <w:r w:rsidR="00896DF1">
        <w:rPr>
          <w:szCs w:val="24"/>
        </w:rPr>
        <w:t xml:space="preserve"> the number needed for majors/others to see how many more or </w:t>
      </w:r>
      <w:r w:rsidR="00994CD3">
        <w:rPr>
          <w:szCs w:val="24"/>
        </w:rPr>
        <w:t>fewer courses</w:t>
      </w:r>
      <w:r w:rsidR="00896DF1">
        <w:rPr>
          <w:szCs w:val="24"/>
        </w:rPr>
        <w:t xml:space="preserve"> would be needed</w:t>
      </w:r>
      <w:r w:rsidR="008B24BB">
        <w:rPr>
          <w:szCs w:val="24"/>
        </w:rPr>
        <w:t>; this result is listed in “Sections needed for GenEd”</w:t>
      </w:r>
      <w:bookmarkStart w:id="0" w:name="_GoBack"/>
      <w:bookmarkEnd w:id="0"/>
      <w:r w:rsidR="00896DF1">
        <w:rPr>
          <w:szCs w:val="24"/>
        </w:rPr>
        <w:t>. (</w:t>
      </w:r>
      <w:r w:rsidR="00994CD3">
        <w:rPr>
          <w:szCs w:val="24"/>
        </w:rPr>
        <w:t>Parentheses</w:t>
      </w:r>
      <w:r w:rsidR="00896DF1">
        <w:rPr>
          <w:szCs w:val="24"/>
        </w:rPr>
        <w:t xml:space="preserve"> indicate</w:t>
      </w:r>
      <w:r w:rsidR="00994CD3">
        <w:rPr>
          <w:szCs w:val="24"/>
        </w:rPr>
        <w:t xml:space="preserve"> a</w:t>
      </w:r>
      <w:r w:rsidR="00896DF1">
        <w:rPr>
          <w:szCs w:val="24"/>
        </w:rPr>
        <w:t xml:space="preserve"> negative</w:t>
      </w:r>
      <w:r w:rsidR="00994CD3">
        <w:rPr>
          <w:szCs w:val="24"/>
        </w:rPr>
        <w:t xml:space="preserve"> number.</w:t>
      </w:r>
      <w:r w:rsidR="00896DF1">
        <w:rPr>
          <w:szCs w:val="24"/>
        </w:rPr>
        <w:t>) In total,</w:t>
      </w:r>
      <w:r w:rsidR="00994CD3">
        <w:rPr>
          <w:szCs w:val="24"/>
        </w:rPr>
        <w:t xml:space="preserve"> GESC</w:t>
      </w:r>
      <w:r w:rsidR="00896DF1">
        <w:rPr>
          <w:szCs w:val="24"/>
        </w:rPr>
        <w:t xml:space="preserve"> project</w:t>
      </w:r>
      <w:r w:rsidR="00994CD3">
        <w:rPr>
          <w:szCs w:val="24"/>
        </w:rPr>
        <w:t>s</w:t>
      </w:r>
      <w:r w:rsidR="00896DF1">
        <w:rPr>
          <w:szCs w:val="24"/>
        </w:rPr>
        <w:t xml:space="preserve"> a loss of 32 sections overall. 60% </w:t>
      </w:r>
      <w:r w:rsidR="00994CD3">
        <w:rPr>
          <w:szCs w:val="24"/>
        </w:rPr>
        <w:t xml:space="preserve">of that loss </w:t>
      </w:r>
      <w:r w:rsidR="00896DF1">
        <w:rPr>
          <w:szCs w:val="24"/>
        </w:rPr>
        <w:t xml:space="preserve">would come from </w:t>
      </w:r>
      <w:r w:rsidR="00994CD3">
        <w:rPr>
          <w:szCs w:val="24"/>
        </w:rPr>
        <w:t xml:space="preserve">the </w:t>
      </w:r>
      <w:r w:rsidR="00896DF1">
        <w:rPr>
          <w:szCs w:val="24"/>
        </w:rPr>
        <w:t>humanities</w:t>
      </w:r>
      <w:r w:rsidR="00994CD3">
        <w:rPr>
          <w:szCs w:val="24"/>
        </w:rPr>
        <w:t xml:space="preserve">, with the remaining </w:t>
      </w:r>
      <w:r w:rsidR="00896DF1">
        <w:rPr>
          <w:szCs w:val="24"/>
        </w:rPr>
        <w:t xml:space="preserve">40% from </w:t>
      </w:r>
      <w:r w:rsidR="00994CD3">
        <w:rPr>
          <w:szCs w:val="24"/>
        </w:rPr>
        <w:t xml:space="preserve">the </w:t>
      </w:r>
      <w:r w:rsidR="00896DF1">
        <w:rPr>
          <w:szCs w:val="24"/>
        </w:rPr>
        <w:t>science</w:t>
      </w:r>
      <w:r w:rsidR="00994CD3">
        <w:rPr>
          <w:szCs w:val="24"/>
        </w:rPr>
        <w:t>s</w:t>
      </w:r>
      <w:r w:rsidR="00896DF1">
        <w:rPr>
          <w:szCs w:val="24"/>
        </w:rPr>
        <w:t>.</w:t>
      </w:r>
    </w:p>
    <w:p w14:paraId="3E3B0F1A" w14:textId="77777777" w:rsidR="0069153A" w:rsidRPr="00716178" w:rsidRDefault="0069153A" w:rsidP="0069153A">
      <w:pPr>
        <w:rPr>
          <w:szCs w:val="24"/>
        </w:rPr>
      </w:pPr>
    </w:p>
    <w:p w14:paraId="7ABF3474" w14:textId="48FFBFE2" w:rsidR="0069153A" w:rsidRPr="00716178" w:rsidRDefault="0069153A" w:rsidP="0069153A">
      <w:pPr>
        <w:rPr>
          <w:szCs w:val="24"/>
        </w:rPr>
      </w:pPr>
      <w:r w:rsidRPr="00716178">
        <w:rPr>
          <w:szCs w:val="24"/>
        </w:rPr>
        <w:lastRenderedPageBreak/>
        <w:t>Adjourn</w:t>
      </w:r>
      <w:r w:rsidR="0050534A">
        <w:rPr>
          <w:szCs w:val="24"/>
        </w:rPr>
        <w:t>ed</w:t>
      </w:r>
      <w:r w:rsidRPr="00716178">
        <w:rPr>
          <w:szCs w:val="24"/>
        </w:rPr>
        <w:t xml:space="preserve"> (5:0</w:t>
      </w:r>
      <w:r w:rsidR="00AC7078">
        <w:rPr>
          <w:szCs w:val="24"/>
        </w:rPr>
        <w:t xml:space="preserve">2 </w:t>
      </w:r>
      <w:r w:rsidRPr="00716178">
        <w:rPr>
          <w:szCs w:val="24"/>
        </w:rPr>
        <w:t>p.m.)</w:t>
      </w:r>
    </w:p>
    <w:p w14:paraId="0D983F78" w14:textId="137883FA" w:rsidR="00D442F3" w:rsidRDefault="00D442F3">
      <w:r>
        <w:br w:type="page"/>
      </w:r>
    </w:p>
    <w:p w14:paraId="116BBDC7" w14:textId="629C07EC" w:rsidR="00700370" w:rsidRDefault="00D442F3" w:rsidP="00D442F3">
      <w:pPr>
        <w:jc w:val="center"/>
      </w:pPr>
      <w:r>
        <w:lastRenderedPageBreak/>
        <w:t>APPENDIX 1</w:t>
      </w:r>
    </w:p>
    <w:p w14:paraId="16E8E68B" w14:textId="7FE114FF" w:rsidR="00D442F3" w:rsidRDefault="00D442F3" w:rsidP="00D442F3">
      <w:pPr>
        <w:jc w:val="center"/>
      </w:pPr>
    </w:p>
    <w:p w14:paraId="3CA4BB94" w14:textId="77777777" w:rsidR="00D442F3" w:rsidRDefault="00D442F3" w:rsidP="00D442F3">
      <w:pPr>
        <w:pStyle w:val="Default"/>
      </w:pPr>
    </w:p>
    <w:p w14:paraId="16BCF436" w14:textId="203AEA60" w:rsidR="00D442F3" w:rsidRDefault="00D442F3" w:rsidP="00D442F3">
      <w:pPr>
        <w:pStyle w:val="Default"/>
        <w:jc w:val="center"/>
        <w:rPr>
          <w:sz w:val="23"/>
          <w:szCs w:val="23"/>
        </w:rPr>
      </w:pPr>
      <w:r>
        <w:rPr>
          <w:b/>
          <w:bCs/>
          <w:sz w:val="23"/>
          <w:szCs w:val="23"/>
        </w:rPr>
        <w:t>Provost’s Announcements to the Faculty Senate</w:t>
      </w:r>
    </w:p>
    <w:p w14:paraId="69F16E1E" w14:textId="60D67136" w:rsidR="00D442F3" w:rsidRDefault="00D442F3" w:rsidP="00D442F3">
      <w:pPr>
        <w:pStyle w:val="Default"/>
        <w:jc w:val="center"/>
        <w:rPr>
          <w:b/>
          <w:bCs/>
          <w:sz w:val="23"/>
          <w:szCs w:val="23"/>
        </w:rPr>
      </w:pPr>
      <w:r>
        <w:rPr>
          <w:b/>
          <w:bCs/>
          <w:sz w:val="23"/>
          <w:szCs w:val="23"/>
        </w:rPr>
        <w:t>November 24, 2020</w:t>
      </w:r>
    </w:p>
    <w:p w14:paraId="1DC21E9A" w14:textId="77777777" w:rsidR="00D442F3" w:rsidRDefault="00D442F3" w:rsidP="00D442F3">
      <w:pPr>
        <w:pStyle w:val="Default"/>
        <w:jc w:val="center"/>
        <w:rPr>
          <w:sz w:val="23"/>
          <w:szCs w:val="23"/>
        </w:rPr>
      </w:pPr>
    </w:p>
    <w:p w14:paraId="6E1A5F12" w14:textId="77777777" w:rsidR="00D442F3" w:rsidRDefault="00D442F3" w:rsidP="00D442F3">
      <w:pPr>
        <w:pStyle w:val="Default"/>
        <w:rPr>
          <w:sz w:val="22"/>
          <w:szCs w:val="22"/>
        </w:rPr>
      </w:pPr>
      <w:r>
        <w:rPr>
          <w:b/>
          <w:bCs/>
          <w:sz w:val="22"/>
          <w:szCs w:val="22"/>
        </w:rPr>
        <w:t xml:space="preserve">1. </w:t>
      </w:r>
      <w:r>
        <w:rPr>
          <w:b/>
          <w:bCs/>
          <w:sz w:val="23"/>
          <w:szCs w:val="23"/>
        </w:rPr>
        <w:t xml:space="preserve">Considerations for Post-Thanksgiving Campus Activities: </w:t>
      </w:r>
      <w:r>
        <w:rPr>
          <w:sz w:val="23"/>
          <w:szCs w:val="23"/>
        </w:rPr>
        <w:t>At the time this announcement was drafted, we are planning for continuing operations after the Thanksgiving holiday. As noted in the 11/20/20 email from the President’s Office, all students and employees who need access to campus should schedule themselves for a COVID-19 test during the week of 11/30 (12/1 is reserved for SU employees). Although positivity levels in Maryland and in our region have increased, our campus level remains below 2%. Based on student behavior patterns last spring, we anticipate that many students would return to Salisbury after the Thanksgiving break even if all classes were moved to a remote or online modality (as is the case at many campuses). Thus, to best monitor COVID-19 levels and support students, we will maintain instructional continuity as much as possible after the Thanksgiving break (and the associated public health infrastructure). That said, faculty who would like to move their classes to a more remote modality (</w:t>
      </w:r>
      <w:r>
        <w:rPr>
          <w:i/>
          <w:iCs/>
          <w:sz w:val="23"/>
          <w:szCs w:val="23"/>
        </w:rPr>
        <w:t>e.g</w:t>
      </w:r>
      <w:r>
        <w:rPr>
          <w:sz w:val="23"/>
          <w:szCs w:val="23"/>
        </w:rPr>
        <w:t>., F2F or hybrid to remote (synchronous)) should feel free to do so with proper notification of their students. As has been the case throughout the semester, faculty should be prepared to move to remote/online instruction if circumstances change (</w:t>
      </w:r>
      <w:r>
        <w:rPr>
          <w:i/>
          <w:iCs/>
          <w:sz w:val="23"/>
          <w:szCs w:val="23"/>
        </w:rPr>
        <w:t>e.g.</w:t>
      </w:r>
      <w:r>
        <w:rPr>
          <w:sz w:val="23"/>
          <w:szCs w:val="23"/>
        </w:rPr>
        <w:t xml:space="preserve">, in the case of a Governor’s Executive Order, change in positivity levels on campus, etc.) and to support students who miss their finals due to illness. </w:t>
      </w:r>
      <w:r w:rsidRPr="00D442F3">
        <w:rPr>
          <w:color w:val="FF0000"/>
          <w:sz w:val="22"/>
          <w:szCs w:val="22"/>
        </w:rPr>
        <w:t>Action requested of the FS: None, informational.</w:t>
      </w:r>
      <w:r>
        <w:rPr>
          <w:sz w:val="22"/>
          <w:szCs w:val="22"/>
        </w:rPr>
        <w:t xml:space="preserve"> </w:t>
      </w:r>
    </w:p>
    <w:p w14:paraId="04BE1E25" w14:textId="77777777" w:rsidR="00D442F3" w:rsidRDefault="00D442F3" w:rsidP="00D442F3">
      <w:pPr>
        <w:pStyle w:val="Default"/>
        <w:rPr>
          <w:sz w:val="22"/>
          <w:szCs w:val="22"/>
        </w:rPr>
      </w:pPr>
    </w:p>
    <w:p w14:paraId="0C971470" w14:textId="77777777" w:rsidR="00D442F3" w:rsidRDefault="00D442F3" w:rsidP="00D442F3">
      <w:pPr>
        <w:pStyle w:val="Default"/>
        <w:rPr>
          <w:sz w:val="22"/>
          <w:szCs w:val="22"/>
        </w:rPr>
      </w:pPr>
      <w:r>
        <w:rPr>
          <w:b/>
          <w:bCs/>
          <w:sz w:val="22"/>
          <w:szCs w:val="22"/>
        </w:rPr>
        <w:t xml:space="preserve">2. Faculty Annual Evaluations, Tenure &amp; Promotion: </w:t>
      </w:r>
      <w:r>
        <w:rPr>
          <w:sz w:val="22"/>
          <w:szCs w:val="22"/>
        </w:rPr>
        <w:t xml:space="preserve">Last spring, the Faculty Senate recommended that student teaching evaluations from Spring, 2020 be for the use of the faculty members only and that these did not need to be submitted in annual evaluations for 2020. I will be sending out a reminder of this exemption as well as the opportunity to delay tenure/promotion. We should continue our consideration of the on-going impacts of the pandemic on faculty productivity and the tenure and promotion process and develop plans to mitigate these. I’d like to put a work group together to discuss this in January. </w:t>
      </w:r>
      <w:r w:rsidRPr="00D442F3">
        <w:rPr>
          <w:color w:val="FF0000"/>
          <w:sz w:val="22"/>
          <w:szCs w:val="22"/>
        </w:rPr>
        <w:t xml:space="preserve">Action requested of the FS: Recommend representatives to this work group once a charge is developed and shared with the Faculty Senate. </w:t>
      </w:r>
    </w:p>
    <w:p w14:paraId="1AF7B97F" w14:textId="77777777" w:rsidR="00D442F3" w:rsidRDefault="00D442F3" w:rsidP="00D442F3">
      <w:pPr>
        <w:pStyle w:val="Default"/>
        <w:rPr>
          <w:sz w:val="22"/>
          <w:szCs w:val="22"/>
        </w:rPr>
      </w:pPr>
    </w:p>
    <w:p w14:paraId="2C940871" w14:textId="77777777" w:rsidR="00D442F3" w:rsidRDefault="00D442F3" w:rsidP="00D442F3">
      <w:pPr>
        <w:pStyle w:val="Default"/>
        <w:rPr>
          <w:sz w:val="22"/>
          <w:szCs w:val="22"/>
        </w:rPr>
      </w:pPr>
      <w:r>
        <w:rPr>
          <w:b/>
          <w:bCs/>
          <w:sz w:val="23"/>
          <w:szCs w:val="23"/>
        </w:rPr>
        <w:t xml:space="preserve">3. Giving thanks! </w:t>
      </w:r>
      <w:r>
        <w:rPr>
          <w:sz w:val="23"/>
          <w:szCs w:val="23"/>
        </w:rPr>
        <w:t xml:space="preserve">Thank you for your leadership as Faculty Senators this semester, especially during the unprecedented circumstances we faced in 2020. I hope you are able to find some well-deserved downtime over the Thanksgiving break. </w:t>
      </w:r>
      <w:r w:rsidRPr="00D442F3">
        <w:rPr>
          <w:color w:val="FF0000"/>
          <w:sz w:val="22"/>
          <w:szCs w:val="22"/>
        </w:rPr>
        <w:t xml:space="preserve">Action requested of the FS: Please kick back for a few days. </w:t>
      </w:r>
    </w:p>
    <w:p w14:paraId="78EF64CF" w14:textId="12FB41E1" w:rsidR="00D442F3" w:rsidRDefault="00D442F3" w:rsidP="00D442F3">
      <w:pPr>
        <w:jc w:val="center"/>
      </w:pPr>
    </w:p>
    <w:p w14:paraId="4C1AFEC6" w14:textId="42ACC7F3" w:rsidR="00D442F3" w:rsidRDefault="00D442F3">
      <w:r>
        <w:br w:type="page"/>
      </w:r>
    </w:p>
    <w:p w14:paraId="797F7CD5" w14:textId="367C1EB4" w:rsidR="00D442F3" w:rsidRDefault="00D442F3" w:rsidP="00D442F3">
      <w:pPr>
        <w:jc w:val="center"/>
      </w:pPr>
      <w:r>
        <w:lastRenderedPageBreak/>
        <w:t>APPENDIX 2</w:t>
      </w:r>
    </w:p>
    <w:p w14:paraId="52B29D35" w14:textId="2945CE7A" w:rsidR="00D442F3" w:rsidRDefault="00D442F3" w:rsidP="00D442F3">
      <w:pPr>
        <w:jc w:val="center"/>
      </w:pPr>
    </w:p>
    <w:p w14:paraId="03AE8523" w14:textId="77777777" w:rsidR="001315BE" w:rsidRDefault="001315BE" w:rsidP="001315BE">
      <w:pPr>
        <w:pStyle w:val="Default"/>
      </w:pPr>
    </w:p>
    <w:p w14:paraId="59363CAC" w14:textId="5AB85849" w:rsidR="001315BE" w:rsidRDefault="001315BE" w:rsidP="00006A4F">
      <w:pPr>
        <w:pStyle w:val="Default"/>
        <w:jc w:val="center"/>
        <w:rPr>
          <w:b/>
          <w:bCs/>
          <w:sz w:val="23"/>
          <w:szCs w:val="23"/>
        </w:rPr>
      </w:pPr>
      <w:r>
        <w:rPr>
          <w:b/>
          <w:bCs/>
          <w:sz w:val="23"/>
          <w:szCs w:val="23"/>
        </w:rPr>
        <w:t>Academic Policies Committee Response to Faculty Senate Regarding Final Exam Scheduling</w:t>
      </w:r>
    </w:p>
    <w:p w14:paraId="5B3246F2" w14:textId="77777777" w:rsidR="00006A4F" w:rsidRDefault="00006A4F" w:rsidP="001315BE">
      <w:pPr>
        <w:pStyle w:val="Default"/>
        <w:rPr>
          <w:sz w:val="23"/>
          <w:szCs w:val="23"/>
        </w:rPr>
      </w:pPr>
    </w:p>
    <w:p w14:paraId="10C26BBA" w14:textId="32D88982" w:rsidR="001315BE" w:rsidRDefault="001315BE" w:rsidP="001315BE">
      <w:pPr>
        <w:pStyle w:val="Default"/>
        <w:rPr>
          <w:sz w:val="23"/>
          <w:szCs w:val="23"/>
        </w:rPr>
      </w:pPr>
      <w:r>
        <w:rPr>
          <w:sz w:val="23"/>
          <w:szCs w:val="23"/>
        </w:rPr>
        <w:t xml:space="preserve">The onerous and confusing final exam schedule currently in use by the University is a symptom of underlying organizational problems. </w:t>
      </w:r>
    </w:p>
    <w:p w14:paraId="382000AA" w14:textId="77777777" w:rsidR="00006A4F" w:rsidRDefault="00006A4F" w:rsidP="001315BE">
      <w:pPr>
        <w:pStyle w:val="Default"/>
        <w:rPr>
          <w:sz w:val="23"/>
          <w:szCs w:val="23"/>
        </w:rPr>
      </w:pPr>
    </w:p>
    <w:p w14:paraId="0DAB7EDD" w14:textId="6D1FD131" w:rsidR="001315BE" w:rsidRDefault="001315BE" w:rsidP="001315BE">
      <w:pPr>
        <w:pStyle w:val="Default"/>
        <w:rPr>
          <w:sz w:val="23"/>
          <w:szCs w:val="23"/>
        </w:rPr>
      </w:pPr>
      <w:r>
        <w:rPr>
          <w:sz w:val="23"/>
          <w:szCs w:val="23"/>
        </w:rPr>
        <w:t xml:space="preserve">Before a complete solution can be found and implemented, the underlying principles of final exam week need to honored by faculty and enforced by Deans and the Provost’s Office. The Academic Policies Committee, therefore, has examined this topic with the following premises and principles in mind: </w:t>
      </w:r>
    </w:p>
    <w:p w14:paraId="78A93B7C" w14:textId="77777777" w:rsidR="00006A4F" w:rsidRDefault="00006A4F" w:rsidP="001315BE">
      <w:pPr>
        <w:pStyle w:val="Default"/>
        <w:rPr>
          <w:sz w:val="23"/>
          <w:szCs w:val="23"/>
        </w:rPr>
      </w:pPr>
    </w:p>
    <w:p w14:paraId="072E91EC" w14:textId="20FCB204" w:rsidR="001315BE" w:rsidRDefault="001315BE" w:rsidP="00006A4F">
      <w:pPr>
        <w:pStyle w:val="Default"/>
        <w:numPr>
          <w:ilvl w:val="0"/>
          <w:numId w:val="13"/>
        </w:numPr>
        <w:rPr>
          <w:sz w:val="23"/>
          <w:szCs w:val="23"/>
        </w:rPr>
      </w:pPr>
      <w:r>
        <w:rPr>
          <w:sz w:val="23"/>
          <w:szCs w:val="23"/>
        </w:rPr>
        <w:t xml:space="preserve">Final exam week is a contractual duty of faculty. </w:t>
      </w:r>
    </w:p>
    <w:p w14:paraId="20A0AF9A" w14:textId="2AE5CBEC" w:rsidR="001315BE" w:rsidRDefault="001315BE" w:rsidP="00006A4F">
      <w:pPr>
        <w:pStyle w:val="Default"/>
        <w:numPr>
          <w:ilvl w:val="0"/>
          <w:numId w:val="13"/>
        </w:numPr>
        <w:rPr>
          <w:sz w:val="23"/>
          <w:szCs w:val="23"/>
        </w:rPr>
      </w:pPr>
      <w:r>
        <w:rPr>
          <w:sz w:val="23"/>
          <w:szCs w:val="23"/>
        </w:rPr>
        <w:t xml:space="preserve">No faculty member should administer a final course activity (whether an exam, course meeting, student presentations, or something else) before finals week, whether a traditional, hybrid, or online class. Such actions violate the faculty member’s contractual and ethical obligation to the university and open the faculty member to an academic grievance, should a student object to having less preparation time than similarly situated peers. </w:t>
      </w:r>
    </w:p>
    <w:p w14:paraId="4F7D6882" w14:textId="4CCCE5DD" w:rsidR="001315BE" w:rsidRDefault="001315BE" w:rsidP="00006A4F">
      <w:pPr>
        <w:pStyle w:val="Default"/>
        <w:numPr>
          <w:ilvl w:val="0"/>
          <w:numId w:val="13"/>
        </w:numPr>
        <w:rPr>
          <w:sz w:val="23"/>
          <w:szCs w:val="23"/>
        </w:rPr>
      </w:pPr>
      <w:r>
        <w:rPr>
          <w:sz w:val="23"/>
          <w:szCs w:val="23"/>
        </w:rPr>
        <w:t xml:space="preserve">Individual departments do not have the prerogative to establish their own final exam schedule or final exam policies (e.g. when a student has three exams scheduled in one day) separate from the university schedule and policies. </w:t>
      </w:r>
    </w:p>
    <w:p w14:paraId="191F1A98" w14:textId="77777777" w:rsidR="001315BE" w:rsidRDefault="001315BE" w:rsidP="001315BE">
      <w:pPr>
        <w:pStyle w:val="Default"/>
        <w:rPr>
          <w:sz w:val="23"/>
          <w:szCs w:val="23"/>
        </w:rPr>
      </w:pPr>
    </w:p>
    <w:p w14:paraId="594C0B1D" w14:textId="6B9B33E9" w:rsidR="001315BE" w:rsidRDefault="001315BE" w:rsidP="001315BE">
      <w:pPr>
        <w:pStyle w:val="Default"/>
        <w:rPr>
          <w:sz w:val="23"/>
          <w:szCs w:val="23"/>
        </w:rPr>
      </w:pPr>
      <w:r>
        <w:rPr>
          <w:sz w:val="23"/>
          <w:szCs w:val="23"/>
        </w:rPr>
        <w:t xml:space="preserve">Final Exam Schedule Policies </w:t>
      </w:r>
    </w:p>
    <w:p w14:paraId="3C236FAD" w14:textId="77777777" w:rsidR="00006A4F" w:rsidRDefault="00006A4F" w:rsidP="001315BE">
      <w:pPr>
        <w:pStyle w:val="Default"/>
        <w:rPr>
          <w:sz w:val="23"/>
          <w:szCs w:val="23"/>
        </w:rPr>
      </w:pPr>
    </w:p>
    <w:p w14:paraId="555345D4" w14:textId="65F1D159" w:rsidR="001315BE" w:rsidRDefault="001315BE" w:rsidP="00006A4F">
      <w:pPr>
        <w:pStyle w:val="Default"/>
        <w:numPr>
          <w:ilvl w:val="1"/>
          <w:numId w:val="13"/>
        </w:numPr>
        <w:ind w:left="720"/>
        <w:rPr>
          <w:sz w:val="23"/>
          <w:szCs w:val="23"/>
        </w:rPr>
      </w:pPr>
      <w:r>
        <w:rPr>
          <w:sz w:val="23"/>
          <w:szCs w:val="23"/>
        </w:rPr>
        <w:t xml:space="preserve">Examination times are determined by the </w:t>
      </w:r>
      <w:r>
        <w:rPr>
          <w:b/>
          <w:bCs/>
          <w:sz w:val="23"/>
          <w:szCs w:val="23"/>
        </w:rPr>
        <w:t xml:space="preserve">initial hour </w:t>
      </w:r>
      <w:r>
        <w:rPr>
          <w:sz w:val="23"/>
          <w:szCs w:val="23"/>
        </w:rPr>
        <w:t xml:space="preserve">at which the class meets each week unless the course is specifically assigned a common exam time. </w:t>
      </w:r>
    </w:p>
    <w:p w14:paraId="76AABE3D" w14:textId="77777777" w:rsidR="001315BE" w:rsidRDefault="001315BE" w:rsidP="00006A4F">
      <w:pPr>
        <w:pStyle w:val="Default"/>
        <w:ind w:left="720"/>
        <w:rPr>
          <w:sz w:val="23"/>
          <w:szCs w:val="23"/>
        </w:rPr>
      </w:pPr>
    </w:p>
    <w:p w14:paraId="0F511D67" w14:textId="3AFC7B9D" w:rsidR="001315BE" w:rsidRDefault="001315BE" w:rsidP="00006A4F">
      <w:pPr>
        <w:pStyle w:val="Default"/>
        <w:numPr>
          <w:ilvl w:val="1"/>
          <w:numId w:val="13"/>
        </w:numPr>
        <w:ind w:left="720"/>
        <w:rPr>
          <w:sz w:val="23"/>
          <w:szCs w:val="23"/>
        </w:rPr>
      </w:pPr>
      <w:r>
        <w:rPr>
          <w:sz w:val="23"/>
          <w:szCs w:val="23"/>
        </w:rPr>
        <w:t xml:space="preserve">Classes should hold their final exams at the nearest exam time. For example, any class scheduled at 8:25 am should follow the exam time for an 8:00 am class. A class scheduled at 8:40 am should follow the exam time for a 9 am class. </w:t>
      </w:r>
    </w:p>
    <w:p w14:paraId="35E1B9FB" w14:textId="77777777" w:rsidR="001315BE" w:rsidRDefault="001315BE" w:rsidP="00006A4F">
      <w:pPr>
        <w:pStyle w:val="Default"/>
        <w:ind w:left="720"/>
        <w:rPr>
          <w:sz w:val="23"/>
          <w:szCs w:val="23"/>
        </w:rPr>
      </w:pPr>
    </w:p>
    <w:p w14:paraId="2FA8A98D" w14:textId="031F0E88" w:rsidR="001315BE" w:rsidRDefault="001315BE" w:rsidP="00006A4F">
      <w:pPr>
        <w:pStyle w:val="Default"/>
        <w:numPr>
          <w:ilvl w:val="1"/>
          <w:numId w:val="13"/>
        </w:numPr>
        <w:ind w:left="720"/>
        <w:rPr>
          <w:sz w:val="23"/>
          <w:szCs w:val="23"/>
        </w:rPr>
      </w:pPr>
      <w:r>
        <w:rPr>
          <w:sz w:val="23"/>
          <w:szCs w:val="23"/>
        </w:rPr>
        <w:t xml:space="preserve">All single-section courses will hold examinations in the room in which the class regularly meets unless otherwise announced by the instructor. </w:t>
      </w:r>
    </w:p>
    <w:p w14:paraId="747D581E" w14:textId="77777777" w:rsidR="001315BE" w:rsidRDefault="001315BE" w:rsidP="00006A4F">
      <w:pPr>
        <w:pStyle w:val="Default"/>
        <w:ind w:left="720"/>
        <w:rPr>
          <w:sz w:val="23"/>
          <w:szCs w:val="23"/>
        </w:rPr>
      </w:pPr>
    </w:p>
    <w:p w14:paraId="07AA6532" w14:textId="597D1860" w:rsidR="001315BE" w:rsidRDefault="001315BE" w:rsidP="00006A4F">
      <w:pPr>
        <w:pStyle w:val="Default"/>
        <w:numPr>
          <w:ilvl w:val="1"/>
          <w:numId w:val="13"/>
        </w:numPr>
        <w:spacing w:after="234"/>
        <w:ind w:left="720"/>
        <w:rPr>
          <w:sz w:val="23"/>
          <w:szCs w:val="23"/>
        </w:rPr>
      </w:pPr>
      <w:r>
        <w:rPr>
          <w:sz w:val="23"/>
          <w:szCs w:val="23"/>
        </w:rPr>
        <w:t xml:space="preserve">Examination locations for multi-section courses will be announced by the instructor </w:t>
      </w:r>
    </w:p>
    <w:p w14:paraId="2EF8F107" w14:textId="2F1CF1B8" w:rsidR="001315BE" w:rsidRDefault="001315BE" w:rsidP="00006A4F">
      <w:pPr>
        <w:pStyle w:val="Default"/>
        <w:numPr>
          <w:ilvl w:val="1"/>
          <w:numId w:val="13"/>
        </w:numPr>
        <w:ind w:left="720"/>
        <w:rPr>
          <w:sz w:val="23"/>
          <w:szCs w:val="23"/>
        </w:rPr>
      </w:pPr>
      <w:r>
        <w:rPr>
          <w:sz w:val="23"/>
          <w:szCs w:val="23"/>
        </w:rPr>
        <w:t xml:space="preserve">All graduate courses will follow the university schedule </w:t>
      </w:r>
    </w:p>
    <w:p w14:paraId="1F43666C" w14:textId="77777777" w:rsidR="001315BE" w:rsidRDefault="001315BE" w:rsidP="001315BE">
      <w:pPr>
        <w:pStyle w:val="Default"/>
        <w:rPr>
          <w:sz w:val="23"/>
          <w:szCs w:val="23"/>
        </w:rPr>
      </w:pPr>
    </w:p>
    <w:p w14:paraId="77BCFEA5" w14:textId="78EECD6C" w:rsidR="001315BE" w:rsidRDefault="001315BE" w:rsidP="001315BE">
      <w:pPr>
        <w:pStyle w:val="Default"/>
        <w:rPr>
          <w:sz w:val="23"/>
          <w:szCs w:val="23"/>
        </w:rPr>
      </w:pPr>
      <w:r>
        <w:rPr>
          <w:sz w:val="23"/>
          <w:szCs w:val="23"/>
        </w:rPr>
        <w:t xml:space="preserve">Common Final Exam Policy (Adopted by Faculty Senate in 2007; University Catalog pp.67-68) </w:t>
      </w:r>
    </w:p>
    <w:p w14:paraId="7C4B9BC5" w14:textId="77777777" w:rsidR="00006A4F" w:rsidRDefault="00006A4F" w:rsidP="001315BE">
      <w:pPr>
        <w:pStyle w:val="Default"/>
        <w:rPr>
          <w:sz w:val="23"/>
          <w:szCs w:val="23"/>
        </w:rPr>
      </w:pPr>
    </w:p>
    <w:p w14:paraId="3A4D6FBD" w14:textId="77777777" w:rsidR="00006A4F" w:rsidRDefault="001315BE" w:rsidP="00006A4F">
      <w:pPr>
        <w:pStyle w:val="Default"/>
        <w:rPr>
          <w:sz w:val="23"/>
          <w:szCs w:val="23"/>
        </w:rPr>
      </w:pPr>
      <w:r>
        <w:rPr>
          <w:sz w:val="23"/>
          <w:szCs w:val="23"/>
        </w:rPr>
        <w:t xml:space="preserve">If a common final exam is scheduled for multiple section course, all sections of that course must have their exam at that time. Individual faculty do not have the prerogative to give their exam at a different time. This is both to prevent exam scheduling conflicts and to ensure testing security. Current Common Finals are ENGL 103, HIST 101/102, FTWL 106 and CHEM 121/122. </w:t>
      </w:r>
    </w:p>
    <w:p w14:paraId="57B0551B" w14:textId="744FF3EB" w:rsidR="00006A4F" w:rsidRDefault="001315BE" w:rsidP="00006A4F">
      <w:pPr>
        <w:pStyle w:val="Default"/>
        <w:rPr>
          <w:sz w:val="23"/>
          <w:szCs w:val="23"/>
        </w:rPr>
      </w:pPr>
      <w:r>
        <w:rPr>
          <w:sz w:val="23"/>
          <w:szCs w:val="23"/>
        </w:rPr>
        <w:lastRenderedPageBreak/>
        <w:t xml:space="preserve">A student who has more than two final examinations scheduled for the same day need not take more than two of these examinations on that day. A student may work with the professors to reschedule excess exams within these guidelines: 1) cannot reschedule the first exam, 2) cannot reschedule any common exam (e.g., ENGL </w:t>
      </w:r>
      <w:proofErr w:type="gramStart"/>
      <w:r>
        <w:rPr>
          <w:sz w:val="23"/>
          <w:szCs w:val="23"/>
        </w:rPr>
        <w:t>103,HIST</w:t>
      </w:r>
      <w:proofErr w:type="gramEnd"/>
      <w:r>
        <w:rPr>
          <w:sz w:val="23"/>
          <w:szCs w:val="23"/>
        </w:rPr>
        <w:t xml:space="preserve"> 101/102) and 3) when possible, reschedule the middle exam when it is not a common exam. Exceptions may be made to account for hands-on or practicum-based final exams that cannot be completed individually.</w:t>
      </w:r>
    </w:p>
    <w:p w14:paraId="5DD201CF" w14:textId="77777777" w:rsidR="00006A4F" w:rsidRDefault="00006A4F" w:rsidP="001315BE">
      <w:pPr>
        <w:pStyle w:val="Default"/>
        <w:rPr>
          <w:sz w:val="23"/>
          <w:szCs w:val="23"/>
        </w:rPr>
      </w:pPr>
    </w:p>
    <w:p w14:paraId="1C6064DF" w14:textId="107118D3" w:rsidR="001315BE" w:rsidRDefault="001315BE" w:rsidP="001315BE">
      <w:pPr>
        <w:pStyle w:val="Default"/>
        <w:rPr>
          <w:sz w:val="23"/>
          <w:szCs w:val="23"/>
        </w:rPr>
      </w:pPr>
      <w:r>
        <w:rPr>
          <w:sz w:val="23"/>
          <w:szCs w:val="23"/>
        </w:rPr>
        <w:t xml:space="preserve">A student must abide by the following procedure when requesting to reschedule examinations: </w:t>
      </w:r>
    </w:p>
    <w:p w14:paraId="52F4DBEF" w14:textId="77777777" w:rsidR="00006A4F" w:rsidRDefault="00006A4F" w:rsidP="001315BE">
      <w:pPr>
        <w:pStyle w:val="Default"/>
        <w:rPr>
          <w:sz w:val="23"/>
          <w:szCs w:val="23"/>
        </w:rPr>
      </w:pPr>
    </w:p>
    <w:p w14:paraId="390A87EB" w14:textId="567C9D1D" w:rsidR="001315BE" w:rsidRDefault="001315BE" w:rsidP="00006A4F">
      <w:pPr>
        <w:pStyle w:val="Default"/>
        <w:numPr>
          <w:ilvl w:val="0"/>
          <w:numId w:val="15"/>
        </w:numPr>
        <w:ind w:left="360"/>
        <w:rPr>
          <w:sz w:val="23"/>
          <w:szCs w:val="23"/>
        </w:rPr>
      </w:pPr>
      <w:r>
        <w:rPr>
          <w:sz w:val="23"/>
          <w:szCs w:val="23"/>
        </w:rPr>
        <w:t xml:space="preserve">must reschedule exam no later than one full week before the final examinations begin </w:t>
      </w:r>
    </w:p>
    <w:p w14:paraId="640D1218" w14:textId="5B6171F7" w:rsidR="001315BE" w:rsidRDefault="001315BE" w:rsidP="00006A4F">
      <w:pPr>
        <w:pStyle w:val="Default"/>
        <w:numPr>
          <w:ilvl w:val="0"/>
          <w:numId w:val="15"/>
        </w:numPr>
        <w:ind w:left="360"/>
        <w:rPr>
          <w:sz w:val="23"/>
          <w:szCs w:val="23"/>
        </w:rPr>
      </w:pPr>
      <w:r>
        <w:rPr>
          <w:sz w:val="23"/>
          <w:szCs w:val="23"/>
        </w:rPr>
        <w:t xml:space="preserve">must provide each of the professors involved with a written copy of his/her complete examination schedule, including course numbers, section numbers and names of professors. </w:t>
      </w:r>
    </w:p>
    <w:p w14:paraId="58961359" w14:textId="77777777" w:rsidR="00006A4F" w:rsidRDefault="00006A4F" w:rsidP="00006A4F">
      <w:pPr>
        <w:rPr>
          <w:rFonts w:asciiTheme="minorHAnsi" w:hAnsiTheme="minorHAnsi" w:cstheme="minorHAnsi"/>
          <w:sz w:val="23"/>
          <w:szCs w:val="23"/>
        </w:rPr>
      </w:pPr>
    </w:p>
    <w:p w14:paraId="760ED816" w14:textId="0AB18DB5" w:rsidR="00D442F3" w:rsidRPr="00006A4F" w:rsidRDefault="001315BE" w:rsidP="00006A4F">
      <w:pPr>
        <w:rPr>
          <w:rFonts w:asciiTheme="minorHAnsi" w:hAnsiTheme="minorHAnsi" w:cstheme="minorHAnsi"/>
        </w:rPr>
      </w:pPr>
      <w:r w:rsidRPr="00006A4F">
        <w:rPr>
          <w:rFonts w:asciiTheme="minorHAnsi" w:hAnsiTheme="minorHAnsi" w:cstheme="minorHAnsi"/>
          <w:sz w:val="23"/>
          <w:szCs w:val="23"/>
        </w:rPr>
        <w:t>The professors of courses whose examinations are not scheduled in the first time slot and are not common exams will reschedule their examinations, when feasible, within the final examination period on a day when the student has fewer than two scheduled examinations. The professor will notify the student when and where the examination will be given. In the event the professor contacts the other professors involved and makes alternate arrangements for the student to take no more than two examinations in a day, the professor will inform the student of those arrangements prior to the last day of classes. A student who has more than one examination scheduled for the same time should contact the appropriate professors and make alternate arrangements. In the event of a final exam conflict, the student may not be penalized.</w:t>
      </w:r>
    </w:p>
    <w:p w14:paraId="372CD665" w14:textId="77777777" w:rsidR="001315BE" w:rsidRDefault="001315BE" w:rsidP="00D442F3">
      <w:pPr>
        <w:jc w:val="center"/>
      </w:pPr>
    </w:p>
    <w:p w14:paraId="2AA9A103" w14:textId="4892C55C" w:rsidR="00D442F3" w:rsidRDefault="00D442F3">
      <w:r>
        <w:br w:type="page"/>
      </w:r>
    </w:p>
    <w:p w14:paraId="41AA2906" w14:textId="1A740472" w:rsidR="00D442F3" w:rsidRDefault="00D442F3" w:rsidP="00D442F3">
      <w:pPr>
        <w:jc w:val="center"/>
      </w:pPr>
      <w:r>
        <w:lastRenderedPageBreak/>
        <w:t>APPENDIX 3</w:t>
      </w:r>
    </w:p>
    <w:p w14:paraId="6FDB5683" w14:textId="4C92DC45" w:rsidR="00D442F3" w:rsidRDefault="00D442F3" w:rsidP="00D442F3">
      <w:pPr>
        <w:jc w:val="center"/>
      </w:pPr>
    </w:p>
    <w:p w14:paraId="6F6F1E8C" w14:textId="77777777" w:rsidR="00FC2E4B" w:rsidRPr="00FC2E4B" w:rsidRDefault="00FC2E4B" w:rsidP="00FC2E4B">
      <w:pPr>
        <w:jc w:val="center"/>
        <w:rPr>
          <w:rFonts w:ascii="Calibri" w:eastAsia="Calibri" w:hAnsi="Calibri" w:cs="Times New Roman"/>
          <w:b/>
          <w:sz w:val="32"/>
        </w:rPr>
      </w:pPr>
      <w:r w:rsidRPr="00FC2E4B">
        <w:rPr>
          <w:rFonts w:ascii="Calibri" w:eastAsia="Calibri" w:hAnsi="Calibri" w:cs="Times New Roman"/>
          <w:b/>
          <w:sz w:val="32"/>
        </w:rPr>
        <w:t>Possible Model for Maintaining Academic Misconduct Records</w:t>
      </w:r>
    </w:p>
    <w:p w14:paraId="14F3CDCF" w14:textId="77777777" w:rsidR="00FC2E4B" w:rsidRPr="00FC2E4B" w:rsidRDefault="00FC2E4B" w:rsidP="00FC2E4B">
      <w:pPr>
        <w:jc w:val="center"/>
        <w:rPr>
          <w:rFonts w:ascii="Calibri" w:eastAsia="Calibri" w:hAnsi="Calibri" w:cs="Times New Roman"/>
          <w:b/>
          <w:sz w:val="32"/>
        </w:rPr>
      </w:pPr>
      <w:r w:rsidRPr="00FC2E4B">
        <w:rPr>
          <w:rFonts w:ascii="Calibri" w:eastAsia="Calibri" w:hAnsi="Calibri" w:cs="Times New Roman"/>
          <w:b/>
          <w:sz w:val="32"/>
        </w:rPr>
        <w:t>In Response to Faculty Senate Charge to APC</w:t>
      </w:r>
    </w:p>
    <w:p w14:paraId="682B35DE" w14:textId="77777777" w:rsidR="00FC2E4B" w:rsidRPr="00FC2E4B" w:rsidRDefault="00FC2E4B" w:rsidP="00FC2E4B">
      <w:pPr>
        <w:jc w:val="center"/>
        <w:rPr>
          <w:rFonts w:ascii="Calibri" w:eastAsia="Calibri" w:hAnsi="Calibri" w:cs="Times New Roman"/>
          <w:sz w:val="28"/>
        </w:rPr>
      </w:pPr>
      <w:r w:rsidRPr="00FC2E4B">
        <w:rPr>
          <w:rFonts w:ascii="Calibri" w:eastAsia="Calibri" w:hAnsi="Calibri" w:cs="Times New Roman"/>
          <w:sz w:val="28"/>
        </w:rPr>
        <w:t>Discussion Draft for Faculty Senate</w:t>
      </w:r>
    </w:p>
    <w:p w14:paraId="5CBE8447" w14:textId="77777777" w:rsidR="00FC2E4B" w:rsidRPr="00FC2E4B" w:rsidRDefault="00FC2E4B" w:rsidP="00FC2E4B">
      <w:pPr>
        <w:jc w:val="center"/>
        <w:rPr>
          <w:rFonts w:ascii="Calibri" w:eastAsia="Calibri" w:hAnsi="Calibri" w:cs="Times New Roman"/>
          <w:sz w:val="28"/>
        </w:rPr>
      </w:pPr>
      <w:r w:rsidRPr="00FC2E4B">
        <w:rPr>
          <w:rFonts w:ascii="Calibri" w:eastAsia="Calibri" w:hAnsi="Calibri" w:cs="Times New Roman"/>
          <w:sz w:val="28"/>
        </w:rPr>
        <w:t>December 13, 2019</w:t>
      </w:r>
    </w:p>
    <w:p w14:paraId="13E57096" w14:textId="77777777" w:rsidR="00FC2E4B" w:rsidRPr="00FC2E4B" w:rsidRDefault="00FC2E4B" w:rsidP="00FC2E4B">
      <w:pPr>
        <w:jc w:val="center"/>
        <w:rPr>
          <w:rFonts w:ascii="Calibri" w:eastAsia="Calibri" w:hAnsi="Calibri" w:cs="Times New Roman"/>
          <w:b/>
          <w:sz w:val="32"/>
        </w:rPr>
      </w:pPr>
    </w:p>
    <w:p w14:paraId="641CE755" w14:textId="77777777" w:rsidR="00FC2E4B" w:rsidRPr="00FC2E4B" w:rsidRDefault="00FC2E4B" w:rsidP="00FC2E4B">
      <w:pPr>
        <w:numPr>
          <w:ilvl w:val="0"/>
          <w:numId w:val="17"/>
        </w:numPr>
        <w:contextualSpacing/>
        <w:rPr>
          <w:rFonts w:ascii="Calibri" w:eastAsia="Calibri" w:hAnsi="Calibri" w:cs="Times New Roman"/>
          <w:szCs w:val="24"/>
        </w:rPr>
      </w:pPr>
      <w:r w:rsidRPr="00FC2E4B">
        <w:rPr>
          <w:rFonts w:ascii="Calibri" w:eastAsia="Calibri" w:hAnsi="Calibri" w:cs="Times New Roman"/>
          <w:szCs w:val="24"/>
        </w:rPr>
        <w:t>The reporting person will have the prerogative of designating misconduct as “minor” or “serious” on the Academic Misconduct Reporting Form.  The seriousness of the infraction as determined by the faculty member will not be subject to any outside reporting.</w:t>
      </w:r>
    </w:p>
    <w:p w14:paraId="43E3949A" w14:textId="77777777" w:rsidR="00FC2E4B" w:rsidRPr="00FC2E4B" w:rsidRDefault="00FC2E4B" w:rsidP="00FC2E4B">
      <w:pPr>
        <w:numPr>
          <w:ilvl w:val="0"/>
          <w:numId w:val="17"/>
        </w:numPr>
        <w:contextualSpacing/>
        <w:rPr>
          <w:rFonts w:ascii="Calibri" w:eastAsia="Calibri" w:hAnsi="Calibri" w:cs="Times New Roman"/>
          <w:szCs w:val="24"/>
        </w:rPr>
      </w:pPr>
      <w:r w:rsidRPr="00FC2E4B">
        <w:rPr>
          <w:rFonts w:ascii="Calibri" w:eastAsia="Calibri" w:hAnsi="Calibri" w:cs="Times New Roman"/>
          <w:szCs w:val="24"/>
        </w:rPr>
        <w:t>MINOR OFFENSES will remain on a student’s record for one calendar year from the date of the report.</w:t>
      </w:r>
    </w:p>
    <w:p w14:paraId="0CC8A0EE" w14:textId="77777777" w:rsidR="00FC2E4B" w:rsidRPr="00FC2E4B" w:rsidRDefault="00FC2E4B" w:rsidP="00FC2E4B">
      <w:pPr>
        <w:numPr>
          <w:ilvl w:val="0"/>
          <w:numId w:val="17"/>
        </w:numPr>
        <w:contextualSpacing/>
        <w:rPr>
          <w:rFonts w:ascii="Calibri" w:eastAsia="Calibri" w:hAnsi="Calibri" w:cs="Times New Roman"/>
          <w:szCs w:val="24"/>
        </w:rPr>
      </w:pPr>
      <w:r w:rsidRPr="00FC2E4B">
        <w:rPr>
          <w:rFonts w:ascii="Calibri" w:eastAsia="Calibri" w:hAnsi="Calibri" w:cs="Times New Roman"/>
          <w:szCs w:val="24"/>
        </w:rPr>
        <w:t xml:space="preserve">Serious offenses will remain on student records for five years from the date of the report, as is the current practice. </w:t>
      </w:r>
    </w:p>
    <w:p w14:paraId="07D27ACB" w14:textId="77777777" w:rsidR="00FC2E4B" w:rsidRPr="00FC2E4B" w:rsidRDefault="00FC2E4B" w:rsidP="00FC2E4B">
      <w:pPr>
        <w:numPr>
          <w:ilvl w:val="0"/>
          <w:numId w:val="17"/>
        </w:numPr>
        <w:contextualSpacing/>
        <w:rPr>
          <w:rFonts w:ascii="Calibri" w:eastAsia="Calibri" w:hAnsi="Calibri" w:cs="Times New Roman"/>
          <w:szCs w:val="24"/>
        </w:rPr>
      </w:pPr>
      <w:r w:rsidRPr="00FC2E4B">
        <w:rPr>
          <w:rFonts w:ascii="Calibri" w:eastAsia="Calibri" w:hAnsi="Calibri" w:cs="Times New Roman"/>
          <w:szCs w:val="24"/>
        </w:rPr>
        <w:t xml:space="preserve">Subsequent offenses will remain on student records for five years from the date of the report, as is the current practice. </w:t>
      </w:r>
    </w:p>
    <w:p w14:paraId="30BD774B" w14:textId="77777777" w:rsidR="00FC2E4B" w:rsidRPr="00FC2E4B" w:rsidRDefault="00FC2E4B" w:rsidP="00FC2E4B">
      <w:pPr>
        <w:numPr>
          <w:ilvl w:val="0"/>
          <w:numId w:val="17"/>
        </w:numPr>
        <w:contextualSpacing/>
        <w:rPr>
          <w:rFonts w:ascii="Calibri" w:eastAsia="Calibri" w:hAnsi="Calibri" w:cs="Times New Roman"/>
          <w:szCs w:val="24"/>
        </w:rPr>
      </w:pPr>
      <w:r w:rsidRPr="00FC2E4B">
        <w:rPr>
          <w:rFonts w:ascii="Calibri" w:eastAsia="Calibri" w:hAnsi="Calibri" w:cs="Times New Roman"/>
          <w:szCs w:val="24"/>
        </w:rPr>
        <w:t>The Office of Academic Affairs would be responsible for removing records from the student’s permanent record once the time above has passed (as is current practice)</w:t>
      </w:r>
    </w:p>
    <w:p w14:paraId="6F963EE7" w14:textId="77777777" w:rsidR="00FC2E4B" w:rsidRPr="00FC2E4B" w:rsidRDefault="00FC2E4B" w:rsidP="00FC2E4B">
      <w:pPr>
        <w:numPr>
          <w:ilvl w:val="0"/>
          <w:numId w:val="17"/>
        </w:numPr>
        <w:contextualSpacing/>
        <w:rPr>
          <w:rFonts w:ascii="Calibri" w:eastAsia="Calibri" w:hAnsi="Calibri" w:cs="Times New Roman"/>
          <w:szCs w:val="24"/>
        </w:rPr>
      </w:pPr>
      <w:r w:rsidRPr="00FC2E4B">
        <w:rPr>
          <w:rFonts w:ascii="Calibri" w:eastAsia="Calibri" w:hAnsi="Calibri" w:cs="Times New Roman"/>
          <w:szCs w:val="24"/>
        </w:rPr>
        <w:t xml:space="preserve">This policy cannot overturn any release of information that is required by federal law or subpoena.  </w:t>
      </w:r>
    </w:p>
    <w:p w14:paraId="71F808C5" w14:textId="77777777" w:rsidR="00FC2E4B" w:rsidRPr="00FC2E4B" w:rsidRDefault="00FC2E4B" w:rsidP="00FC2E4B">
      <w:pPr>
        <w:rPr>
          <w:rFonts w:ascii="Calibri" w:eastAsia="Calibri" w:hAnsi="Calibri" w:cs="Times New Roman"/>
          <w:sz w:val="22"/>
        </w:rPr>
      </w:pPr>
    </w:p>
    <w:p w14:paraId="53755A49" w14:textId="77777777" w:rsidR="00FC2E4B" w:rsidRPr="00FC2E4B" w:rsidRDefault="00FC2E4B" w:rsidP="00FC2E4B">
      <w:pPr>
        <w:rPr>
          <w:rFonts w:ascii="Calibri" w:eastAsia="Calibri" w:hAnsi="Calibri" w:cs="Times New Roman"/>
        </w:rPr>
      </w:pPr>
      <w:r w:rsidRPr="00FC2E4B">
        <w:rPr>
          <w:rFonts w:ascii="Calibri" w:eastAsia="Calibri" w:hAnsi="Calibri" w:cs="Times New Roman"/>
        </w:rPr>
        <w:t>Additional APC review matters arising from this policy:</w:t>
      </w:r>
      <w:r w:rsidRPr="00FC2E4B">
        <w:rPr>
          <w:rFonts w:ascii="Calibri" w:eastAsia="Calibri" w:hAnsi="Calibri" w:cs="Times New Roman"/>
        </w:rPr>
        <w:br/>
      </w:r>
    </w:p>
    <w:p w14:paraId="581591F0" w14:textId="77777777" w:rsidR="00FC2E4B" w:rsidRPr="00FC2E4B" w:rsidRDefault="00FC2E4B" w:rsidP="00FC2E4B">
      <w:pPr>
        <w:numPr>
          <w:ilvl w:val="0"/>
          <w:numId w:val="18"/>
        </w:numPr>
        <w:contextualSpacing/>
        <w:rPr>
          <w:rFonts w:ascii="Calibri" w:eastAsia="Calibri" w:hAnsi="Calibri" w:cs="Times New Roman"/>
        </w:rPr>
      </w:pPr>
      <w:r w:rsidRPr="00FC2E4B">
        <w:rPr>
          <w:rFonts w:ascii="Calibri" w:eastAsia="Calibri" w:hAnsi="Calibri" w:cs="Times New Roman"/>
        </w:rPr>
        <w:t>When a student appeals, APC will have purview to review the charge (as is current practice) and the seriousness of the charge.</w:t>
      </w:r>
    </w:p>
    <w:p w14:paraId="4E8C81D9" w14:textId="77777777" w:rsidR="00FC2E4B" w:rsidRPr="00FC2E4B" w:rsidRDefault="00FC2E4B" w:rsidP="00FC2E4B">
      <w:pPr>
        <w:numPr>
          <w:ilvl w:val="0"/>
          <w:numId w:val="18"/>
        </w:numPr>
        <w:contextualSpacing/>
        <w:rPr>
          <w:rFonts w:ascii="Calibri" w:eastAsia="Calibri" w:hAnsi="Calibri" w:cs="Times New Roman"/>
        </w:rPr>
      </w:pPr>
      <w:r w:rsidRPr="00FC2E4B">
        <w:rPr>
          <w:rFonts w:ascii="Calibri" w:eastAsia="Calibri" w:hAnsi="Calibri" w:cs="Times New Roman"/>
        </w:rPr>
        <w:t>When a student appeals, APC will have purview over the sanction.  This is important if, for example, a faculty member fails the student in the course but indicates the charge is minor.</w:t>
      </w:r>
    </w:p>
    <w:p w14:paraId="7F5E3D9E" w14:textId="77777777" w:rsidR="00FC2E4B" w:rsidRPr="00FC2E4B" w:rsidRDefault="00FC2E4B" w:rsidP="00FC2E4B">
      <w:pPr>
        <w:numPr>
          <w:ilvl w:val="0"/>
          <w:numId w:val="18"/>
        </w:numPr>
        <w:contextualSpacing/>
        <w:rPr>
          <w:rFonts w:ascii="Calibri" w:eastAsia="Calibri" w:hAnsi="Calibri" w:cs="Times New Roman"/>
        </w:rPr>
      </w:pPr>
      <w:r w:rsidRPr="00FC2E4B">
        <w:rPr>
          <w:rFonts w:ascii="Calibri" w:eastAsia="Calibri" w:hAnsi="Calibri" w:cs="Times New Roman"/>
        </w:rPr>
        <w:t>A designation of “minor” also includes a limited set of sanctions that can be invoked:</w:t>
      </w:r>
    </w:p>
    <w:p w14:paraId="5D6EC3CB" w14:textId="77777777" w:rsidR="00FC2E4B" w:rsidRPr="00FC2E4B" w:rsidRDefault="00FC2E4B" w:rsidP="00FC2E4B">
      <w:pPr>
        <w:ind w:left="720"/>
        <w:contextualSpacing/>
        <w:rPr>
          <w:rFonts w:ascii="Calibri" w:eastAsia="Calibri" w:hAnsi="Calibri" w:cs="Times New Roman"/>
        </w:rPr>
      </w:pPr>
      <w:r w:rsidRPr="00FC2E4B">
        <w:rPr>
          <w:rFonts w:ascii="Calibri" w:eastAsia="Calibri" w:hAnsi="Calibri" w:cs="Times New Roman"/>
        </w:rPr>
        <w:br/>
      </w:r>
    </w:p>
    <w:tbl>
      <w:tblPr>
        <w:tblStyle w:val="TableGrid"/>
        <w:tblW w:w="0" w:type="auto"/>
        <w:tblInd w:w="720" w:type="dxa"/>
        <w:tblLook w:val="04A0" w:firstRow="1" w:lastRow="0" w:firstColumn="1" w:lastColumn="0" w:noHBand="0" w:noVBand="1"/>
      </w:tblPr>
      <w:tblGrid>
        <w:gridCol w:w="3229"/>
        <w:gridCol w:w="5401"/>
      </w:tblGrid>
      <w:tr w:rsidR="00FC2E4B" w:rsidRPr="00FC2E4B" w14:paraId="1E1B19DE" w14:textId="77777777" w:rsidTr="009A6F77">
        <w:tc>
          <w:tcPr>
            <w:tcW w:w="0" w:type="auto"/>
          </w:tcPr>
          <w:p w14:paraId="7D5A2413" w14:textId="77777777" w:rsidR="00FC2E4B" w:rsidRPr="00FC2E4B" w:rsidRDefault="00FC2E4B" w:rsidP="00FC2E4B">
            <w:pPr>
              <w:contextualSpacing/>
              <w:jc w:val="center"/>
              <w:rPr>
                <w:rFonts w:eastAsia="Calibri" w:cs="Times New Roman"/>
                <w:b/>
              </w:rPr>
            </w:pPr>
            <w:r w:rsidRPr="00FC2E4B">
              <w:rPr>
                <w:rFonts w:eastAsia="Calibri" w:cs="Times New Roman"/>
                <w:b/>
              </w:rPr>
              <w:t>Minor Misconduct</w:t>
            </w:r>
          </w:p>
        </w:tc>
        <w:tc>
          <w:tcPr>
            <w:tcW w:w="0" w:type="auto"/>
          </w:tcPr>
          <w:p w14:paraId="0626EB3C" w14:textId="77777777" w:rsidR="00FC2E4B" w:rsidRPr="00FC2E4B" w:rsidRDefault="00FC2E4B" w:rsidP="00FC2E4B">
            <w:pPr>
              <w:contextualSpacing/>
              <w:jc w:val="center"/>
              <w:rPr>
                <w:rFonts w:eastAsia="Calibri" w:cs="Times New Roman"/>
                <w:b/>
              </w:rPr>
            </w:pPr>
            <w:r w:rsidRPr="00FC2E4B">
              <w:rPr>
                <w:rFonts w:eastAsia="Calibri" w:cs="Times New Roman"/>
                <w:b/>
              </w:rPr>
              <w:t>Serious Misconduct</w:t>
            </w:r>
          </w:p>
        </w:tc>
      </w:tr>
      <w:tr w:rsidR="00FC2E4B" w:rsidRPr="00FC2E4B" w14:paraId="694556EB" w14:textId="77777777" w:rsidTr="009A6F77">
        <w:tc>
          <w:tcPr>
            <w:tcW w:w="0" w:type="auto"/>
          </w:tcPr>
          <w:p w14:paraId="10BC0E8D" w14:textId="77777777" w:rsidR="00FC2E4B" w:rsidRPr="00FC2E4B" w:rsidRDefault="00FC2E4B" w:rsidP="00FC2E4B">
            <w:pPr>
              <w:contextualSpacing/>
              <w:rPr>
                <w:rFonts w:eastAsia="Calibri" w:cs="Times New Roman"/>
              </w:rPr>
            </w:pPr>
            <w:r w:rsidRPr="00FC2E4B">
              <w:rPr>
                <w:rFonts w:eastAsia="Calibri" w:cs="Times New Roman"/>
              </w:rPr>
              <w:t>Written Warning</w:t>
            </w:r>
          </w:p>
        </w:tc>
        <w:tc>
          <w:tcPr>
            <w:tcW w:w="0" w:type="auto"/>
          </w:tcPr>
          <w:p w14:paraId="1986F3D8" w14:textId="77777777" w:rsidR="00FC2E4B" w:rsidRPr="00FC2E4B" w:rsidRDefault="00FC2E4B" w:rsidP="00FC2E4B">
            <w:pPr>
              <w:contextualSpacing/>
              <w:rPr>
                <w:rFonts w:eastAsia="Calibri" w:cs="Times New Roman"/>
              </w:rPr>
            </w:pPr>
            <w:r w:rsidRPr="00FC2E4B">
              <w:rPr>
                <w:rFonts w:eastAsia="Calibri" w:cs="Times New Roman"/>
              </w:rPr>
              <w:t>Issuance of F for Assignment</w:t>
            </w:r>
          </w:p>
        </w:tc>
      </w:tr>
      <w:tr w:rsidR="00FC2E4B" w:rsidRPr="00FC2E4B" w14:paraId="606E92DA" w14:textId="77777777" w:rsidTr="009A6F77">
        <w:tc>
          <w:tcPr>
            <w:tcW w:w="0" w:type="auto"/>
          </w:tcPr>
          <w:p w14:paraId="24247114" w14:textId="77777777" w:rsidR="00FC2E4B" w:rsidRPr="00FC2E4B" w:rsidRDefault="00FC2E4B" w:rsidP="00FC2E4B">
            <w:pPr>
              <w:contextualSpacing/>
              <w:rPr>
                <w:rFonts w:eastAsia="Calibri" w:cs="Times New Roman"/>
              </w:rPr>
            </w:pPr>
            <w:r w:rsidRPr="00FC2E4B">
              <w:rPr>
                <w:rFonts w:eastAsia="Calibri" w:cs="Times New Roman"/>
              </w:rPr>
              <w:t>Reduction of Grade for Assignment</w:t>
            </w:r>
          </w:p>
        </w:tc>
        <w:tc>
          <w:tcPr>
            <w:tcW w:w="0" w:type="auto"/>
          </w:tcPr>
          <w:p w14:paraId="2512E1D6" w14:textId="77777777" w:rsidR="00FC2E4B" w:rsidRPr="00FC2E4B" w:rsidRDefault="00FC2E4B" w:rsidP="00FC2E4B">
            <w:pPr>
              <w:contextualSpacing/>
              <w:rPr>
                <w:rFonts w:eastAsia="Calibri" w:cs="Times New Roman"/>
              </w:rPr>
            </w:pPr>
            <w:r w:rsidRPr="00FC2E4B">
              <w:rPr>
                <w:rFonts w:eastAsia="Calibri" w:cs="Times New Roman"/>
              </w:rPr>
              <w:t>Issuance of grade of F in course and removal from the course</w:t>
            </w:r>
          </w:p>
        </w:tc>
      </w:tr>
      <w:tr w:rsidR="00FC2E4B" w:rsidRPr="00FC2E4B" w14:paraId="5E6713B5" w14:textId="77777777" w:rsidTr="009A6F77">
        <w:tc>
          <w:tcPr>
            <w:tcW w:w="0" w:type="auto"/>
          </w:tcPr>
          <w:p w14:paraId="0D04934F" w14:textId="77777777" w:rsidR="00FC2E4B" w:rsidRPr="00FC2E4B" w:rsidRDefault="00FC2E4B" w:rsidP="00FC2E4B">
            <w:pPr>
              <w:contextualSpacing/>
              <w:rPr>
                <w:rFonts w:eastAsia="Calibri" w:cs="Times New Roman"/>
              </w:rPr>
            </w:pPr>
            <w:r w:rsidRPr="00FC2E4B">
              <w:rPr>
                <w:rFonts w:eastAsia="Calibri" w:cs="Times New Roman"/>
              </w:rPr>
              <w:t>Issuance of F for Assignment</w:t>
            </w:r>
          </w:p>
        </w:tc>
        <w:tc>
          <w:tcPr>
            <w:tcW w:w="0" w:type="auto"/>
          </w:tcPr>
          <w:p w14:paraId="0393F693" w14:textId="77777777" w:rsidR="00FC2E4B" w:rsidRPr="00FC2E4B" w:rsidRDefault="00FC2E4B" w:rsidP="00FC2E4B">
            <w:pPr>
              <w:contextualSpacing/>
              <w:rPr>
                <w:rFonts w:eastAsia="Calibri" w:cs="Times New Roman"/>
              </w:rPr>
            </w:pPr>
          </w:p>
        </w:tc>
      </w:tr>
    </w:tbl>
    <w:p w14:paraId="336BEA56" w14:textId="77777777" w:rsidR="00FC2E4B" w:rsidRPr="00FC2E4B" w:rsidRDefault="00FC2E4B" w:rsidP="00FC2E4B">
      <w:pPr>
        <w:ind w:left="720"/>
        <w:contextualSpacing/>
        <w:rPr>
          <w:rFonts w:ascii="Calibri" w:eastAsia="Calibri" w:hAnsi="Calibri" w:cs="Times New Roman"/>
        </w:rPr>
      </w:pPr>
    </w:p>
    <w:p w14:paraId="4E09A814" w14:textId="77777777" w:rsidR="00FC2E4B" w:rsidRPr="00FC2E4B" w:rsidRDefault="00FC2E4B" w:rsidP="00FC2E4B">
      <w:pPr>
        <w:rPr>
          <w:rFonts w:ascii="Calibri" w:eastAsia="Calibri" w:hAnsi="Calibri" w:cs="Times New Roman"/>
        </w:rPr>
      </w:pPr>
    </w:p>
    <w:p w14:paraId="6381E200" w14:textId="77777777" w:rsidR="00FC2E4B" w:rsidRPr="00FC2E4B" w:rsidRDefault="00FC2E4B" w:rsidP="00FC2E4B">
      <w:pPr>
        <w:rPr>
          <w:rFonts w:ascii="Calibri" w:eastAsia="Calibri" w:hAnsi="Calibri" w:cs="Times New Roman"/>
          <w:sz w:val="22"/>
        </w:rPr>
      </w:pPr>
    </w:p>
    <w:p w14:paraId="3919267F" w14:textId="14E6B167" w:rsidR="00D442F3" w:rsidRDefault="00D442F3" w:rsidP="00D442F3">
      <w:pPr>
        <w:jc w:val="center"/>
      </w:pPr>
    </w:p>
    <w:p w14:paraId="71307908" w14:textId="6BA02615" w:rsidR="00D442F3" w:rsidRDefault="00D442F3">
      <w:r>
        <w:br w:type="page"/>
      </w:r>
    </w:p>
    <w:p w14:paraId="79E1EF55" w14:textId="4A968C61" w:rsidR="00D442F3" w:rsidRDefault="00D442F3" w:rsidP="00D442F3">
      <w:pPr>
        <w:jc w:val="center"/>
      </w:pPr>
      <w:r>
        <w:lastRenderedPageBreak/>
        <w:t>APPENDIX 4</w:t>
      </w:r>
    </w:p>
    <w:p w14:paraId="0C94411B" w14:textId="2E925072" w:rsidR="00D442F3" w:rsidRDefault="00D442F3" w:rsidP="00D442F3">
      <w:pPr>
        <w:jc w:val="center"/>
      </w:pPr>
    </w:p>
    <w:p w14:paraId="38728DFD" w14:textId="77777777" w:rsidR="00682758" w:rsidRPr="00682758" w:rsidRDefault="00682758" w:rsidP="00682758">
      <w:pPr>
        <w:jc w:val="center"/>
        <w:rPr>
          <w:rFonts w:ascii="Calibri" w:eastAsia="Calibri" w:hAnsi="Calibri" w:cs="Times New Roman"/>
          <w:b/>
          <w:sz w:val="32"/>
        </w:rPr>
      </w:pPr>
      <w:r w:rsidRPr="00682758">
        <w:rPr>
          <w:rFonts w:ascii="Calibri" w:eastAsia="Calibri" w:hAnsi="Calibri" w:cs="Times New Roman"/>
          <w:b/>
          <w:sz w:val="32"/>
        </w:rPr>
        <w:t>Policy on Conflicts with Scheduled Courses &amp; Exams</w:t>
      </w:r>
    </w:p>
    <w:p w14:paraId="1DBE05E5" w14:textId="77777777" w:rsidR="00682758" w:rsidRPr="00682758" w:rsidRDefault="00682758" w:rsidP="00682758">
      <w:pPr>
        <w:jc w:val="center"/>
        <w:rPr>
          <w:rFonts w:ascii="Calibri" w:eastAsia="Calibri" w:hAnsi="Calibri" w:cs="Times New Roman"/>
          <w:sz w:val="32"/>
        </w:rPr>
      </w:pPr>
      <w:r w:rsidRPr="00682758">
        <w:rPr>
          <w:rFonts w:ascii="Calibri" w:eastAsia="Calibri" w:hAnsi="Calibri" w:cs="Times New Roman"/>
          <w:sz w:val="32"/>
        </w:rPr>
        <w:t>Discussion Draft for Faculty Senate</w:t>
      </w:r>
    </w:p>
    <w:p w14:paraId="1DF4D3A6" w14:textId="77777777" w:rsidR="00682758" w:rsidRPr="00682758" w:rsidRDefault="00682758" w:rsidP="00682758">
      <w:pPr>
        <w:jc w:val="center"/>
        <w:rPr>
          <w:rFonts w:ascii="Calibri" w:eastAsia="Calibri" w:hAnsi="Calibri" w:cs="Times New Roman"/>
          <w:sz w:val="32"/>
        </w:rPr>
      </w:pPr>
      <w:r w:rsidRPr="00682758">
        <w:rPr>
          <w:rFonts w:ascii="Calibri" w:eastAsia="Calibri" w:hAnsi="Calibri" w:cs="Times New Roman"/>
          <w:sz w:val="32"/>
        </w:rPr>
        <w:t>Brought by Academic Policies Committee</w:t>
      </w:r>
    </w:p>
    <w:p w14:paraId="54683649" w14:textId="77777777" w:rsidR="00682758" w:rsidRPr="00682758" w:rsidRDefault="00682758" w:rsidP="00682758">
      <w:pPr>
        <w:jc w:val="center"/>
        <w:rPr>
          <w:rFonts w:ascii="Calibri" w:eastAsia="Calibri" w:hAnsi="Calibri" w:cs="Times New Roman"/>
          <w:sz w:val="32"/>
        </w:rPr>
      </w:pPr>
      <w:r w:rsidRPr="00682758">
        <w:rPr>
          <w:rFonts w:ascii="Calibri" w:eastAsia="Calibri" w:hAnsi="Calibri" w:cs="Times New Roman"/>
          <w:sz w:val="32"/>
        </w:rPr>
        <w:t>December 13, 2019</w:t>
      </w:r>
    </w:p>
    <w:p w14:paraId="3CF76417" w14:textId="77777777" w:rsidR="00682758" w:rsidRPr="00682758" w:rsidRDefault="00682758" w:rsidP="00682758">
      <w:pPr>
        <w:rPr>
          <w:rFonts w:ascii="Calibri" w:eastAsia="Calibri" w:hAnsi="Calibri" w:cs="Times New Roman"/>
          <w:sz w:val="22"/>
        </w:rPr>
      </w:pPr>
    </w:p>
    <w:p w14:paraId="79C78A76" w14:textId="77777777" w:rsidR="00682758" w:rsidRPr="00682758" w:rsidRDefault="00682758" w:rsidP="00682758">
      <w:pPr>
        <w:rPr>
          <w:rFonts w:ascii="Calibri" w:eastAsia="Calibri" w:hAnsi="Calibri" w:cs="Times New Roman"/>
          <w:sz w:val="28"/>
        </w:rPr>
      </w:pPr>
    </w:p>
    <w:p w14:paraId="7717D556" w14:textId="77777777" w:rsidR="00682758" w:rsidRPr="00682758" w:rsidRDefault="00682758" w:rsidP="00682758">
      <w:pPr>
        <w:rPr>
          <w:rFonts w:ascii="Calibri" w:eastAsia="Calibri" w:hAnsi="Calibri" w:cs="Times New Roman"/>
          <w:sz w:val="28"/>
        </w:rPr>
      </w:pPr>
      <w:r w:rsidRPr="00682758">
        <w:rPr>
          <w:rFonts w:ascii="Calibri" w:eastAsia="Calibri" w:hAnsi="Calibri" w:cs="Times New Roman"/>
          <w:sz w:val="28"/>
        </w:rPr>
        <w:t>Faculty members who require attendance at activities or events that may conflict with a student’s otherwise regularly scheduled classes or exams are expected to be reasonable in setting these requirements. If a faculty member will require student attendance at an activity or event outside of the regularly scheduled class period, the following requirements should be met:</w:t>
      </w:r>
    </w:p>
    <w:p w14:paraId="686049D6" w14:textId="77777777" w:rsidR="00682758" w:rsidRPr="00682758" w:rsidRDefault="00682758" w:rsidP="00682758">
      <w:pPr>
        <w:rPr>
          <w:rFonts w:ascii="Calibri" w:eastAsia="Calibri" w:hAnsi="Calibri" w:cs="Times New Roman"/>
          <w:sz w:val="28"/>
        </w:rPr>
      </w:pPr>
    </w:p>
    <w:p w14:paraId="50FD91D9" w14:textId="77777777" w:rsidR="00682758" w:rsidRPr="00682758" w:rsidRDefault="00682758" w:rsidP="00682758">
      <w:pPr>
        <w:numPr>
          <w:ilvl w:val="0"/>
          <w:numId w:val="19"/>
        </w:numPr>
        <w:contextualSpacing/>
        <w:rPr>
          <w:rFonts w:ascii="Calibri" w:eastAsia="Calibri" w:hAnsi="Calibri" w:cs="Times New Roman"/>
          <w:sz w:val="28"/>
        </w:rPr>
      </w:pPr>
      <w:r w:rsidRPr="00682758">
        <w:rPr>
          <w:rFonts w:ascii="Calibri" w:eastAsia="Calibri" w:hAnsi="Calibri" w:cs="Times New Roman"/>
          <w:sz w:val="28"/>
        </w:rPr>
        <w:t>The activity(</w:t>
      </w:r>
      <w:proofErr w:type="spellStart"/>
      <w:r w:rsidRPr="00682758">
        <w:rPr>
          <w:rFonts w:ascii="Calibri" w:eastAsia="Calibri" w:hAnsi="Calibri" w:cs="Times New Roman"/>
          <w:sz w:val="28"/>
        </w:rPr>
        <w:t>ies</w:t>
      </w:r>
      <w:proofErr w:type="spellEnd"/>
      <w:r w:rsidRPr="00682758">
        <w:rPr>
          <w:rFonts w:ascii="Calibri" w:eastAsia="Calibri" w:hAnsi="Calibri" w:cs="Times New Roman"/>
          <w:sz w:val="28"/>
        </w:rPr>
        <w:t xml:space="preserve">) will be listed within the course syllabus with specific dates and distributed to all enrolled students prior to the end of the drop/add period.  </w:t>
      </w:r>
    </w:p>
    <w:p w14:paraId="2AD11C62" w14:textId="77777777" w:rsidR="00682758" w:rsidRPr="00682758" w:rsidRDefault="00682758" w:rsidP="00682758">
      <w:pPr>
        <w:numPr>
          <w:ilvl w:val="0"/>
          <w:numId w:val="19"/>
        </w:numPr>
        <w:contextualSpacing/>
        <w:rPr>
          <w:rFonts w:ascii="Calibri" w:eastAsia="Calibri" w:hAnsi="Calibri" w:cs="Times New Roman"/>
          <w:sz w:val="28"/>
        </w:rPr>
      </w:pPr>
      <w:r w:rsidRPr="00682758">
        <w:rPr>
          <w:rFonts w:ascii="Calibri" w:eastAsia="Calibri" w:hAnsi="Calibri" w:cs="Times New Roman"/>
          <w:sz w:val="28"/>
        </w:rPr>
        <w:t xml:space="preserve">The faculty member must provide each student with a written notice that can be given to the faculty member who instructs another course affected by the required attendance of the student. It is then the student’s obligation to notify the other faculty member. </w:t>
      </w:r>
    </w:p>
    <w:p w14:paraId="333A9A51" w14:textId="77777777" w:rsidR="00682758" w:rsidRPr="00682758" w:rsidRDefault="00682758" w:rsidP="00682758">
      <w:pPr>
        <w:numPr>
          <w:ilvl w:val="0"/>
          <w:numId w:val="19"/>
        </w:numPr>
        <w:contextualSpacing/>
        <w:rPr>
          <w:rFonts w:ascii="Calibri" w:eastAsia="Calibri" w:hAnsi="Calibri" w:cs="Times New Roman"/>
          <w:sz w:val="28"/>
        </w:rPr>
      </w:pPr>
      <w:r w:rsidRPr="00682758">
        <w:rPr>
          <w:rFonts w:ascii="Calibri" w:eastAsia="Calibri" w:hAnsi="Calibri" w:cs="Times New Roman"/>
          <w:sz w:val="28"/>
        </w:rPr>
        <w:t xml:space="preserve">In the case of re-occurring extracurricular activities, a semester-long schedule should be prepared and distributed to the participating students at the beginning of the semester. It is the students’ obligation to provide the schedule to their other faculty members. </w:t>
      </w:r>
    </w:p>
    <w:p w14:paraId="6A3EF089" w14:textId="77777777" w:rsidR="00682758" w:rsidRPr="00682758" w:rsidRDefault="00682758" w:rsidP="00682758">
      <w:pPr>
        <w:numPr>
          <w:ilvl w:val="0"/>
          <w:numId w:val="19"/>
        </w:numPr>
        <w:contextualSpacing/>
        <w:rPr>
          <w:rFonts w:ascii="Calibri" w:eastAsia="Calibri" w:hAnsi="Calibri" w:cs="Times New Roman"/>
          <w:sz w:val="28"/>
        </w:rPr>
      </w:pPr>
      <w:r w:rsidRPr="00682758">
        <w:rPr>
          <w:rFonts w:ascii="Calibri" w:eastAsia="Calibri" w:hAnsi="Calibri" w:cs="Times New Roman"/>
          <w:sz w:val="28"/>
        </w:rPr>
        <w:t>The faculty member with the scheduled course or exam is under no obligation to excuse a student to attend the outside activity.</w:t>
      </w:r>
    </w:p>
    <w:p w14:paraId="0B9EB32E" w14:textId="77777777" w:rsidR="00682758" w:rsidRPr="00682758" w:rsidRDefault="00682758" w:rsidP="00682758">
      <w:pPr>
        <w:numPr>
          <w:ilvl w:val="0"/>
          <w:numId w:val="19"/>
        </w:numPr>
        <w:contextualSpacing/>
        <w:rPr>
          <w:rFonts w:ascii="Calibri" w:eastAsia="Calibri" w:hAnsi="Calibri" w:cs="Times New Roman"/>
          <w:sz w:val="28"/>
        </w:rPr>
      </w:pPr>
      <w:r w:rsidRPr="00682758">
        <w:rPr>
          <w:rFonts w:ascii="Calibri" w:eastAsia="Calibri" w:hAnsi="Calibri" w:cs="Times New Roman"/>
          <w:sz w:val="28"/>
        </w:rPr>
        <w:t xml:space="preserve">Students may not be penalized for missing a course activity which is outside of their regularly scheduled class time and conflicts with their other scheduled courses.  </w:t>
      </w:r>
    </w:p>
    <w:p w14:paraId="624CA567" w14:textId="77777777" w:rsidR="00682758" w:rsidRPr="00682758" w:rsidRDefault="00682758" w:rsidP="00682758">
      <w:pPr>
        <w:numPr>
          <w:ilvl w:val="0"/>
          <w:numId w:val="19"/>
        </w:numPr>
        <w:contextualSpacing/>
        <w:rPr>
          <w:rFonts w:ascii="Calibri" w:eastAsia="Calibri" w:hAnsi="Calibri" w:cs="Times New Roman"/>
          <w:sz w:val="28"/>
        </w:rPr>
      </w:pPr>
      <w:r w:rsidRPr="00682758">
        <w:rPr>
          <w:rFonts w:ascii="Calibri" w:eastAsia="Calibri" w:hAnsi="Calibri" w:cs="Times New Roman"/>
          <w:sz w:val="28"/>
        </w:rPr>
        <w:t xml:space="preserve">If a faculty member has course activities which </w:t>
      </w:r>
      <w:r w:rsidRPr="00682758">
        <w:rPr>
          <w:rFonts w:ascii="Calibri" w:eastAsia="Calibri" w:hAnsi="Calibri" w:cs="Times New Roman"/>
          <w:sz w:val="28"/>
          <w:u w:val="single"/>
        </w:rPr>
        <w:t>require</w:t>
      </w:r>
      <w:r w:rsidRPr="00682758">
        <w:rPr>
          <w:rFonts w:ascii="Calibri" w:eastAsia="Calibri" w:hAnsi="Calibri" w:cs="Times New Roman"/>
          <w:sz w:val="28"/>
        </w:rPr>
        <w:t xml:space="preserve"> attendance outside of scheduled class time, that faculty member must either provide the student an opportunity to make up the missed activity or event, or have in place a make-up policy that does not penalize a student for the missed activity or event.</w:t>
      </w:r>
    </w:p>
    <w:p w14:paraId="3E2502A0" w14:textId="2CE28C78" w:rsidR="00D442F3" w:rsidRDefault="00D442F3" w:rsidP="00D442F3">
      <w:pPr>
        <w:jc w:val="center"/>
      </w:pPr>
    </w:p>
    <w:p w14:paraId="0A3390FE" w14:textId="774E18FE" w:rsidR="00D442F3" w:rsidRDefault="00D442F3">
      <w:r>
        <w:br w:type="page"/>
      </w:r>
    </w:p>
    <w:p w14:paraId="0A21B55F" w14:textId="5BD69215" w:rsidR="00D442F3" w:rsidRDefault="00D442F3" w:rsidP="00D442F3">
      <w:pPr>
        <w:jc w:val="center"/>
      </w:pPr>
      <w:r>
        <w:lastRenderedPageBreak/>
        <w:t>APPENDIX 5</w:t>
      </w:r>
    </w:p>
    <w:p w14:paraId="51AF135C" w14:textId="44868132" w:rsidR="00D442F3" w:rsidRDefault="00D442F3" w:rsidP="00D442F3">
      <w:pPr>
        <w:jc w:val="center"/>
      </w:pPr>
    </w:p>
    <w:p w14:paraId="03EF85B5" w14:textId="77777777" w:rsidR="00682758" w:rsidRPr="00682758" w:rsidRDefault="00682758" w:rsidP="00682758">
      <w:pPr>
        <w:jc w:val="center"/>
        <w:rPr>
          <w:rFonts w:ascii="Calibri" w:eastAsia="Calibri" w:hAnsi="Calibri" w:cs="Times New Roman"/>
          <w:b/>
          <w:sz w:val="32"/>
        </w:rPr>
      </w:pPr>
      <w:r w:rsidRPr="00682758">
        <w:rPr>
          <w:rFonts w:ascii="Calibri" w:eastAsia="Calibri" w:hAnsi="Calibri" w:cs="Times New Roman"/>
          <w:b/>
          <w:sz w:val="32"/>
        </w:rPr>
        <w:t>Policy on Conflicts with Scheduled Courses &amp; Exams</w:t>
      </w:r>
    </w:p>
    <w:p w14:paraId="16E922BC" w14:textId="77777777" w:rsidR="00682758" w:rsidRPr="00682758" w:rsidRDefault="00682758" w:rsidP="00682758">
      <w:pPr>
        <w:jc w:val="center"/>
        <w:rPr>
          <w:rFonts w:ascii="Calibri" w:eastAsia="Calibri" w:hAnsi="Calibri" w:cs="Times New Roman"/>
          <w:sz w:val="32"/>
        </w:rPr>
      </w:pPr>
      <w:r w:rsidRPr="00682758">
        <w:rPr>
          <w:rFonts w:ascii="Calibri" w:eastAsia="Calibri" w:hAnsi="Calibri" w:cs="Times New Roman"/>
          <w:sz w:val="32"/>
        </w:rPr>
        <w:t>With suggested edits by KMS</w:t>
      </w:r>
    </w:p>
    <w:p w14:paraId="08E63FB2" w14:textId="77777777" w:rsidR="00682758" w:rsidRPr="00682758" w:rsidRDefault="00682758" w:rsidP="00682758">
      <w:pPr>
        <w:jc w:val="center"/>
        <w:rPr>
          <w:rFonts w:ascii="Calibri" w:eastAsia="Calibri" w:hAnsi="Calibri" w:cs="Times New Roman"/>
          <w:sz w:val="28"/>
        </w:rPr>
      </w:pPr>
      <w:r w:rsidRPr="00682758">
        <w:rPr>
          <w:rFonts w:ascii="Calibri" w:eastAsia="Calibri" w:hAnsi="Calibri" w:cs="Times New Roman"/>
          <w:sz w:val="32"/>
        </w:rPr>
        <w:t>November 24, 2020</w:t>
      </w:r>
    </w:p>
    <w:p w14:paraId="04264864" w14:textId="77777777" w:rsidR="00682758" w:rsidRPr="00682758" w:rsidRDefault="00682758" w:rsidP="00682758">
      <w:pPr>
        <w:rPr>
          <w:rFonts w:ascii="Calibri" w:eastAsia="Calibri" w:hAnsi="Calibri" w:cs="Times New Roman"/>
          <w:sz w:val="28"/>
        </w:rPr>
      </w:pPr>
      <w:r w:rsidRPr="00682758">
        <w:rPr>
          <w:rFonts w:ascii="Calibri" w:eastAsia="Calibri" w:hAnsi="Calibri" w:cs="Times New Roman"/>
          <w:sz w:val="28"/>
        </w:rPr>
        <w:t>Faculty members who require attendance at activities or events that may conflict with a student’s otherwise regularly scheduled classes or exams are expected to be reasonable in setting these requirements. If a faculty member will require student attendance at an activity or event outside of the regularly scheduled class period, the following requirements should be met:</w:t>
      </w:r>
    </w:p>
    <w:p w14:paraId="4BB3C4B2" w14:textId="77777777" w:rsidR="00682758" w:rsidRPr="00682758" w:rsidRDefault="00682758" w:rsidP="00682758">
      <w:pPr>
        <w:rPr>
          <w:rFonts w:ascii="Calibri" w:eastAsia="Calibri" w:hAnsi="Calibri" w:cs="Times New Roman"/>
          <w:sz w:val="28"/>
        </w:rPr>
      </w:pPr>
    </w:p>
    <w:p w14:paraId="4A8DCC7C" w14:textId="77777777" w:rsidR="00682758" w:rsidRPr="00682758" w:rsidRDefault="00682758" w:rsidP="00682758">
      <w:pPr>
        <w:numPr>
          <w:ilvl w:val="0"/>
          <w:numId w:val="20"/>
        </w:numPr>
        <w:contextualSpacing/>
        <w:rPr>
          <w:rFonts w:ascii="Calibri" w:eastAsia="Calibri" w:hAnsi="Calibri" w:cs="Times New Roman"/>
          <w:sz w:val="28"/>
        </w:rPr>
      </w:pPr>
      <w:r w:rsidRPr="00682758">
        <w:rPr>
          <w:rFonts w:ascii="Calibri" w:eastAsia="Calibri" w:hAnsi="Calibri" w:cs="Times New Roman"/>
          <w:sz w:val="28"/>
        </w:rPr>
        <w:t>The activity(</w:t>
      </w:r>
      <w:proofErr w:type="spellStart"/>
      <w:r w:rsidRPr="00682758">
        <w:rPr>
          <w:rFonts w:ascii="Calibri" w:eastAsia="Calibri" w:hAnsi="Calibri" w:cs="Times New Roman"/>
          <w:sz w:val="28"/>
        </w:rPr>
        <w:t>ies</w:t>
      </w:r>
      <w:proofErr w:type="spellEnd"/>
      <w:r w:rsidRPr="00682758">
        <w:rPr>
          <w:rFonts w:ascii="Calibri" w:eastAsia="Calibri" w:hAnsi="Calibri" w:cs="Times New Roman"/>
          <w:sz w:val="28"/>
        </w:rPr>
        <w:t xml:space="preserve">) will be listed within the course syllabus with specific dates </w:t>
      </w:r>
      <w:r w:rsidRPr="00682758">
        <w:rPr>
          <w:rFonts w:ascii="Calibri" w:eastAsia="Calibri" w:hAnsi="Calibri" w:cs="Times New Roman"/>
          <w:color w:val="FF0000"/>
          <w:sz w:val="28"/>
        </w:rPr>
        <w:t xml:space="preserve">and times, if they are known at that time.  </w:t>
      </w:r>
      <w:r w:rsidRPr="00682758">
        <w:rPr>
          <w:rFonts w:ascii="Calibri" w:eastAsia="Calibri" w:hAnsi="Calibri" w:cs="Times New Roman"/>
          <w:sz w:val="28"/>
        </w:rPr>
        <w:t xml:space="preserve">and distributed to all enrolled students prior to the end of the drop/add period, </w:t>
      </w:r>
    </w:p>
    <w:p w14:paraId="3CEA997F" w14:textId="77777777" w:rsidR="00682758" w:rsidRPr="00682758" w:rsidRDefault="00682758" w:rsidP="00682758">
      <w:pPr>
        <w:numPr>
          <w:ilvl w:val="0"/>
          <w:numId w:val="20"/>
        </w:numPr>
        <w:contextualSpacing/>
        <w:rPr>
          <w:rFonts w:ascii="Calibri" w:eastAsia="Calibri" w:hAnsi="Calibri" w:cs="Times New Roman"/>
          <w:color w:val="FF0000"/>
          <w:sz w:val="28"/>
        </w:rPr>
      </w:pPr>
      <w:r w:rsidRPr="00682758">
        <w:rPr>
          <w:rFonts w:ascii="Calibri" w:eastAsia="Calibri" w:hAnsi="Calibri" w:cs="Times New Roman"/>
          <w:sz w:val="28"/>
        </w:rPr>
        <w:t xml:space="preserve">The faculty member must provide each student with a written notice that can be given to the faculty member who instructs another course affected by the required attendance of the student. It is then the student’s obligation to notify the other faculty member. </w:t>
      </w:r>
      <w:r w:rsidRPr="00682758">
        <w:rPr>
          <w:rFonts w:ascii="Calibri" w:eastAsia="Calibri" w:hAnsi="Calibri" w:cs="Times New Roman"/>
          <w:color w:val="FF0000"/>
          <w:sz w:val="28"/>
        </w:rPr>
        <w:t xml:space="preserve">(These notices may be posted in the course </w:t>
      </w:r>
      <w:proofErr w:type="spellStart"/>
      <w:r w:rsidRPr="00682758">
        <w:rPr>
          <w:rFonts w:ascii="Calibri" w:eastAsia="Calibri" w:hAnsi="Calibri" w:cs="Times New Roman"/>
          <w:color w:val="FF0000"/>
          <w:sz w:val="28"/>
        </w:rPr>
        <w:t>MyClasses</w:t>
      </w:r>
      <w:proofErr w:type="spellEnd"/>
      <w:r w:rsidRPr="00682758">
        <w:rPr>
          <w:rFonts w:ascii="Calibri" w:eastAsia="Calibri" w:hAnsi="Calibri" w:cs="Times New Roman"/>
          <w:color w:val="FF0000"/>
          <w:sz w:val="28"/>
        </w:rPr>
        <w:t xml:space="preserve"> site with students expected to print them as needed.)</w:t>
      </w:r>
    </w:p>
    <w:p w14:paraId="0F0F7EEC" w14:textId="77777777" w:rsidR="00682758" w:rsidRPr="00682758" w:rsidRDefault="00682758" w:rsidP="00682758">
      <w:pPr>
        <w:numPr>
          <w:ilvl w:val="0"/>
          <w:numId w:val="20"/>
        </w:numPr>
        <w:contextualSpacing/>
        <w:rPr>
          <w:rFonts w:ascii="Calibri" w:eastAsia="Calibri" w:hAnsi="Calibri" w:cs="Times New Roman"/>
          <w:sz w:val="28"/>
        </w:rPr>
      </w:pPr>
      <w:r w:rsidRPr="00682758">
        <w:rPr>
          <w:rFonts w:ascii="Calibri" w:eastAsia="Calibri" w:hAnsi="Calibri" w:cs="Times New Roman"/>
          <w:sz w:val="28"/>
        </w:rPr>
        <w:t xml:space="preserve">In the case of re-occurring extracurricular activities, a semester-long schedule should be prepared and distributed to the participating students at the beginning of the semester. It is the students’ obligation to provide the schedule to their other faculty members. </w:t>
      </w:r>
    </w:p>
    <w:p w14:paraId="6084D8C8" w14:textId="77777777" w:rsidR="00682758" w:rsidRPr="00682758" w:rsidRDefault="00682758" w:rsidP="00682758">
      <w:pPr>
        <w:numPr>
          <w:ilvl w:val="0"/>
          <w:numId w:val="20"/>
        </w:numPr>
        <w:contextualSpacing/>
        <w:rPr>
          <w:rFonts w:ascii="Calibri" w:eastAsia="Calibri" w:hAnsi="Calibri" w:cs="Times New Roman"/>
          <w:color w:val="FF0000"/>
          <w:sz w:val="28"/>
        </w:rPr>
      </w:pPr>
      <w:r w:rsidRPr="00682758">
        <w:rPr>
          <w:rFonts w:ascii="Calibri" w:eastAsia="Calibri" w:hAnsi="Calibri" w:cs="Times New Roman"/>
          <w:sz w:val="28"/>
        </w:rPr>
        <w:t xml:space="preserve">The faculty member with the scheduled course or exam is under no obligation to excuse a student to attend the outside activity, </w:t>
      </w:r>
      <w:r w:rsidRPr="00682758">
        <w:rPr>
          <w:rFonts w:ascii="Calibri" w:eastAsia="Calibri" w:hAnsi="Calibri" w:cs="Times New Roman"/>
          <w:color w:val="FF0000"/>
          <w:sz w:val="28"/>
        </w:rPr>
        <w:t>unless they have agreed to do so during the first week of classes.</w:t>
      </w:r>
    </w:p>
    <w:p w14:paraId="637D6192" w14:textId="77777777" w:rsidR="00682758" w:rsidRPr="00682758" w:rsidRDefault="00682758" w:rsidP="00682758">
      <w:pPr>
        <w:numPr>
          <w:ilvl w:val="0"/>
          <w:numId w:val="20"/>
        </w:numPr>
        <w:contextualSpacing/>
        <w:rPr>
          <w:rFonts w:ascii="Calibri" w:eastAsia="Calibri" w:hAnsi="Calibri" w:cs="Times New Roman"/>
          <w:sz w:val="28"/>
        </w:rPr>
      </w:pPr>
      <w:r w:rsidRPr="00682758">
        <w:rPr>
          <w:rFonts w:ascii="Calibri" w:eastAsia="Calibri" w:hAnsi="Calibri" w:cs="Times New Roman"/>
          <w:sz w:val="28"/>
        </w:rPr>
        <w:t xml:space="preserve">Students may not be penalized for missing a course activity which is outside of their regularly scheduled class time and conflicts with their other scheduled courses </w:t>
      </w:r>
      <w:r w:rsidRPr="00682758">
        <w:rPr>
          <w:rFonts w:ascii="Calibri" w:eastAsia="Calibri" w:hAnsi="Calibri" w:cs="Times New Roman"/>
          <w:color w:val="FF0000"/>
          <w:sz w:val="28"/>
        </w:rPr>
        <w:t xml:space="preserve">unless the requirement was expressly made clear to them by posting it in </w:t>
      </w:r>
      <w:proofErr w:type="spellStart"/>
      <w:r w:rsidRPr="00682758">
        <w:rPr>
          <w:rFonts w:ascii="Calibri" w:eastAsia="Calibri" w:hAnsi="Calibri" w:cs="Times New Roman"/>
          <w:color w:val="FF0000"/>
          <w:sz w:val="28"/>
        </w:rPr>
        <w:t>MyClasses</w:t>
      </w:r>
      <w:proofErr w:type="spellEnd"/>
      <w:r w:rsidRPr="00682758">
        <w:rPr>
          <w:rFonts w:ascii="Calibri" w:eastAsia="Calibri" w:hAnsi="Calibri" w:cs="Times New Roman"/>
          <w:color w:val="FF0000"/>
          <w:sz w:val="28"/>
        </w:rPr>
        <w:t xml:space="preserve"> and publishing it at least one week before classes start and a note was </w:t>
      </w:r>
      <w:proofErr w:type="gramStart"/>
      <w:r w:rsidRPr="00682758">
        <w:rPr>
          <w:rFonts w:ascii="Calibri" w:eastAsia="Calibri" w:hAnsi="Calibri" w:cs="Times New Roman"/>
          <w:color w:val="FF0000"/>
          <w:sz w:val="28"/>
        </w:rPr>
        <w:t>included  in</w:t>
      </w:r>
      <w:proofErr w:type="gramEnd"/>
      <w:r w:rsidRPr="00682758">
        <w:rPr>
          <w:rFonts w:ascii="Calibri" w:eastAsia="Calibri" w:hAnsi="Calibri" w:cs="Times New Roman"/>
          <w:color w:val="FF0000"/>
          <w:sz w:val="28"/>
        </w:rPr>
        <w:t xml:space="preserve"> </w:t>
      </w:r>
      <w:proofErr w:type="spellStart"/>
      <w:r w:rsidRPr="00682758">
        <w:rPr>
          <w:rFonts w:ascii="Calibri" w:eastAsia="Calibri" w:hAnsi="Calibri" w:cs="Times New Roman"/>
          <w:color w:val="FF0000"/>
          <w:sz w:val="28"/>
        </w:rPr>
        <w:t>Gullnet</w:t>
      </w:r>
      <w:proofErr w:type="spellEnd"/>
      <w:r w:rsidRPr="00682758">
        <w:rPr>
          <w:rFonts w:ascii="Calibri" w:eastAsia="Calibri" w:hAnsi="Calibri" w:cs="Times New Roman"/>
          <w:color w:val="FF0000"/>
          <w:sz w:val="28"/>
        </w:rPr>
        <w:t xml:space="preserve"> to the effect that such requirements may exist for the course.  </w:t>
      </w:r>
    </w:p>
    <w:p w14:paraId="5C1513FA" w14:textId="77777777" w:rsidR="00682758" w:rsidRPr="00682758" w:rsidRDefault="00682758" w:rsidP="00682758">
      <w:pPr>
        <w:numPr>
          <w:ilvl w:val="0"/>
          <w:numId w:val="20"/>
        </w:numPr>
        <w:contextualSpacing/>
        <w:rPr>
          <w:rFonts w:ascii="Calibri" w:eastAsia="Calibri" w:hAnsi="Calibri" w:cs="Times New Roman"/>
          <w:sz w:val="28"/>
        </w:rPr>
      </w:pPr>
      <w:r w:rsidRPr="00682758">
        <w:rPr>
          <w:rFonts w:ascii="Calibri" w:eastAsia="Calibri" w:hAnsi="Calibri" w:cs="Times New Roman"/>
          <w:sz w:val="28"/>
        </w:rPr>
        <w:t xml:space="preserve">If a faculty member has course activities which </w:t>
      </w:r>
      <w:r w:rsidRPr="00682758">
        <w:rPr>
          <w:rFonts w:ascii="Calibri" w:eastAsia="Calibri" w:hAnsi="Calibri" w:cs="Times New Roman"/>
          <w:sz w:val="28"/>
          <w:u w:val="single"/>
        </w:rPr>
        <w:t>require</w:t>
      </w:r>
      <w:r w:rsidRPr="00682758">
        <w:rPr>
          <w:rFonts w:ascii="Calibri" w:eastAsia="Calibri" w:hAnsi="Calibri" w:cs="Times New Roman"/>
          <w:sz w:val="28"/>
        </w:rPr>
        <w:t xml:space="preserve"> attendance outside of scheduled class time, </w:t>
      </w:r>
      <w:r w:rsidRPr="00682758">
        <w:rPr>
          <w:rFonts w:ascii="Calibri" w:eastAsia="Calibri" w:hAnsi="Calibri" w:cs="Times New Roman"/>
          <w:color w:val="FF0000"/>
          <w:sz w:val="28"/>
        </w:rPr>
        <w:t xml:space="preserve">which was not made clear via all the above, or which was not scheduled in time to include it before the class began, </w:t>
      </w:r>
      <w:r w:rsidRPr="00682758">
        <w:rPr>
          <w:rFonts w:ascii="Calibri" w:eastAsia="Calibri" w:hAnsi="Calibri" w:cs="Times New Roman"/>
          <w:sz w:val="28"/>
        </w:rPr>
        <w:t xml:space="preserve">that faculty member must either provide the student an opportunity to make up </w:t>
      </w:r>
      <w:r w:rsidRPr="00682758">
        <w:rPr>
          <w:rFonts w:ascii="Calibri" w:eastAsia="Calibri" w:hAnsi="Calibri" w:cs="Times New Roman"/>
          <w:sz w:val="28"/>
        </w:rPr>
        <w:lastRenderedPageBreak/>
        <w:t>the missed activity or event, or have in place a make-up policy that does not penalize a student for the missed activity or event.</w:t>
      </w:r>
    </w:p>
    <w:p w14:paraId="77172DA8" w14:textId="4F3F85B5" w:rsidR="00D442F3" w:rsidRDefault="00D442F3" w:rsidP="00D442F3">
      <w:pPr>
        <w:jc w:val="center"/>
      </w:pPr>
    </w:p>
    <w:p w14:paraId="52F95E60" w14:textId="43A658C0" w:rsidR="00D442F3" w:rsidRDefault="00D442F3">
      <w:r>
        <w:br w:type="page"/>
      </w:r>
    </w:p>
    <w:p w14:paraId="5FA7895A" w14:textId="206D4443" w:rsidR="00D442F3" w:rsidRDefault="00D442F3" w:rsidP="00D442F3">
      <w:pPr>
        <w:jc w:val="center"/>
      </w:pPr>
      <w:r>
        <w:lastRenderedPageBreak/>
        <w:t>APPENDIX 6</w:t>
      </w:r>
    </w:p>
    <w:p w14:paraId="1AE070FE" w14:textId="2F5B9206" w:rsidR="00D442F3" w:rsidRDefault="00D442F3" w:rsidP="00D442F3">
      <w:pPr>
        <w:jc w:val="center"/>
      </w:pPr>
    </w:p>
    <w:p w14:paraId="45A2D071" w14:textId="77777777" w:rsidR="00682758" w:rsidRPr="00682758" w:rsidRDefault="00682758" w:rsidP="00682758">
      <w:p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FINAL 4.25.20 </w:t>
      </w:r>
    </w:p>
    <w:p w14:paraId="1223554C" w14:textId="77777777" w:rsidR="00682758" w:rsidRPr="00682758" w:rsidRDefault="00682758" w:rsidP="00682758">
      <w:p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 </w:t>
      </w:r>
    </w:p>
    <w:p w14:paraId="23ED0E66" w14:textId="18270EF0" w:rsidR="00682758" w:rsidRDefault="00682758" w:rsidP="00682758">
      <w:pPr>
        <w:autoSpaceDE w:val="0"/>
        <w:autoSpaceDN w:val="0"/>
        <w:adjustRightInd w:val="0"/>
        <w:rPr>
          <w:rFonts w:ascii="Cambria" w:hAnsi="Cambria" w:cs="Cambria"/>
          <w:color w:val="000000"/>
          <w:sz w:val="32"/>
          <w:szCs w:val="32"/>
        </w:rPr>
      </w:pPr>
      <w:r w:rsidRPr="00682758">
        <w:rPr>
          <w:rFonts w:ascii="Cambria" w:hAnsi="Cambria" w:cs="Cambria"/>
          <w:color w:val="000000"/>
          <w:sz w:val="32"/>
          <w:szCs w:val="32"/>
        </w:rPr>
        <w:t xml:space="preserve">Criteria and Procedures for Promotion of Clinical Faculty </w:t>
      </w:r>
    </w:p>
    <w:p w14:paraId="7A1D3147" w14:textId="77777777" w:rsidR="00682758" w:rsidRPr="00682758" w:rsidRDefault="00682758" w:rsidP="00682758">
      <w:pPr>
        <w:autoSpaceDE w:val="0"/>
        <w:autoSpaceDN w:val="0"/>
        <w:adjustRightInd w:val="0"/>
        <w:rPr>
          <w:rFonts w:ascii="Cambria" w:hAnsi="Cambria" w:cs="Cambria"/>
          <w:color w:val="000000"/>
          <w:sz w:val="23"/>
          <w:szCs w:val="23"/>
        </w:rPr>
      </w:pPr>
    </w:p>
    <w:p w14:paraId="584E1AFF" w14:textId="77777777" w:rsidR="00682758" w:rsidRPr="00682758" w:rsidRDefault="00682758" w:rsidP="00682758">
      <w:pPr>
        <w:autoSpaceDE w:val="0"/>
        <w:autoSpaceDN w:val="0"/>
        <w:adjustRightInd w:val="0"/>
        <w:rPr>
          <w:rFonts w:ascii="Calibri Light" w:hAnsi="Calibri Light" w:cs="Calibri Light"/>
          <w:color w:val="000000"/>
          <w:sz w:val="32"/>
          <w:szCs w:val="32"/>
        </w:rPr>
      </w:pPr>
      <w:r w:rsidRPr="00682758">
        <w:rPr>
          <w:rFonts w:ascii="Calibri Light" w:hAnsi="Calibri Light" w:cs="Calibri Light"/>
          <w:color w:val="000000"/>
          <w:sz w:val="32"/>
          <w:szCs w:val="32"/>
        </w:rPr>
        <w:t xml:space="preserve">ELIGIBILITY </w:t>
      </w:r>
    </w:p>
    <w:p w14:paraId="476E8E77" w14:textId="4CF8581E" w:rsidR="00682758" w:rsidRDefault="00682758" w:rsidP="00682758">
      <w:p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Faculty at Salisbury University are eligible for promotion on the basis of their rank and degree as determined by the Office of Academic Affairs and recommendation by the CHHS Clinical Faculty Promotions Committee. </w:t>
      </w:r>
    </w:p>
    <w:p w14:paraId="6E596351" w14:textId="77777777" w:rsidR="00682758" w:rsidRPr="00682758" w:rsidRDefault="00682758" w:rsidP="00682758">
      <w:pPr>
        <w:autoSpaceDE w:val="0"/>
        <w:autoSpaceDN w:val="0"/>
        <w:adjustRightInd w:val="0"/>
        <w:rPr>
          <w:rFonts w:ascii="Cambria" w:hAnsi="Cambria" w:cs="Cambria"/>
          <w:color w:val="000000"/>
          <w:sz w:val="23"/>
          <w:szCs w:val="23"/>
        </w:rPr>
      </w:pPr>
    </w:p>
    <w:p w14:paraId="775C3F4C" w14:textId="12BC5B13" w:rsidR="00682758" w:rsidRDefault="00682758" w:rsidP="00682758">
      <w:pPr>
        <w:autoSpaceDE w:val="0"/>
        <w:autoSpaceDN w:val="0"/>
        <w:adjustRightInd w:val="0"/>
        <w:rPr>
          <w:rFonts w:ascii="Cambria" w:hAnsi="Cambria" w:cs="Cambria"/>
          <w:b/>
          <w:bCs/>
          <w:color w:val="000000"/>
          <w:sz w:val="23"/>
          <w:szCs w:val="23"/>
          <w:u w:val="single"/>
        </w:rPr>
      </w:pPr>
      <w:r w:rsidRPr="00682758">
        <w:rPr>
          <w:rFonts w:ascii="Cambria" w:hAnsi="Cambria" w:cs="Cambria"/>
          <w:b/>
          <w:bCs/>
          <w:color w:val="000000"/>
          <w:sz w:val="23"/>
          <w:szCs w:val="23"/>
          <w:u w:val="single"/>
        </w:rPr>
        <w:t xml:space="preserve">Clinical Faculty Promotion Committee: Selection, Membership, and Purpose </w:t>
      </w:r>
    </w:p>
    <w:p w14:paraId="5EFE9FF2" w14:textId="77777777" w:rsidR="00682758" w:rsidRPr="00682758" w:rsidRDefault="00682758" w:rsidP="00682758">
      <w:pPr>
        <w:autoSpaceDE w:val="0"/>
        <w:autoSpaceDN w:val="0"/>
        <w:adjustRightInd w:val="0"/>
        <w:rPr>
          <w:rFonts w:ascii="Cambria" w:hAnsi="Cambria" w:cs="Cambria"/>
          <w:color w:val="000000"/>
          <w:sz w:val="23"/>
          <w:szCs w:val="23"/>
          <w:u w:val="single"/>
        </w:rPr>
      </w:pPr>
    </w:p>
    <w:p w14:paraId="28F53F2C" w14:textId="467BDAF8" w:rsidR="00682758" w:rsidRPr="00682758" w:rsidRDefault="00682758" w:rsidP="00682758">
      <w:pPr>
        <w:pStyle w:val="ListParagraph"/>
        <w:numPr>
          <w:ilvl w:val="0"/>
          <w:numId w:val="22"/>
        </w:num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The CHHS Clinical Faculty Promotions Committee may consist of a maximum of two representatives at or above the rank of clinical associate professor within the College from each of the three schools. These faculty may not themselves be eligible for promotion during their term of service on the committee. The committee is charged with the task of reviewing each candidate eligible for promotion. All members of the CHHS Clinical Faculty Promotions Committee will be expected to vote on the final review of each candidate eligible for clinical faculty promotion. The committee will elect a chair who serves a two-year term. The duties of the chair include convening meetings and presiding over committee deliberations and activities. All materials submitted by faculty for consideration for promotion will be maintained in confidence and safekeeping by the CHHS Clinical Faculty Promotions Committee. </w:t>
      </w:r>
    </w:p>
    <w:p w14:paraId="63853880" w14:textId="77777777" w:rsidR="00682758" w:rsidRPr="00682758" w:rsidRDefault="00682758" w:rsidP="00682758">
      <w:pPr>
        <w:autoSpaceDE w:val="0"/>
        <w:autoSpaceDN w:val="0"/>
        <w:adjustRightInd w:val="0"/>
        <w:rPr>
          <w:rFonts w:ascii="Cambria" w:hAnsi="Cambria" w:cs="Cambria"/>
          <w:color w:val="000000"/>
          <w:sz w:val="23"/>
          <w:szCs w:val="23"/>
        </w:rPr>
      </w:pPr>
    </w:p>
    <w:p w14:paraId="08D56537" w14:textId="4C8C4122" w:rsidR="00682758" w:rsidRPr="00682758" w:rsidRDefault="00682758" w:rsidP="00682758">
      <w:pPr>
        <w:pStyle w:val="ListParagraph"/>
        <w:numPr>
          <w:ilvl w:val="1"/>
          <w:numId w:val="22"/>
        </w:num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Each school will designate two clinical faculty at or above the rank of clinical associate professor to serve on the committee. </w:t>
      </w:r>
    </w:p>
    <w:p w14:paraId="7D9892DE" w14:textId="5B82B689" w:rsidR="00682758" w:rsidRPr="00682758" w:rsidRDefault="00682758" w:rsidP="00682758">
      <w:pPr>
        <w:pStyle w:val="ListParagraph"/>
        <w:numPr>
          <w:ilvl w:val="1"/>
          <w:numId w:val="22"/>
        </w:num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If there are fewer than two eligible clinical faculty, the school may designate tenured faculty at or above the rank of Associate Professor to fill their seats. </w:t>
      </w:r>
    </w:p>
    <w:p w14:paraId="61474F13" w14:textId="77777777" w:rsidR="00682758" w:rsidRPr="00682758" w:rsidRDefault="00682758" w:rsidP="00682758">
      <w:pPr>
        <w:autoSpaceDE w:val="0"/>
        <w:autoSpaceDN w:val="0"/>
        <w:adjustRightInd w:val="0"/>
        <w:rPr>
          <w:rFonts w:ascii="Cambria" w:hAnsi="Cambria" w:cs="Cambria"/>
          <w:color w:val="000000"/>
          <w:sz w:val="23"/>
          <w:szCs w:val="23"/>
        </w:rPr>
      </w:pPr>
    </w:p>
    <w:p w14:paraId="07B172A2" w14:textId="19C130DB" w:rsidR="00682758" w:rsidRPr="00682758" w:rsidRDefault="00682758" w:rsidP="00682758">
      <w:pPr>
        <w:pStyle w:val="ListParagraph"/>
        <w:numPr>
          <w:ilvl w:val="0"/>
          <w:numId w:val="22"/>
        </w:num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The CHHS Clinical Faculty Promotions Committee may appoint an ad hoc subcommittee charged with the task of revising clinical faculty procedures as circumstances change and addressing other business not related to the faculty review process that emerge. The ad hoc subcommittee will consist of at least three members, each of which must themselves be clinical faculty in the university or tenured faculty members from the CHHS. The CHHS Clinical Faculty Promotions Committee will decide on the membership and leadership of the ad hoc subcommittee. </w:t>
      </w:r>
    </w:p>
    <w:p w14:paraId="3D876574" w14:textId="77777777" w:rsidR="00682758" w:rsidRPr="00682758" w:rsidRDefault="00682758" w:rsidP="00682758">
      <w:pPr>
        <w:autoSpaceDE w:val="0"/>
        <w:autoSpaceDN w:val="0"/>
        <w:adjustRightInd w:val="0"/>
        <w:rPr>
          <w:rFonts w:ascii="Cambria" w:hAnsi="Cambria" w:cs="Cambria"/>
          <w:color w:val="000000"/>
          <w:sz w:val="23"/>
          <w:szCs w:val="23"/>
        </w:rPr>
      </w:pPr>
    </w:p>
    <w:p w14:paraId="0E4BDA40" w14:textId="77777777" w:rsidR="00682758" w:rsidRPr="00682758" w:rsidRDefault="00682758" w:rsidP="00682758">
      <w:p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PROCESS </w:t>
      </w:r>
    </w:p>
    <w:p w14:paraId="0F008B31" w14:textId="6B58F3F2" w:rsidR="00682758" w:rsidRDefault="00682758" w:rsidP="00157E8E">
      <w:pPr>
        <w:pStyle w:val="ListParagraph"/>
        <w:numPr>
          <w:ilvl w:val="0"/>
          <w:numId w:val="24"/>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Faculty members who seek promotion obtain a letter of eligibility for promotion from the Office of Academic Affairs and submit this with documentation that they have met the criteria for promotion to a school’s clinical promotions committee as described in the Faculty Handbook. </w:t>
      </w:r>
    </w:p>
    <w:p w14:paraId="4E9387F8" w14:textId="77777777" w:rsidR="00157E8E" w:rsidRPr="00157E8E" w:rsidRDefault="00157E8E" w:rsidP="00157E8E">
      <w:pPr>
        <w:autoSpaceDE w:val="0"/>
        <w:autoSpaceDN w:val="0"/>
        <w:adjustRightInd w:val="0"/>
        <w:rPr>
          <w:rFonts w:ascii="Cambria" w:hAnsi="Cambria" w:cs="Cambria"/>
          <w:color w:val="000000"/>
          <w:sz w:val="23"/>
          <w:szCs w:val="23"/>
        </w:rPr>
      </w:pPr>
    </w:p>
    <w:p w14:paraId="756B56C3" w14:textId="7335EF49" w:rsidR="00682758" w:rsidRPr="00157E8E" w:rsidRDefault="00682758" w:rsidP="00157E8E">
      <w:pPr>
        <w:pStyle w:val="ListParagraph"/>
        <w:numPr>
          <w:ilvl w:val="0"/>
          <w:numId w:val="24"/>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Applications may be submitted by faculty either by Digital Measures or for those who were employed at SU prior to 2014, by another form of submission determined by the school. All applications for promotion must be initiated through the submission of </w:t>
      </w:r>
      <w:r w:rsidRPr="00157E8E">
        <w:rPr>
          <w:rFonts w:ascii="Cambria" w:hAnsi="Cambria" w:cs="Cambria"/>
          <w:color w:val="000000"/>
          <w:sz w:val="23"/>
          <w:szCs w:val="23"/>
        </w:rPr>
        <w:lastRenderedPageBreak/>
        <w:t xml:space="preserve">portfolio to a school clinical promotions committee, the school director, the CHHS Clinical Faculty Promotions Committee, and dean of the CHHS. The school clinical promotions committee, school director, CHHS Clinical Faculty Promotions Committee, and dean respectively, must add to the candidate’s application file a written recommendation stating whether or not they endorse the candidate’s promotion. </w:t>
      </w:r>
    </w:p>
    <w:p w14:paraId="31EC7625" w14:textId="77777777" w:rsidR="00682758" w:rsidRPr="00682758" w:rsidRDefault="00682758" w:rsidP="00682758">
      <w:pPr>
        <w:autoSpaceDE w:val="0"/>
        <w:autoSpaceDN w:val="0"/>
        <w:adjustRightInd w:val="0"/>
        <w:rPr>
          <w:rFonts w:ascii="Cambria" w:hAnsi="Cambria" w:cs="Cambria"/>
          <w:color w:val="000000"/>
          <w:sz w:val="23"/>
          <w:szCs w:val="23"/>
        </w:rPr>
      </w:pPr>
    </w:p>
    <w:p w14:paraId="577D344B" w14:textId="09663C2C" w:rsidR="00682758" w:rsidRPr="00157E8E" w:rsidRDefault="00682758" w:rsidP="00157E8E">
      <w:pPr>
        <w:pStyle w:val="ListParagraph"/>
        <w:numPr>
          <w:ilvl w:val="0"/>
          <w:numId w:val="24"/>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The school clinical promotions committee will review and discuss the candidate’s portfolio and will write a letter of recommendation to be forwarded to the school director. Next, the school director will write a letter based on the candidate’s application to be sent to the CHHS Clinical Faculty Promotions Committee. This letter is also forwarded to the candidate. A candidate may withdraw his/her application for promotion prior to submission to the school director. </w:t>
      </w:r>
    </w:p>
    <w:p w14:paraId="794C0CB1" w14:textId="77777777" w:rsidR="00682758" w:rsidRPr="00682758" w:rsidRDefault="00682758" w:rsidP="00682758">
      <w:pPr>
        <w:autoSpaceDE w:val="0"/>
        <w:autoSpaceDN w:val="0"/>
        <w:adjustRightInd w:val="0"/>
        <w:rPr>
          <w:rFonts w:ascii="Cambria" w:hAnsi="Cambria" w:cs="Cambria"/>
          <w:color w:val="000000"/>
          <w:sz w:val="23"/>
          <w:szCs w:val="23"/>
        </w:rPr>
      </w:pPr>
    </w:p>
    <w:p w14:paraId="758FCE45" w14:textId="5F0D3979" w:rsidR="00682758" w:rsidRPr="00157E8E" w:rsidRDefault="00682758" w:rsidP="00157E8E">
      <w:pPr>
        <w:pStyle w:val="ListParagraph"/>
        <w:numPr>
          <w:ilvl w:val="0"/>
          <w:numId w:val="24"/>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The CHHS Clinical Faculty Promotions Committee reviews the completed file using the criteria established by the candidate’s school policies and procedures and the faculty handbook. After CHHS review, a formal rebuttal letter can be included in the portfolio from the candidate prior to submission to the Dean. </w:t>
      </w:r>
    </w:p>
    <w:p w14:paraId="28E92388" w14:textId="77777777" w:rsidR="00682758" w:rsidRPr="00682758" w:rsidRDefault="00682758" w:rsidP="00682758">
      <w:pPr>
        <w:autoSpaceDE w:val="0"/>
        <w:autoSpaceDN w:val="0"/>
        <w:adjustRightInd w:val="0"/>
        <w:rPr>
          <w:rFonts w:ascii="Cambria" w:hAnsi="Cambria" w:cs="Cambria"/>
          <w:color w:val="000000"/>
          <w:sz w:val="23"/>
          <w:szCs w:val="23"/>
        </w:rPr>
      </w:pPr>
    </w:p>
    <w:p w14:paraId="1304D2A1" w14:textId="4416DCE1" w:rsidR="00682758" w:rsidRPr="00157E8E" w:rsidRDefault="00682758" w:rsidP="00157E8E">
      <w:pPr>
        <w:pStyle w:val="ListParagraph"/>
        <w:numPr>
          <w:ilvl w:val="0"/>
          <w:numId w:val="24"/>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The CHHS Clinical Faculty Promotions Committee sends its recommendations for faculty promotions to the CHHS Dean and notifies, in writing, the faculty member who has applied for promotion of its recommendation. </w:t>
      </w:r>
    </w:p>
    <w:p w14:paraId="3B112322" w14:textId="77777777" w:rsidR="00682758" w:rsidRPr="00682758" w:rsidRDefault="00682758" w:rsidP="00682758">
      <w:pPr>
        <w:autoSpaceDE w:val="0"/>
        <w:autoSpaceDN w:val="0"/>
        <w:adjustRightInd w:val="0"/>
        <w:rPr>
          <w:rFonts w:ascii="Cambria" w:hAnsi="Cambria" w:cs="Cambria"/>
          <w:color w:val="000000"/>
          <w:sz w:val="23"/>
          <w:szCs w:val="23"/>
        </w:rPr>
      </w:pPr>
    </w:p>
    <w:p w14:paraId="1B7DB57B" w14:textId="480D2A65" w:rsidR="00682758" w:rsidRPr="00157E8E" w:rsidRDefault="00682758" w:rsidP="00157E8E">
      <w:pPr>
        <w:pStyle w:val="ListParagraph"/>
        <w:numPr>
          <w:ilvl w:val="0"/>
          <w:numId w:val="24"/>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The CHHS Dean reviews recommendations for faculty promotion submitted by the CHHS Clinical Faculty Promotions Committee and makes recommendations for faculty promotion to the provost. </w:t>
      </w:r>
    </w:p>
    <w:p w14:paraId="40A7F943" w14:textId="77777777" w:rsidR="00682758" w:rsidRPr="00682758" w:rsidRDefault="00682758" w:rsidP="00682758">
      <w:pPr>
        <w:autoSpaceDE w:val="0"/>
        <w:autoSpaceDN w:val="0"/>
        <w:adjustRightInd w:val="0"/>
        <w:rPr>
          <w:rFonts w:ascii="Cambria" w:hAnsi="Cambria" w:cs="Cambria"/>
          <w:color w:val="000000"/>
          <w:sz w:val="23"/>
          <w:szCs w:val="23"/>
        </w:rPr>
      </w:pPr>
    </w:p>
    <w:p w14:paraId="0712676B" w14:textId="6BAE3F16" w:rsidR="00682758" w:rsidRPr="00157E8E" w:rsidRDefault="00682758" w:rsidP="00157E8E">
      <w:pPr>
        <w:pStyle w:val="ListParagraph"/>
        <w:numPr>
          <w:ilvl w:val="0"/>
          <w:numId w:val="24"/>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The provost makes recommendations for faculty promotion to the president. </w:t>
      </w:r>
    </w:p>
    <w:p w14:paraId="681632CF" w14:textId="77777777" w:rsidR="00682758" w:rsidRPr="00682758" w:rsidRDefault="00682758" w:rsidP="00682758">
      <w:pPr>
        <w:autoSpaceDE w:val="0"/>
        <w:autoSpaceDN w:val="0"/>
        <w:adjustRightInd w:val="0"/>
        <w:rPr>
          <w:rFonts w:ascii="Cambria" w:hAnsi="Cambria" w:cs="Cambria"/>
          <w:color w:val="000000"/>
          <w:sz w:val="23"/>
          <w:szCs w:val="23"/>
        </w:rPr>
      </w:pPr>
    </w:p>
    <w:p w14:paraId="36A81F38" w14:textId="7101F59A" w:rsidR="00682758" w:rsidRPr="00157E8E" w:rsidRDefault="00682758" w:rsidP="00157E8E">
      <w:pPr>
        <w:pStyle w:val="ListParagraph"/>
        <w:numPr>
          <w:ilvl w:val="0"/>
          <w:numId w:val="24"/>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The president in consultation with the provost makes final decisions regarding faculty promotion, and the president notifies faculty of these decisions in writing. </w:t>
      </w:r>
    </w:p>
    <w:p w14:paraId="6AC27006" w14:textId="77777777" w:rsidR="00682758" w:rsidRPr="00682758" w:rsidRDefault="00682758" w:rsidP="00682758">
      <w:pPr>
        <w:autoSpaceDE w:val="0"/>
        <w:autoSpaceDN w:val="0"/>
        <w:adjustRightInd w:val="0"/>
        <w:rPr>
          <w:rFonts w:ascii="Cambria" w:hAnsi="Cambria" w:cs="Cambria"/>
          <w:color w:val="000000"/>
          <w:sz w:val="23"/>
          <w:szCs w:val="23"/>
        </w:rPr>
      </w:pPr>
    </w:p>
    <w:p w14:paraId="4050775D" w14:textId="4FD061C4" w:rsidR="00682758" w:rsidRPr="00157E8E" w:rsidRDefault="00682758" w:rsidP="00157E8E">
      <w:pPr>
        <w:pStyle w:val="ListParagraph"/>
        <w:numPr>
          <w:ilvl w:val="0"/>
          <w:numId w:val="24"/>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The provost and the president of the University may promote faculty who have not been recommended for promotion by their school promotions committees, school directors, CHHS Clinical Faculty Promotions Committee, or CHHS Dean. </w:t>
      </w:r>
    </w:p>
    <w:p w14:paraId="69FFF4D0" w14:textId="77777777" w:rsidR="00682758" w:rsidRPr="00682758" w:rsidRDefault="00682758" w:rsidP="00682758">
      <w:pPr>
        <w:autoSpaceDE w:val="0"/>
        <w:autoSpaceDN w:val="0"/>
        <w:adjustRightInd w:val="0"/>
        <w:rPr>
          <w:rFonts w:ascii="Cambria" w:hAnsi="Cambria" w:cs="Cambria"/>
          <w:color w:val="000000"/>
          <w:sz w:val="23"/>
          <w:szCs w:val="23"/>
        </w:rPr>
      </w:pPr>
    </w:p>
    <w:p w14:paraId="42990792" w14:textId="77777777" w:rsidR="00682758" w:rsidRPr="00682758" w:rsidRDefault="00682758" w:rsidP="00682758">
      <w:p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TIMELINE </w:t>
      </w:r>
    </w:p>
    <w:p w14:paraId="03C437F2" w14:textId="53BA7040" w:rsidR="00682758" w:rsidRPr="00157E8E" w:rsidRDefault="00682758" w:rsidP="00157E8E">
      <w:pPr>
        <w:pStyle w:val="ListParagraph"/>
        <w:numPr>
          <w:ilvl w:val="0"/>
          <w:numId w:val="26"/>
        </w:numPr>
        <w:autoSpaceDE w:val="0"/>
        <w:autoSpaceDN w:val="0"/>
        <w:adjustRightInd w:val="0"/>
        <w:spacing w:after="70"/>
        <w:rPr>
          <w:rFonts w:ascii="Cambria" w:hAnsi="Cambria" w:cs="Cambria"/>
          <w:color w:val="000000"/>
          <w:sz w:val="23"/>
          <w:szCs w:val="23"/>
        </w:rPr>
      </w:pPr>
      <w:r w:rsidRPr="00157E8E">
        <w:rPr>
          <w:rFonts w:ascii="Cambria" w:hAnsi="Cambria" w:cs="Cambria"/>
          <w:color w:val="000000"/>
          <w:sz w:val="23"/>
          <w:szCs w:val="23"/>
        </w:rPr>
        <w:t xml:space="preserve">Establishment of promotion eligibility list by Office of Academic Affairs – September 15. </w:t>
      </w:r>
    </w:p>
    <w:p w14:paraId="19A2F278" w14:textId="39E97E13" w:rsidR="00682758" w:rsidRPr="00157E8E" w:rsidRDefault="00682758" w:rsidP="00157E8E">
      <w:pPr>
        <w:pStyle w:val="ListParagraph"/>
        <w:numPr>
          <w:ilvl w:val="0"/>
          <w:numId w:val="26"/>
        </w:numPr>
        <w:autoSpaceDE w:val="0"/>
        <w:autoSpaceDN w:val="0"/>
        <w:adjustRightInd w:val="0"/>
        <w:spacing w:after="70"/>
        <w:rPr>
          <w:rFonts w:ascii="Cambria" w:hAnsi="Cambria" w:cs="Cambria"/>
          <w:color w:val="000000"/>
          <w:sz w:val="23"/>
          <w:szCs w:val="23"/>
        </w:rPr>
      </w:pPr>
      <w:r w:rsidRPr="00157E8E">
        <w:rPr>
          <w:rFonts w:ascii="Cambria" w:hAnsi="Cambria" w:cs="Cambria"/>
          <w:color w:val="000000"/>
          <w:sz w:val="23"/>
          <w:szCs w:val="23"/>
        </w:rPr>
        <w:t xml:space="preserve">Submission of promotion file from the candidate to school clinical faculty promotions committees –February 15. </w:t>
      </w:r>
    </w:p>
    <w:p w14:paraId="1B3C97E0" w14:textId="11FE0866" w:rsidR="00682758" w:rsidRPr="00157E8E" w:rsidRDefault="00682758" w:rsidP="00157E8E">
      <w:pPr>
        <w:pStyle w:val="ListParagraph"/>
        <w:numPr>
          <w:ilvl w:val="0"/>
          <w:numId w:val="26"/>
        </w:numPr>
        <w:autoSpaceDE w:val="0"/>
        <w:autoSpaceDN w:val="0"/>
        <w:adjustRightInd w:val="0"/>
        <w:spacing w:after="70"/>
        <w:rPr>
          <w:rFonts w:ascii="Cambria" w:hAnsi="Cambria" w:cs="Cambria"/>
          <w:color w:val="000000"/>
          <w:sz w:val="23"/>
          <w:szCs w:val="23"/>
        </w:rPr>
      </w:pPr>
      <w:r w:rsidRPr="00157E8E">
        <w:rPr>
          <w:rFonts w:ascii="Cambria" w:hAnsi="Cambria" w:cs="Cambria"/>
          <w:color w:val="000000"/>
          <w:sz w:val="23"/>
          <w:szCs w:val="23"/>
        </w:rPr>
        <w:t xml:space="preserve">Report of promotions recommendations to School Director by school clinical faculty promotions committees – March 1. </w:t>
      </w:r>
    </w:p>
    <w:p w14:paraId="7E9B1B47" w14:textId="02D76C9C" w:rsidR="00682758" w:rsidRPr="00157E8E" w:rsidRDefault="00682758" w:rsidP="00157E8E">
      <w:pPr>
        <w:pStyle w:val="ListParagraph"/>
        <w:numPr>
          <w:ilvl w:val="0"/>
          <w:numId w:val="26"/>
        </w:numPr>
        <w:autoSpaceDE w:val="0"/>
        <w:autoSpaceDN w:val="0"/>
        <w:adjustRightInd w:val="0"/>
        <w:spacing w:after="70"/>
        <w:rPr>
          <w:rFonts w:ascii="Cambria" w:hAnsi="Cambria" w:cs="Cambria"/>
          <w:color w:val="000000"/>
          <w:sz w:val="23"/>
          <w:szCs w:val="23"/>
        </w:rPr>
      </w:pPr>
      <w:r w:rsidRPr="00157E8E">
        <w:rPr>
          <w:rFonts w:ascii="Cambria" w:hAnsi="Cambria" w:cs="Cambria"/>
          <w:color w:val="000000"/>
          <w:sz w:val="23"/>
          <w:szCs w:val="23"/>
        </w:rPr>
        <w:t xml:space="preserve">Report of promotions recommendations to CHHS Clinical Faculty Promotions Committee by CHHS School Directors–March 15. </w:t>
      </w:r>
    </w:p>
    <w:p w14:paraId="1F7267C2" w14:textId="6B91BDD9" w:rsidR="00682758" w:rsidRPr="00157E8E" w:rsidRDefault="00682758" w:rsidP="00157E8E">
      <w:pPr>
        <w:pStyle w:val="ListParagraph"/>
        <w:numPr>
          <w:ilvl w:val="0"/>
          <w:numId w:val="26"/>
        </w:numPr>
        <w:autoSpaceDE w:val="0"/>
        <w:autoSpaceDN w:val="0"/>
        <w:adjustRightInd w:val="0"/>
        <w:spacing w:after="70"/>
        <w:rPr>
          <w:rFonts w:ascii="Cambria" w:hAnsi="Cambria" w:cs="Cambria"/>
          <w:color w:val="000000"/>
          <w:sz w:val="23"/>
          <w:szCs w:val="23"/>
        </w:rPr>
      </w:pPr>
      <w:r w:rsidRPr="00157E8E">
        <w:rPr>
          <w:rFonts w:ascii="Cambria" w:hAnsi="Cambria" w:cs="Cambria"/>
          <w:color w:val="000000"/>
          <w:sz w:val="23"/>
          <w:szCs w:val="23"/>
        </w:rPr>
        <w:t xml:space="preserve">Report of promotions recommendations to CHHS Dean by CHHS Clinical Faculty Promotions Committee – March 30. </w:t>
      </w:r>
    </w:p>
    <w:p w14:paraId="030345C9" w14:textId="38C7F298" w:rsidR="00682758" w:rsidRPr="00157E8E" w:rsidRDefault="00682758" w:rsidP="00157E8E">
      <w:pPr>
        <w:pStyle w:val="ListParagraph"/>
        <w:numPr>
          <w:ilvl w:val="0"/>
          <w:numId w:val="26"/>
        </w:numPr>
        <w:autoSpaceDE w:val="0"/>
        <w:autoSpaceDN w:val="0"/>
        <w:adjustRightInd w:val="0"/>
        <w:spacing w:after="70"/>
        <w:rPr>
          <w:rFonts w:ascii="Cambria" w:hAnsi="Cambria" w:cs="Cambria"/>
          <w:color w:val="000000"/>
          <w:sz w:val="23"/>
          <w:szCs w:val="23"/>
        </w:rPr>
      </w:pPr>
      <w:r w:rsidRPr="00157E8E">
        <w:rPr>
          <w:rFonts w:ascii="Cambria" w:hAnsi="Cambria" w:cs="Cambria"/>
          <w:color w:val="000000"/>
          <w:sz w:val="23"/>
          <w:szCs w:val="23"/>
        </w:rPr>
        <w:t xml:space="preserve">Recommendations for promotions to provost by CHHS Dean </w:t>
      </w:r>
      <w:proofErr w:type="spellStart"/>
      <w:r w:rsidRPr="00157E8E">
        <w:rPr>
          <w:rFonts w:ascii="Cambria" w:hAnsi="Cambria" w:cs="Cambria"/>
          <w:color w:val="000000"/>
          <w:sz w:val="23"/>
          <w:szCs w:val="23"/>
        </w:rPr>
        <w:t>nd</w:t>
      </w:r>
      <w:proofErr w:type="spellEnd"/>
      <w:r w:rsidRPr="00157E8E">
        <w:rPr>
          <w:rFonts w:ascii="Cambria" w:hAnsi="Cambria" w:cs="Cambria"/>
          <w:color w:val="000000"/>
          <w:sz w:val="23"/>
          <w:szCs w:val="23"/>
        </w:rPr>
        <w:t xml:space="preserve"> notification in writing to applicant candidate – April 22. </w:t>
      </w:r>
    </w:p>
    <w:p w14:paraId="2F98EE5C" w14:textId="57952042" w:rsidR="00682758" w:rsidRPr="00157E8E" w:rsidRDefault="00682758" w:rsidP="00157E8E">
      <w:pPr>
        <w:pStyle w:val="ListParagraph"/>
        <w:numPr>
          <w:ilvl w:val="0"/>
          <w:numId w:val="26"/>
        </w:numPr>
        <w:autoSpaceDE w:val="0"/>
        <w:autoSpaceDN w:val="0"/>
        <w:adjustRightInd w:val="0"/>
        <w:spacing w:after="70"/>
        <w:rPr>
          <w:rFonts w:ascii="Cambria" w:hAnsi="Cambria" w:cs="Cambria"/>
          <w:color w:val="000000"/>
          <w:sz w:val="23"/>
          <w:szCs w:val="23"/>
        </w:rPr>
      </w:pPr>
      <w:r w:rsidRPr="00157E8E">
        <w:rPr>
          <w:rFonts w:ascii="Cambria" w:hAnsi="Cambria" w:cs="Cambria"/>
          <w:color w:val="000000"/>
          <w:sz w:val="23"/>
          <w:szCs w:val="23"/>
        </w:rPr>
        <w:t xml:space="preserve">Recommendations for promotion to president by provost – May 1. </w:t>
      </w:r>
    </w:p>
    <w:p w14:paraId="18FD1E10" w14:textId="49C2EB2C" w:rsidR="00682758" w:rsidRPr="00157E8E" w:rsidRDefault="00682758" w:rsidP="00157E8E">
      <w:pPr>
        <w:pStyle w:val="ListParagraph"/>
        <w:numPr>
          <w:ilvl w:val="0"/>
          <w:numId w:val="26"/>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lastRenderedPageBreak/>
        <w:t xml:space="preserve">Notification of promotion to candidate in writing by president – May 15. </w:t>
      </w:r>
    </w:p>
    <w:p w14:paraId="4176FFBD" w14:textId="77777777" w:rsidR="00682758" w:rsidRPr="00682758" w:rsidRDefault="00682758" w:rsidP="00682758">
      <w:pPr>
        <w:autoSpaceDE w:val="0"/>
        <w:autoSpaceDN w:val="0"/>
        <w:adjustRightInd w:val="0"/>
        <w:rPr>
          <w:rFonts w:ascii="Cambria" w:hAnsi="Cambria" w:cs="Cambria"/>
          <w:color w:val="000000"/>
          <w:sz w:val="23"/>
          <w:szCs w:val="23"/>
        </w:rPr>
      </w:pPr>
    </w:p>
    <w:p w14:paraId="0D3DCAC8" w14:textId="77777777" w:rsidR="00682758" w:rsidRPr="00682758" w:rsidRDefault="00682758" w:rsidP="00682758">
      <w:p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CRITERIA FOR CLINICAL FACULTY PROMOTION </w:t>
      </w:r>
    </w:p>
    <w:p w14:paraId="16991B52" w14:textId="1B1C84F3" w:rsidR="00682758" w:rsidRDefault="00682758" w:rsidP="00682758">
      <w:pPr>
        <w:autoSpaceDE w:val="0"/>
        <w:autoSpaceDN w:val="0"/>
        <w:adjustRightInd w:val="0"/>
        <w:rPr>
          <w:rFonts w:ascii="Cambria" w:hAnsi="Cambria" w:cs="Cambria"/>
          <w:color w:val="000000"/>
          <w:sz w:val="23"/>
          <w:szCs w:val="23"/>
        </w:rPr>
      </w:pPr>
      <w:r w:rsidRPr="00682758">
        <w:rPr>
          <w:rFonts w:ascii="Cambria" w:hAnsi="Cambria" w:cs="Cambria"/>
          <w:color w:val="000000"/>
          <w:sz w:val="23"/>
          <w:szCs w:val="23"/>
        </w:rPr>
        <w:t xml:space="preserve">Although no equations are offered to measure relative importance of the criteria for evaluation, it is clear that excellence in teaching, the primary consideration for promotion, derives from a dedication to clinical expertise, professional development and a concern for the integrity of the profession and the institution. Therefore, attention will be given to effective teaching and clinical expertise. The various departments, programs, schools, and colleges should provide guidance concerning the activities that are appropriate for faculty. </w:t>
      </w:r>
    </w:p>
    <w:p w14:paraId="3025241D" w14:textId="77777777" w:rsidR="00157E8E" w:rsidRPr="00682758" w:rsidRDefault="00157E8E" w:rsidP="00682758">
      <w:pPr>
        <w:autoSpaceDE w:val="0"/>
        <w:autoSpaceDN w:val="0"/>
        <w:adjustRightInd w:val="0"/>
        <w:rPr>
          <w:rFonts w:ascii="Cambria" w:hAnsi="Cambria" w:cs="Cambria"/>
          <w:color w:val="000000"/>
          <w:sz w:val="23"/>
          <w:szCs w:val="23"/>
        </w:rPr>
      </w:pPr>
    </w:p>
    <w:p w14:paraId="0AB9E944" w14:textId="04C328C3" w:rsidR="00682758" w:rsidRPr="00157E8E" w:rsidRDefault="00682758" w:rsidP="00157E8E">
      <w:pPr>
        <w:pStyle w:val="ListParagraph"/>
        <w:numPr>
          <w:ilvl w:val="0"/>
          <w:numId w:val="28"/>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Following are the CHHS Clinical Faculty Promotions Committee guidelines for using criteria to evaluate faculty promotion applications. The balance between the areas of teaching/advising and professional development is subject to professional peer evaluation within the following guidelines: </w:t>
      </w:r>
    </w:p>
    <w:p w14:paraId="19368C54" w14:textId="77777777" w:rsidR="00682758" w:rsidRPr="00682758" w:rsidRDefault="00682758" w:rsidP="00682758">
      <w:pPr>
        <w:autoSpaceDE w:val="0"/>
        <w:autoSpaceDN w:val="0"/>
        <w:adjustRightInd w:val="0"/>
        <w:rPr>
          <w:rFonts w:ascii="Cambria" w:hAnsi="Cambria" w:cs="Cambria"/>
          <w:color w:val="000000"/>
          <w:sz w:val="23"/>
          <w:szCs w:val="23"/>
        </w:rPr>
      </w:pPr>
    </w:p>
    <w:p w14:paraId="5CB235F3" w14:textId="1383571B" w:rsidR="00682758" w:rsidRPr="00157E8E" w:rsidRDefault="00682758" w:rsidP="00157E8E">
      <w:pPr>
        <w:pStyle w:val="ListParagraph"/>
        <w:numPr>
          <w:ilvl w:val="1"/>
          <w:numId w:val="22"/>
        </w:numPr>
        <w:autoSpaceDE w:val="0"/>
        <w:autoSpaceDN w:val="0"/>
        <w:adjustRightInd w:val="0"/>
        <w:ind w:left="1080"/>
        <w:rPr>
          <w:rFonts w:ascii="Cambria" w:hAnsi="Cambria" w:cs="Cambria"/>
          <w:color w:val="000000"/>
          <w:sz w:val="23"/>
          <w:szCs w:val="23"/>
        </w:rPr>
      </w:pPr>
      <w:r w:rsidRPr="00157E8E">
        <w:rPr>
          <w:rFonts w:ascii="Cambria" w:hAnsi="Cambria" w:cs="Cambria"/>
          <w:color w:val="000000"/>
          <w:sz w:val="23"/>
          <w:szCs w:val="23"/>
        </w:rPr>
        <w:t xml:space="preserve">Teaching is the primary criterion for consideration. Clinical Assistant Professors are expected to be effective teachers; clinical associate and full professors are expected to be excellent teachers. </w:t>
      </w:r>
    </w:p>
    <w:p w14:paraId="3BCC9766" w14:textId="77777777" w:rsidR="00682758" w:rsidRPr="00682758" w:rsidRDefault="00682758" w:rsidP="00157E8E">
      <w:pPr>
        <w:autoSpaceDE w:val="0"/>
        <w:autoSpaceDN w:val="0"/>
        <w:adjustRightInd w:val="0"/>
        <w:ind w:left="1080"/>
        <w:rPr>
          <w:rFonts w:ascii="Cambria" w:hAnsi="Cambria" w:cs="Cambria"/>
          <w:color w:val="000000"/>
          <w:sz w:val="23"/>
          <w:szCs w:val="23"/>
        </w:rPr>
      </w:pPr>
    </w:p>
    <w:p w14:paraId="32D90204" w14:textId="04077DAB" w:rsidR="00682758" w:rsidRPr="00157E8E" w:rsidRDefault="00682758" w:rsidP="00157E8E">
      <w:pPr>
        <w:pStyle w:val="ListParagraph"/>
        <w:numPr>
          <w:ilvl w:val="1"/>
          <w:numId w:val="22"/>
        </w:numPr>
        <w:autoSpaceDE w:val="0"/>
        <w:autoSpaceDN w:val="0"/>
        <w:adjustRightInd w:val="0"/>
        <w:ind w:left="1080"/>
        <w:rPr>
          <w:rFonts w:ascii="Cambria" w:hAnsi="Cambria" w:cs="Cambria"/>
          <w:color w:val="000000"/>
          <w:sz w:val="23"/>
          <w:szCs w:val="23"/>
        </w:rPr>
      </w:pPr>
      <w:r w:rsidRPr="00157E8E">
        <w:rPr>
          <w:rFonts w:ascii="Cambria" w:hAnsi="Cambria" w:cs="Cambria"/>
          <w:color w:val="000000"/>
          <w:sz w:val="23"/>
          <w:szCs w:val="23"/>
        </w:rPr>
        <w:t xml:space="preserve">Evidence of clinical expertise with a focus on professional development activities that have enhanced the candidate’s qualifications as a teacher and scholar. This includes maintenance of required licenses and/or certifications or acquisition of new professional credentials. </w:t>
      </w:r>
    </w:p>
    <w:p w14:paraId="4A2F24C0" w14:textId="77777777" w:rsidR="00682758" w:rsidRPr="00682758" w:rsidRDefault="00682758" w:rsidP="00682758">
      <w:pPr>
        <w:autoSpaceDE w:val="0"/>
        <w:autoSpaceDN w:val="0"/>
        <w:adjustRightInd w:val="0"/>
        <w:rPr>
          <w:rFonts w:ascii="Cambria" w:hAnsi="Cambria" w:cs="Cambria"/>
          <w:color w:val="000000"/>
          <w:sz w:val="23"/>
          <w:szCs w:val="23"/>
        </w:rPr>
      </w:pPr>
    </w:p>
    <w:p w14:paraId="0FE9543A" w14:textId="51F9BC74" w:rsidR="00682758" w:rsidRPr="00157E8E" w:rsidRDefault="00682758" w:rsidP="00157E8E">
      <w:pPr>
        <w:pStyle w:val="ListParagraph"/>
        <w:numPr>
          <w:ilvl w:val="0"/>
          <w:numId w:val="22"/>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Individuals seeking promotion to the clinical assistant or clinical associate professor rank should not be required to provide evidence of excellence in any category. However, those seeking promotion to the rank of clinical full professor should be excellent in clinical expertise and teaching. For schools in which service and/or additional contributions are a requirement, those seeking promotion to clinical full professor should be excellent in those categories as well. Additionally, it should be understood that for promotion to any rank an individual need not provide evidence of excellent performance in all categories for each year. </w:t>
      </w:r>
    </w:p>
    <w:p w14:paraId="0550FEF4" w14:textId="77777777" w:rsidR="00682758" w:rsidRPr="00682758" w:rsidRDefault="00682758" w:rsidP="00682758">
      <w:pPr>
        <w:autoSpaceDE w:val="0"/>
        <w:autoSpaceDN w:val="0"/>
        <w:adjustRightInd w:val="0"/>
        <w:rPr>
          <w:rFonts w:ascii="Cambria" w:hAnsi="Cambria" w:cs="Cambria"/>
          <w:color w:val="000000"/>
          <w:sz w:val="23"/>
          <w:szCs w:val="23"/>
        </w:rPr>
      </w:pPr>
    </w:p>
    <w:p w14:paraId="0F518DDE" w14:textId="466E51B7" w:rsidR="00682758" w:rsidRPr="00157E8E" w:rsidRDefault="00682758" w:rsidP="00157E8E">
      <w:pPr>
        <w:pStyle w:val="ListParagraph"/>
        <w:numPr>
          <w:ilvl w:val="0"/>
          <w:numId w:val="22"/>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As faculty members rise in clinical faculty rank, they will achieve wider recognition, enhanced portfolio, and the quality of professional activities expected will increase. </w:t>
      </w:r>
    </w:p>
    <w:p w14:paraId="46BC2C1B" w14:textId="77777777" w:rsidR="00682758" w:rsidRPr="00682758" w:rsidRDefault="00682758" w:rsidP="00682758">
      <w:pPr>
        <w:autoSpaceDE w:val="0"/>
        <w:autoSpaceDN w:val="0"/>
        <w:adjustRightInd w:val="0"/>
        <w:rPr>
          <w:rFonts w:ascii="Cambria" w:hAnsi="Cambria" w:cs="Cambria"/>
          <w:color w:val="000000"/>
          <w:sz w:val="23"/>
          <w:szCs w:val="23"/>
        </w:rPr>
      </w:pPr>
    </w:p>
    <w:p w14:paraId="0FA3EC1A" w14:textId="237BFA3D" w:rsidR="00682758" w:rsidRPr="00157E8E" w:rsidRDefault="00682758" w:rsidP="00BF44DB">
      <w:pPr>
        <w:pStyle w:val="ListParagraph"/>
        <w:numPr>
          <w:ilvl w:val="1"/>
          <w:numId w:val="22"/>
        </w:numPr>
        <w:autoSpaceDE w:val="0"/>
        <w:autoSpaceDN w:val="0"/>
        <w:adjustRightInd w:val="0"/>
        <w:ind w:left="1080"/>
        <w:rPr>
          <w:rFonts w:ascii="Cambria" w:hAnsi="Cambria" w:cs="Cambria"/>
          <w:color w:val="000000"/>
          <w:sz w:val="23"/>
          <w:szCs w:val="23"/>
        </w:rPr>
      </w:pPr>
      <w:r w:rsidRPr="00157E8E">
        <w:rPr>
          <w:rFonts w:ascii="Cambria" w:hAnsi="Cambria" w:cs="Cambria"/>
          <w:color w:val="000000"/>
          <w:sz w:val="23"/>
          <w:szCs w:val="23"/>
        </w:rPr>
        <w:t xml:space="preserve">Teaching: Of primary importance to any faculty member recommended for promotion is the demonstration of and the reputation for exceptional teaching. It is the responsibility of the candidate for promotion to demonstrate and produce support of this teaching expertise. That support may take the form of self-evaluation, peer evaluation, student evaluation, and any other recognized evaluative measures which the candidate or the department selects, such as syllabi of new courses, samples of student work, and descriptions of innovative and creative classroom activities. Other factors will be considered, but promotion will not be granted without evidence of successful teaching. Good teaching is the primary goal for faculty at Salisbury University. Good teaching implies the need for constant striving to improve and continual efforts to teach more effectively than previously. Good teaching includes fresh approaches to a course, innovations, creativity, </w:t>
      </w:r>
      <w:r w:rsidRPr="00157E8E">
        <w:rPr>
          <w:rFonts w:ascii="Cambria" w:hAnsi="Cambria" w:cs="Cambria"/>
          <w:color w:val="000000"/>
          <w:sz w:val="23"/>
          <w:szCs w:val="23"/>
        </w:rPr>
        <w:lastRenderedPageBreak/>
        <w:t xml:space="preserve">designing productive experiments and field experiences, and eliciting creative work from students, and engaged pedagogy. Growth in teaching is demonstrated by specific activities such as creating new courses, revising curriculum and earning teaching awards because of improved teaching. </w:t>
      </w:r>
      <w:r w:rsidR="00157E8E">
        <w:rPr>
          <w:rFonts w:ascii="Cambria" w:hAnsi="Cambria" w:cs="Cambria"/>
          <w:color w:val="000000"/>
          <w:sz w:val="23"/>
          <w:szCs w:val="23"/>
        </w:rPr>
        <w:br/>
      </w:r>
      <w:r w:rsidR="00157E8E">
        <w:rPr>
          <w:rFonts w:ascii="Cambria" w:hAnsi="Cambria" w:cs="Cambria"/>
          <w:color w:val="000000"/>
          <w:sz w:val="23"/>
          <w:szCs w:val="23"/>
        </w:rPr>
        <w:br/>
      </w:r>
      <w:r w:rsidRPr="00157E8E">
        <w:rPr>
          <w:rFonts w:ascii="Cambria" w:hAnsi="Cambria" w:cs="Cambria"/>
          <w:color w:val="000000"/>
          <w:sz w:val="23"/>
          <w:szCs w:val="23"/>
        </w:rPr>
        <w:t xml:space="preserve">Clinical expertise is defined as an area of specialization in knowledge and/or skills in which an individual develops a recognized level of know-how. The University expects clinical faculty to be professionally active as evidenced by contributions in their professional area(s) of specialization and by participation in the activities of academic and external communities. Candidates will not be considered for promotion if they have not engaged in sufficient activity to maintain required licenses and/or certifications. </w:t>
      </w:r>
    </w:p>
    <w:p w14:paraId="1EA56CE7" w14:textId="77777777" w:rsidR="00682758" w:rsidRPr="00682758" w:rsidRDefault="00682758" w:rsidP="00157E8E">
      <w:pPr>
        <w:autoSpaceDE w:val="0"/>
        <w:autoSpaceDN w:val="0"/>
        <w:adjustRightInd w:val="0"/>
        <w:ind w:left="1080"/>
        <w:rPr>
          <w:rFonts w:ascii="Cambria" w:hAnsi="Cambria" w:cs="Cambria"/>
          <w:color w:val="000000"/>
          <w:sz w:val="23"/>
          <w:szCs w:val="23"/>
        </w:rPr>
      </w:pPr>
    </w:p>
    <w:p w14:paraId="4B4F8A06" w14:textId="71FB138C" w:rsidR="00682758" w:rsidRPr="00157E8E" w:rsidRDefault="00682758" w:rsidP="00157E8E">
      <w:pPr>
        <w:pStyle w:val="ListParagraph"/>
        <w:numPr>
          <w:ilvl w:val="1"/>
          <w:numId w:val="22"/>
        </w:numPr>
        <w:autoSpaceDE w:val="0"/>
        <w:autoSpaceDN w:val="0"/>
        <w:adjustRightInd w:val="0"/>
        <w:ind w:left="1080"/>
        <w:rPr>
          <w:rFonts w:ascii="Cambria" w:hAnsi="Cambria" w:cs="Cambria"/>
          <w:color w:val="000000"/>
          <w:sz w:val="23"/>
          <w:szCs w:val="23"/>
        </w:rPr>
      </w:pPr>
      <w:r w:rsidRPr="00157E8E">
        <w:rPr>
          <w:rFonts w:ascii="Cambria" w:hAnsi="Cambria" w:cs="Cambria"/>
          <w:color w:val="000000"/>
          <w:sz w:val="23"/>
          <w:szCs w:val="23"/>
        </w:rPr>
        <w:t xml:space="preserve">Statement of Additional Contributions. This is an opportunity for faculty who have responsibilities and duties related or in addition to teaching, including advising or mentoring or additional administrative duties which are part of their job expectations but outside the realm of full-time teaching, to describe those responsibilities and provide evidence as to their effectiveness in these additional roles. Optional for clinical faculty with no contractual obligations accompanying credit release. </w:t>
      </w:r>
    </w:p>
    <w:p w14:paraId="456ED32F" w14:textId="77777777" w:rsidR="00682758" w:rsidRPr="00682758" w:rsidRDefault="00682758" w:rsidP="00157E8E">
      <w:pPr>
        <w:autoSpaceDE w:val="0"/>
        <w:autoSpaceDN w:val="0"/>
        <w:adjustRightInd w:val="0"/>
        <w:ind w:left="1080"/>
        <w:rPr>
          <w:rFonts w:ascii="Cambria" w:hAnsi="Cambria" w:cs="Cambria"/>
          <w:color w:val="000000"/>
          <w:sz w:val="23"/>
          <w:szCs w:val="23"/>
        </w:rPr>
      </w:pPr>
    </w:p>
    <w:p w14:paraId="2706CD73" w14:textId="19EC821F" w:rsidR="00682758" w:rsidRPr="00157E8E" w:rsidRDefault="00682758" w:rsidP="00157E8E">
      <w:pPr>
        <w:pStyle w:val="ListParagraph"/>
        <w:numPr>
          <w:ilvl w:val="1"/>
          <w:numId w:val="22"/>
        </w:numPr>
        <w:autoSpaceDE w:val="0"/>
        <w:autoSpaceDN w:val="0"/>
        <w:adjustRightInd w:val="0"/>
        <w:ind w:left="1080"/>
        <w:rPr>
          <w:rFonts w:ascii="Cambria" w:hAnsi="Cambria" w:cs="Cambria"/>
          <w:color w:val="000000"/>
          <w:sz w:val="23"/>
          <w:szCs w:val="23"/>
        </w:rPr>
      </w:pPr>
      <w:r w:rsidRPr="00157E8E">
        <w:rPr>
          <w:rFonts w:ascii="Cambria" w:hAnsi="Cambria" w:cs="Cambria"/>
          <w:color w:val="000000"/>
          <w:sz w:val="23"/>
          <w:szCs w:val="23"/>
        </w:rPr>
        <w:t xml:space="preserve">Statement of Evidence of Service: If service is a requirement of your school, those seeking promotion will detail the service contributions to the unit, college, university, and/or community. Service can include voluntary administrative duties, committee responsibilities, supporting student programs/activities, service participation to the professional organizations, and participation in external community activities. </w:t>
      </w:r>
    </w:p>
    <w:p w14:paraId="4B04858D" w14:textId="77777777" w:rsidR="00682758" w:rsidRPr="00682758" w:rsidRDefault="00682758" w:rsidP="00682758">
      <w:pPr>
        <w:autoSpaceDE w:val="0"/>
        <w:autoSpaceDN w:val="0"/>
        <w:adjustRightInd w:val="0"/>
        <w:rPr>
          <w:rFonts w:ascii="Cambria" w:hAnsi="Cambria" w:cs="Cambria"/>
          <w:color w:val="000000"/>
          <w:sz w:val="23"/>
          <w:szCs w:val="23"/>
        </w:rPr>
      </w:pPr>
    </w:p>
    <w:p w14:paraId="72D9AE42" w14:textId="7467CB39" w:rsidR="00157E8E" w:rsidRPr="00682758" w:rsidRDefault="00157E8E" w:rsidP="00157E8E">
      <w:pPr>
        <w:autoSpaceDE w:val="0"/>
        <w:autoSpaceDN w:val="0"/>
        <w:adjustRightInd w:val="0"/>
        <w:jc w:val="center"/>
        <w:rPr>
          <w:rFonts w:ascii="Cambria" w:hAnsi="Cambria" w:cs="Cambria"/>
          <w:color w:val="000000"/>
          <w:sz w:val="23"/>
          <w:szCs w:val="23"/>
        </w:rPr>
      </w:pPr>
      <w:r>
        <w:rPr>
          <w:noProof/>
        </w:rPr>
        <w:lastRenderedPageBreak/>
        <w:drawing>
          <wp:inline distT="0" distB="0" distL="0" distR="0" wp14:anchorId="4CEC3155" wp14:editId="1C2D6BD0">
            <wp:extent cx="4743450" cy="5010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743450" cy="5010150"/>
                    </a:xfrm>
                    <a:prstGeom prst="rect">
                      <a:avLst/>
                    </a:prstGeom>
                  </pic:spPr>
                </pic:pic>
              </a:graphicData>
            </a:graphic>
          </wp:inline>
        </w:drawing>
      </w:r>
    </w:p>
    <w:p w14:paraId="7C135C88" w14:textId="77777777" w:rsidR="00157E8E" w:rsidRDefault="00157E8E" w:rsidP="00682758">
      <w:pPr>
        <w:autoSpaceDE w:val="0"/>
        <w:autoSpaceDN w:val="0"/>
        <w:adjustRightInd w:val="0"/>
        <w:rPr>
          <w:rFonts w:ascii="Cambria" w:hAnsi="Cambria" w:cs="Cambria"/>
          <w:b/>
          <w:bCs/>
          <w:color w:val="000000"/>
          <w:sz w:val="23"/>
          <w:szCs w:val="23"/>
        </w:rPr>
      </w:pPr>
    </w:p>
    <w:p w14:paraId="7A142C25" w14:textId="158DCD8D" w:rsidR="00682758" w:rsidRPr="00682758" w:rsidRDefault="00682758" w:rsidP="00682758">
      <w:pPr>
        <w:autoSpaceDE w:val="0"/>
        <w:autoSpaceDN w:val="0"/>
        <w:adjustRightInd w:val="0"/>
        <w:rPr>
          <w:rFonts w:ascii="Cambria" w:hAnsi="Cambria" w:cs="Cambria"/>
          <w:color w:val="000000"/>
          <w:sz w:val="23"/>
          <w:szCs w:val="23"/>
        </w:rPr>
      </w:pPr>
      <w:r w:rsidRPr="00682758">
        <w:rPr>
          <w:rFonts w:ascii="Cambria" w:hAnsi="Cambria" w:cs="Cambria"/>
          <w:b/>
          <w:bCs/>
          <w:color w:val="000000"/>
          <w:sz w:val="23"/>
          <w:szCs w:val="23"/>
        </w:rPr>
        <w:t xml:space="preserve">Checklist of Required Material for Clinical Faculty Promotion </w:t>
      </w:r>
    </w:p>
    <w:p w14:paraId="72EE6F4A" w14:textId="2A0C1732"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Curriculum Vita </w:t>
      </w:r>
    </w:p>
    <w:p w14:paraId="403060CB" w14:textId="1AD5BD97"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Written statement of eligibility from the Office of Academic Affairs </w:t>
      </w:r>
    </w:p>
    <w:p w14:paraId="1AFE2FC7" w14:textId="6A69C5D1"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Job Description </w:t>
      </w:r>
    </w:p>
    <w:p w14:paraId="247BAB94" w14:textId="303C9FD4"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Application for Promotion: A 2-3-page introduction and overview with special attention paid to specific qualifications for promotions based on activities and development within the areas of teaching and clinical expertise. </w:t>
      </w:r>
    </w:p>
    <w:p w14:paraId="37720EC7" w14:textId="09DA1AC4"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Annual Chair’s Evaluation with self-evaluations appended for the last four years </w:t>
      </w:r>
    </w:p>
    <w:p w14:paraId="2DADC31C" w14:textId="36A1631F"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Letters of Support that reflect effective teaching and clinical expertise. </w:t>
      </w:r>
      <w:r w:rsidRPr="00157E8E">
        <w:rPr>
          <w:rFonts w:ascii="Cambria" w:hAnsi="Cambria" w:cs="Cambria"/>
          <w:i/>
          <w:iCs/>
          <w:color w:val="000000"/>
          <w:sz w:val="23"/>
          <w:szCs w:val="23"/>
        </w:rPr>
        <w:t xml:space="preserve">(maximum of five) </w:t>
      </w:r>
    </w:p>
    <w:p w14:paraId="7E22C257" w14:textId="063E4728"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Summary of Evidence of Effective Teaching: This is an opportunity for the candidate to describe teaching methodology, innovations, improvements, successes, and failures as well as curricular and program developments and revisions. </w:t>
      </w:r>
    </w:p>
    <w:p w14:paraId="16867427" w14:textId="647E3940"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Supporting Evidence of Effective Teaching: The evidence might come in many forms but must at least include a) Some course materials developed by the applicant, including a syllabus, b) Clear and understandable summaries and analyses of student evaluations for the last four years, c) All student evaluations for the previous teaching semester, and </w:t>
      </w:r>
      <w:r w:rsidRPr="00157E8E">
        <w:rPr>
          <w:rFonts w:ascii="Cambria" w:hAnsi="Cambria" w:cs="Cambria"/>
          <w:color w:val="000000"/>
          <w:sz w:val="23"/>
          <w:szCs w:val="23"/>
        </w:rPr>
        <w:lastRenderedPageBreak/>
        <w:t xml:space="preserve">d) Peer evaluations. A brief description of the evaluation process—when it occurred, under what circumstances, etc.—would also be helpful. </w:t>
      </w:r>
    </w:p>
    <w:p w14:paraId="3F22A90D" w14:textId="6971EC9A"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Summary and Evidence of Clinical Expertise and Professional Development. The candidate should summarize professional development activities. The candidate should focus special attention on the three most significant accomplishments since the applicant’s last promotion and the ways in which those activities enhance the candidate’s qualifications as a teacher and scholar. In addition, the candidate should include service activities related to their clinical expertise and/or profession. </w:t>
      </w:r>
    </w:p>
    <w:p w14:paraId="2FBC29FF" w14:textId="5E6B76C8"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Statement of Additional Contributions. (</w:t>
      </w:r>
      <w:r w:rsidRPr="00157E8E">
        <w:rPr>
          <w:rFonts w:ascii="Cambria" w:hAnsi="Cambria" w:cs="Cambria"/>
          <w:i/>
          <w:iCs/>
          <w:color w:val="000000"/>
          <w:sz w:val="23"/>
          <w:szCs w:val="23"/>
        </w:rPr>
        <w:t xml:space="preserve">Optional for clinical faculty with no contractual obligations accompanying credit release.) </w:t>
      </w:r>
      <w:r w:rsidRPr="00157E8E">
        <w:rPr>
          <w:rFonts w:ascii="Cambria" w:hAnsi="Cambria" w:cs="Cambria"/>
          <w:color w:val="000000"/>
          <w:sz w:val="23"/>
          <w:szCs w:val="23"/>
        </w:rPr>
        <w:t xml:space="preserve">This is an opportunity for the candidate who has responsibilities and duties related or in addition to teaching, including advising or mentoring or additional administrative duties which are part of their job expectations but outside the realm of full-time teaching, to describe those responsibilities and provide evidence as to their effectiveness in these additional roles. </w:t>
      </w:r>
    </w:p>
    <w:p w14:paraId="60A3E00B" w14:textId="6BC99DB4" w:rsidR="00682758" w:rsidRPr="00157E8E" w:rsidRDefault="00682758" w:rsidP="00157E8E">
      <w:pPr>
        <w:pStyle w:val="ListParagraph"/>
        <w:numPr>
          <w:ilvl w:val="0"/>
          <w:numId w:val="30"/>
        </w:numPr>
        <w:autoSpaceDE w:val="0"/>
        <w:autoSpaceDN w:val="0"/>
        <w:adjustRightInd w:val="0"/>
        <w:spacing w:after="73"/>
        <w:rPr>
          <w:rFonts w:ascii="Cambria" w:hAnsi="Cambria" w:cs="Cambria"/>
          <w:color w:val="000000"/>
          <w:sz w:val="23"/>
          <w:szCs w:val="23"/>
        </w:rPr>
      </w:pPr>
      <w:r w:rsidRPr="00157E8E">
        <w:rPr>
          <w:rFonts w:ascii="Cambria" w:hAnsi="Cambria" w:cs="Cambria"/>
          <w:color w:val="000000"/>
          <w:sz w:val="23"/>
          <w:szCs w:val="23"/>
        </w:rPr>
        <w:t xml:space="preserve">Statement of Evidence of Service. The candidate should summarize service to the department, school, college, university, and community if required by the unit. </w:t>
      </w:r>
    </w:p>
    <w:p w14:paraId="09D6FFFC" w14:textId="72A475E3" w:rsidR="00682758" w:rsidRPr="00157E8E" w:rsidRDefault="00682758" w:rsidP="00157E8E">
      <w:pPr>
        <w:pStyle w:val="ListParagraph"/>
        <w:numPr>
          <w:ilvl w:val="0"/>
          <w:numId w:val="30"/>
        </w:numPr>
        <w:autoSpaceDE w:val="0"/>
        <w:autoSpaceDN w:val="0"/>
        <w:adjustRightInd w:val="0"/>
        <w:rPr>
          <w:rFonts w:ascii="Cambria" w:hAnsi="Cambria" w:cs="Cambria"/>
          <w:color w:val="000000"/>
          <w:sz w:val="23"/>
          <w:szCs w:val="23"/>
        </w:rPr>
      </w:pPr>
      <w:r w:rsidRPr="00157E8E">
        <w:rPr>
          <w:rFonts w:ascii="Cambria" w:hAnsi="Cambria" w:cs="Cambria"/>
          <w:color w:val="000000"/>
          <w:sz w:val="23"/>
          <w:szCs w:val="23"/>
        </w:rPr>
        <w:t xml:space="preserve">Addend. </w:t>
      </w:r>
      <w:r w:rsidRPr="00157E8E">
        <w:rPr>
          <w:rFonts w:ascii="Cambria" w:hAnsi="Cambria" w:cs="Cambria"/>
          <w:i/>
          <w:iCs/>
          <w:color w:val="000000"/>
          <w:sz w:val="23"/>
          <w:szCs w:val="23"/>
        </w:rPr>
        <w:t xml:space="preserve">(Optional) </w:t>
      </w:r>
      <w:r w:rsidRPr="00157E8E">
        <w:rPr>
          <w:rFonts w:ascii="Cambria" w:hAnsi="Cambria" w:cs="Cambria"/>
          <w:color w:val="000000"/>
          <w:sz w:val="23"/>
          <w:szCs w:val="23"/>
        </w:rPr>
        <w:t xml:space="preserve">The candidate may elect to include additional pertinent information, which falls outside the categories identified above. </w:t>
      </w:r>
    </w:p>
    <w:p w14:paraId="66FDAA2C" w14:textId="2C764A74" w:rsidR="00D442F3" w:rsidRDefault="00D442F3" w:rsidP="00D442F3">
      <w:pPr>
        <w:jc w:val="center"/>
      </w:pPr>
    </w:p>
    <w:p w14:paraId="43025EFB" w14:textId="77777777" w:rsidR="00267B98" w:rsidRDefault="00D442F3">
      <w:pPr>
        <w:sectPr w:rsidR="00267B98">
          <w:headerReference w:type="default" r:id="rId10"/>
          <w:pgSz w:w="12240" w:h="15840"/>
          <w:pgMar w:top="1440" w:right="1440" w:bottom="1440" w:left="1440" w:header="720" w:footer="720" w:gutter="0"/>
          <w:cols w:space="720"/>
          <w:docGrid w:linePitch="360"/>
        </w:sectPr>
      </w:pPr>
      <w:r>
        <w:br w:type="page"/>
      </w:r>
    </w:p>
    <w:p w14:paraId="0BE8B3F6" w14:textId="27F9BBC8" w:rsidR="00D442F3" w:rsidRDefault="00D442F3" w:rsidP="00D442F3">
      <w:pPr>
        <w:jc w:val="center"/>
      </w:pPr>
      <w:r>
        <w:t>APPENDIX 7</w:t>
      </w:r>
    </w:p>
    <w:p w14:paraId="32A5A15A" w14:textId="172BCE4B" w:rsidR="00267B98" w:rsidRDefault="00267B98" w:rsidP="00D442F3">
      <w:pPr>
        <w:jc w:val="center"/>
      </w:pPr>
    </w:p>
    <w:tbl>
      <w:tblPr>
        <w:tblW w:w="15126" w:type="dxa"/>
        <w:tblLook w:val="04A0" w:firstRow="1" w:lastRow="0" w:firstColumn="1" w:lastColumn="0" w:noHBand="0" w:noVBand="1"/>
      </w:tblPr>
      <w:tblGrid>
        <w:gridCol w:w="3136"/>
        <w:gridCol w:w="3776"/>
        <w:gridCol w:w="1376"/>
        <w:gridCol w:w="1051"/>
        <w:gridCol w:w="1256"/>
        <w:gridCol w:w="978"/>
        <w:gridCol w:w="1196"/>
        <w:gridCol w:w="1484"/>
        <w:gridCol w:w="1196"/>
      </w:tblGrid>
      <w:tr w:rsidR="00596C0D" w:rsidRPr="00596C0D" w14:paraId="2B479CE5" w14:textId="77777777" w:rsidTr="00596C0D">
        <w:trPr>
          <w:trHeight w:val="375"/>
        </w:trPr>
        <w:tc>
          <w:tcPr>
            <w:tcW w:w="3136" w:type="dxa"/>
            <w:tcBorders>
              <w:top w:val="nil"/>
              <w:left w:val="nil"/>
              <w:bottom w:val="nil"/>
              <w:right w:val="nil"/>
            </w:tcBorders>
            <w:shd w:val="clear" w:color="auto" w:fill="auto"/>
            <w:noWrap/>
            <w:vAlign w:val="bottom"/>
            <w:hideMark/>
          </w:tcPr>
          <w:p w14:paraId="7E03DF69" w14:textId="77777777" w:rsidR="00596C0D" w:rsidRPr="00596C0D" w:rsidRDefault="00596C0D" w:rsidP="00596C0D">
            <w:pPr>
              <w:rPr>
                <w:rFonts w:ascii="Calibri" w:eastAsia="Times New Roman" w:hAnsi="Calibri" w:cs="Calibri"/>
                <w:color w:val="000000"/>
                <w:sz w:val="28"/>
                <w:szCs w:val="28"/>
              </w:rPr>
            </w:pPr>
            <w:proofErr w:type="spellStart"/>
            <w:r w:rsidRPr="00596C0D">
              <w:rPr>
                <w:rFonts w:ascii="Calibri" w:eastAsia="Times New Roman" w:hAnsi="Calibri" w:cs="Calibri"/>
                <w:color w:val="000000"/>
                <w:sz w:val="28"/>
                <w:szCs w:val="28"/>
              </w:rPr>
              <w:t>GenEd</w:t>
            </w:r>
            <w:proofErr w:type="spellEnd"/>
            <w:r w:rsidRPr="00596C0D">
              <w:rPr>
                <w:rFonts w:ascii="Calibri" w:eastAsia="Times New Roman" w:hAnsi="Calibri" w:cs="Calibri"/>
                <w:color w:val="000000"/>
                <w:sz w:val="28"/>
                <w:szCs w:val="28"/>
              </w:rPr>
              <w:t xml:space="preserve"> Demand Scenarios</w:t>
            </w:r>
          </w:p>
        </w:tc>
        <w:tc>
          <w:tcPr>
            <w:tcW w:w="3776" w:type="dxa"/>
            <w:tcBorders>
              <w:top w:val="nil"/>
              <w:left w:val="nil"/>
              <w:bottom w:val="nil"/>
              <w:right w:val="nil"/>
            </w:tcBorders>
            <w:shd w:val="clear" w:color="auto" w:fill="auto"/>
            <w:noWrap/>
            <w:vAlign w:val="bottom"/>
            <w:hideMark/>
          </w:tcPr>
          <w:p w14:paraId="759ECC88" w14:textId="77777777" w:rsidR="00596C0D" w:rsidRPr="00596C0D" w:rsidRDefault="00596C0D" w:rsidP="00596C0D">
            <w:pPr>
              <w:rPr>
                <w:rFonts w:ascii="Calibri" w:eastAsia="Times New Roman" w:hAnsi="Calibri" w:cs="Calibri"/>
                <w:color w:val="000000"/>
                <w:sz w:val="28"/>
                <w:szCs w:val="28"/>
              </w:rPr>
            </w:pPr>
          </w:p>
        </w:tc>
        <w:tc>
          <w:tcPr>
            <w:tcW w:w="1376" w:type="dxa"/>
            <w:tcBorders>
              <w:top w:val="nil"/>
              <w:left w:val="nil"/>
              <w:bottom w:val="nil"/>
              <w:right w:val="nil"/>
            </w:tcBorders>
            <w:shd w:val="clear" w:color="auto" w:fill="auto"/>
            <w:noWrap/>
            <w:vAlign w:val="bottom"/>
            <w:hideMark/>
          </w:tcPr>
          <w:p w14:paraId="68197451"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33902B75" w14:textId="77777777" w:rsidR="00596C0D" w:rsidRPr="00596C0D" w:rsidRDefault="00596C0D" w:rsidP="00596C0D">
            <w:pPr>
              <w:rPr>
                <w:rFonts w:eastAsia="Times New Roman" w:cs="Times New Roman"/>
                <w:sz w:val="20"/>
                <w:szCs w:val="20"/>
              </w:rPr>
            </w:pPr>
          </w:p>
        </w:tc>
        <w:tc>
          <w:tcPr>
            <w:tcW w:w="1256" w:type="dxa"/>
            <w:tcBorders>
              <w:top w:val="nil"/>
              <w:left w:val="nil"/>
              <w:bottom w:val="nil"/>
              <w:right w:val="nil"/>
            </w:tcBorders>
            <w:shd w:val="clear" w:color="auto" w:fill="auto"/>
            <w:noWrap/>
            <w:vAlign w:val="bottom"/>
            <w:hideMark/>
          </w:tcPr>
          <w:p w14:paraId="3CDFEDCA"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75B22064"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4D919D81" w14:textId="77777777" w:rsidR="00596C0D" w:rsidRPr="00596C0D" w:rsidRDefault="00596C0D" w:rsidP="00596C0D">
            <w:pPr>
              <w:rPr>
                <w:rFonts w:eastAsia="Times New Roman" w:cs="Times New Roman"/>
                <w:sz w:val="20"/>
                <w:szCs w:val="20"/>
              </w:rPr>
            </w:pPr>
          </w:p>
        </w:tc>
        <w:tc>
          <w:tcPr>
            <w:tcW w:w="1278" w:type="dxa"/>
            <w:tcBorders>
              <w:top w:val="nil"/>
              <w:left w:val="nil"/>
              <w:bottom w:val="nil"/>
              <w:right w:val="nil"/>
            </w:tcBorders>
            <w:shd w:val="clear" w:color="auto" w:fill="auto"/>
            <w:noWrap/>
            <w:vAlign w:val="bottom"/>
            <w:hideMark/>
          </w:tcPr>
          <w:p w14:paraId="66543D65"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48C43C3C" w14:textId="77777777" w:rsidR="00596C0D" w:rsidRPr="00596C0D" w:rsidRDefault="00596C0D" w:rsidP="00596C0D">
            <w:pPr>
              <w:rPr>
                <w:rFonts w:eastAsia="Times New Roman" w:cs="Times New Roman"/>
                <w:sz w:val="20"/>
                <w:szCs w:val="20"/>
              </w:rPr>
            </w:pPr>
          </w:p>
        </w:tc>
      </w:tr>
      <w:tr w:rsidR="00596C0D" w:rsidRPr="00596C0D" w14:paraId="42218B64" w14:textId="77777777" w:rsidTr="00596C0D">
        <w:trPr>
          <w:trHeight w:val="300"/>
        </w:trPr>
        <w:tc>
          <w:tcPr>
            <w:tcW w:w="6912" w:type="dxa"/>
            <w:gridSpan w:val="2"/>
            <w:tcBorders>
              <w:top w:val="nil"/>
              <w:left w:val="nil"/>
              <w:bottom w:val="nil"/>
              <w:right w:val="nil"/>
            </w:tcBorders>
            <w:shd w:val="clear" w:color="auto" w:fill="auto"/>
            <w:noWrap/>
            <w:vAlign w:val="bottom"/>
            <w:hideMark/>
          </w:tcPr>
          <w:p w14:paraId="755AC186" w14:textId="77777777" w:rsidR="00596C0D" w:rsidRPr="00596C0D" w:rsidRDefault="00596C0D" w:rsidP="00596C0D">
            <w:pPr>
              <w:rPr>
                <w:rFonts w:ascii="Calibri" w:eastAsia="Times New Roman" w:hAnsi="Calibri" w:cs="Calibri"/>
                <w:color w:val="000000"/>
                <w:sz w:val="28"/>
                <w:szCs w:val="28"/>
              </w:rPr>
            </w:pPr>
            <w:r w:rsidRPr="00596C0D">
              <w:rPr>
                <w:rFonts w:ascii="Calibri" w:eastAsia="Times New Roman" w:hAnsi="Calibri" w:cs="Calibri"/>
                <w:color w:val="000000"/>
                <w:sz w:val="28"/>
                <w:szCs w:val="28"/>
              </w:rPr>
              <w:t>Current (Distributional) Model</w:t>
            </w:r>
          </w:p>
        </w:tc>
        <w:tc>
          <w:tcPr>
            <w:tcW w:w="1376" w:type="dxa"/>
            <w:tcBorders>
              <w:top w:val="nil"/>
              <w:left w:val="nil"/>
              <w:bottom w:val="nil"/>
              <w:right w:val="nil"/>
            </w:tcBorders>
            <w:shd w:val="clear" w:color="auto" w:fill="auto"/>
            <w:noWrap/>
            <w:vAlign w:val="bottom"/>
            <w:hideMark/>
          </w:tcPr>
          <w:p w14:paraId="35BF24B2" w14:textId="77777777" w:rsidR="00596C0D" w:rsidRPr="00596C0D" w:rsidRDefault="00596C0D" w:rsidP="00596C0D">
            <w:pPr>
              <w:rPr>
                <w:rFonts w:ascii="Calibri" w:eastAsia="Times New Roman" w:hAnsi="Calibri" w:cs="Calibri"/>
                <w:color w:val="000000"/>
                <w:sz w:val="28"/>
                <w:szCs w:val="28"/>
              </w:rPr>
            </w:pPr>
          </w:p>
        </w:tc>
        <w:tc>
          <w:tcPr>
            <w:tcW w:w="956" w:type="dxa"/>
            <w:tcBorders>
              <w:top w:val="nil"/>
              <w:left w:val="nil"/>
              <w:bottom w:val="nil"/>
              <w:right w:val="nil"/>
            </w:tcBorders>
            <w:shd w:val="clear" w:color="auto" w:fill="auto"/>
            <w:noWrap/>
            <w:vAlign w:val="bottom"/>
            <w:hideMark/>
          </w:tcPr>
          <w:p w14:paraId="00EF939D" w14:textId="77777777" w:rsidR="00596C0D" w:rsidRPr="00596C0D" w:rsidRDefault="00596C0D" w:rsidP="00596C0D">
            <w:pPr>
              <w:rPr>
                <w:rFonts w:eastAsia="Times New Roman" w:cs="Times New Roman"/>
                <w:sz w:val="20"/>
                <w:szCs w:val="20"/>
              </w:rPr>
            </w:pPr>
          </w:p>
        </w:tc>
        <w:tc>
          <w:tcPr>
            <w:tcW w:w="1256" w:type="dxa"/>
            <w:tcBorders>
              <w:top w:val="nil"/>
              <w:left w:val="nil"/>
              <w:bottom w:val="nil"/>
              <w:right w:val="nil"/>
            </w:tcBorders>
            <w:shd w:val="clear" w:color="auto" w:fill="auto"/>
            <w:noWrap/>
            <w:vAlign w:val="bottom"/>
            <w:hideMark/>
          </w:tcPr>
          <w:p w14:paraId="01FEA470"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20F70B39"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407640F7" w14:textId="77777777" w:rsidR="00596C0D" w:rsidRPr="00596C0D" w:rsidRDefault="00596C0D" w:rsidP="00596C0D">
            <w:pPr>
              <w:rPr>
                <w:rFonts w:eastAsia="Times New Roman" w:cs="Times New Roman"/>
                <w:sz w:val="20"/>
                <w:szCs w:val="20"/>
              </w:rPr>
            </w:pPr>
          </w:p>
        </w:tc>
        <w:tc>
          <w:tcPr>
            <w:tcW w:w="1278" w:type="dxa"/>
            <w:tcBorders>
              <w:top w:val="nil"/>
              <w:left w:val="nil"/>
              <w:bottom w:val="nil"/>
              <w:right w:val="nil"/>
            </w:tcBorders>
            <w:shd w:val="clear" w:color="auto" w:fill="auto"/>
            <w:noWrap/>
            <w:vAlign w:val="bottom"/>
            <w:hideMark/>
          </w:tcPr>
          <w:p w14:paraId="13A71837"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0C58B4EC" w14:textId="77777777" w:rsidR="00596C0D" w:rsidRPr="00596C0D" w:rsidRDefault="00596C0D" w:rsidP="00596C0D">
            <w:pPr>
              <w:rPr>
                <w:rFonts w:eastAsia="Times New Roman" w:cs="Times New Roman"/>
                <w:sz w:val="20"/>
                <w:szCs w:val="20"/>
              </w:rPr>
            </w:pPr>
          </w:p>
        </w:tc>
      </w:tr>
      <w:tr w:rsidR="00596C0D" w:rsidRPr="00596C0D" w14:paraId="440D89CE" w14:textId="77777777" w:rsidTr="00596C0D">
        <w:trPr>
          <w:trHeight w:val="300"/>
        </w:trPr>
        <w:tc>
          <w:tcPr>
            <w:tcW w:w="3136" w:type="dxa"/>
            <w:tcBorders>
              <w:top w:val="nil"/>
              <w:left w:val="nil"/>
              <w:bottom w:val="nil"/>
              <w:right w:val="nil"/>
            </w:tcBorders>
            <w:shd w:val="clear" w:color="auto" w:fill="auto"/>
            <w:noWrap/>
            <w:vAlign w:val="bottom"/>
            <w:hideMark/>
          </w:tcPr>
          <w:p w14:paraId="1BED4403" w14:textId="77777777" w:rsidR="00596C0D" w:rsidRPr="00596C0D" w:rsidRDefault="00596C0D" w:rsidP="00596C0D">
            <w:pPr>
              <w:rPr>
                <w:rFonts w:eastAsia="Times New Roman" w:cs="Times New Roman"/>
                <w:sz w:val="20"/>
                <w:szCs w:val="20"/>
              </w:rPr>
            </w:pPr>
          </w:p>
        </w:tc>
        <w:tc>
          <w:tcPr>
            <w:tcW w:w="3776" w:type="dxa"/>
            <w:tcBorders>
              <w:top w:val="nil"/>
              <w:left w:val="nil"/>
              <w:bottom w:val="nil"/>
              <w:right w:val="nil"/>
            </w:tcBorders>
            <w:shd w:val="clear" w:color="auto" w:fill="auto"/>
            <w:noWrap/>
            <w:vAlign w:val="bottom"/>
            <w:hideMark/>
          </w:tcPr>
          <w:p w14:paraId="7856E1E8" w14:textId="77777777" w:rsidR="00596C0D" w:rsidRPr="00596C0D" w:rsidRDefault="00596C0D" w:rsidP="00596C0D">
            <w:pPr>
              <w:rPr>
                <w:rFonts w:eastAsia="Times New Roman" w:cs="Times New Roman"/>
                <w:sz w:val="20"/>
                <w:szCs w:val="20"/>
              </w:rPr>
            </w:pPr>
          </w:p>
        </w:tc>
        <w:tc>
          <w:tcPr>
            <w:tcW w:w="1376" w:type="dxa"/>
            <w:tcBorders>
              <w:top w:val="nil"/>
              <w:left w:val="nil"/>
              <w:bottom w:val="nil"/>
              <w:right w:val="nil"/>
            </w:tcBorders>
            <w:shd w:val="clear" w:color="auto" w:fill="auto"/>
            <w:noWrap/>
            <w:vAlign w:val="bottom"/>
            <w:hideMark/>
          </w:tcPr>
          <w:p w14:paraId="382571AD"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0F86BF02" w14:textId="77777777" w:rsidR="00596C0D" w:rsidRPr="00596C0D" w:rsidRDefault="00596C0D" w:rsidP="00596C0D">
            <w:pPr>
              <w:rPr>
                <w:rFonts w:eastAsia="Times New Roman" w:cs="Times New Roman"/>
                <w:sz w:val="20"/>
                <w:szCs w:val="20"/>
              </w:rPr>
            </w:pPr>
          </w:p>
        </w:tc>
        <w:tc>
          <w:tcPr>
            <w:tcW w:w="1256" w:type="dxa"/>
            <w:tcBorders>
              <w:top w:val="nil"/>
              <w:left w:val="nil"/>
              <w:bottom w:val="nil"/>
              <w:right w:val="nil"/>
            </w:tcBorders>
            <w:shd w:val="clear" w:color="auto" w:fill="auto"/>
            <w:noWrap/>
            <w:vAlign w:val="bottom"/>
            <w:hideMark/>
          </w:tcPr>
          <w:p w14:paraId="3F5A7C4E"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0D5F883E"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24FA6613" w14:textId="77777777" w:rsidR="00596C0D" w:rsidRPr="00596C0D" w:rsidRDefault="00596C0D" w:rsidP="00596C0D">
            <w:pPr>
              <w:rPr>
                <w:rFonts w:eastAsia="Times New Roman" w:cs="Times New Roman"/>
                <w:sz w:val="20"/>
                <w:szCs w:val="20"/>
              </w:rPr>
            </w:pPr>
          </w:p>
        </w:tc>
        <w:tc>
          <w:tcPr>
            <w:tcW w:w="1278" w:type="dxa"/>
            <w:tcBorders>
              <w:top w:val="nil"/>
              <w:left w:val="nil"/>
              <w:bottom w:val="nil"/>
              <w:right w:val="nil"/>
            </w:tcBorders>
            <w:shd w:val="clear" w:color="auto" w:fill="auto"/>
            <w:noWrap/>
            <w:vAlign w:val="bottom"/>
            <w:hideMark/>
          </w:tcPr>
          <w:p w14:paraId="352ABF8B"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44030CC4" w14:textId="77777777" w:rsidR="00596C0D" w:rsidRPr="00596C0D" w:rsidRDefault="00596C0D" w:rsidP="00596C0D">
            <w:pPr>
              <w:rPr>
                <w:rFonts w:eastAsia="Times New Roman" w:cs="Times New Roman"/>
                <w:sz w:val="20"/>
                <w:szCs w:val="20"/>
              </w:rPr>
            </w:pPr>
          </w:p>
        </w:tc>
      </w:tr>
      <w:tr w:rsidR="00596C0D" w:rsidRPr="00596C0D" w14:paraId="6AB06A14" w14:textId="77777777" w:rsidTr="00596C0D">
        <w:trPr>
          <w:trHeight w:val="1230"/>
        </w:trPr>
        <w:tc>
          <w:tcPr>
            <w:tcW w:w="3136"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566C6C11" w14:textId="77777777" w:rsidR="00596C0D" w:rsidRPr="00596C0D" w:rsidRDefault="00596C0D" w:rsidP="00596C0D">
            <w:pPr>
              <w:jc w:val="center"/>
              <w:rPr>
                <w:rFonts w:ascii="Calibri" w:eastAsia="Times New Roman" w:hAnsi="Calibri" w:cs="Calibri"/>
                <w:b/>
                <w:bCs/>
                <w:color w:val="000000"/>
                <w:sz w:val="22"/>
              </w:rPr>
            </w:pPr>
            <w:proofErr w:type="spellStart"/>
            <w:r w:rsidRPr="00596C0D">
              <w:rPr>
                <w:rFonts w:ascii="Calibri" w:eastAsia="Times New Roman" w:hAnsi="Calibri" w:cs="Calibri"/>
                <w:b/>
                <w:bCs/>
                <w:color w:val="000000"/>
                <w:sz w:val="22"/>
              </w:rPr>
              <w:t>GenEd</w:t>
            </w:r>
            <w:proofErr w:type="spellEnd"/>
            <w:r w:rsidRPr="00596C0D">
              <w:rPr>
                <w:rFonts w:ascii="Calibri" w:eastAsia="Times New Roman" w:hAnsi="Calibri" w:cs="Calibri"/>
                <w:b/>
                <w:bCs/>
                <w:color w:val="000000"/>
                <w:sz w:val="22"/>
              </w:rPr>
              <w:t xml:space="preserve"> Category</w:t>
            </w:r>
          </w:p>
        </w:tc>
        <w:tc>
          <w:tcPr>
            <w:tcW w:w="3776" w:type="dxa"/>
            <w:tcBorders>
              <w:top w:val="single" w:sz="4" w:space="0" w:color="auto"/>
              <w:left w:val="nil"/>
              <w:bottom w:val="single" w:sz="4" w:space="0" w:color="auto"/>
              <w:right w:val="single" w:sz="4" w:space="0" w:color="auto"/>
            </w:tcBorders>
            <w:shd w:val="clear" w:color="000000" w:fill="BDD7EE"/>
            <w:vAlign w:val="center"/>
            <w:hideMark/>
          </w:tcPr>
          <w:p w14:paraId="187AA5EA"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Expected DISC (Current)</w:t>
            </w:r>
          </w:p>
        </w:tc>
        <w:tc>
          <w:tcPr>
            <w:tcW w:w="1376" w:type="dxa"/>
            <w:tcBorders>
              <w:top w:val="single" w:sz="4" w:space="0" w:color="auto"/>
              <w:left w:val="nil"/>
              <w:bottom w:val="single" w:sz="4" w:space="0" w:color="auto"/>
              <w:right w:val="single" w:sz="4" w:space="0" w:color="auto"/>
            </w:tcBorders>
            <w:shd w:val="clear" w:color="000000" w:fill="BDD7EE"/>
            <w:vAlign w:val="center"/>
            <w:hideMark/>
          </w:tcPr>
          <w:p w14:paraId="343BBE67"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 xml:space="preserve">% Taking </w:t>
            </w:r>
            <w:proofErr w:type="spellStart"/>
            <w:r w:rsidRPr="00596C0D">
              <w:rPr>
                <w:rFonts w:ascii="Calibri" w:eastAsia="Times New Roman" w:hAnsi="Calibri" w:cs="Calibri"/>
                <w:b/>
                <w:bCs/>
                <w:color w:val="000000"/>
                <w:sz w:val="22"/>
              </w:rPr>
              <w:t>GenEd</w:t>
            </w:r>
            <w:proofErr w:type="spellEnd"/>
            <w:r w:rsidRPr="00596C0D">
              <w:rPr>
                <w:rFonts w:ascii="Calibri" w:eastAsia="Times New Roman" w:hAnsi="Calibri" w:cs="Calibri"/>
                <w:b/>
                <w:bCs/>
                <w:color w:val="000000"/>
                <w:sz w:val="22"/>
              </w:rPr>
              <w:t xml:space="preserve"> group at SU</w:t>
            </w:r>
          </w:p>
        </w:tc>
        <w:tc>
          <w:tcPr>
            <w:tcW w:w="956" w:type="dxa"/>
            <w:tcBorders>
              <w:top w:val="single" w:sz="4" w:space="0" w:color="auto"/>
              <w:left w:val="nil"/>
              <w:bottom w:val="single" w:sz="4" w:space="0" w:color="auto"/>
              <w:right w:val="single" w:sz="4" w:space="0" w:color="auto"/>
            </w:tcBorders>
            <w:shd w:val="clear" w:color="000000" w:fill="BDD7EE"/>
            <w:vAlign w:val="center"/>
            <w:hideMark/>
          </w:tcPr>
          <w:p w14:paraId="73043853"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Expected Students</w:t>
            </w:r>
          </w:p>
        </w:tc>
        <w:tc>
          <w:tcPr>
            <w:tcW w:w="1256" w:type="dxa"/>
            <w:tcBorders>
              <w:top w:val="single" w:sz="4" w:space="0" w:color="auto"/>
              <w:left w:val="nil"/>
              <w:bottom w:val="single" w:sz="4" w:space="0" w:color="auto"/>
              <w:right w:val="single" w:sz="4" w:space="0" w:color="auto"/>
            </w:tcBorders>
            <w:shd w:val="clear" w:color="000000" w:fill="BDD7EE"/>
            <w:vAlign w:val="center"/>
            <w:hideMark/>
          </w:tcPr>
          <w:p w14:paraId="03F1D03A"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Avg Course Size (AY19)</w:t>
            </w:r>
          </w:p>
        </w:tc>
        <w:tc>
          <w:tcPr>
            <w:tcW w:w="956" w:type="dxa"/>
            <w:tcBorders>
              <w:top w:val="single" w:sz="4" w:space="0" w:color="auto"/>
              <w:left w:val="nil"/>
              <w:bottom w:val="single" w:sz="4" w:space="0" w:color="auto"/>
              <w:right w:val="single" w:sz="4" w:space="0" w:color="auto"/>
            </w:tcBorders>
            <w:shd w:val="clear" w:color="000000" w:fill="BDD7EE"/>
            <w:vAlign w:val="center"/>
            <w:hideMark/>
          </w:tcPr>
          <w:p w14:paraId="6ECDEF26"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Sections Offered in AY19</w:t>
            </w:r>
          </w:p>
        </w:tc>
        <w:tc>
          <w:tcPr>
            <w:tcW w:w="1196" w:type="dxa"/>
            <w:tcBorders>
              <w:top w:val="single" w:sz="4" w:space="0" w:color="auto"/>
              <w:left w:val="nil"/>
              <w:bottom w:val="single" w:sz="4" w:space="0" w:color="auto"/>
              <w:right w:val="single" w:sz="4" w:space="0" w:color="auto"/>
            </w:tcBorders>
            <w:shd w:val="clear" w:color="000000" w:fill="BDD7EE"/>
            <w:vAlign w:val="center"/>
            <w:hideMark/>
          </w:tcPr>
          <w:p w14:paraId="6D5C79D7"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 xml:space="preserve">Course Sections Needed for </w:t>
            </w:r>
            <w:proofErr w:type="spellStart"/>
            <w:r w:rsidRPr="00596C0D">
              <w:rPr>
                <w:rFonts w:ascii="Calibri" w:eastAsia="Times New Roman" w:hAnsi="Calibri" w:cs="Calibri"/>
                <w:b/>
                <w:bCs/>
                <w:color w:val="000000"/>
                <w:sz w:val="22"/>
              </w:rPr>
              <w:t>GenEd</w:t>
            </w:r>
            <w:proofErr w:type="spellEnd"/>
          </w:p>
        </w:tc>
        <w:tc>
          <w:tcPr>
            <w:tcW w:w="1278" w:type="dxa"/>
            <w:tcBorders>
              <w:top w:val="single" w:sz="4" w:space="0" w:color="auto"/>
              <w:left w:val="nil"/>
              <w:bottom w:val="single" w:sz="4" w:space="0" w:color="auto"/>
              <w:right w:val="single" w:sz="4" w:space="0" w:color="auto"/>
            </w:tcBorders>
            <w:shd w:val="clear" w:color="000000" w:fill="BDD7EE"/>
            <w:vAlign w:val="center"/>
            <w:hideMark/>
          </w:tcPr>
          <w:p w14:paraId="0FBB22D2"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Sections for Majors/Other</w:t>
            </w:r>
          </w:p>
        </w:tc>
        <w:tc>
          <w:tcPr>
            <w:tcW w:w="1196" w:type="dxa"/>
            <w:tcBorders>
              <w:top w:val="single" w:sz="4" w:space="0" w:color="auto"/>
              <w:left w:val="nil"/>
              <w:bottom w:val="single" w:sz="4" w:space="0" w:color="auto"/>
              <w:right w:val="single" w:sz="4" w:space="0" w:color="auto"/>
            </w:tcBorders>
            <w:shd w:val="clear" w:color="000000" w:fill="BDD7EE"/>
            <w:vAlign w:val="center"/>
            <w:hideMark/>
          </w:tcPr>
          <w:p w14:paraId="1933938E"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 xml:space="preserve">Sections Needed for </w:t>
            </w:r>
            <w:proofErr w:type="spellStart"/>
            <w:r w:rsidRPr="00596C0D">
              <w:rPr>
                <w:rFonts w:ascii="Calibri" w:eastAsia="Times New Roman" w:hAnsi="Calibri" w:cs="Calibri"/>
                <w:b/>
                <w:bCs/>
                <w:color w:val="000000"/>
                <w:sz w:val="22"/>
              </w:rPr>
              <w:t>GenEd</w:t>
            </w:r>
            <w:proofErr w:type="spellEnd"/>
          </w:p>
        </w:tc>
      </w:tr>
      <w:tr w:rsidR="00596C0D" w:rsidRPr="00596C0D" w14:paraId="1806F56D" w14:textId="77777777" w:rsidTr="00596C0D">
        <w:trPr>
          <w:trHeight w:val="300"/>
        </w:trPr>
        <w:tc>
          <w:tcPr>
            <w:tcW w:w="3136" w:type="dxa"/>
            <w:tcBorders>
              <w:top w:val="nil"/>
              <w:left w:val="single" w:sz="4" w:space="0" w:color="auto"/>
              <w:bottom w:val="single" w:sz="4" w:space="0" w:color="auto"/>
              <w:right w:val="single" w:sz="4" w:space="0" w:color="auto"/>
            </w:tcBorders>
            <w:shd w:val="clear" w:color="000000" w:fill="D9D9D9"/>
            <w:vAlign w:val="center"/>
            <w:hideMark/>
          </w:tcPr>
          <w:p w14:paraId="0CE263A6"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1A - Composition</w:t>
            </w:r>
          </w:p>
        </w:tc>
        <w:tc>
          <w:tcPr>
            <w:tcW w:w="3776" w:type="dxa"/>
            <w:tcBorders>
              <w:top w:val="nil"/>
              <w:left w:val="nil"/>
              <w:bottom w:val="single" w:sz="4" w:space="0" w:color="auto"/>
              <w:right w:val="single" w:sz="4" w:space="0" w:color="auto"/>
            </w:tcBorders>
            <w:shd w:val="clear" w:color="000000" w:fill="D9D9D9"/>
            <w:vAlign w:val="center"/>
            <w:hideMark/>
          </w:tcPr>
          <w:p w14:paraId="64159DBC"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ENGL, HONR</w:t>
            </w:r>
          </w:p>
        </w:tc>
        <w:tc>
          <w:tcPr>
            <w:tcW w:w="1376" w:type="dxa"/>
            <w:tcBorders>
              <w:top w:val="nil"/>
              <w:left w:val="nil"/>
              <w:bottom w:val="single" w:sz="4" w:space="0" w:color="auto"/>
              <w:right w:val="single" w:sz="4" w:space="0" w:color="auto"/>
            </w:tcBorders>
            <w:shd w:val="clear" w:color="000000" w:fill="D9D9D9"/>
            <w:noWrap/>
            <w:vAlign w:val="center"/>
            <w:hideMark/>
          </w:tcPr>
          <w:p w14:paraId="2C512B9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53%</w:t>
            </w:r>
          </w:p>
        </w:tc>
        <w:tc>
          <w:tcPr>
            <w:tcW w:w="956" w:type="dxa"/>
            <w:tcBorders>
              <w:top w:val="nil"/>
              <w:left w:val="nil"/>
              <w:bottom w:val="single" w:sz="4" w:space="0" w:color="auto"/>
              <w:right w:val="single" w:sz="4" w:space="0" w:color="auto"/>
            </w:tcBorders>
            <w:shd w:val="clear" w:color="000000" w:fill="D9D9D9"/>
            <w:noWrap/>
            <w:vAlign w:val="center"/>
            <w:hideMark/>
          </w:tcPr>
          <w:p w14:paraId="4102D23E"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1367</w:t>
            </w:r>
          </w:p>
        </w:tc>
        <w:tc>
          <w:tcPr>
            <w:tcW w:w="1256" w:type="dxa"/>
            <w:tcBorders>
              <w:top w:val="nil"/>
              <w:left w:val="nil"/>
              <w:bottom w:val="single" w:sz="4" w:space="0" w:color="auto"/>
              <w:right w:val="single" w:sz="4" w:space="0" w:color="auto"/>
            </w:tcBorders>
            <w:shd w:val="clear" w:color="000000" w:fill="D9D9D9"/>
            <w:noWrap/>
            <w:vAlign w:val="center"/>
            <w:hideMark/>
          </w:tcPr>
          <w:p w14:paraId="244874C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20.7 </w:t>
            </w:r>
          </w:p>
        </w:tc>
        <w:tc>
          <w:tcPr>
            <w:tcW w:w="956" w:type="dxa"/>
            <w:tcBorders>
              <w:top w:val="nil"/>
              <w:left w:val="nil"/>
              <w:bottom w:val="single" w:sz="4" w:space="0" w:color="auto"/>
              <w:right w:val="single" w:sz="4" w:space="0" w:color="auto"/>
            </w:tcBorders>
            <w:shd w:val="clear" w:color="000000" w:fill="D9D9D9"/>
            <w:noWrap/>
            <w:vAlign w:val="center"/>
            <w:hideMark/>
          </w:tcPr>
          <w:p w14:paraId="0AB5EC5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66 </w:t>
            </w:r>
          </w:p>
        </w:tc>
        <w:tc>
          <w:tcPr>
            <w:tcW w:w="1196" w:type="dxa"/>
            <w:tcBorders>
              <w:top w:val="nil"/>
              <w:left w:val="nil"/>
              <w:bottom w:val="single" w:sz="4" w:space="0" w:color="auto"/>
              <w:right w:val="single" w:sz="4" w:space="0" w:color="auto"/>
            </w:tcBorders>
            <w:shd w:val="clear" w:color="000000" w:fill="D9D9D9"/>
            <w:noWrap/>
            <w:vAlign w:val="center"/>
            <w:hideMark/>
          </w:tcPr>
          <w:p w14:paraId="00386F7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66 </w:t>
            </w:r>
          </w:p>
        </w:tc>
        <w:tc>
          <w:tcPr>
            <w:tcW w:w="1278" w:type="dxa"/>
            <w:tcBorders>
              <w:top w:val="nil"/>
              <w:left w:val="nil"/>
              <w:bottom w:val="single" w:sz="4" w:space="0" w:color="auto"/>
              <w:right w:val="single" w:sz="4" w:space="0" w:color="auto"/>
            </w:tcBorders>
            <w:shd w:val="clear" w:color="000000" w:fill="D9D9D9"/>
            <w:noWrap/>
            <w:vAlign w:val="center"/>
            <w:hideMark/>
          </w:tcPr>
          <w:p w14:paraId="1019FCD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(0)</w:t>
            </w:r>
          </w:p>
        </w:tc>
        <w:tc>
          <w:tcPr>
            <w:tcW w:w="1196" w:type="dxa"/>
            <w:tcBorders>
              <w:top w:val="nil"/>
              <w:left w:val="nil"/>
              <w:bottom w:val="single" w:sz="4" w:space="0" w:color="auto"/>
              <w:right w:val="single" w:sz="4" w:space="0" w:color="auto"/>
            </w:tcBorders>
            <w:shd w:val="clear" w:color="000000" w:fill="D9D9D9"/>
            <w:noWrap/>
            <w:vAlign w:val="center"/>
            <w:hideMark/>
          </w:tcPr>
          <w:p w14:paraId="50062D5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35A5D4A0" w14:textId="77777777" w:rsidTr="00596C0D">
        <w:trPr>
          <w:trHeight w:val="300"/>
        </w:trPr>
        <w:tc>
          <w:tcPr>
            <w:tcW w:w="3136" w:type="dxa"/>
            <w:tcBorders>
              <w:top w:val="nil"/>
              <w:left w:val="single" w:sz="4" w:space="0" w:color="auto"/>
              <w:bottom w:val="single" w:sz="4" w:space="0" w:color="auto"/>
              <w:right w:val="single" w:sz="4" w:space="0" w:color="auto"/>
            </w:tcBorders>
            <w:shd w:val="clear" w:color="000000" w:fill="D9D9D9"/>
            <w:vAlign w:val="center"/>
            <w:hideMark/>
          </w:tcPr>
          <w:p w14:paraId="5E021BD4"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1B - Literature</w:t>
            </w:r>
          </w:p>
        </w:tc>
        <w:tc>
          <w:tcPr>
            <w:tcW w:w="3776" w:type="dxa"/>
            <w:tcBorders>
              <w:top w:val="nil"/>
              <w:left w:val="nil"/>
              <w:bottom w:val="single" w:sz="4" w:space="0" w:color="auto"/>
              <w:right w:val="single" w:sz="4" w:space="0" w:color="auto"/>
            </w:tcBorders>
            <w:shd w:val="clear" w:color="000000" w:fill="D9D9D9"/>
            <w:vAlign w:val="center"/>
            <w:hideMark/>
          </w:tcPr>
          <w:p w14:paraId="11F28DED"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ENGL, SPAN, FREN</w:t>
            </w:r>
          </w:p>
        </w:tc>
        <w:tc>
          <w:tcPr>
            <w:tcW w:w="1376" w:type="dxa"/>
            <w:tcBorders>
              <w:top w:val="nil"/>
              <w:left w:val="nil"/>
              <w:bottom w:val="single" w:sz="4" w:space="0" w:color="auto"/>
              <w:right w:val="single" w:sz="4" w:space="0" w:color="auto"/>
            </w:tcBorders>
            <w:shd w:val="clear" w:color="000000" w:fill="D9D9D9"/>
            <w:noWrap/>
            <w:vAlign w:val="center"/>
            <w:hideMark/>
          </w:tcPr>
          <w:p w14:paraId="213B84E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65%</w:t>
            </w:r>
          </w:p>
        </w:tc>
        <w:tc>
          <w:tcPr>
            <w:tcW w:w="956" w:type="dxa"/>
            <w:tcBorders>
              <w:top w:val="nil"/>
              <w:left w:val="nil"/>
              <w:bottom w:val="single" w:sz="4" w:space="0" w:color="auto"/>
              <w:right w:val="single" w:sz="4" w:space="0" w:color="auto"/>
            </w:tcBorders>
            <w:shd w:val="clear" w:color="000000" w:fill="D9D9D9"/>
            <w:noWrap/>
            <w:vAlign w:val="center"/>
            <w:hideMark/>
          </w:tcPr>
          <w:p w14:paraId="0365860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1394</w:t>
            </w:r>
          </w:p>
        </w:tc>
        <w:tc>
          <w:tcPr>
            <w:tcW w:w="1256" w:type="dxa"/>
            <w:tcBorders>
              <w:top w:val="nil"/>
              <w:left w:val="nil"/>
              <w:bottom w:val="single" w:sz="4" w:space="0" w:color="auto"/>
              <w:right w:val="single" w:sz="4" w:space="0" w:color="auto"/>
            </w:tcBorders>
            <w:shd w:val="clear" w:color="000000" w:fill="D9D9D9"/>
            <w:noWrap/>
            <w:vAlign w:val="center"/>
            <w:hideMark/>
          </w:tcPr>
          <w:p w14:paraId="68D38FA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23.1 </w:t>
            </w:r>
          </w:p>
        </w:tc>
        <w:tc>
          <w:tcPr>
            <w:tcW w:w="956" w:type="dxa"/>
            <w:tcBorders>
              <w:top w:val="nil"/>
              <w:left w:val="nil"/>
              <w:bottom w:val="single" w:sz="4" w:space="0" w:color="auto"/>
              <w:right w:val="single" w:sz="4" w:space="0" w:color="auto"/>
            </w:tcBorders>
            <w:shd w:val="clear" w:color="000000" w:fill="D9D9D9"/>
            <w:noWrap/>
            <w:vAlign w:val="center"/>
            <w:hideMark/>
          </w:tcPr>
          <w:p w14:paraId="173B2D6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77 </w:t>
            </w:r>
          </w:p>
        </w:tc>
        <w:tc>
          <w:tcPr>
            <w:tcW w:w="1196" w:type="dxa"/>
            <w:tcBorders>
              <w:top w:val="nil"/>
              <w:left w:val="nil"/>
              <w:bottom w:val="single" w:sz="4" w:space="0" w:color="auto"/>
              <w:right w:val="single" w:sz="4" w:space="0" w:color="auto"/>
            </w:tcBorders>
            <w:shd w:val="clear" w:color="000000" w:fill="D9D9D9"/>
            <w:noWrap/>
            <w:vAlign w:val="center"/>
            <w:hideMark/>
          </w:tcPr>
          <w:p w14:paraId="544A58B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60 </w:t>
            </w:r>
          </w:p>
        </w:tc>
        <w:tc>
          <w:tcPr>
            <w:tcW w:w="1278" w:type="dxa"/>
            <w:tcBorders>
              <w:top w:val="nil"/>
              <w:left w:val="nil"/>
              <w:bottom w:val="single" w:sz="4" w:space="0" w:color="auto"/>
              <w:right w:val="single" w:sz="4" w:space="0" w:color="auto"/>
            </w:tcBorders>
            <w:shd w:val="clear" w:color="000000" w:fill="D9D9D9"/>
            <w:noWrap/>
            <w:vAlign w:val="center"/>
            <w:hideMark/>
          </w:tcPr>
          <w:p w14:paraId="4339F4BD"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17 </w:t>
            </w:r>
          </w:p>
        </w:tc>
        <w:tc>
          <w:tcPr>
            <w:tcW w:w="1196" w:type="dxa"/>
            <w:tcBorders>
              <w:top w:val="nil"/>
              <w:left w:val="nil"/>
              <w:bottom w:val="single" w:sz="4" w:space="0" w:color="auto"/>
              <w:right w:val="single" w:sz="4" w:space="0" w:color="auto"/>
            </w:tcBorders>
            <w:shd w:val="clear" w:color="000000" w:fill="D9D9D9"/>
            <w:noWrap/>
            <w:vAlign w:val="center"/>
            <w:hideMark/>
          </w:tcPr>
          <w:p w14:paraId="216EE07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5E4A5E94" w14:textId="77777777" w:rsidTr="00596C0D">
        <w:trPr>
          <w:trHeight w:val="300"/>
        </w:trPr>
        <w:tc>
          <w:tcPr>
            <w:tcW w:w="3136" w:type="dxa"/>
            <w:tcBorders>
              <w:top w:val="nil"/>
              <w:left w:val="single" w:sz="4" w:space="0" w:color="auto"/>
              <w:bottom w:val="single" w:sz="4" w:space="0" w:color="auto"/>
              <w:right w:val="single" w:sz="4" w:space="0" w:color="auto"/>
            </w:tcBorders>
            <w:shd w:val="clear" w:color="000000" w:fill="D9D9D9"/>
            <w:vAlign w:val="center"/>
            <w:hideMark/>
          </w:tcPr>
          <w:p w14:paraId="35DADC16"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2A - World History</w:t>
            </w:r>
          </w:p>
        </w:tc>
        <w:tc>
          <w:tcPr>
            <w:tcW w:w="3776" w:type="dxa"/>
            <w:tcBorders>
              <w:top w:val="nil"/>
              <w:left w:val="nil"/>
              <w:bottom w:val="single" w:sz="4" w:space="0" w:color="auto"/>
              <w:right w:val="single" w:sz="4" w:space="0" w:color="auto"/>
            </w:tcBorders>
            <w:shd w:val="clear" w:color="000000" w:fill="D9D9D9"/>
            <w:vAlign w:val="center"/>
            <w:hideMark/>
          </w:tcPr>
          <w:p w14:paraId="283A094B"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HIST 101, 102, 103</w:t>
            </w:r>
          </w:p>
        </w:tc>
        <w:tc>
          <w:tcPr>
            <w:tcW w:w="1376" w:type="dxa"/>
            <w:tcBorders>
              <w:top w:val="nil"/>
              <w:left w:val="nil"/>
              <w:bottom w:val="single" w:sz="4" w:space="0" w:color="auto"/>
              <w:right w:val="single" w:sz="4" w:space="0" w:color="auto"/>
            </w:tcBorders>
            <w:shd w:val="clear" w:color="000000" w:fill="D9D9D9"/>
            <w:noWrap/>
            <w:vAlign w:val="center"/>
            <w:hideMark/>
          </w:tcPr>
          <w:p w14:paraId="558338C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78%</w:t>
            </w:r>
          </w:p>
        </w:tc>
        <w:tc>
          <w:tcPr>
            <w:tcW w:w="956" w:type="dxa"/>
            <w:tcBorders>
              <w:top w:val="nil"/>
              <w:left w:val="nil"/>
              <w:bottom w:val="single" w:sz="4" w:space="0" w:color="auto"/>
              <w:right w:val="single" w:sz="4" w:space="0" w:color="auto"/>
            </w:tcBorders>
            <w:shd w:val="clear" w:color="000000" w:fill="D9D9D9"/>
            <w:noWrap/>
            <w:vAlign w:val="center"/>
            <w:hideMark/>
          </w:tcPr>
          <w:p w14:paraId="2626A69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1995</w:t>
            </w:r>
          </w:p>
        </w:tc>
        <w:tc>
          <w:tcPr>
            <w:tcW w:w="1256" w:type="dxa"/>
            <w:tcBorders>
              <w:top w:val="nil"/>
              <w:left w:val="nil"/>
              <w:bottom w:val="single" w:sz="4" w:space="0" w:color="auto"/>
              <w:right w:val="single" w:sz="4" w:space="0" w:color="auto"/>
            </w:tcBorders>
            <w:shd w:val="clear" w:color="000000" w:fill="D9D9D9"/>
            <w:noWrap/>
            <w:vAlign w:val="center"/>
            <w:hideMark/>
          </w:tcPr>
          <w:p w14:paraId="33D145A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33.3 </w:t>
            </w:r>
          </w:p>
        </w:tc>
        <w:tc>
          <w:tcPr>
            <w:tcW w:w="956" w:type="dxa"/>
            <w:tcBorders>
              <w:top w:val="nil"/>
              <w:left w:val="nil"/>
              <w:bottom w:val="single" w:sz="4" w:space="0" w:color="auto"/>
              <w:right w:val="single" w:sz="4" w:space="0" w:color="auto"/>
            </w:tcBorders>
            <w:shd w:val="clear" w:color="000000" w:fill="D9D9D9"/>
            <w:noWrap/>
            <w:vAlign w:val="center"/>
            <w:hideMark/>
          </w:tcPr>
          <w:p w14:paraId="7E69A88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62 </w:t>
            </w:r>
          </w:p>
        </w:tc>
        <w:tc>
          <w:tcPr>
            <w:tcW w:w="1196" w:type="dxa"/>
            <w:tcBorders>
              <w:top w:val="nil"/>
              <w:left w:val="nil"/>
              <w:bottom w:val="single" w:sz="4" w:space="0" w:color="auto"/>
              <w:right w:val="single" w:sz="4" w:space="0" w:color="auto"/>
            </w:tcBorders>
            <w:shd w:val="clear" w:color="000000" w:fill="D9D9D9"/>
            <w:noWrap/>
            <w:vAlign w:val="center"/>
            <w:hideMark/>
          </w:tcPr>
          <w:p w14:paraId="367317DD"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60 </w:t>
            </w:r>
          </w:p>
        </w:tc>
        <w:tc>
          <w:tcPr>
            <w:tcW w:w="1278" w:type="dxa"/>
            <w:tcBorders>
              <w:top w:val="nil"/>
              <w:left w:val="nil"/>
              <w:bottom w:val="single" w:sz="4" w:space="0" w:color="auto"/>
              <w:right w:val="single" w:sz="4" w:space="0" w:color="auto"/>
            </w:tcBorders>
            <w:shd w:val="clear" w:color="000000" w:fill="D9D9D9"/>
            <w:noWrap/>
            <w:vAlign w:val="center"/>
            <w:hideMark/>
          </w:tcPr>
          <w:p w14:paraId="7867446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 </w:t>
            </w:r>
          </w:p>
        </w:tc>
        <w:tc>
          <w:tcPr>
            <w:tcW w:w="1196" w:type="dxa"/>
            <w:tcBorders>
              <w:top w:val="nil"/>
              <w:left w:val="nil"/>
              <w:bottom w:val="single" w:sz="4" w:space="0" w:color="auto"/>
              <w:right w:val="single" w:sz="4" w:space="0" w:color="auto"/>
            </w:tcBorders>
            <w:shd w:val="clear" w:color="000000" w:fill="D9D9D9"/>
            <w:noWrap/>
            <w:vAlign w:val="center"/>
            <w:hideMark/>
          </w:tcPr>
          <w:p w14:paraId="2CB95DA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232BCBEC" w14:textId="77777777" w:rsidTr="00596C0D">
        <w:trPr>
          <w:trHeight w:val="300"/>
        </w:trPr>
        <w:tc>
          <w:tcPr>
            <w:tcW w:w="3136" w:type="dxa"/>
            <w:tcBorders>
              <w:top w:val="nil"/>
              <w:left w:val="single" w:sz="4" w:space="0" w:color="auto"/>
              <w:bottom w:val="single" w:sz="4" w:space="0" w:color="auto"/>
              <w:right w:val="single" w:sz="4" w:space="0" w:color="auto"/>
            </w:tcBorders>
            <w:shd w:val="clear" w:color="000000" w:fill="D9D9D9"/>
            <w:vAlign w:val="center"/>
            <w:hideMark/>
          </w:tcPr>
          <w:p w14:paraId="661B3339"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2B - Other History</w:t>
            </w:r>
          </w:p>
        </w:tc>
        <w:tc>
          <w:tcPr>
            <w:tcW w:w="3776" w:type="dxa"/>
            <w:tcBorders>
              <w:top w:val="nil"/>
              <w:left w:val="nil"/>
              <w:bottom w:val="single" w:sz="4" w:space="0" w:color="auto"/>
              <w:right w:val="nil"/>
            </w:tcBorders>
            <w:shd w:val="clear" w:color="000000" w:fill="D9D9D9"/>
            <w:vAlign w:val="center"/>
            <w:hideMark/>
          </w:tcPr>
          <w:p w14:paraId="3C88FB48"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HIST</w:t>
            </w:r>
          </w:p>
        </w:tc>
        <w:tc>
          <w:tcPr>
            <w:tcW w:w="1376" w:type="dxa"/>
            <w:tcBorders>
              <w:top w:val="nil"/>
              <w:left w:val="single" w:sz="4" w:space="0" w:color="auto"/>
              <w:bottom w:val="single" w:sz="4" w:space="0" w:color="auto"/>
              <w:right w:val="single" w:sz="4" w:space="0" w:color="auto"/>
            </w:tcBorders>
            <w:shd w:val="clear" w:color="000000" w:fill="D9D9D9"/>
            <w:noWrap/>
            <w:vAlign w:val="center"/>
            <w:hideMark/>
          </w:tcPr>
          <w:p w14:paraId="6E1CD05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74%</w:t>
            </w:r>
          </w:p>
        </w:tc>
        <w:tc>
          <w:tcPr>
            <w:tcW w:w="956" w:type="dxa"/>
            <w:tcBorders>
              <w:top w:val="nil"/>
              <w:left w:val="nil"/>
              <w:bottom w:val="single" w:sz="4" w:space="0" w:color="auto"/>
              <w:right w:val="single" w:sz="4" w:space="0" w:color="auto"/>
            </w:tcBorders>
            <w:shd w:val="clear" w:color="000000" w:fill="D9D9D9"/>
            <w:noWrap/>
            <w:vAlign w:val="center"/>
            <w:hideMark/>
          </w:tcPr>
          <w:p w14:paraId="6272B6D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1613</w:t>
            </w:r>
          </w:p>
        </w:tc>
        <w:tc>
          <w:tcPr>
            <w:tcW w:w="1256" w:type="dxa"/>
            <w:tcBorders>
              <w:top w:val="nil"/>
              <w:left w:val="nil"/>
              <w:bottom w:val="single" w:sz="4" w:space="0" w:color="auto"/>
              <w:right w:val="single" w:sz="4" w:space="0" w:color="auto"/>
            </w:tcBorders>
            <w:shd w:val="clear" w:color="000000" w:fill="D9D9D9"/>
            <w:noWrap/>
            <w:vAlign w:val="center"/>
            <w:hideMark/>
          </w:tcPr>
          <w:p w14:paraId="65DCFFFD"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26.1 </w:t>
            </w:r>
          </w:p>
        </w:tc>
        <w:tc>
          <w:tcPr>
            <w:tcW w:w="956" w:type="dxa"/>
            <w:tcBorders>
              <w:top w:val="nil"/>
              <w:left w:val="nil"/>
              <w:bottom w:val="single" w:sz="4" w:space="0" w:color="auto"/>
              <w:right w:val="single" w:sz="4" w:space="0" w:color="auto"/>
            </w:tcBorders>
            <w:shd w:val="clear" w:color="000000" w:fill="D9D9D9"/>
            <w:noWrap/>
            <w:vAlign w:val="center"/>
            <w:hideMark/>
          </w:tcPr>
          <w:p w14:paraId="6A557B5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76 </w:t>
            </w:r>
          </w:p>
        </w:tc>
        <w:tc>
          <w:tcPr>
            <w:tcW w:w="1196" w:type="dxa"/>
            <w:tcBorders>
              <w:top w:val="nil"/>
              <w:left w:val="nil"/>
              <w:bottom w:val="single" w:sz="4" w:space="0" w:color="auto"/>
              <w:right w:val="single" w:sz="4" w:space="0" w:color="auto"/>
            </w:tcBorders>
            <w:shd w:val="clear" w:color="000000" w:fill="D9D9D9"/>
            <w:noWrap/>
            <w:vAlign w:val="center"/>
            <w:hideMark/>
          </w:tcPr>
          <w:p w14:paraId="6C6A21D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62 </w:t>
            </w:r>
          </w:p>
        </w:tc>
        <w:tc>
          <w:tcPr>
            <w:tcW w:w="1278" w:type="dxa"/>
            <w:tcBorders>
              <w:top w:val="nil"/>
              <w:left w:val="nil"/>
              <w:bottom w:val="single" w:sz="4" w:space="0" w:color="auto"/>
              <w:right w:val="single" w:sz="4" w:space="0" w:color="auto"/>
            </w:tcBorders>
            <w:shd w:val="clear" w:color="000000" w:fill="D9D9D9"/>
            <w:noWrap/>
            <w:vAlign w:val="center"/>
            <w:hideMark/>
          </w:tcPr>
          <w:p w14:paraId="3EA1B98E"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14 </w:t>
            </w:r>
          </w:p>
        </w:tc>
        <w:tc>
          <w:tcPr>
            <w:tcW w:w="1196" w:type="dxa"/>
            <w:tcBorders>
              <w:top w:val="nil"/>
              <w:left w:val="nil"/>
              <w:bottom w:val="single" w:sz="4" w:space="0" w:color="auto"/>
              <w:right w:val="single" w:sz="4" w:space="0" w:color="auto"/>
            </w:tcBorders>
            <w:shd w:val="clear" w:color="000000" w:fill="D9D9D9"/>
            <w:noWrap/>
            <w:vAlign w:val="center"/>
            <w:hideMark/>
          </w:tcPr>
          <w:p w14:paraId="5D58651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17152670" w14:textId="77777777" w:rsidTr="00596C0D">
        <w:trPr>
          <w:trHeight w:val="765"/>
        </w:trPr>
        <w:tc>
          <w:tcPr>
            <w:tcW w:w="3136" w:type="dxa"/>
            <w:tcBorders>
              <w:top w:val="nil"/>
              <w:left w:val="single" w:sz="4" w:space="0" w:color="auto"/>
              <w:bottom w:val="nil"/>
              <w:right w:val="nil"/>
            </w:tcBorders>
            <w:shd w:val="clear" w:color="auto" w:fill="auto"/>
            <w:vAlign w:val="center"/>
            <w:hideMark/>
          </w:tcPr>
          <w:p w14:paraId="623AF406"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3A - Arts and Humanities</w:t>
            </w:r>
          </w:p>
        </w:tc>
        <w:tc>
          <w:tcPr>
            <w:tcW w:w="3776" w:type="dxa"/>
            <w:tcBorders>
              <w:top w:val="nil"/>
              <w:left w:val="nil"/>
              <w:bottom w:val="nil"/>
              <w:right w:val="nil"/>
            </w:tcBorders>
            <w:shd w:val="clear" w:color="auto" w:fill="auto"/>
            <w:vAlign w:val="center"/>
            <w:hideMark/>
          </w:tcPr>
          <w:p w14:paraId="0AB07B7A" w14:textId="77777777" w:rsidR="00596C0D" w:rsidRPr="00596C0D" w:rsidRDefault="00596C0D" w:rsidP="00596C0D">
            <w:pPr>
              <w:rPr>
                <w:rFonts w:ascii="Calibri" w:eastAsia="Times New Roman" w:hAnsi="Calibri" w:cs="Calibri"/>
                <w:sz w:val="20"/>
                <w:szCs w:val="20"/>
              </w:rPr>
            </w:pPr>
            <w:r w:rsidRPr="00596C0D">
              <w:rPr>
                <w:rFonts w:ascii="Calibri" w:eastAsia="Times New Roman" w:hAnsi="Calibri" w:cs="Calibri"/>
                <w:sz w:val="20"/>
                <w:szCs w:val="20"/>
              </w:rPr>
              <w:t>ART, ASL, CHIN, CMAT, DANC, FREN, GERM, HIST, HONR, MDFL, MUSC, NURS, PHIL, SPAN, THEA</w:t>
            </w:r>
          </w:p>
        </w:tc>
        <w:tc>
          <w:tcPr>
            <w:tcW w:w="1376" w:type="dxa"/>
            <w:tcBorders>
              <w:top w:val="nil"/>
              <w:left w:val="nil"/>
              <w:bottom w:val="nil"/>
              <w:right w:val="nil"/>
            </w:tcBorders>
            <w:shd w:val="clear" w:color="auto" w:fill="auto"/>
            <w:noWrap/>
            <w:vAlign w:val="center"/>
            <w:hideMark/>
          </w:tcPr>
          <w:p w14:paraId="2F7D9D0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80%</w:t>
            </w:r>
          </w:p>
        </w:tc>
        <w:tc>
          <w:tcPr>
            <w:tcW w:w="956" w:type="dxa"/>
            <w:tcBorders>
              <w:top w:val="nil"/>
              <w:left w:val="nil"/>
              <w:bottom w:val="nil"/>
              <w:right w:val="nil"/>
            </w:tcBorders>
            <w:shd w:val="clear" w:color="auto" w:fill="auto"/>
            <w:noWrap/>
            <w:vAlign w:val="center"/>
            <w:hideMark/>
          </w:tcPr>
          <w:p w14:paraId="00FD3D9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1940</w:t>
            </w:r>
          </w:p>
        </w:tc>
        <w:tc>
          <w:tcPr>
            <w:tcW w:w="1256" w:type="dxa"/>
            <w:tcBorders>
              <w:top w:val="nil"/>
              <w:left w:val="nil"/>
              <w:bottom w:val="nil"/>
              <w:right w:val="nil"/>
            </w:tcBorders>
            <w:shd w:val="clear" w:color="auto" w:fill="auto"/>
            <w:noWrap/>
            <w:vAlign w:val="center"/>
            <w:hideMark/>
          </w:tcPr>
          <w:p w14:paraId="0E30272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20.0 </w:t>
            </w:r>
          </w:p>
        </w:tc>
        <w:tc>
          <w:tcPr>
            <w:tcW w:w="956" w:type="dxa"/>
            <w:tcBorders>
              <w:top w:val="nil"/>
              <w:left w:val="nil"/>
              <w:bottom w:val="nil"/>
              <w:right w:val="nil"/>
            </w:tcBorders>
            <w:shd w:val="clear" w:color="auto" w:fill="auto"/>
            <w:noWrap/>
            <w:vAlign w:val="center"/>
            <w:hideMark/>
          </w:tcPr>
          <w:p w14:paraId="685B4C4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214 </w:t>
            </w:r>
          </w:p>
        </w:tc>
        <w:tc>
          <w:tcPr>
            <w:tcW w:w="1196" w:type="dxa"/>
            <w:tcBorders>
              <w:top w:val="nil"/>
              <w:left w:val="nil"/>
              <w:bottom w:val="nil"/>
              <w:right w:val="nil"/>
            </w:tcBorders>
            <w:shd w:val="clear" w:color="auto" w:fill="auto"/>
            <w:noWrap/>
            <w:vAlign w:val="center"/>
            <w:hideMark/>
          </w:tcPr>
          <w:p w14:paraId="118A12DB" w14:textId="77777777" w:rsidR="00596C0D" w:rsidRPr="00596C0D" w:rsidRDefault="00596C0D" w:rsidP="00596C0D">
            <w:pPr>
              <w:jc w:val="right"/>
              <w:rPr>
                <w:rFonts w:ascii="Calibri" w:eastAsia="Times New Roman" w:hAnsi="Calibri" w:cs="Calibri"/>
                <w:color w:val="000000"/>
                <w:sz w:val="22"/>
              </w:rPr>
            </w:pPr>
          </w:p>
        </w:tc>
        <w:tc>
          <w:tcPr>
            <w:tcW w:w="1278" w:type="dxa"/>
            <w:tcBorders>
              <w:top w:val="nil"/>
              <w:left w:val="nil"/>
              <w:bottom w:val="nil"/>
              <w:right w:val="nil"/>
            </w:tcBorders>
            <w:shd w:val="clear" w:color="auto" w:fill="auto"/>
            <w:noWrap/>
            <w:vAlign w:val="center"/>
            <w:hideMark/>
          </w:tcPr>
          <w:p w14:paraId="79020943" w14:textId="77777777" w:rsidR="00596C0D" w:rsidRPr="00596C0D" w:rsidRDefault="00596C0D" w:rsidP="00596C0D">
            <w:pPr>
              <w:jc w:val="right"/>
              <w:rPr>
                <w:rFonts w:eastAsia="Times New Roman" w:cs="Times New Roman"/>
                <w:sz w:val="20"/>
                <w:szCs w:val="20"/>
              </w:rPr>
            </w:pPr>
          </w:p>
        </w:tc>
        <w:tc>
          <w:tcPr>
            <w:tcW w:w="1196" w:type="dxa"/>
            <w:tcBorders>
              <w:top w:val="nil"/>
              <w:left w:val="nil"/>
              <w:bottom w:val="nil"/>
              <w:right w:val="single" w:sz="4" w:space="0" w:color="auto"/>
            </w:tcBorders>
            <w:shd w:val="clear" w:color="auto" w:fill="auto"/>
            <w:noWrap/>
            <w:vAlign w:val="center"/>
            <w:hideMark/>
          </w:tcPr>
          <w:p w14:paraId="5E2A47E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6844C643" w14:textId="77777777" w:rsidTr="00596C0D">
        <w:trPr>
          <w:trHeight w:val="510"/>
        </w:trPr>
        <w:tc>
          <w:tcPr>
            <w:tcW w:w="3136" w:type="dxa"/>
            <w:tcBorders>
              <w:top w:val="nil"/>
              <w:left w:val="single" w:sz="4" w:space="0" w:color="auto"/>
              <w:bottom w:val="nil"/>
              <w:right w:val="nil"/>
            </w:tcBorders>
            <w:shd w:val="clear" w:color="auto" w:fill="auto"/>
            <w:vAlign w:val="center"/>
            <w:hideMark/>
          </w:tcPr>
          <w:p w14:paraId="21704F09"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3B - Social Science</w:t>
            </w:r>
          </w:p>
        </w:tc>
        <w:tc>
          <w:tcPr>
            <w:tcW w:w="3776" w:type="dxa"/>
            <w:tcBorders>
              <w:top w:val="nil"/>
              <w:left w:val="nil"/>
              <w:bottom w:val="nil"/>
              <w:right w:val="nil"/>
            </w:tcBorders>
            <w:shd w:val="clear" w:color="auto" w:fill="auto"/>
            <w:vAlign w:val="center"/>
            <w:hideMark/>
          </w:tcPr>
          <w:p w14:paraId="6C94D685" w14:textId="77777777" w:rsidR="00596C0D" w:rsidRPr="00596C0D" w:rsidRDefault="00596C0D" w:rsidP="00596C0D">
            <w:pPr>
              <w:rPr>
                <w:rFonts w:ascii="Calibri" w:eastAsia="Times New Roman" w:hAnsi="Calibri" w:cs="Calibri"/>
                <w:sz w:val="20"/>
                <w:szCs w:val="20"/>
              </w:rPr>
            </w:pPr>
            <w:r w:rsidRPr="00596C0D">
              <w:rPr>
                <w:rFonts w:ascii="Calibri" w:eastAsia="Times New Roman" w:hAnsi="Calibri" w:cs="Calibri"/>
                <w:sz w:val="20"/>
                <w:szCs w:val="20"/>
              </w:rPr>
              <w:t>ANTH, CADR, ECON, FINA, GEOG, HIST, HONR, POSC, PSYC, SOCI</w:t>
            </w:r>
          </w:p>
        </w:tc>
        <w:tc>
          <w:tcPr>
            <w:tcW w:w="1376" w:type="dxa"/>
            <w:tcBorders>
              <w:top w:val="nil"/>
              <w:left w:val="nil"/>
              <w:bottom w:val="nil"/>
              <w:right w:val="nil"/>
            </w:tcBorders>
            <w:shd w:val="clear" w:color="auto" w:fill="auto"/>
            <w:noWrap/>
            <w:vAlign w:val="center"/>
            <w:hideMark/>
          </w:tcPr>
          <w:p w14:paraId="24F6ACB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63%</w:t>
            </w:r>
          </w:p>
        </w:tc>
        <w:tc>
          <w:tcPr>
            <w:tcW w:w="956" w:type="dxa"/>
            <w:tcBorders>
              <w:top w:val="nil"/>
              <w:left w:val="nil"/>
              <w:bottom w:val="nil"/>
              <w:right w:val="nil"/>
            </w:tcBorders>
            <w:shd w:val="clear" w:color="auto" w:fill="auto"/>
            <w:noWrap/>
            <w:vAlign w:val="center"/>
            <w:hideMark/>
          </w:tcPr>
          <w:p w14:paraId="264DDBC1"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1511</w:t>
            </w:r>
          </w:p>
        </w:tc>
        <w:tc>
          <w:tcPr>
            <w:tcW w:w="1256" w:type="dxa"/>
            <w:tcBorders>
              <w:top w:val="nil"/>
              <w:left w:val="nil"/>
              <w:bottom w:val="nil"/>
              <w:right w:val="nil"/>
            </w:tcBorders>
            <w:shd w:val="clear" w:color="auto" w:fill="auto"/>
            <w:noWrap/>
            <w:vAlign w:val="center"/>
            <w:hideMark/>
          </w:tcPr>
          <w:p w14:paraId="13F42FB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37.4 </w:t>
            </w:r>
          </w:p>
        </w:tc>
        <w:tc>
          <w:tcPr>
            <w:tcW w:w="956" w:type="dxa"/>
            <w:tcBorders>
              <w:top w:val="nil"/>
              <w:left w:val="nil"/>
              <w:bottom w:val="nil"/>
              <w:right w:val="nil"/>
            </w:tcBorders>
            <w:shd w:val="clear" w:color="auto" w:fill="auto"/>
            <w:noWrap/>
            <w:vAlign w:val="center"/>
            <w:hideMark/>
          </w:tcPr>
          <w:p w14:paraId="19D7469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101 </w:t>
            </w:r>
          </w:p>
        </w:tc>
        <w:tc>
          <w:tcPr>
            <w:tcW w:w="1196" w:type="dxa"/>
            <w:tcBorders>
              <w:top w:val="nil"/>
              <w:left w:val="nil"/>
              <w:bottom w:val="nil"/>
              <w:right w:val="nil"/>
            </w:tcBorders>
            <w:shd w:val="clear" w:color="auto" w:fill="auto"/>
            <w:noWrap/>
            <w:vAlign w:val="center"/>
            <w:hideMark/>
          </w:tcPr>
          <w:p w14:paraId="72BBD0CA" w14:textId="77777777" w:rsidR="00596C0D" w:rsidRPr="00596C0D" w:rsidRDefault="00596C0D" w:rsidP="00596C0D">
            <w:pPr>
              <w:jc w:val="right"/>
              <w:rPr>
                <w:rFonts w:ascii="Calibri" w:eastAsia="Times New Roman" w:hAnsi="Calibri" w:cs="Calibri"/>
                <w:color w:val="000000"/>
                <w:sz w:val="22"/>
              </w:rPr>
            </w:pPr>
          </w:p>
        </w:tc>
        <w:tc>
          <w:tcPr>
            <w:tcW w:w="1278" w:type="dxa"/>
            <w:tcBorders>
              <w:top w:val="nil"/>
              <w:left w:val="nil"/>
              <w:bottom w:val="nil"/>
              <w:right w:val="nil"/>
            </w:tcBorders>
            <w:shd w:val="clear" w:color="auto" w:fill="auto"/>
            <w:noWrap/>
            <w:vAlign w:val="center"/>
            <w:hideMark/>
          </w:tcPr>
          <w:p w14:paraId="2A45CF98" w14:textId="77777777" w:rsidR="00596C0D" w:rsidRPr="00596C0D" w:rsidRDefault="00596C0D" w:rsidP="00596C0D">
            <w:pPr>
              <w:jc w:val="right"/>
              <w:rPr>
                <w:rFonts w:eastAsia="Times New Roman" w:cs="Times New Roman"/>
                <w:sz w:val="20"/>
                <w:szCs w:val="20"/>
              </w:rPr>
            </w:pPr>
          </w:p>
        </w:tc>
        <w:tc>
          <w:tcPr>
            <w:tcW w:w="1196" w:type="dxa"/>
            <w:tcBorders>
              <w:top w:val="nil"/>
              <w:left w:val="nil"/>
              <w:bottom w:val="nil"/>
              <w:right w:val="single" w:sz="4" w:space="0" w:color="auto"/>
            </w:tcBorders>
            <w:shd w:val="clear" w:color="auto" w:fill="auto"/>
            <w:noWrap/>
            <w:vAlign w:val="center"/>
            <w:hideMark/>
          </w:tcPr>
          <w:p w14:paraId="5339B79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58A977D8" w14:textId="77777777" w:rsidTr="00596C0D">
        <w:trPr>
          <w:trHeight w:val="1335"/>
        </w:trPr>
        <w:tc>
          <w:tcPr>
            <w:tcW w:w="3136" w:type="dxa"/>
            <w:tcBorders>
              <w:top w:val="nil"/>
              <w:left w:val="single" w:sz="4" w:space="0" w:color="auto"/>
              <w:bottom w:val="nil"/>
              <w:right w:val="nil"/>
            </w:tcBorders>
            <w:shd w:val="clear" w:color="auto" w:fill="auto"/>
            <w:vAlign w:val="center"/>
            <w:hideMark/>
          </w:tcPr>
          <w:p w14:paraId="3176F133"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3C - Either Arts and Humanities OR Social Science</w:t>
            </w:r>
          </w:p>
        </w:tc>
        <w:tc>
          <w:tcPr>
            <w:tcW w:w="3776" w:type="dxa"/>
            <w:tcBorders>
              <w:top w:val="nil"/>
              <w:left w:val="nil"/>
              <w:bottom w:val="nil"/>
              <w:right w:val="nil"/>
            </w:tcBorders>
            <w:shd w:val="clear" w:color="auto" w:fill="auto"/>
            <w:vAlign w:val="center"/>
            <w:hideMark/>
          </w:tcPr>
          <w:p w14:paraId="3B100AD8" w14:textId="77777777" w:rsidR="00596C0D" w:rsidRPr="00596C0D" w:rsidRDefault="00596C0D" w:rsidP="00596C0D">
            <w:pPr>
              <w:rPr>
                <w:rFonts w:ascii="Calibri" w:eastAsia="Times New Roman" w:hAnsi="Calibri" w:cs="Calibri"/>
                <w:color w:val="000000"/>
                <w:sz w:val="20"/>
                <w:szCs w:val="20"/>
              </w:rPr>
            </w:pPr>
            <w:r w:rsidRPr="00596C0D">
              <w:rPr>
                <w:rFonts w:ascii="Calibri" w:eastAsia="Times New Roman" w:hAnsi="Calibri" w:cs="Calibri"/>
                <w:color w:val="000000"/>
                <w:sz w:val="20"/>
                <w:szCs w:val="20"/>
              </w:rPr>
              <w:t>ART, ASL, CHIN, CMAT, DANC, FREN, GERM, HIST, HONR, MDFL, MUSC, NURS, PHIL, SPAN, THEA, ANTH, CADR, ECON, FINA, GEOG, HIST, HONR, POSC, PSYC, SOCI</w:t>
            </w:r>
          </w:p>
        </w:tc>
        <w:tc>
          <w:tcPr>
            <w:tcW w:w="1376" w:type="dxa"/>
            <w:tcBorders>
              <w:top w:val="nil"/>
              <w:left w:val="nil"/>
              <w:bottom w:val="nil"/>
              <w:right w:val="nil"/>
            </w:tcBorders>
            <w:shd w:val="clear" w:color="auto" w:fill="auto"/>
            <w:noWrap/>
            <w:vAlign w:val="center"/>
            <w:hideMark/>
          </w:tcPr>
          <w:p w14:paraId="717CC7B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70%</w:t>
            </w:r>
          </w:p>
        </w:tc>
        <w:tc>
          <w:tcPr>
            <w:tcW w:w="956" w:type="dxa"/>
            <w:tcBorders>
              <w:top w:val="nil"/>
              <w:left w:val="nil"/>
              <w:bottom w:val="nil"/>
              <w:right w:val="nil"/>
            </w:tcBorders>
            <w:shd w:val="clear" w:color="auto" w:fill="auto"/>
            <w:noWrap/>
            <w:vAlign w:val="center"/>
            <w:hideMark/>
          </w:tcPr>
          <w:p w14:paraId="5B06FA71"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1474</w:t>
            </w:r>
          </w:p>
        </w:tc>
        <w:tc>
          <w:tcPr>
            <w:tcW w:w="1256" w:type="dxa"/>
            <w:tcBorders>
              <w:top w:val="nil"/>
              <w:left w:val="nil"/>
              <w:bottom w:val="nil"/>
              <w:right w:val="nil"/>
            </w:tcBorders>
            <w:shd w:val="clear" w:color="auto" w:fill="auto"/>
            <w:noWrap/>
            <w:vAlign w:val="center"/>
            <w:hideMark/>
          </w:tcPr>
          <w:p w14:paraId="35C2B32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25.3 </w:t>
            </w:r>
          </w:p>
        </w:tc>
        <w:tc>
          <w:tcPr>
            <w:tcW w:w="956" w:type="dxa"/>
            <w:tcBorders>
              <w:top w:val="nil"/>
              <w:left w:val="nil"/>
              <w:bottom w:val="nil"/>
              <w:right w:val="nil"/>
            </w:tcBorders>
            <w:shd w:val="clear" w:color="auto" w:fill="auto"/>
            <w:noWrap/>
            <w:vAlign w:val="center"/>
            <w:hideMark/>
          </w:tcPr>
          <w:p w14:paraId="0960449A" w14:textId="77777777" w:rsidR="00596C0D" w:rsidRPr="00596C0D" w:rsidRDefault="00596C0D" w:rsidP="00596C0D">
            <w:pPr>
              <w:jc w:val="right"/>
              <w:rPr>
                <w:rFonts w:ascii="Calibri" w:eastAsia="Times New Roman" w:hAnsi="Calibri" w:cs="Calibri"/>
                <w:color w:val="000000"/>
                <w:sz w:val="22"/>
              </w:rPr>
            </w:pPr>
          </w:p>
        </w:tc>
        <w:tc>
          <w:tcPr>
            <w:tcW w:w="1196" w:type="dxa"/>
            <w:tcBorders>
              <w:top w:val="nil"/>
              <w:left w:val="nil"/>
              <w:bottom w:val="nil"/>
              <w:right w:val="nil"/>
            </w:tcBorders>
            <w:shd w:val="clear" w:color="auto" w:fill="auto"/>
            <w:noWrap/>
            <w:vAlign w:val="center"/>
            <w:hideMark/>
          </w:tcPr>
          <w:p w14:paraId="4D348277" w14:textId="77777777" w:rsidR="00596C0D" w:rsidRPr="00596C0D" w:rsidRDefault="00596C0D" w:rsidP="00596C0D">
            <w:pPr>
              <w:jc w:val="right"/>
              <w:rPr>
                <w:rFonts w:eastAsia="Times New Roman" w:cs="Times New Roman"/>
                <w:sz w:val="20"/>
                <w:szCs w:val="20"/>
              </w:rPr>
            </w:pPr>
          </w:p>
        </w:tc>
        <w:tc>
          <w:tcPr>
            <w:tcW w:w="1278" w:type="dxa"/>
            <w:tcBorders>
              <w:top w:val="nil"/>
              <w:left w:val="nil"/>
              <w:bottom w:val="nil"/>
              <w:right w:val="nil"/>
            </w:tcBorders>
            <w:shd w:val="clear" w:color="auto" w:fill="auto"/>
            <w:noWrap/>
            <w:vAlign w:val="center"/>
            <w:hideMark/>
          </w:tcPr>
          <w:p w14:paraId="727DE3BF" w14:textId="77777777" w:rsidR="00596C0D" w:rsidRPr="00596C0D" w:rsidRDefault="00596C0D" w:rsidP="00596C0D">
            <w:pPr>
              <w:jc w:val="right"/>
              <w:rPr>
                <w:rFonts w:eastAsia="Times New Roman" w:cs="Times New Roman"/>
                <w:sz w:val="20"/>
                <w:szCs w:val="20"/>
              </w:rPr>
            </w:pPr>
          </w:p>
        </w:tc>
        <w:tc>
          <w:tcPr>
            <w:tcW w:w="1196" w:type="dxa"/>
            <w:tcBorders>
              <w:top w:val="nil"/>
              <w:left w:val="nil"/>
              <w:bottom w:val="nil"/>
              <w:right w:val="single" w:sz="4" w:space="0" w:color="auto"/>
            </w:tcBorders>
            <w:shd w:val="clear" w:color="auto" w:fill="auto"/>
            <w:noWrap/>
            <w:vAlign w:val="center"/>
            <w:hideMark/>
          </w:tcPr>
          <w:p w14:paraId="6297126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0BFEEFB6" w14:textId="77777777" w:rsidTr="00596C0D">
        <w:trPr>
          <w:trHeight w:val="360"/>
        </w:trPr>
        <w:tc>
          <w:tcPr>
            <w:tcW w:w="3136" w:type="dxa"/>
            <w:tcBorders>
              <w:top w:val="nil"/>
              <w:left w:val="single" w:sz="4" w:space="0" w:color="auto"/>
              <w:bottom w:val="single" w:sz="4" w:space="0" w:color="auto"/>
              <w:right w:val="nil"/>
            </w:tcBorders>
            <w:shd w:val="clear" w:color="000000" w:fill="D9D9D9"/>
            <w:vAlign w:val="center"/>
            <w:hideMark/>
          </w:tcPr>
          <w:p w14:paraId="78677A6C"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3A/3B/3C</w:t>
            </w:r>
          </w:p>
        </w:tc>
        <w:tc>
          <w:tcPr>
            <w:tcW w:w="3776" w:type="dxa"/>
            <w:tcBorders>
              <w:top w:val="nil"/>
              <w:left w:val="nil"/>
              <w:bottom w:val="single" w:sz="4" w:space="0" w:color="auto"/>
              <w:right w:val="nil"/>
            </w:tcBorders>
            <w:shd w:val="clear" w:color="000000" w:fill="D9D9D9"/>
            <w:vAlign w:val="center"/>
            <w:hideMark/>
          </w:tcPr>
          <w:p w14:paraId="34D08316"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All of the Above</w:t>
            </w:r>
          </w:p>
        </w:tc>
        <w:tc>
          <w:tcPr>
            <w:tcW w:w="1376" w:type="dxa"/>
            <w:tcBorders>
              <w:top w:val="nil"/>
              <w:left w:val="nil"/>
              <w:bottom w:val="single" w:sz="4" w:space="0" w:color="auto"/>
              <w:right w:val="nil"/>
            </w:tcBorders>
            <w:shd w:val="clear" w:color="000000" w:fill="D9D9D9"/>
            <w:noWrap/>
            <w:vAlign w:val="center"/>
            <w:hideMark/>
          </w:tcPr>
          <w:p w14:paraId="3E41B49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70%</w:t>
            </w:r>
          </w:p>
        </w:tc>
        <w:tc>
          <w:tcPr>
            <w:tcW w:w="956" w:type="dxa"/>
            <w:tcBorders>
              <w:top w:val="nil"/>
              <w:left w:val="nil"/>
              <w:bottom w:val="single" w:sz="4" w:space="0" w:color="auto"/>
              <w:right w:val="nil"/>
            </w:tcBorders>
            <w:shd w:val="clear" w:color="000000" w:fill="D9D9D9"/>
            <w:noWrap/>
            <w:vAlign w:val="center"/>
            <w:hideMark/>
          </w:tcPr>
          <w:p w14:paraId="79B9D74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4925</w:t>
            </w:r>
          </w:p>
        </w:tc>
        <w:tc>
          <w:tcPr>
            <w:tcW w:w="1256" w:type="dxa"/>
            <w:tcBorders>
              <w:top w:val="nil"/>
              <w:left w:val="nil"/>
              <w:bottom w:val="single" w:sz="4" w:space="0" w:color="auto"/>
              <w:right w:val="nil"/>
            </w:tcBorders>
            <w:shd w:val="clear" w:color="000000" w:fill="D9D9D9"/>
            <w:noWrap/>
            <w:vAlign w:val="center"/>
            <w:hideMark/>
          </w:tcPr>
          <w:p w14:paraId="6984912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29.3 </w:t>
            </w:r>
          </w:p>
        </w:tc>
        <w:tc>
          <w:tcPr>
            <w:tcW w:w="956" w:type="dxa"/>
            <w:tcBorders>
              <w:top w:val="nil"/>
              <w:left w:val="nil"/>
              <w:bottom w:val="single" w:sz="4" w:space="0" w:color="auto"/>
              <w:right w:val="nil"/>
            </w:tcBorders>
            <w:shd w:val="clear" w:color="000000" w:fill="D9D9D9"/>
            <w:noWrap/>
            <w:vAlign w:val="center"/>
            <w:hideMark/>
          </w:tcPr>
          <w:p w14:paraId="1DC0DD8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315 </w:t>
            </w:r>
          </w:p>
        </w:tc>
        <w:tc>
          <w:tcPr>
            <w:tcW w:w="1196" w:type="dxa"/>
            <w:tcBorders>
              <w:top w:val="nil"/>
              <w:left w:val="nil"/>
              <w:bottom w:val="single" w:sz="4" w:space="0" w:color="auto"/>
              <w:right w:val="nil"/>
            </w:tcBorders>
            <w:shd w:val="clear" w:color="000000" w:fill="D9D9D9"/>
            <w:noWrap/>
            <w:vAlign w:val="center"/>
            <w:hideMark/>
          </w:tcPr>
          <w:p w14:paraId="0AFF80E1"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168 </w:t>
            </w:r>
          </w:p>
        </w:tc>
        <w:tc>
          <w:tcPr>
            <w:tcW w:w="1278" w:type="dxa"/>
            <w:tcBorders>
              <w:top w:val="nil"/>
              <w:left w:val="nil"/>
              <w:bottom w:val="single" w:sz="4" w:space="0" w:color="auto"/>
              <w:right w:val="nil"/>
            </w:tcBorders>
            <w:shd w:val="clear" w:color="000000" w:fill="D9D9D9"/>
            <w:noWrap/>
            <w:vAlign w:val="center"/>
            <w:hideMark/>
          </w:tcPr>
          <w:p w14:paraId="06FFDC6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147 </w:t>
            </w:r>
          </w:p>
        </w:tc>
        <w:tc>
          <w:tcPr>
            <w:tcW w:w="1196" w:type="dxa"/>
            <w:tcBorders>
              <w:top w:val="nil"/>
              <w:left w:val="nil"/>
              <w:bottom w:val="single" w:sz="4" w:space="0" w:color="auto"/>
              <w:right w:val="single" w:sz="4" w:space="0" w:color="auto"/>
            </w:tcBorders>
            <w:shd w:val="clear" w:color="000000" w:fill="D9D9D9"/>
            <w:noWrap/>
            <w:vAlign w:val="center"/>
            <w:hideMark/>
          </w:tcPr>
          <w:p w14:paraId="20B6484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4DE6D55F" w14:textId="77777777" w:rsidTr="00596C0D">
        <w:trPr>
          <w:trHeight w:val="300"/>
        </w:trPr>
        <w:tc>
          <w:tcPr>
            <w:tcW w:w="3136" w:type="dxa"/>
            <w:tcBorders>
              <w:top w:val="nil"/>
              <w:left w:val="single" w:sz="4" w:space="0" w:color="auto"/>
              <w:bottom w:val="nil"/>
              <w:right w:val="nil"/>
            </w:tcBorders>
            <w:shd w:val="clear" w:color="auto" w:fill="auto"/>
            <w:noWrap/>
            <w:vAlign w:val="center"/>
            <w:hideMark/>
          </w:tcPr>
          <w:p w14:paraId="4E3EC387"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4A1 - Lab Science</w:t>
            </w:r>
          </w:p>
        </w:tc>
        <w:tc>
          <w:tcPr>
            <w:tcW w:w="3776" w:type="dxa"/>
            <w:tcBorders>
              <w:top w:val="nil"/>
              <w:left w:val="nil"/>
              <w:bottom w:val="nil"/>
              <w:right w:val="nil"/>
            </w:tcBorders>
            <w:shd w:val="clear" w:color="auto" w:fill="auto"/>
            <w:noWrap/>
            <w:vAlign w:val="center"/>
            <w:hideMark/>
          </w:tcPr>
          <w:p w14:paraId="58DFE48A"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BIOL, CHEM, PHYS, GEOG</w:t>
            </w:r>
          </w:p>
        </w:tc>
        <w:tc>
          <w:tcPr>
            <w:tcW w:w="1376" w:type="dxa"/>
            <w:tcBorders>
              <w:top w:val="nil"/>
              <w:left w:val="nil"/>
              <w:bottom w:val="nil"/>
              <w:right w:val="nil"/>
            </w:tcBorders>
            <w:shd w:val="clear" w:color="auto" w:fill="auto"/>
            <w:noWrap/>
            <w:vAlign w:val="center"/>
            <w:hideMark/>
          </w:tcPr>
          <w:p w14:paraId="204F5B7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75%</w:t>
            </w:r>
          </w:p>
        </w:tc>
        <w:tc>
          <w:tcPr>
            <w:tcW w:w="956" w:type="dxa"/>
            <w:tcBorders>
              <w:top w:val="nil"/>
              <w:left w:val="nil"/>
              <w:bottom w:val="nil"/>
              <w:right w:val="nil"/>
            </w:tcBorders>
            <w:shd w:val="clear" w:color="auto" w:fill="auto"/>
            <w:noWrap/>
            <w:vAlign w:val="center"/>
            <w:hideMark/>
          </w:tcPr>
          <w:p w14:paraId="1F74120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1808</w:t>
            </w:r>
          </w:p>
        </w:tc>
        <w:tc>
          <w:tcPr>
            <w:tcW w:w="1256" w:type="dxa"/>
            <w:tcBorders>
              <w:top w:val="nil"/>
              <w:left w:val="nil"/>
              <w:bottom w:val="nil"/>
              <w:right w:val="nil"/>
            </w:tcBorders>
            <w:shd w:val="clear" w:color="auto" w:fill="auto"/>
            <w:noWrap/>
            <w:vAlign w:val="center"/>
            <w:hideMark/>
          </w:tcPr>
          <w:p w14:paraId="42E4B32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21</w:t>
            </w:r>
          </w:p>
        </w:tc>
        <w:tc>
          <w:tcPr>
            <w:tcW w:w="956" w:type="dxa"/>
            <w:tcBorders>
              <w:top w:val="nil"/>
              <w:left w:val="nil"/>
              <w:bottom w:val="nil"/>
              <w:right w:val="nil"/>
            </w:tcBorders>
            <w:shd w:val="clear" w:color="auto" w:fill="auto"/>
            <w:noWrap/>
            <w:vAlign w:val="center"/>
            <w:hideMark/>
          </w:tcPr>
          <w:p w14:paraId="5AB95E0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148 </w:t>
            </w:r>
          </w:p>
        </w:tc>
        <w:tc>
          <w:tcPr>
            <w:tcW w:w="1196" w:type="dxa"/>
            <w:tcBorders>
              <w:top w:val="nil"/>
              <w:left w:val="nil"/>
              <w:bottom w:val="nil"/>
              <w:right w:val="nil"/>
            </w:tcBorders>
            <w:shd w:val="clear" w:color="auto" w:fill="auto"/>
            <w:noWrap/>
            <w:vAlign w:val="center"/>
            <w:hideMark/>
          </w:tcPr>
          <w:p w14:paraId="1459B067" w14:textId="77777777" w:rsidR="00596C0D" w:rsidRPr="00596C0D" w:rsidRDefault="00596C0D" w:rsidP="00596C0D">
            <w:pPr>
              <w:jc w:val="right"/>
              <w:rPr>
                <w:rFonts w:ascii="Calibri" w:eastAsia="Times New Roman" w:hAnsi="Calibri" w:cs="Calibri"/>
                <w:color w:val="000000"/>
                <w:sz w:val="22"/>
              </w:rPr>
            </w:pPr>
          </w:p>
        </w:tc>
        <w:tc>
          <w:tcPr>
            <w:tcW w:w="1278" w:type="dxa"/>
            <w:tcBorders>
              <w:top w:val="nil"/>
              <w:left w:val="nil"/>
              <w:bottom w:val="nil"/>
              <w:right w:val="nil"/>
            </w:tcBorders>
            <w:shd w:val="clear" w:color="auto" w:fill="auto"/>
            <w:noWrap/>
            <w:vAlign w:val="center"/>
            <w:hideMark/>
          </w:tcPr>
          <w:p w14:paraId="4FD1222E" w14:textId="77777777" w:rsidR="00596C0D" w:rsidRPr="00596C0D" w:rsidRDefault="00596C0D" w:rsidP="00596C0D">
            <w:pPr>
              <w:jc w:val="right"/>
              <w:rPr>
                <w:rFonts w:eastAsia="Times New Roman" w:cs="Times New Roman"/>
                <w:sz w:val="20"/>
                <w:szCs w:val="20"/>
              </w:rPr>
            </w:pPr>
          </w:p>
        </w:tc>
        <w:tc>
          <w:tcPr>
            <w:tcW w:w="1196" w:type="dxa"/>
            <w:tcBorders>
              <w:top w:val="nil"/>
              <w:left w:val="nil"/>
              <w:bottom w:val="nil"/>
              <w:right w:val="single" w:sz="4" w:space="0" w:color="auto"/>
            </w:tcBorders>
            <w:shd w:val="clear" w:color="auto" w:fill="auto"/>
            <w:noWrap/>
            <w:vAlign w:val="center"/>
            <w:hideMark/>
          </w:tcPr>
          <w:p w14:paraId="2519127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43E3CF3F" w14:textId="77777777" w:rsidTr="00596C0D">
        <w:trPr>
          <w:trHeight w:val="300"/>
        </w:trPr>
        <w:tc>
          <w:tcPr>
            <w:tcW w:w="3136" w:type="dxa"/>
            <w:tcBorders>
              <w:top w:val="nil"/>
              <w:left w:val="single" w:sz="4" w:space="0" w:color="auto"/>
              <w:bottom w:val="nil"/>
              <w:right w:val="nil"/>
            </w:tcBorders>
            <w:shd w:val="clear" w:color="auto" w:fill="auto"/>
            <w:noWrap/>
            <w:vAlign w:val="center"/>
            <w:hideMark/>
          </w:tcPr>
          <w:p w14:paraId="2B946B70"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4A2 - Lab Science</w:t>
            </w:r>
          </w:p>
        </w:tc>
        <w:tc>
          <w:tcPr>
            <w:tcW w:w="3776" w:type="dxa"/>
            <w:tcBorders>
              <w:top w:val="nil"/>
              <w:left w:val="nil"/>
              <w:bottom w:val="nil"/>
              <w:right w:val="nil"/>
            </w:tcBorders>
            <w:shd w:val="clear" w:color="auto" w:fill="auto"/>
            <w:noWrap/>
            <w:vAlign w:val="center"/>
            <w:hideMark/>
          </w:tcPr>
          <w:p w14:paraId="77EA7DED"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BIOL, CHEM, PHYS, GEOG</w:t>
            </w:r>
          </w:p>
        </w:tc>
        <w:tc>
          <w:tcPr>
            <w:tcW w:w="1376" w:type="dxa"/>
            <w:tcBorders>
              <w:top w:val="nil"/>
              <w:left w:val="nil"/>
              <w:bottom w:val="nil"/>
              <w:right w:val="nil"/>
            </w:tcBorders>
            <w:shd w:val="clear" w:color="auto" w:fill="auto"/>
            <w:noWrap/>
            <w:vAlign w:val="center"/>
            <w:hideMark/>
          </w:tcPr>
          <w:p w14:paraId="79EDEFE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75%</w:t>
            </w:r>
          </w:p>
        </w:tc>
        <w:tc>
          <w:tcPr>
            <w:tcW w:w="956" w:type="dxa"/>
            <w:tcBorders>
              <w:top w:val="nil"/>
              <w:left w:val="nil"/>
              <w:bottom w:val="nil"/>
              <w:right w:val="nil"/>
            </w:tcBorders>
            <w:shd w:val="clear" w:color="auto" w:fill="auto"/>
            <w:noWrap/>
            <w:vAlign w:val="center"/>
            <w:hideMark/>
          </w:tcPr>
          <w:p w14:paraId="381A104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1638</w:t>
            </w:r>
          </w:p>
        </w:tc>
        <w:tc>
          <w:tcPr>
            <w:tcW w:w="1256" w:type="dxa"/>
            <w:tcBorders>
              <w:top w:val="nil"/>
              <w:left w:val="nil"/>
              <w:bottom w:val="nil"/>
              <w:right w:val="nil"/>
            </w:tcBorders>
            <w:shd w:val="clear" w:color="auto" w:fill="auto"/>
            <w:noWrap/>
            <w:vAlign w:val="center"/>
            <w:hideMark/>
          </w:tcPr>
          <w:p w14:paraId="5AEEF15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21</w:t>
            </w:r>
          </w:p>
        </w:tc>
        <w:tc>
          <w:tcPr>
            <w:tcW w:w="956" w:type="dxa"/>
            <w:tcBorders>
              <w:top w:val="nil"/>
              <w:left w:val="nil"/>
              <w:bottom w:val="nil"/>
              <w:right w:val="nil"/>
            </w:tcBorders>
            <w:shd w:val="clear" w:color="auto" w:fill="auto"/>
            <w:noWrap/>
            <w:vAlign w:val="center"/>
            <w:hideMark/>
          </w:tcPr>
          <w:p w14:paraId="1BACB0D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147 </w:t>
            </w:r>
          </w:p>
        </w:tc>
        <w:tc>
          <w:tcPr>
            <w:tcW w:w="1196" w:type="dxa"/>
            <w:tcBorders>
              <w:top w:val="nil"/>
              <w:left w:val="nil"/>
              <w:bottom w:val="nil"/>
              <w:right w:val="nil"/>
            </w:tcBorders>
            <w:shd w:val="clear" w:color="auto" w:fill="auto"/>
            <w:noWrap/>
            <w:vAlign w:val="center"/>
            <w:hideMark/>
          </w:tcPr>
          <w:p w14:paraId="4B0981C6" w14:textId="77777777" w:rsidR="00596C0D" w:rsidRPr="00596C0D" w:rsidRDefault="00596C0D" w:rsidP="00596C0D">
            <w:pPr>
              <w:jc w:val="right"/>
              <w:rPr>
                <w:rFonts w:ascii="Calibri" w:eastAsia="Times New Roman" w:hAnsi="Calibri" w:cs="Calibri"/>
                <w:color w:val="000000"/>
                <w:sz w:val="22"/>
              </w:rPr>
            </w:pPr>
          </w:p>
        </w:tc>
        <w:tc>
          <w:tcPr>
            <w:tcW w:w="1278" w:type="dxa"/>
            <w:tcBorders>
              <w:top w:val="nil"/>
              <w:left w:val="nil"/>
              <w:bottom w:val="nil"/>
              <w:right w:val="nil"/>
            </w:tcBorders>
            <w:shd w:val="clear" w:color="auto" w:fill="auto"/>
            <w:noWrap/>
            <w:vAlign w:val="center"/>
            <w:hideMark/>
          </w:tcPr>
          <w:p w14:paraId="46C455F5" w14:textId="77777777" w:rsidR="00596C0D" w:rsidRPr="00596C0D" w:rsidRDefault="00596C0D" w:rsidP="00596C0D">
            <w:pPr>
              <w:jc w:val="right"/>
              <w:rPr>
                <w:rFonts w:eastAsia="Times New Roman" w:cs="Times New Roman"/>
                <w:sz w:val="20"/>
                <w:szCs w:val="20"/>
              </w:rPr>
            </w:pPr>
          </w:p>
        </w:tc>
        <w:tc>
          <w:tcPr>
            <w:tcW w:w="1196" w:type="dxa"/>
            <w:tcBorders>
              <w:top w:val="nil"/>
              <w:left w:val="nil"/>
              <w:bottom w:val="nil"/>
              <w:right w:val="single" w:sz="4" w:space="0" w:color="auto"/>
            </w:tcBorders>
            <w:shd w:val="clear" w:color="auto" w:fill="auto"/>
            <w:noWrap/>
            <w:vAlign w:val="center"/>
            <w:hideMark/>
          </w:tcPr>
          <w:p w14:paraId="7522675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0B86F01B" w14:textId="77777777" w:rsidTr="00596C0D">
        <w:trPr>
          <w:trHeight w:val="300"/>
        </w:trPr>
        <w:tc>
          <w:tcPr>
            <w:tcW w:w="3136" w:type="dxa"/>
            <w:tcBorders>
              <w:top w:val="nil"/>
              <w:left w:val="single" w:sz="4" w:space="0" w:color="auto"/>
              <w:bottom w:val="nil"/>
              <w:right w:val="nil"/>
            </w:tcBorders>
            <w:shd w:val="clear" w:color="auto" w:fill="auto"/>
            <w:noWrap/>
            <w:vAlign w:val="center"/>
            <w:hideMark/>
          </w:tcPr>
          <w:p w14:paraId="15927EED"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 xml:space="preserve">4B - </w:t>
            </w:r>
            <w:proofErr w:type="gramStart"/>
            <w:r w:rsidRPr="00596C0D">
              <w:rPr>
                <w:rFonts w:ascii="Calibri" w:eastAsia="Times New Roman" w:hAnsi="Calibri" w:cs="Calibri"/>
                <w:sz w:val="22"/>
              </w:rPr>
              <w:t>Non Lab</w:t>
            </w:r>
            <w:proofErr w:type="gramEnd"/>
            <w:r w:rsidRPr="00596C0D">
              <w:rPr>
                <w:rFonts w:ascii="Calibri" w:eastAsia="Times New Roman" w:hAnsi="Calibri" w:cs="Calibri"/>
                <w:sz w:val="22"/>
              </w:rPr>
              <w:t xml:space="preserve"> Science or Math</w:t>
            </w:r>
          </w:p>
        </w:tc>
        <w:tc>
          <w:tcPr>
            <w:tcW w:w="3776" w:type="dxa"/>
            <w:tcBorders>
              <w:top w:val="nil"/>
              <w:left w:val="single" w:sz="4" w:space="0" w:color="auto"/>
              <w:bottom w:val="nil"/>
              <w:right w:val="nil"/>
            </w:tcBorders>
            <w:shd w:val="clear" w:color="auto" w:fill="auto"/>
            <w:noWrap/>
            <w:vAlign w:val="center"/>
            <w:hideMark/>
          </w:tcPr>
          <w:p w14:paraId="301C182D"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BIOL, CHEM, PHYS, GEOG, COSC, MATH</w:t>
            </w:r>
          </w:p>
        </w:tc>
        <w:tc>
          <w:tcPr>
            <w:tcW w:w="1376" w:type="dxa"/>
            <w:tcBorders>
              <w:top w:val="nil"/>
              <w:left w:val="nil"/>
              <w:bottom w:val="nil"/>
              <w:right w:val="nil"/>
            </w:tcBorders>
            <w:shd w:val="clear" w:color="auto" w:fill="auto"/>
            <w:noWrap/>
            <w:vAlign w:val="center"/>
            <w:hideMark/>
          </w:tcPr>
          <w:p w14:paraId="40D8342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71%</w:t>
            </w:r>
          </w:p>
        </w:tc>
        <w:tc>
          <w:tcPr>
            <w:tcW w:w="956" w:type="dxa"/>
            <w:tcBorders>
              <w:top w:val="nil"/>
              <w:left w:val="nil"/>
              <w:bottom w:val="nil"/>
              <w:right w:val="nil"/>
            </w:tcBorders>
            <w:shd w:val="clear" w:color="auto" w:fill="auto"/>
            <w:noWrap/>
            <w:vAlign w:val="center"/>
            <w:hideMark/>
          </w:tcPr>
          <w:p w14:paraId="4156037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1619</w:t>
            </w:r>
          </w:p>
        </w:tc>
        <w:tc>
          <w:tcPr>
            <w:tcW w:w="1256" w:type="dxa"/>
            <w:tcBorders>
              <w:top w:val="nil"/>
              <w:left w:val="nil"/>
              <w:bottom w:val="nil"/>
              <w:right w:val="nil"/>
            </w:tcBorders>
            <w:shd w:val="clear" w:color="auto" w:fill="auto"/>
            <w:noWrap/>
            <w:vAlign w:val="center"/>
            <w:hideMark/>
          </w:tcPr>
          <w:p w14:paraId="1BD03F7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28</w:t>
            </w:r>
          </w:p>
        </w:tc>
        <w:tc>
          <w:tcPr>
            <w:tcW w:w="956" w:type="dxa"/>
            <w:tcBorders>
              <w:top w:val="nil"/>
              <w:left w:val="nil"/>
              <w:bottom w:val="nil"/>
              <w:right w:val="nil"/>
            </w:tcBorders>
            <w:shd w:val="clear" w:color="auto" w:fill="auto"/>
            <w:noWrap/>
            <w:vAlign w:val="center"/>
            <w:hideMark/>
          </w:tcPr>
          <w:p w14:paraId="1F1F20B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43 </w:t>
            </w:r>
          </w:p>
        </w:tc>
        <w:tc>
          <w:tcPr>
            <w:tcW w:w="1196" w:type="dxa"/>
            <w:tcBorders>
              <w:top w:val="nil"/>
              <w:left w:val="nil"/>
              <w:bottom w:val="nil"/>
              <w:right w:val="nil"/>
            </w:tcBorders>
            <w:shd w:val="clear" w:color="auto" w:fill="auto"/>
            <w:noWrap/>
            <w:vAlign w:val="center"/>
            <w:hideMark/>
          </w:tcPr>
          <w:p w14:paraId="083671E2" w14:textId="77777777" w:rsidR="00596C0D" w:rsidRPr="00596C0D" w:rsidRDefault="00596C0D" w:rsidP="00596C0D">
            <w:pPr>
              <w:jc w:val="right"/>
              <w:rPr>
                <w:rFonts w:ascii="Calibri" w:eastAsia="Times New Roman" w:hAnsi="Calibri" w:cs="Calibri"/>
                <w:color w:val="000000"/>
                <w:sz w:val="22"/>
              </w:rPr>
            </w:pPr>
          </w:p>
        </w:tc>
        <w:tc>
          <w:tcPr>
            <w:tcW w:w="1278" w:type="dxa"/>
            <w:tcBorders>
              <w:top w:val="nil"/>
              <w:left w:val="nil"/>
              <w:bottom w:val="nil"/>
              <w:right w:val="nil"/>
            </w:tcBorders>
            <w:shd w:val="clear" w:color="auto" w:fill="auto"/>
            <w:noWrap/>
            <w:vAlign w:val="center"/>
            <w:hideMark/>
          </w:tcPr>
          <w:p w14:paraId="2BBBB26F" w14:textId="77777777" w:rsidR="00596C0D" w:rsidRPr="00596C0D" w:rsidRDefault="00596C0D" w:rsidP="00596C0D">
            <w:pPr>
              <w:jc w:val="right"/>
              <w:rPr>
                <w:rFonts w:eastAsia="Times New Roman" w:cs="Times New Roman"/>
                <w:sz w:val="20"/>
                <w:szCs w:val="20"/>
              </w:rPr>
            </w:pPr>
          </w:p>
        </w:tc>
        <w:tc>
          <w:tcPr>
            <w:tcW w:w="1196" w:type="dxa"/>
            <w:tcBorders>
              <w:top w:val="nil"/>
              <w:left w:val="nil"/>
              <w:bottom w:val="nil"/>
              <w:right w:val="single" w:sz="4" w:space="0" w:color="auto"/>
            </w:tcBorders>
            <w:shd w:val="clear" w:color="auto" w:fill="auto"/>
            <w:noWrap/>
            <w:vAlign w:val="center"/>
            <w:hideMark/>
          </w:tcPr>
          <w:p w14:paraId="5AB9232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1E841EFE" w14:textId="77777777" w:rsidTr="00596C0D">
        <w:trPr>
          <w:trHeight w:val="345"/>
        </w:trPr>
        <w:tc>
          <w:tcPr>
            <w:tcW w:w="3136" w:type="dxa"/>
            <w:tcBorders>
              <w:top w:val="nil"/>
              <w:left w:val="single" w:sz="4" w:space="0" w:color="auto"/>
              <w:bottom w:val="single" w:sz="4" w:space="0" w:color="auto"/>
              <w:right w:val="nil"/>
            </w:tcBorders>
            <w:shd w:val="clear" w:color="000000" w:fill="D9D9D9"/>
            <w:vAlign w:val="center"/>
            <w:hideMark/>
          </w:tcPr>
          <w:p w14:paraId="52B5FA39"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4A/4B</w:t>
            </w:r>
          </w:p>
        </w:tc>
        <w:tc>
          <w:tcPr>
            <w:tcW w:w="3776" w:type="dxa"/>
            <w:tcBorders>
              <w:top w:val="nil"/>
              <w:left w:val="nil"/>
              <w:bottom w:val="single" w:sz="4" w:space="0" w:color="auto"/>
              <w:right w:val="nil"/>
            </w:tcBorders>
            <w:shd w:val="clear" w:color="000000" w:fill="D9D9D9"/>
            <w:vAlign w:val="center"/>
            <w:hideMark/>
          </w:tcPr>
          <w:p w14:paraId="2A4D4250"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All of the Above</w:t>
            </w:r>
          </w:p>
        </w:tc>
        <w:tc>
          <w:tcPr>
            <w:tcW w:w="1376" w:type="dxa"/>
            <w:tcBorders>
              <w:top w:val="nil"/>
              <w:left w:val="nil"/>
              <w:bottom w:val="single" w:sz="4" w:space="0" w:color="auto"/>
              <w:right w:val="nil"/>
            </w:tcBorders>
            <w:shd w:val="clear" w:color="000000" w:fill="D9D9D9"/>
            <w:noWrap/>
            <w:vAlign w:val="center"/>
            <w:hideMark/>
          </w:tcPr>
          <w:p w14:paraId="70F5B63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74%</w:t>
            </w:r>
          </w:p>
        </w:tc>
        <w:tc>
          <w:tcPr>
            <w:tcW w:w="956" w:type="dxa"/>
            <w:tcBorders>
              <w:top w:val="nil"/>
              <w:left w:val="nil"/>
              <w:bottom w:val="single" w:sz="4" w:space="0" w:color="auto"/>
              <w:right w:val="nil"/>
            </w:tcBorders>
            <w:shd w:val="clear" w:color="000000" w:fill="D9D9D9"/>
            <w:noWrap/>
            <w:vAlign w:val="center"/>
            <w:hideMark/>
          </w:tcPr>
          <w:p w14:paraId="1D5CADA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5064</w:t>
            </w:r>
          </w:p>
        </w:tc>
        <w:tc>
          <w:tcPr>
            <w:tcW w:w="1256" w:type="dxa"/>
            <w:tcBorders>
              <w:top w:val="nil"/>
              <w:left w:val="nil"/>
              <w:bottom w:val="single" w:sz="4" w:space="0" w:color="auto"/>
              <w:right w:val="nil"/>
            </w:tcBorders>
            <w:shd w:val="clear" w:color="000000" w:fill="D9D9D9"/>
            <w:vAlign w:val="center"/>
            <w:hideMark/>
          </w:tcPr>
          <w:p w14:paraId="077DDC5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22.3 </w:t>
            </w:r>
          </w:p>
        </w:tc>
        <w:tc>
          <w:tcPr>
            <w:tcW w:w="956" w:type="dxa"/>
            <w:tcBorders>
              <w:top w:val="nil"/>
              <w:left w:val="nil"/>
              <w:bottom w:val="single" w:sz="4" w:space="0" w:color="auto"/>
              <w:right w:val="nil"/>
            </w:tcBorders>
            <w:shd w:val="clear" w:color="000000" w:fill="D9D9D9"/>
            <w:noWrap/>
            <w:vAlign w:val="center"/>
            <w:hideMark/>
          </w:tcPr>
          <w:p w14:paraId="0279FFA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338 </w:t>
            </w:r>
          </w:p>
        </w:tc>
        <w:tc>
          <w:tcPr>
            <w:tcW w:w="1196" w:type="dxa"/>
            <w:tcBorders>
              <w:top w:val="nil"/>
              <w:left w:val="nil"/>
              <w:bottom w:val="single" w:sz="4" w:space="0" w:color="auto"/>
              <w:right w:val="nil"/>
            </w:tcBorders>
            <w:shd w:val="clear" w:color="000000" w:fill="D9D9D9"/>
            <w:vAlign w:val="center"/>
            <w:hideMark/>
          </w:tcPr>
          <w:p w14:paraId="1D5220B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227 </w:t>
            </w:r>
          </w:p>
        </w:tc>
        <w:tc>
          <w:tcPr>
            <w:tcW w:w="1278" w:type="dxa"/>
            <w:tcBorders>
              <w:top w:val="nil"/>
              <w:left w:val="nil"/>
              <w:bottom w:val="single" w:sz="4" w:space="0" w:color="auto"/>
              <w:right w:val="nil"/>
            </w:tcBorders>
            <w:shd w:val="clear" w:color="000000" w:fill="D9D9D9"/>
            <w:noWrap/>
            <w:vAlign w:val="center"/>
            <w:hideMark/>
          </w:tcPr>
          <w:p w14:paraId="72BD949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111 </w:t>
            </w:r>
          </w:p>
        </w:tc>
        <w:tc>
          <w:tcPr>
            <w:tcW w:w="1196" w:type="dxa"/>
            <w:tcBorders>
              <w:top w:val="nil"/>
              <w:left w:val="nil"/>
              <w:bottom w:val="single" w:sz="4" w:space="0" w:color="auto"/>
              <w:right w:val="single" w:sz="4" w:space="0" w:color="auto"/>
            </w:tcBorders>
            <w:shd w:val="clear" w:color="000000" w:fill="D9D9D9"/>
            <w:noWrap/>
            <w:vAlign w:val="center"/>
            <w:hideMark/>
          </w:tcPr>
          <w:p w14:paraId="6DF9AD8E"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27889080" w14:textId="77777777" w:rsidTr="00596C0D">
        <w:trPr>
          <w:trHeight w:val="300"/>
        </w:trPr>
        <w:tc>
          <w:tcPr>
            <w:tcW w:w="3136" w:type="dxa"/>
            <w:tcBorders>
              <w:top w:val="nil"/>
              <w:left w:val="single" w:sz="4" w:space="0" w:color="auto"/>
              <w:bottom w:val="single" w:sz="4" w:space="0" w:color="auto"/>
              <w:right w:val="single" w:sz="4" w:space="0" w:color="auto"/>
            </w:tcBorders>
            <w:shd w:val="clear" w:color="000000" w:fill="D9D9D9"/>
            <w:vAlign w:val="center"/>
            <w:hideMark/>
          </w:tcPr>
          <w:p w14:paraId="4DA5BA3C"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4C - Mathematics</w:t>
            </w:r>
          </w:p>
        </w:tc>
        <w:tc>
          <w:tcPr>
            <w:tcW w:w="3776" w:type="dxa"/>
            <w:tcBorders>
              <w:top w:val="nil"/>
              <w:left w:val="nil"/>
              <w:bottom w:val="single" w:sz="4" w:space="0" w:color="auto"/>
              <w:right w:val="single" w:sz="4" w:space="0" w:color="auto"/>
            </w:tcBorders>
            <w:shd w:val="clear" w:color="000000" w:fill="D9D9D9"/>
            <w:vAlign w:val="center"/>
            <w:hideMark/>
          </w:tcPr>
          <w:p w14:paraId="69E65FF8"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MATH</w:t>
            </w:r>
          </w:p>
        </w:tc>
        <w:tc>
          <w:tcPr>
            <w:tcW w:w="1376" w:type="dxa"/>
            <w:tcBorders>
              <w:top w:val="nil"/>
              <w:left w:val="nil"/>
              <w:bottom w:val="single" w:sz="4" w:space="0" w:color="auto"/>
              <w:right w:val="single" w:sz="4" w:space="0" w:color="auto"/>
            </w:tcBorders>
            <w:shd w:val="clear" w:color="000000" w:fill="D9D9D9"/>
            <w:vAlign w:val="center"/>
            <w:hideMark/>
          </w:tcPr>
          <w:p w14:paraId="45FC949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65%</w:t>
            </w:r>
          </w:p>
        </w:tc>
        <w:tc>
          <w:tcPr>
            <w:tcW w:w="956" w:type="dxa"/>
            <w:tcBorders>
              <w:top w:val="nil"/>
              <w:left w:val="nil"/>
              <w:bottom w:val="single" w:sz="4" w:space="0" w:color="auto"/>
              <w:right w:val="single" w:sz="4" w:space="0" w:color="auto"/>
            </w:tcBorders>
            <w:shd w:val="clear" w:color="000000" w:fill="D9D9D9"/>
            <w:noWrap/>
            <w:vAlign w:val="center"/>
            <w:hideMark/>
          </w:tcPr>
          <w:p w14:paraId="05DC78F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1570</w:t>
            </w:r>
          </w:p>
        </w:tc>
        <w:tc>
          <w:tcPr>
            <w:tcW w:w="1256" w:type="dxa"/>
            <w:tcBorders>
              <w:top w:val="nil"/>
              <w:left w:val="nil"/>
              <w:bottom w:val="single" w:sz="4" w:space="0" w:color="auto"/>
              <w:right w:val="single" w:sz="4" w:space="0" w:color="auto"/>
            </w:tcBorders>
            <w:shd w:val="clear" w:color="000000" w:fill="D9D9D9"/>
            <w:vAlign w:val="center"/>
            <w:hideMark/>
          </w:tcPr>
          <w:p w14:paraId="761939A0"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26.6</w:t>
            </w:r>
          </w:p>
        </w:tc>
        <w:tc>
          <w:tcPr>
            <w:tcW w:w="956" w:type="dxa"/>
            <w:tcBorders>
              <w:top w:val="nil"/>
              <w:left w:val="nil"/>
              <w:bottom w:val="single" w:sz="4" w:space="0" w:color="auto"/>
              <w:right w:val="single" w:sz="4" w:space="0" w:color="auto"/>
            </w:tcBorders>
            <w:shd w:val="clear" w:color="000000" w:fill="D9D9D9"/>
            <w:noWrap/>
            <w:vAlign w:val="center"/>
            <w:hideMark/>
          </w:tcPr>
          <w:p w14:paraId="40C49B2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127 </w:t>
            </w:r>
          </w:p>
        </w:tc>
        <w:tc>
          <w:tcPr>
            <w:tcW w:w="1196" w:type="dxa"/>
            <w:tcBorders>
              <w:top w:val="nil"/>
              <w:left w:val="nil"/>
              <w:bottom w:val="single" w:sz="4" w:space="0" w:color="auto"/>
              <w:right w:val="single" w:sz="4" w:space="0" w:color="auto"/>
            </w:tcBorders>
            <w:shd w:val="clear" w:color="000000" w:fill="D9D9D9"/>
            <w:noWrap/>
            <w:vAlign w:val="center"/>
            <w:hideMark/>
          </w:tcPr>
          <w:p w14:paraId="5181BE20"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59</w:t>
            </w:r>
          </w:p>
        </w:tc>
        <w:tc>
          <w:tcPr>
            <w:tcW w:w="1278" w:type="dxa"/>
            <w:tcBorders>
              <w:top w:val="nil"/>
              <w:left w:val="nil"/>
              <w:bottom w:val="single" w:sz="4" w:space="0" w:color="auto"/>
              <w:right w:val="single" w:sz="4" w:space="0" w:color="auto"/>
            </w:tcBorders>
            <w:shd w:val="clear" w:color="000000" w:fill="D9D9D9"/>
            <w:noWrap/>
            <w:vAlign w:val="center"/>
            <w:hideMark/>
          </w:tcPr>
          <w:p w14:paraId="7967B4F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68 </w:t>
            </w:r>
          </w:p>
        </w:tc>
        <w:tc>
          <w:tcPr>
            <w:tcW w:w="1196" w:type="dxa"/>
            <w:tcBorders>
              <w:top w:val="nil"/>
              <w:left w:val="nil"/>
              <w:bottom w:val="single" w:sz="4" w:space="0" w:color="auto"/>
              <w:right w:val="single" w:sz="4" w:space="0" w:color="auto"/>
            </w:tcBorders>
            <w:shd w:val="clear" w:color="000000" w:fill="D9D9D9"/>
            <w:noWrap/>
            <w:vAlign w:val="center"/>
            <w:hideMark/>
          </w:tcPr>
          <w:p w14:paraId="1A96D57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0F56650F" w14:textId="77777777" w:rsidTr="00596C0D">
        <w:trPr>
          <w:trHeight w:val="300"/>
        </w:trPr>
        <w:tc>
          <w:tcPr>
            <w:tcW w:w="3136" w:type="dxa"/>
            <w:tcBorders>
              <w:top w:val="nil"/>
              <w:left w:val="single" w:sz="4" w:space="0" w:color="auto"/>
              <w:bottom w:val="single" w:sz="4" w:space="0" w:color="auto"/>
              <w:right w:val="single" w:sz="4" w:space="0" w:color="auto"/>
            </w:tcBorders>
            <w:shd w:val="clear" w:color="000000" w:fill="D9D9D9"/>
            <w:vAlign w:val="center"/>
            <w:hideMark/>
          </w:tcPr>
          <w:p w14:paraId="3D1C368C"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5 - Fitness &amp; Wellness</w:t>
            </w:r>
          </w:p>
        </w:tc>
        <w:tc>
          <w:tcPr>
            <w:tcW w:w="3776" w:type="dxa"/>
            <w:tcBorders>
              <w:top w:val="nil"/>
              <w:left w:val="nil"/>
              <w:bottom w:val="single" w:sz="4" w:space="0" w:color="auto"/>
              <w:right w:val="single" w:sz="4" w:space="0" w:color="auto"/>
            </w:tcBorders>
            <w:shd w:val="clear" w:color="000000" w:fill="D9D9D9"/>
            <w:vAlign w:val="center"/>
            <w:hideMark/>
          </w:tcPr>
          <w:p w14:paraId="7E656D9A"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FTWL</w:t>
            </w:r>
          </w:p>
        </w:tc>
        <w:tc>
          <w:tcPr>
            <w:tcW w:w="1376" w:type="dxa"/>
            <w:tcBorders>
              <w:top w:val="nil"/>
              <w:left w:val="nil"/>
              <w:bottom w:val="single" w:sz="4" w:space="0" w:color="auto"/>
              <w:right w:val="single" w:sz="4" w:space="0" w:color="auto"/>
            </w:tcBorders>
            <w:shd w:val="clear" w:color="000000" w:fill="D9D9D9"/>
            <w:noWrap/>
            <w:vAlign w:val="center"/>
            <w:hideMark/>
          </w:tcPr>
          <w:p w14:paraId="142A977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81%</w:t>
            </w:r>
          </w:p>
        </w:tc>
        <w:tc>
          <w:tcPr>
            <w:tcW w:w="956" w:type="dxa"/>
            <w:tcBorders>
              <w:top w:val="nil"/>
              <w:left w:val="nil"/>
              <w:bottom w:val="single" w:sz="4" w:space="0" w:color="auto"/>
              <w:right w:val="single" w:sz="4" w:space="0" w:color="auto"/>
            </w:tcBorders>
            <w:shd w:val="clear" w:color="000000" w:fill="D9D9D9"/>
            <w:noWrap/>
            <w:vAlign w:val="center"/>
            <w:hideMark/>
          </w:tcPr>
          <w:p w14:paraId="4102A200"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1922</w:t>
            </w:r>
          </w:p>
        </w:tc>
        <w:tc>
          <w:tcPr>
            <w:tcW w:w="1256" w:type="dxa"/>
            <w:tcBorders>
              <w:top w:val="nil"/>
              <w:left w:val="nil"/>
              <w:bottom w:val="single" w:sz="4" w:space="0" w:color="auto"/>
              <w:right w:val="single" w:sz="4" w:space="0" w:color="auto"/>
            </w:tcBorders>
            <w:shd w:val="clear" w:color="000000" w:fill="D9D9D9"/>
            <w:noWrap/>
            <w:vAlign w:val="center"/>
            <w:hideMark/>
          </w:tcPr>
          <w:p w14:paraId="1D0DC30D"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39.6</w:t>
            </w:r>
          </w:p>
        </w:tc>
        <w:tc>
          <w:tcPr>
            <w:tcW w:w="956" w:type="dxa"/>
            <w:tcBorders>
              <w:top w:val="nil"/>
              <w:left w:val="nil"/>
              <w:bottom w:val="single" w:sz="4" w:space="0" w:color="auto"/>
              <w:right w:val="single" w:sz="4" w:space="0" w:color="auto"/>
            </w:tcBorders>
            <w:shd w:val="clear" w:color="000000" w:fill="D9D9D9"/>
            <w:noWrap/>
            <w:vAlign w:val="center"/>
            <w:hideMark/>
          </w:tcPr>
          <w:p w14:paraId="3400968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52 </w:t>
            </w:r>
          </w:p>
        </w:tc>
        <w:tc>
          <w:tcPr>
            <w:tcW w:w="1196" w:type="dxa"/>
            <w:tcBorders>
              <w:top w:val="nil"/>
              <w:left w:val="nil"/>
              <w:bottom w:val="single" w:sz="4" w:space="0" w:color="auto"/>
              <w:right w:val="single" w:sz="4" w:space="0" w:color="auto"/>
            </w:tcBorders>
            <w:shd w:val="clear" w:color="000000" w:fill="D9D9D9"/>
            <w:noWrap/>
            <w:vAlign w:val="center"/>
            <w:hideMark/>
          </w:tcPr>
          <w:p w14:paraId="159B737D"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48</w:t>
            </w:r>
          </w:p>
        </w:tc>
        <w:tc>
          <w:tcPr>
            <w:tcW w:w="1278" w:type="dxa"/>
            <w:tcBorders>
              <w:top w:val="nil"/>
              <w:left w:val="nil"/>
              <w:bottom w:val="single" w:sz="4" w:space="0" w:color="auto"/>
              <w:right w:val="single" w:sz="4" w:space="0" w:color="auto"/>
            </w:tcBorders>
            <w:shd w:val="clear" w:color="000000" w:fill="D9D9D9"/>
            <w:noWrap/>
            <w:vAlign w:val="center"/>
            <w:hideMark/>
          </w:tcPr>
          <w:p w14:paraId="07AA4FF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4 </w:t>
            </w:r>
          </w:p>
        </w:tc>
        <w:tc>
          <w:tcPr>
            <w:tcW w:w="1196" w:type="dxa"/>
            <w:tcBorders>
              <w:top w:val="nil"/>
              <w:left w:val="nil"/>
              <w:bottom w:val="single" w:sz="4" w:space="0" w:color="auto"/>
              <w:right w:val="single" w:sz="4" w:space="0" w:color="auto"/>
            </w:tcBorders>
            <w:shd w:val="clear" w:color="000000" w:fill="D9D9D9"/>
            <w:noWrap/>
            <w:vAlign w:val="center"/>
            <w:hideMark/>
          </w:tcPr>
          <w:p w14:paraId="2BCA6A2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5C63D211" w14:textId="77777777" w:rsidTr="00596C0D">
        <w:trPr>
          <w:trHeight w:val="300"/>
        </w:trPr>
        <w:tc>
          <w:tcPr>
            <w:tcW w:w="3136" w:type="dxa"/>
            <w:tcBorders>
              <w:top w:val="nil"/>
              <w:left w:val="nil"/>
              <w:bottom w:val="nil"/>
              <w:right w:val="nil"/>
            </w:tcBorders>
            <w:shd w:val="clear" w:color="000000" w:fill="BDD7EE"/>
            <w:vAlign w:val="center"/>
            <w:hideMark/>
          </w:tcPr>
          <w:p w14:paraId="006FA79A"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Net Gain/(Loss)</w:t>
            </w:r>
          </w:p>
        </w:tc>
        <w:tc>
          <w:tcPr>
            <w:tcW w:w="3776" w:type="dxa"/>
            <w:tcBorders>
              <w:top w:val="nil"/>
              <w:left w:val="nil"/>
              <w:bottom w:val="nil"/>
              <w:right w:val="nil"/>
            </w:tcBorders>
            <w:shd w:val="clear" w:color="000000" w:fill="BDD7EE"/>
            <w:vAlign w:val="center"/>
            <w:hideMark/>
          </w:tcPr>
          <w:p w14:paraId="567D666E"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1376" w:type="dxa"/>
            <w:tcBorders>
              <w:top w:val="nil"/>
              <w:left w:val="nil"/>
              <w:bottom w:val="nil"/>
              <w:right w:val="nil"/>
            </w:tcBorders>
            <w:shd w:val="clear" w:color="000000" w:fill="BDD7EE"/>
            <w:vAlign w:val="center"/>
            <w:hideMark/>
          </w:tcPr>
          <w:p w14:paraId="23CF7F9A"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956" w:type="dxa"/>
            <w:tcBorders>
              <w:top w:val="nil"/>
              <w:left w:val="nil"/>
              <w:bottom w:val="nil"/>
              <w:right w:val="nil"/>
            </w:tcBorders>
            <w:shd w:val="clear" w:color="000000" w:fill="BDD7EE"/>
            <w:vAlign w:val="center"/>
            <w:hideMark/>
          </w:tcPr>
          <w:p w14:paraId="6A5EFCA0"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1256" w:type="dxa"/>
            <w:tcBorders>
              <w:top w:val="nil"/>
              <w:left w:val="nil"/>
              <w:bottom w:val="nil"/>
              <w:right w:val="nil"/>
            </w:tcBorders>
            <w:shd w:val="clear" w:color="000000" w:fill="BDD7EE"/>
            <w:vAlign w:val="center"/>
            <w:hideMark/>
          </w:tcPr>
          <w:p w14:paraId="590E837B"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956" w:type="dxa"/>
            <w:tcBorders>
              <w:top w:val="nil"/>
              <w:left w:val="nil"/>
              <w:bottom w:val="nil"/>
              <w:right w:val="nil"/>
            </w:tcBorders>
            <w:shd w:val="clear" w:color="000000" w:fill="BDD7EE"/>
            <w:vAlign w:val="center"/>
            <w:hideMark/>
          </w:tcPr>
          <w:p w14:paraId="1CD6DB1B"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1196" w:type="dxa"/>
            <w:tcBorders>
              <w:top w:val="nil"/>
              <w:left w:val="nil"/>
              <w:bottom w:val="nil"/>
              <w:right w:val="nil"/>
            </w:tcBorders>
            <w:shd w:val="clear" w:color="000000" w:fill="BDD7EE"/>
            <w:vAlign w:val="center"/>
            <w:hideMark/>
          </w:tcPr>
          <w:p w14:paraId="79A050FB"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1278" w:type="dxa"/>
            <w:tcBorders>
              <w:top w:val="nil"/>
              <w:left w:val="nil"/>
              <w:bottom w:val="nil"/>
              <w:right w:val="nil"/>
            </w:tcBorders>
            <w:shd w:val="clear" w:color="000000" w:fill="BDD7EE"/>
            <w:vAlign w:val="center"/>
            <w:hideMark/>
          </w:tcPr>
          <w:p w14:paraId="164F938A"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1196" w:type="dxa"/>
            <w:tcBorders>
              <w:top w:val="nil"/>
              <w:left w:val="single" w:sz="4" w:space="0" w:color="auto"/>
              <w:bottom w:val="single" w:sz="4" w:space="0" w:color="auto"/>
              <w:right w:val="single" w:sz="4" w:space="0" w:color="auto"/>
            </w:tcBorders>
            <w:shd w:val="clear" w:color="000000" w:fill="FFFF00"/>
            <w:noWrap/>
            <w:vAlign w:val="center"/>
            <w:hideMark/>
          </w:tcPr>
          <w:p w14:paraId="05DBCD6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bl>
    <w:p w14:paraId="0695C97F" w14:textId="610CF5C2" w:rsidR="00267B98" w:rsidRDefault="00267B98" w:rsidP="00596C0D"/>
    <w:p w14:paraId="493D0837" w14:textId="77777777" w:rsidR="00596C0D" w:rsidRDefault="00596C0D" w:rsidP="00596C0D"/>
    <w:tbl>
      <w:tblPr>
        <w:tblW w:w="15484" w:type="dxa"/>
        <w:tblLook w:val="04A0" w:firstRow="1" w:lastRow="0" w:firstColumn="1" w:lastColumn="0" w:noHBand="0" w:noVBand="1"/>
      </w:tblPr>
      <w:tblGrid>
        <w:gridCol w:w="2824"/>
        <w:gridCol w:w="2632"/>
        <w:gridCol w:w="2356"/>
        <w:gridCol w:w="956"/>
        <w:gridCol w:w="1256"/>
        <w:gridCol w:w="956"/>
        <w:gridCol w:w="1196"/>
        <w:gridCol w:w="1156"/>
        <w:gridCol w:w="1196"/>
        <w:gridCol w:w="978"/>
      </w:tblGrid>
      <w:tr w:rsidR="00596C0D" w:rsidRPr="00596C0D" w14:paraId="62F765ED" w14:textId="77777777" w:rsidTr="00596C0D">
        <w:trPr>
          <w:trHeight w:val="375"/>
        </w:trPr>
        <w:tc>
          <w:tcPr>
            <w:tcW w:w="5456" w:type="dxa"/>
            <w:gridSpan w:val="2"/>
            <w:tcBorders>
              <w:top w:val="nil"/>
              <w:left w:val="nil"/>
              <w:bottom w:val="nil"/>
              <w:right w:val="nil"/>
            </w:tcBorders>
            <w:shd w:val="clear" w:color="auto" w:fill="auto"/>
            <w:noWrap/>
            <w:vAlign w:val="bottom"/>
            <w:hideMark/>
          </w:tcPr>
          <w:p w14:paraId="53642F95" w14:textId="77777777" w:rsidR="00596C0D" w:rsidRPr="00596C0D" w:rsidRDefault="00596C0D" w:rsidP="00596C0D">
            <w:pPr>
              <w:rPr>
                <w:rFonts w:ascii="Calibri" w:eastAsia="Times New Roman" w:hAnsi="Calibri" w:cs="Calibri"/>
                <w:color w:val="000000"/>
                <w:sz w:val="28"/>
                <w:szCs w:val="28"/>
              </w:rPr>
            </w:pPr>
            <w:proofErr w:type="spellStart"/>
            <w:r w:rsidRPr="00596C0D">
              <w:rPr>
                <w:rFonts w:ascii="Calibri" w:eastAsia="Times New Roman" w:hAnsi="Calibri" w:cs="Calibri"/>
                <w:color w:val="000000"/>
                <w:sz w:val="28"/>
                <w:szCs w:val="28"/>
              </w:rPr>
              <w:t>GenEd</w:t>
            </w:r>
            <w:proofErr w:type="spellEnd"/>
            <w:r w:rsidRPr="00596C0D">
              <w:rPr>
                <w:rFonts w:ascii="Calibri" w:eastAsia="Times New Roman" w:hAnsi="Calibri" w:cs="Calibri"/>
                <w:color w:val="000000"/>
                <w:sz w:val="28"/>
                <w:szCs w:val="28"/>
              </w:rPr>
              <w:t xml:space="preserve"> Demand Scenarios</w:t>
            </w:r>
          </w:p>
        </w:tc>
        <w:tc>
          <w:tcPr>
            <w:tcW w:w="2356" w:type="dxa"/>
            <w:tcBorders>
              <w:top w:val="nil"/>
              <w:left w:val="nil"/>
              <w:bottom w:val="nil"/>
              <w:right w:val="nil"/>
            </w:tcBorders>
            <w:shd w:val="clear" w:color="auto" w:fill="auto"/>
            <w:noWrap/>
            <w:vAlign w:val="bottom"/>
            <w:hideMark/>
          </w:tcPr>
          <w:p w14:paraId="458257BF" w14:textId="77777777" w:rsidR="00596C0D" w:rsidRPr="00596C0D" w:rsidRDefault="00596C0D" w:rsidP="00596C0D">
            <w:pPr>
              <w:rPr>
                <w:rFonts w:ascii="Calibri" w:eastAsia="Times New Roman" w:hAnsi="Calibri" w:cs="Calibri"/>
                <w:color w:val="000000"/>
                <w:sz w:val="28"/>
                <w:szCs w:val="28"/>
              </w:rPr>
            </w:pPr>
          </w:p>
        </w:tc>
        <w:tc>
          <w:tcPr>
            <w:tcW w:w="956" w:type="dxa"/>
            <w:tcBorders>
              <w:top w:val="nil"/>
              <w:left w:val="nil"/>
              <w:bottom w:val="nil"/>
              <w:right w:val="nil"/>
            </w:tcBorders>
            <w:shd w:val="clear" w:color="auto" w:fill="auto"/>
            <w:noWrap/>
            <w:vAlign w:val="bottom"/>
            <w:hideMark/>
          </w:tcPr>
          <w:p w14:paraId="346D1FEA" w14:textId="77777777" w:rsidR="00596C0D" w:rsidRPr="00596C0D" w:rsidRDefault="00596C0D" w:rsidP="00596C0D">
            <w:pPr>
              <w:rPr>
                <w:rFonts w:eastAsia="Times New Roman" w:cs="Times New Roman"/>
                <w:sz w:val="20"/>
                <w:szCs w:val="20"/>
              </w:rPr>
            </w:pPr>
          </w:p>
        </w:tc>
        <w:tc>
          <w:tcPr>
            <w:tcW w:w="1256" w:type="dxa"/>
            <w:tcBorders>
              <w:top w:val="nil"/>
              <w:left w:val="nil"/>
              <w:bottom w:val="nil"/>
              <w:right w:val="nil"/>
            </w:tcBorders>
            <w:shd w:val="clear" w:color="auto" w:fill="auto"/>
            <w:noWrap/>
            <w:vAlign w:val="bottom"/>
            <w:hideMark/>
          </w:tcPr>
          <w:p w14:paraId="596E3291"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7396C75B"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7A6AD05C" w14:textId="77777777" w:rsidR="00596C0D" w:rsidRPr="00596C0D" w:rsidRDefault="00596C0D" w:rsidP="00596C0D">
            <w:pPr>
              <w:rPr>
                <w:rFonts w:eastAsia="Times New Roman" w:cs="Times New Roman"/>
                <w:sz w:val="20"/>
                <w:szCs w:val="20"/>
              </w:rPr>
            </w:pPr>
          </w:p>
        </w:tc>
        <w:tc>
          <w:tcPr>
            <w:tcW w:w="1156" w:type="dxa"/>
            <w:tcBorders>
              <w:top w:val="nil"/>
              <w:left w:val="nil"/>
              <w:bottom w:val="nil"/>
              <w:right w:val="nil"/>
            </w:tcBorders>
            <w:shd w:val="clear" w:color="auto" w:fill="auto"/>
            <w:noWrap/>
            <w:vAlign w:val="bottom"/>
            <w:hideMark/>
          </w:tcPr>
          <w:p w14:paraId="6EC8659C"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18EF0C2F"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25B319F4" w14:textId="77777777" w:rsidR="00596C0D" w:rsidRPr="00596C0D" w:rsidRDefault="00596C0D" w:rsidP="00596C0D">
            <w:pPr>
              <w:rPr>
                <w:rFonts w:eastAsia="Times New Roman" w:cs="Times New Roman"/>
                <w:sz w:val="20"/>
                <w:szCs w:val="20"/>
              </w:rPr>
            </w:pPr>
          </w:p>
        </w:tc>
      </w:tr>
      <w:tr w:rsidR="00596C0D" w:rsidRPr="00596C0D" w14:paraId="48CAC631" w14:textId="77777777" w:rsidTr="00596C0D">
        <w:trPr>
          <w:trHeight w:val="375"/>
        </w:trPr>
        <w:tc>
          <w:tcPr>
            <w:tcW w:w="5456" w:type="dxa"/>
            <w:gridSpan w:val="2"/>
            <w:tcBorders>
              <w:top w:val="nil"/>
              <w:left w:val="nil"/>
              <w:bottom w:val="nil"/>
              <w:right w:val="nil"/>
            </w:tcBorders>
            <w:shd w:val="clear" w:color="auto" w:fill="auto"/>
            <w:noWrap/>
            <w:vAlign w:val="bottom"/>
            <w:hideMark/>
          </w:tcPr>
          <w:p w14:paraId="480E2F75" w14:textId="77777777" w:rsidR="00596C0D" w:rsidRPr="00596C0D" w:rsidRDefault="00596C0D" w:rsidP="00596C0D">
            <w:pPr>
              <w:rPr>
                <w:rFonts w:ascii="Calibri" w:eastAsia="Times New Roman" w:hAnsi="Calibri" w:cs="Calibri"/>
                <w:color w:val="000000"/>
                <w:sz w:val="28"/>
                <w:szCs w:val="28"/>
              </w:rPr>
            </w:pPr>
            <w:r w:rsidRPr="00596C0D">
              <w:rPr>
                <w:rFonts w:ascii="Calibri" w:eastAsia="Times New Roman" w:hAnsi="Calibri" w:cs="Calibri"/>
                <w:color w:val="000000"/>
                <w:sz w:val="28"/>
                <w:szCs w:val="28"/>
              </w:rPr>
              <w:t>Model 2019 (FYS, Exp; 11 course)</w:t>
            </w:r>
          </w:p>
        </w:tc>
        <w:tc>
          <w:tcPr>
            <w:tcW w:w="2356" w:type="dxa"/>
            <w:tcBorders>
              <w:top w:val="nil"/>
              <w:left w:val="nil"/>
              <w:bottom w:val="nil"/>
              <w:right w:val="nil"/>
            </w:tcBorders>
            <w:shd w:val="clear" w:color="auto" w:fill="auto"/>
            <w:noWrap/>
            <w:vAlign w:val="bottom"/>
            <w:hideMark/>
          </w:tcPr>
          <w:p w14:paraId="633F66BB" w14:textId="77777777" w:rsidR="00596C0D" w:rsidRPr="00596C0D" w:rsidRDefault="00596C0D" w:rsidP="00596C0D">
            <w:pPr>
              <w:rPr>
                <w:rFonts w:ascii="Calibri" w:eastAsia="Times New Roman" w:hAnsi="Calibri" w:cs="Calibri"/>
                <w:color w:val="000000"/>
                <w:sz w:val="28"/>
                <w:szCs w:val="28"/>
              </w:rPr>
            </w:pPr>
          </w:p>
        </w:tc>
        <w:tc>
          <w:tcPr>
            <w:tcW w:w="956" w:type="dxa"/>
            <w:tcBorders>
              <w:top w:val="nil"/>
              <w:left w:val="nil"/>
              <w:bottom w:val="nil"/>
              <w:right w:val="nil"/>
            </w:tcBorders>
            <w:shd w:val="clear" w:color="auto" w:fill="auto"/>
            <w:noWrap/>
            <w:vAlign w:val="bottom"/>
            <w:hideMark/>
          </w:tcPr>
          <w:p w14:paraId="1254FBDD" w14:textId="77777777" w:rsidR="00596C0D" w:rsidRPr="00596C0D" w:rsidRDefault="00596C0D" w:rsidP="00596C0D">
            <w:pPr>
              <w:rPr>
                <w:rFonts w:eastAsia="Times New Roman" w:cs="Times New Roman"/>
                <w:sz w:val="20"/>
                <w:szCs w:val="20"/>
              </w:rPr>
            </w:pPr>
          </w:p>
        </w:tc>
        <w:tc>
          <w:tcPr>
            <w:tcW w:w="1256" w:type="dxa"/>
            <w:tcBorders>
              <w:top w:val="nil"/>
              <w:left w:val="nil"/>
              <w:bottom w:val="nil"/>
              <w:right w:val="nil"/>
            </w:tcBorders>
            <w:shd w:val="clear" w:color="auto" w:fill="auto"/>
            <w:noWrap/>
            <w:vAlign w:val="bottom"/>
            <w:hideMark/>
          </w:tcPr>
          <w:p w14:paraId="614EFE49"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2E7E2EC8"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39D57697" w14:textId="77777777" w:rsidR="00596C0D" w:rsidRPr="00596C0D" w:rsidRDefault="00596C0D" w:rsidP="00596C0D">
            <w:pPr>
              <w:rPr>
                <w:rFonts w:eastAsia="Times New Roman" w:cs="Times New Roman"/>
                <w:sz w:val="20"/>
                <w:szCs w:val="20"/>
              </w:rPr>
            </w:pPr>
          </w:p>
        </w:tc>
        <w:tc>
          <w:tcPr>
            <w:tcW w:w="1156" w:type="dxa"/>
            <w:tcBorders>
              <w:top w:val="nil"/>
              <w:left w:val="nil"/>
              <w:bottom w:val="nil"/>
              <w:right w:val="nil"/>
            </w:tcBorders>
            <w:shd w:val="clear" w:color="auto" w:fill="auto"/>
            <w:noWrap/>
            <w:vAlign w:val="bottom"/>
            <w:hideMark/>
          </w:tcPr>
          <w:p w14:paraId="4D3340B8"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42469FB8"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2A6A3D9F" w14:textId="77777777" w:rsidR="00596C0D" w:rsidRPr="00596C0D" w:rsidRDefault="00596C0D" w:rsidP="00596C0D">
            <w:pPr>
              <w:rPr>
                <w:rFonts w:eastAsia="Times New Roman" w:cs="Times New Roman"/>
                <w:sz w:val="20"/>
                <w:szCs w:val="20"/>
              </w:rPr>
            </w:pPr>
          </w:p>
        </w:tc>
      </w:tr>
      <w:tr w:rsidR="00596C0D" w:rsidRPr="00596C0D" w14:paraId="0C1015DE" w14:textId="77777777" w:rsidTr="00596C0D">
        <w:trPr>
          <w:trHeight w:val="300"/>
        </w:trPr>
        <w:tc>
          <w:tcPr>
            <w:tcW w:w="2824" w:type="dxa"/>
            <w:tcBorders>
              <w:top w:val="nil"/>
              <w:left w:val="nil"/>
              <w:bottom w:val="nil"/>
              <w:right w:val="nil"/>
            </w:tcBorders>
            <w:shd w:val="clear" w:color="auto" w:fill="auto"/>
            <w:noWrap/>
            <w:vAlign w:val="bottom"/>
            <w:hideMark/>
          </w:tcPr>
          <w:p w14:paraId="26221FF1" w14:textId="77777777" w:rsidR="00596C0D" w:rsidRPr="00596C0D" w:rsidRDefault="00596C0D" w:rsidP="00596C0D">
            <w:pPr>
              <w:rPr>
                <w:rFonts w:eastAsia="Times New Roman" w:cs="Times New Roman"/>
                <w:sz w:val="20"/>
                <w:szCs w:val="20"/>
              </w:rPr>
            </w:pPr>
          </w:p>
        </w:tc>
        <w:tc>
          <w:tcPr>
            <w:tcW w:w="2632" w:type="dxa"/>
            <w:tcBorders>
              <w:top w:val="nil"/>
              <w:left w:val="nil"/>
              <w:bottom w:val="nil"/>
              <w:right w:val="nil"/>
            </w:tcBorders>
            <w:shd w:val="clear" w:color="auto" w:fill="auto"/>
            <w:noWrap/>
            <w:vAlign w:val="bottom"/>
            <w:hideMark/>
          </w:tcPr>
          <w:p w14:paraId="063027BD" w14:textId="77777777" w:rsidR="00596C0D" w:rsidRPr="00596C0D" w:rsidRDefault="00596C0D" w:rsidP="00596C0D">
            <w:pPr>
              <w:rPr>
                <w:rFonts w:eastAsia="Times New Roman" w:cs="Times New Roman"/>
                <w:sz w:val="20"/>
                <w:szCs w:val="20"/>
              </w:rPr>
            </w:pPr>
          </w:p>
        </w:tc>
        <w:tc>
          <w:tcPr>
            <w:tcW w:w="2356" w:type="dxa"/>
            <w:tcBorders>
              <w:top w:val="nil"/>
              <w:left w:val="nil"/>
              <w:bottom w:val="nil"/>
              <w:right w:val="nil"/>
            </w:tcBorders>
            <w:shd w:val="clear" w:color="auto" w:fill="auto"/>
            <w:noWrap/>
            <w:vAlign w:val="bottom"/>
            <w:hideMark/>
          </w:tcPr>
          <w:p w14:paraId="00712035"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0EED3A9E" w14:textId="77777777" w:rsidR="00596C0D" w:rsidRPr="00596C0D" w:rsidRDefault="00596C0D" w:rsidP="00596C0D">
            <w:pPr>
              <w:rPr>
                <w:rFonts w:eastAsia="Times New Roman" w:cs="Times New Roman"/>
                <w:sz w:val="20"/>
                <w:szCs w:val="20"/>
              </w:rPr>
            </w:pPr>
          </w:p>
        </w:tc>
        <w:tc>
          <w:tcPr>
            <w:tcW w:w="1256" w:type="dxa"/>
            <w:tcBorders>
              <w:top w:val="nil"/>
              <w:left w:val="nil"/>
              <w:bottom w:val="nil"/>
              <w:right w:val="nil"/>
            </w:tcBorders>
            <w:shd w:val="clear" w:color="auto" w:fill="auto"/>
            <w:noWrap/>
            <w:vAlign w:val="bottom"/>
            <w:hideMark/>
          </w:tcPr>
          <w:p w14:paraId="3DEE7D11"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0140C6F7"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2D1D9BFE" w14:textId="77777777" w:rsidR="00596C0D" w:rsidRPr="00596C0D" w:rsidRDefault="00596C0D" w:rsidP="00596C0D">
            <w:pPr>
              <w:rPr>
                <w:rFonts w:eastAsia="Times New Roman" w:cs="Times New Roman"/>
                <w:sz w:val="20"/>
                <w:szCs w:val="20"/>
              </w:rPr>
            </w:pPr>
          </w:p>
        </w:tc>
        <w:tc>
          <w:tcPr>
            <w:tcW w:w="1156" w:type="dxa"/>
            <w:tcBorders>
              <w:top w:val="nil"/>
              <w:left w:val="nil"/>
              <w:bottom w:val="nil"/>
              <w:right w:val="nil"/>
            </w:tcBorders>
            <w:shd w:val="clear" w:color="auto" w:fill="auto"/>
            <w:noWrap/>
            <w:vAlign w:val="bottom"/>
            <w:hideMark/>
          </w:tcPr>
          <w:p w14:paraId="63F623D5" w14:textId="77777777" w:rsidR="00596C0D" w:rsidRPr="00596C0D" w:rsidRDefault="00596C0D" w:rsidP="00596C0D">
            <w:pPr>
              <w:rPr>
                <w:rFonts w:eastAsia="Times New Roman" w:cs="Times New Roman"/>
                <w:sz w:val="20"/>
                <w:szCs w:val="20"/>
              </w:rPr>
            </w:pPr>
          </w:p>
        </w:tc>
        <w:tc>
          <w:tcPr>
            <w:tcW w:w="1196" w:type="dxa"/>
            <w:tcBorders>
              <w:top w:val="nil"/>
              <w:left w:val="nil"/>
              <w:bottom w:val="nil"/>
              <w:right w:val="nil"/>
            </w:tcBorders>
            <w:shd w:val="clear" w:color="auto" w:fill="auto"/>
            <w:noWrap/>
            <w:vAlign w:val="bottom"/>
            <w:hideMark/>
          </w:tcPr>
          <w:p w14:paraId="74C98F6F" w14:textId="77777777" w:rsidR="00596C0D" w:rsidRPr="00596C0D" w:rsidRDefault="00596C0D" w:rsidP="00596C0D">
            <w:pPr>
              <w:rPr>
                <w:rFonts w:eastAsia="Times New Roman" w:cs="Times New Roman"/>
                <w:sz w:val="20"/>
                <w:szCs w:val="20"/>
              </w:rPr>
            </w:pPr>
          </w:p>
        </w:tc>
        <w:tc>
          <w:tcPr>
            <w:tcW w:w="956" w:type="dxa"/>
            <w:tcBorders>
              <w:top w:val="nil"/>
              <w:left w:val="nil"/>
              <w:bottom w:val="nil"/>
              <w:right w:val="nil"/>
            </w:tcBorders>
            <w:shd w:val="clear" w:color="auto" w:fill="auto"/>
            <w:noWrap/>
            <w:vAlign w:val="bottom"/>
            <w:hideMark/>
          </w:tcPr>
          <w:p w14:paraId="739090CE" w14:textId="77777777" w:rsidR="00596C0D" w:rsidRPr="00596C0D" w:rsidRDefault="00596C0D" w:rsidP="00596C0D">
            <w:pPr>
              <w:rPr>
                <w:rFonts w:eastAsia="Times New Roman" w:cs="Times New Roman"/>
                <w:sz w:val="20"/>
                <w:szCs w:val="20"/>
              </w:rPr>
            </w:pPr>
          </w:p>
        </w:tc>
      </w:tr>
      <w:tr w:rsidR="00596C0D" w:rsidRPr="00596C0D" w14:paraId="4D85DEB8" w14:textId="77777777" w:rsidTr="00596C0D">
        <w:trPr>
          <w:trHeight w:val="1230"/>
        </w:trPr>
        <w:tc>
          <w:tcPr>
            <w:tcW w:w="2824"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60238FD5"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 xml:space="preserve">New </w:t>
            </w:r>
            <w:proofErr w:type="spellStart"/>
            <w:r w:rsidRPr="00596C0D">
              <w:rPr>
                <w:rFonts w:ascii="Calibri" w:eastAsia="Times New Roman" w:hAnsi="Calibri" w:cs="Calibri"/>
                <w:b/>
                <w:bCs/>
                <w:color w:val="000000"/>
                <w:sz w:val="22"/>
              </w:rPr>
              <w:t>GenEd</w:t>
            </w:r>
            <w:proofErr w:type="spellEnd"/>
            <w:r w:rsidRPr="00596C0D">
              <w:rPr>
                <w:rFonts w:ascii="Calibri" w:eastAsia="Times New Roman" w:hAnsi="Calibri" w:cs="Calibri"/>
                <w:b/>
                <w:bCs/>
                <w:color w:val="000000"/>
                <w:sz w:val="22"/>
              </w:rPr>
              <w:t xml:space="preserve"> Category</w:t>
            </w:r>
          </w:p>
        </w:tc>
        <w:tc>
          <w:tcPr>
            <w:tcW w:w="2632" w:type="dxa"/>
            <w:tcBorders>
              <w:top w:val="single" w:sz="4" w:space="0" w:color="auto"/>
              <w:left w:val="nil"/>
              <w:bottom w:val="single" w:sz="4" w:space="0" w:color="auto"/>
              <w:right w:val="single" w:sz="4" w:space="0" w:color="auto"/>
            </w:tcBorders>
            <w:shd w:val="clear" w:color="000000" w:fill="BDD7EE"/>
            <w:vAlign w:val="center"/>
            <w:hideMark/>
          </w:tcPr>
          <w:p w14:paraId="4F51C255"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 xml:space="preserve">Old </w:t>
            </w:r>
            <w:proofErr w:type="spellStart"/>
            <w:r w:rsidRPr="00596C0D">
              <w:rPr>
                <w:rFonts w:ascii="Calibri" w:eastAsia="Times New Roman" w:hAnsi="Calibri" w:cs="Calibri"/>
                <w:b/>
                <w:bCs/>
                <w:color w:val="000000"/>
                <w:sz w:val="22"/>
              </w:rPr>
              <w:t>GenEd</w:t>
            </w:r>
            <w:proofErr w:type="spellEnd"/>
            <w:r w:rsidRPr="00596C0D">
              <w:rPr>
                <w:rFonts w:ascii="Calibri" w:eastAsia="Times New Roman" w:hAnsi="Calibri" w:cs="Calibri"/>
                <w:b/>
                <w:bCs/>
                <w:color w:val="000000"/>
                <w:sz w:val="22"/>
              </w:rPr>
              <w:t xml:space="preserve"> Category</w:t>
            </w:r>
          </w:p>
        </w:tc>
        <w:tc>
          <w:tcPr>
            <w:tcW w:w="2356" w:type="dxa"/>
            <w:tcBorders>
              <w:top w:val="single" w:sz="4" w:space="0" w:color="auto"/>
              <w:left w:val="nil"/>
              <w:bottom w:val="single" w:sz="4" w:space="0" w:color="auto"/>
              <w:right w:val="single" w:sz="4" w:space="0" w:color="auto"/>
            </w:tcBorders>
            <w:shd w:val="clear" w:color="000000" w:fill="BDD7EE"/>
            <w:vAlign w:val="center"/>
            <w:hideMark/>
          </w:tcPr>
          <w:p w14:paraId="0E991C8F"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Mapped DISC for Calculations</w:t>
            </w:r>
          </w:p>
        </w:tc>
        <w:tc>
          <w:tcPr>
            <w:tcW w:w="956" w:type="dxa"/>
            <w:tcBorders>
              <w:top w:val="single" w:sz="4" w:space="0" w:color="auto"/>
              <w:left w:val="nil"/>
              <w:bottom w:val="single" w:sz="4" w:space="0" w:color="auto"/>
              <w:right w:val="single" w:sz="4" w:space="0" w:color="auto"/>
            </w:tcBorders>
            <w:shd w:val="clear" w:color="000000" w:fill="BDD7EE"/>
            <w:vAlign w:val="center"/>
            <w:hideMark/>
          </w:tcPr>
          <w:p w14:paraId="22E96016"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 xml:space="preserve">% Taking </w:t>
            </w:r>
            <w:proofErr w:type="spellStart"/>
            <w:r w:rsidRPr="00596C0D">
              <w:rPr>
                <w:rFonts w:ascii="Calibri" w:eastAsia="Times New Roman" w:hAnsi="Calibri" w:cs="Calibri"/>
                <w:b/>
                <w:bCs/>
                <w:color w:val="000000"/>
                <w:sz w:val="22"/>
              </w:rPr>
              <w:t>GenEd</w:t>
            </w:r>
            <w:proofErr w:type="spellEnd"/>
            <w:r w:rsidRPr="00596C0D">
              <w:rPr>
                <w:rFonts w:ascii="Calibri" w:eastAsia="Times New Roman" w:hAnsi="Calibri" w:cs="Calibri"/>
                <w:b/>
                <w:bCs/>
                <w:color w:val="000000"/>
                <w:sz w:val="22"/>
              </w:rPr>
              <w:t xml:space="preserve"> group at SU</w:t>
            </w:r>
          </w:p>
        </w:tc>
        <w:tc>
          <w:tcPr>
            <w:tcW w:w="1256" w:type="dxa"/>
            <w:tcBorders>
              <w:top w:val="single" w:sz="4" w:space="0" w:color="auto"/>
              <w:left w:val="nil"/>
              <w:bottom w:val="single" w:sz="4" w:space="0" w:color="auto"/>
              <w:right w:val="single" w:sz="4" w:space="0" w:color="auto"/>
            </w:tcBorders>
            <w:shd w:val="clear" w:color="000000" w:fill="BDD7EE"/>
            <w:vAlign w:val="center"/>
            <w:hideMark/>
          </w:tcPr>
          <w:p w14:paraId="6E17E011"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Expected Students</w:t>
            </w:r>
          </w:p>
        </w:tc>
        <w:tc>
          <w:tcPr>
            <w:tcW w:w="956" w:type="dxa"/>
            <w:tcBorders>
              <w:top w:val="single" w:sz="4" w:space="0" w:color="auto"/>
              <w:left w:val="nil"/>
              <w:bottom w:val="single" w:sz="4" w:space="0" w:color="auto"/>
              <w:right w:val="single" w:sz="4" w:space="0" w:color="auto"/>
            </w:tcBorders>
            <w:shd w:val="clear" w:color="000000" w:fill="BDD7EE"/>
            <w:vAlign w:val="center"/>
            <w:hideMark/>
          </w:tcPr>
          <w:p w14:paraId="24FBCF3C"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Avg course size (AY19)</w:t>
            </w:r>
          </w:p>
        </w:tc>
        <w:tc>
          <w:tcPr>
            <w:tcW w:w="1196" w:type="dxa"/>
            <w:tcBorders>
              <w:top w:val="single" w:sz="4" w:space="0" w:color="auto"/>
              <w:left w:val="nil"/>
              <w:bottom w:val="single" w:sz="4" w:space="0" w:color="auto"/>
              <w:right w:val="single" w:sz="4" w:space="0" w:color="auto"/>
            </w:tcBorders>
            <w:shd w:val="clear" w:color="000000" w:fill="BDD7EE"/>
            <w:vAlign w:val="center"/>
            <w:hideMark/>
          </w:tcPr>
          <w:p w14:paraId="6B49E95E"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Sections offered in AY19</w:t>
            </w:r>
          </w:p>
        </w:tc>
        <w:tc>
          <w:tcPr>
            <w:tcW w:w="1156" w:type="dxa"/>
            <w:tcBorders>
              <w:top w:val="single" w:sz="4" w:space="0" w:color="auto"/>
              <w:left w:val="nil"/>
              <w:bottom w:val="single" w:sz="4" w:space="0" w:color="auto"/>
              <w:right w:val="single" w:sz="4" w:space="0" w:color="auto"/>
            </w:tcBorders>
            <w:shd w:val="clear" w:color="000000" w:fill="BDD7EE"/>
            <w:vAlign w:val="center"/>
            <w:hideMark/>
          </w:tcPr>
          <w:p w14:paraId="0D8A9A50"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 xml:space="preserve">Course sections needed for </w:t>
            </w:r>
            <w:proofErr w:type="spellStart"/>
            <w:r w:rsidRPr="00596C0D">
              <w:rPr>
                <w:rFonts w:ascii="Calibri" w:eastAsia="Times New Roman" w:hAnsi="Calibri" w:cs="Calibri"/>
                <w:b/>
                <w:bCs/>
                <w:color w:val="000000"/>
                <w:sz w:val="22"/>
              </w:rPr>
              <w:t>GenEd</w:t>
            </w:r>
            <w:proofErr w:type="spellEnd"/>
          </w:p>
        </w:tc>
        <w:tc>
          <w:tcPr>
            <w:tcW w:w="1196" w:type="dxa"/>
            <w:tcBorders>
              <w:top w:val="single" w:sz="4" w:space="0" w:color="auto"/>
              <w:left w:val="nil"/>
              <w:bottom w:val="single" w:sz="4" w:space="0" w:color="auto"/>
              <w:right w:val="single" w:sz="4" w:space="0" w:color="auto"/>
            </w:tcBorders>
            <w:shd w:val="clear" w:color="000000" w:fill="BDD7EE"/>
            <w:vAlign w:val="center"/>
            <w:hideMark/>
          </w:tcPr>
          <w:p w14:paraId="194E968D"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Sections for Majors/ Other</w:t>
            </w:r>
          </w:p>
        </w:tc>
        <w:tc>
          <w:tcPr>
            <w:tcW w:w="956" w:type="dxa"/>
            <w:tcBorders>
              <w:top w:val="single" w:sz="4" w:space="0" w:color="auto"/>
              <w:left w:val="nil"/>
              <w:bottom w:val="single" w:sz="4" w:space="0" w:color="auto"/>
              <w:right w:val="single" w:sz="4" w:space="0" w:color="auto"/>
            </w:tcBorders>
            <w:shd w:val="clear" w:color="000000" w:fill="BDD7EE"/>
            <w:vAlign w:val="center"/>
            <w:hideMark/>
          </w:tcPr>
          <w:p w14:paraId="76F26E7E" w14:textId="77777777" w:rsidR="00596C0D" w:rsidRPr="00596C0D" w:rsidRDefault="00596C0D" w:rsidP="00596C0D">
            <w:pPr>
              <w:jc w:val="center"/>
              <w:rPr>
                <w:rFonts w:ascii="Calibri" w:eastAsia="Times New Roman" w:hAnsi="Calibri" w:cs="Calibri"/>
                <w:b/>
                <w:bCs/>
                <w:color w:val="000000"/>
                <w:sz w:val="22"/>
              </w:rPr>
            </w:pPr>
            <w:r w:rsidRPr="00596C0D">
              <w:rPr>
                <w:rFonts w:ascii="Calibri" w:eastAsia="Times New Roman" w:hAnsi="Calibri" w:cs="Calibri"/>
                <w:b/>
                <w:bCs/>
                <w:color w:val="000000"/>
                <w:sz w:val="22"/>
              </w:rPr>
              <w:t xml:space="preserve">Sections Needed for </w:t>
            </w:r>
            <w:proofErr w:type="spellStart"/>
            <w:r w:rsidRPr="00596C0D">
              <w:rPr>
                <w:rFonts w:ascii="Calibri" w:eastAsia="Times New Roman" w:hAnsi="Calibri" w:cs="Calibri"/>
                <w:b/>
                <w:bCs/>
                <w:color w:val="000000"/>
                <w:sz w:val="22"/>
              </w:rPr>
              <w:t>GenEd</w:t>
            </w:r>
            <w:proofErr w:type="spellEnd"/>
          </w:p>
        </w:tc>
      </w:tr>
      <w:tr w:rsidR="00596C0D" w:rsidRPr="00596C0D" w14:paraId="5D93B83F" w14:textId="77777777" w:rsidTr="00596C0D">
        <w:trPr>
          <w:trHeight w:val="300"/>
        </w:trPr>
        <w:tc>
          <w:tcPr>
            <w:tcW w:w="2824" w:type="dxa"/>
            <w:tcBorders>
              <w:top w:val="nil"/>
              <w:left w:val="single" w:sz="4" w:space="0" w:color="auto"/>
              <w:bottom w:val="single" w:sz="4" w:space="0" w:color="auto"/>
              <w:right w:val="single" w:sz="4" w:space="0" w:color="auto"/>
            </w:tcBorders>
            <w:shd w:val="clear" w:color="000000" w:fill="D9D9D9"/>
            <w:vAlign w:val="center"/>
            <w:hideMark/>
          </w:tcPr>
          <w:p w14:paraId="23BE17EE" w14:textId="77777777" w:rsidR="00596C0D" w:rsidRPr="00596C0D" w:rsidRDefault="00596C0D" w:rsidP="00596C0D">
            <w:pPr>
              <w:rPr>
                <w:rFonts w:ascii="Calibri" w:eastAsia="Times New Roman" w:hAnsi="Calibri" w:cs="Calibri"/>
                <w:b/>
                <w:bCs/>
                <w:color w:val="000000"/>
                <w:sz w:val="22"/>
              </w:rPr>
            </w:pPr>
            <w:r w:rsidRPr="00596C0D">
              <w:rPr>
                <w:rFonts w:ascii="Calibri" w:eastAsia="Times New Roman" w:hAnsi="Calibri" w:cs="Calibri"/>
                <w:b/>
                <w:bCs/>
                <w:color w:val="000000"/>
                <w:sz w:val="22"/>
              </w:rPr>
              <w:t>Communicating through Writing</w:t>
            </w:r>
          </w:p>
        </w:tc>
        <w:tc>
          <w:tcPr>
            <w:tcW w:w="2632" w:type="dxa"/>
            <w:tcBorders>
              <w:top w:val="nil"/>
              <w:left w:val="nil"/>
              <w:bottom w:val="single" w:sz="4" w:space="0" w:color="auto"/>
              <w:right w:val="single" w:sz="4" w:space="0" w:color="auto"/>
            </w:tcBorders>
            <w:shd w:val="clear" w:color="000000" w:fill="D9D9D9"/>
            <w:vAlign w:val="center"/>
            <w:hideMark/>
          </w:tcPr>
          <w:p w14:paraId="4EA8CC31"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1A - Composition</w:t>
            </w:r>
          </w:p>
        </w:tc>
        <w:tc>
          <w:tcPr>
            <w:tcW w:w="2356" w:type="dxa"/>
            <w:tcBorders>
              <w:top w:val="nil"/>
              <w:left w:val="nil"/>
              <w:bottom w:val="single" w:sz="4" w:space="0" w:color="auto"/>
              <w:right w:val="single" w:sz="4" w:space="0" w:color="auto"/>
            </w:tcBorders>
            <w:shd w:val="clear" w:color="000000" w:fill="D9D9D9"/>
            <w:vAlign w:val="center"/>
            <w:hideMark/>
          </w:tcPr>
          <w:p w14:paraId="3CAE5FA0"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ENGL, HONR</w:t>
            </w:r>
          </w:p>
        </w:tc>
        <w:tc>
          <w:tcPr>
            <w:tcW w:w="956" w:type="dxa"/>
            <w:tcBorders>
              <w:top w:val="nil"/>
              <w:left w:val="nil"/>
              <w:bottom w:val="single" w:sz="4" w:space="0" w:color="auto"/>
              <w:right w:val="single" w:sz="4" w:space="0" w:color="auto"/>
            </w:tcBorders>
            <w:shd w:val="clear" w:color="000000" w:fill="D9D9D9"/>
            <w:noWrap/>
            <w:vAlign w:val="center"/>
            <w:hideMark/>
          </w:tcPr>
          <w:p w14:paraId="08973F3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53%</w:t>
            </w:r>
          </w:p>
        </w:tc>
        <w:tc>
          <w:tcPr>
            <w:tcW w:w="1256" w:type="dxa"/>
            <w:tcBorders>
              <w:top w:val="nil"/>
              <w:left w:val="nil"/>
              <w:bottom w:val="single" w:sz="4" w:space="0" w:color="auto"/>
              <w:right w:val="single" w:sz="4" w:space="0" w:color="auto"/>
            </w:tcBorders>
            <w:shd w:val="clear" w:color="000000" w:fill="D9D9D9"/>
            <w:noWrap/>
            <w:vAlign w:val="center"/>
            <w:hideMark/>
          </w:tcPr>
          <w:p w14:paraId="2D60DC6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1367</w:t>
            </w:r>
          </w:p>
        </w:tc>
        <w:tc>
          <w:tcPr>
            <w:tcW w:w="956" w:type="dxa"/>
            <w:tcBorders>
              <w:top w:val="nil"/>
              <w:left w:val="nil"/>
              <w:bottom w:val="single" w:sz="4" w:space="0" w:color="auto"/>
              <w:right w:val="single" w:sz="4" w:space="0" w:color="auto"/>
            </w:tcBorders>
            <w:shd w:val="clear" w:color="000000" w:fill="D9D9D9"/>
            <w:noWrap/>
            <w:vAlign w:val="center"/>
            <w:hideMark/>
          </w:tcPr>
          <w:p w14:paraId="77F4107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20.7 </w:t>
            </w:r>
          </w:p>
        </w:tc>
        <w:tc>
          <w:tcPr>
            <w:tcW w:w="1196" w:type="dxa"/>
            <w:tcBorders>
              <w:top w:val="nil"/>
              <w:left w:val="nil"/>
              <w:bottom w:val="single" w:sz="4" w:space="0" w:color="auto"/>
              <w:right w:val="single" w:sz="4" w:space="0" w:color="auto"/>
            </w:tcBorders>
            <w:shd w:val="clear" w:color="000000" w:fill="D9D9D9"/>
            <w:noWrap/>
            <w:vAlign w:val="center"/>
            <w:hideMark/>
          </w:tcPr>
          <w:p w14:paraId="6928962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66 </w:t>
            </w:r>
          </w:p>
        </w:tc>
        <w:tc>
          <w:tcPr>
            <w:tcW w:w="1156" w:type="dxa"/>
            <w:tcBorders>
              <w:top w:val="nil"/>
              <w:left w:val="nil"/>
              <w:bottom w:val="single" w:sz="4" w:space="0" w:color="auto"/>
              <w:right w:val="single" w:sz="4" w:space="0" w:color="auto"/>
            </w:tcBorders>
            <w:shd w:val="clear" w:color="000000" w:fill="D9D9D9"/>
            <w:noWrap/>
            <w:vAlign w:val="center"/>
            <w:hideMark/>
          </w:tcPr>
          <w:p w14:paraId="5514FF7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66 </w:t>
            </w:r>
          </w:p>
        </w:tc>
        <w:tc>
          <w:tcPr>
            <w:tcW w:w="1196" w:type="dxa"/>
            <w:tcBorders>
              <w:top w:val="nil"/>
              <w:left w:val="nil"/>
              <w:bottom w:val="single" w:sz="4" w:space="0" w:color="auto"/>
              <w:right w:val="single" w:sz="4" w:space="0" w:color="auto"/>
            </w:tcBorders>
            <w:shd w:val="clear" w:color="000000" w:fill="D9D9D9"/>
            <w:noWrap/>
            <w:vAlign w:val="center"/>
            <w:hideMark/>
          </w:tcPr>
          <w:p w14:paraId="2198E23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956" w:type="dxa"/>
            <w:tcBorders>
              <w:top w:val="nil"/>
              <w:left w:val="nil"/>
              <w:bottom w:val="nil"/>
              <w:right w:val="single" w:sz="4" w:space="0" w:color="auto"/>
            </w:tcBorders>
            <w:shd w:val="clear" w:color="000000" w:fill="D9D9D9"/>
            <w:noWrap/>
            <w:vAlign w:val="center"/>
            <w:hideMark/>
          </w:tcPr>
          <w:p w14:paraId="012AAF4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047F24AB" w14:textId="77777777" w:rsidTr="00596C0D">
        <w:trPr>
          <w:trHeight w:val="300"/>
        </w:trPr>
        <w:tc>
          <w:tcPr>
            <w:tcW w:w="2824" w:type="dxa"/>
            <w:tcBorders>
              <w:top w:val="nil"/>
              <w:left w:val="single" w:sz="4" w:space="0" w:color="auto"/>
              <w:bottom w:val="nil"/>
              <w:right w:val="nil"/>
            </w:tcBorders>
            <w:shd w:val="clear" w:color="auto" w:fill="auto"/>
            <w:vAlign w:val="center"/>
            <w:hideMark/>
          </w:tcPr>
          <w:p w14:paraId="0710273A"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Humanity in Context</w:t>
            </w:r>
          </w:p>
        </w:tc>
        <w:tc>
          <w:tcPr>
            <w:tcW w:w="2632" w:type="dxa"/>
            <w:tcBorders>
              <w:top w:val="nil"/>
              <w:left w:val="nil"/>
              <w:bottom w:val="nil"/>
              <w:right w:val="nil"/>
            </w:tcBorders>
            <w:shd w:val="clear" w:color="auto" w:fill="auto"/>
            <w:vAlign w:val="center"/>
            <w:hideMark/>
          </w:tcPr>
          <w:p w14:paraId="11BD8EF3"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2A/2B - History</w:t>
            </w:r>
          </w:p>
        </w:tc>
        <w:tc>
          <w:tcPr>
            <w:tcW w:w="2356" w:type="dxa"/>
            <w:tcBorders>
              <w:top w:val="nil"/>
              <w:left w:val="nil"/>
              <w:bottom w:val="nil"/>
              <w:right w:val="nil"/>
            </w:tcBorders>
            <w:shd w:val="clear" w:color="auto" w:fill="auto"/>
            <w:vAlign w:val="center"/>
            <w:hideMark/>
          </w:tcPr>
          <w:p w14:paraId="3021C091" w14:textId="77777777" w:rsidR="00596C0D" w:rsidRPr="00596C0D" w:rsidRDefault="00596C0D" w:rsidP="00596C0D">
            <w:pPr>
              <w:rPr>
                <w:rFonts w:ascii="Calibri" w:eastAsia="Times New Roman" w:hAnsi="Calibri" w:cs="Calibri"/>
                <w:sz w:val="20"/>
                <w:szCs w:val="20"/>
              </w:rPr>
            </w:pPr>
            <w:r w:rsidRPr="00596C0D">
              <w:rPr>
                <w:rFonts w:ascii="Calibri" w:eastAsia="Times New Roman" w:hAnsi="Calibri" w:cs="Calibri"/>
                <w:sz w:val="20"/>
                <w:szCs w:val="20"/>
              </w:rPr>
              <w:t>HIST</w:t>
            </w:r>
          </w:p>
        </w:tc>
        <w:tc>
          <w:tcPr>
            <w:tcW w:w="956" w:type="dxa"/>
            <w:tcBorders>
              <w:top w:val="nil"/>
              <w:left w:val="nil"/>
              <w:bottom w:val="nil"/>
              <w:right w:val="nil"/>
            </w:tcBorders>
            <w:shd w:val="clear" w:color="auto" w:fill="auto"/>
            <w:vAlign w:val="center"/>
            <w:hideMark/>
          </w:tcPr>
          <w:p w14:paraId="19E54EAC" w14:textId="77777777" w:rsidR="00596C0D" w:rsidRPr="00596C0D" w:rsidRDefault="00596C0D" w:rsidP="00596C0D">
            <w:pPr>
              <w:jc w:val="right"/>
              <w:rPr>
                <w:rFonts w:ascii="Calibri" w:eastAsia="Times New Roman" w:hAnsi="Calibri" w:cs="Calibri"/>
                <w:sz w:val="22"/>
              </w:rPr>
            </w:pPr>
            <w:r w:rsidRPr="00596C0D">
              <w:rPr>
                <w:rFonts w:ascii="Calibri" w:eastAsia="Times New Roman" w:hAnsi="Calibri" w:cs="Calibri"/>
                <w:sz w:val="22"/>
              </w:rPr>
              <w:t>74%</w:t>
            </w:r>
          </w:p>
        </w:tc>
        <w:tc>
          <w:tcPr>
            <w:tcW w:w="1256" w:type="dxa"/>
            <w:tcBorders>
              <w:top w:val="nil"/>
              <w:left w:val="nil"/>
              <w:bottom w:val="nil"/>
              <w:right w:val="nil"/>
            </w:tcBorders>
            <w:shd w:val="clear" w:color="auto" w:fill="auto"/>
            <w:vAlign w:val="center"/>
            <w:hideMark/>
          </w:tcPr>
          <w:p w14:paraId="0D07E7B7" w14:textId="77777777" w:rsidR="00596C0D" w:rsidRPr="00596C0D" w:rsidRDefault="00596C0D" w:rsidP="00596C0D">
            <w:pPr>
              <w:jc w:val="right"/>
              <w:rPr>
                <w:rFonts w:ascii="Calibri" w:eastAsia="Times New Roman" w:hAnsi="Calibri" w:cs="Calibri"/>
                <w:sz w:val="22"/>
              </w:rPr>
            </w:pPr>
            <w:r w:rsidRPr="00596C0D">
              <w:rPr>
                <w:rFonts w:ascii="Calibri" w:eastAsia="Times New Roman" w:hAnsi="Calibri" w:cs="Calibri"/>
                <w:sz w:val="22"/>
              </w:rPr>
              <w:t>1892</w:t>
            </w:r>
          </w:p>
        </w:tc>
        <w:tc>
          <w:tcPr>
            <w:tcW w:w="956" w:type="dxa"/>
            <w:tcBorders>
              <w:top w:val="nil"/>
              <w:left w:val="nil"/>
              <w:bottom w:val="nil"/>
              <w:right w:val="nil"/>
            </w:tcBorders>
            <w:shd w:val="clear" w:color="auto" w:fill="auto"/>
            <w:noWrap/>
            <w:vAlign w:val="center"/>
            <w:hideMark/>
          </w:tcPr>
          <w:p w14:paraId="0351190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26.1 </w:t>
            </w:r>
          </w:p>
        </w:tc>
        <w:tc>
          <w:tcPr>
            <w:tcW w:w="1196" w:type="dxa"/>
            <w:tcBorders>
              <w:top w:val="nil"/>
              <w:left w:val="nil"/>
              <w:bottom w:val="nil"/>
              <w:right w:val="nil"/>
            </w:tcBorders>
            <w:shd w:val="clear" w:color="auto" w:fill="auto"/>
            <w:noWrap/>
            <w:vAlign w:val="center"/>
            <w:hideMark/>
          </w:tcPr>
          <w:p w14:paraId="593A925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138 </w:t>
            </w:r>
          </w:p>
        </w:tc>
        <w:tc>
          <w:tcPr>
            <w:tcW w:w="1156" w:type="dxa"/>
            <w:tcBorders>
              <w:top w:val="nil"/>
              <w:left w:val="nil"/>
              <w:bottom w:val="nil"/>
              <w:right w:val="nil"/>
            </w:tcBorders>
            <w:shd w:val="clear" w:color="auto" w:fill="auto"/>
            <w:noWrap/>
            <w:vAlign w:val="center"/>
            <w:hideMark/>
          </w:tcPr>
          <w:p w14:paraId="370DCBA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73 </w:t>
            </w:r>
          </w:p>
        </w:tc>
        <w:tc>
          <w:tcPr>
            <w:tcW w:w="1196" w:type="dxa"/>
            <w:tcBorders>
              <w:top w:val="nil"/>
              <w:left w:val="nil"/>
              <w:bottom w:val="nil"/>
              <w:right w:val="nil"/>
            </w:tcBorders>
            <w:shd w:val="clear" w:color="auto" w:fill="auto"/>
            <w:noWrap/>
            <w:vAlign w:val="center"/>
            <w:hideMark/>
          </w:tcPr>
          <w:p w14:paraId="274BD78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956" w:type="dxa"/>
            <w:tcBorders>
              <w:top w:val="single" w:sz="4" w:space="0" w:color="auto"/>
              <w:left w:val="nil"/>
              <w:bottom w:val="nil"/>
              <w:right w:val="single" w:sz="4" w:space="0" w:color="auto"/>
            </w:tcBorders>
            <w:shd w:val="clear" w:color="auto" w:fill="auto"/>
            <w:noWrap/>
            <w:vAlign w:val="center"/>
            <w:hideMark/>
          </w:tcPr>
          <w:p w14:paraId="2397756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7894AF92" w14:textId="77777777" w:rsidTr="00596C0D">
        <w:trPr>
          <w:trHeight w:val="1020"/>
        </w:trPr>
        <w:tc>
          <w:tcPr>
            <w:tcW w:w="2824" w:type="dxa"/>
            <w:tcBorders>
              <w:top w:val="nil"/>
              <w:left w:val="single" w:sz="4" w:space="0" w:color="auto"/>
              <w:bottom w:val="nil"/>
              <w:right w:val="nil"/>
            </w:tcBorders>
            <w:shd w:val="clear" w:color="auto" w:fill="auto"/>
            <w:vAlign w:val="center"/>
            <w:hideMark/>
          </w:tcPr>
          <w:p w14:paraId="1CAE7576" w14:textId="77777777" w:rsidR="00596C0D" w:rsidRPr="00596C0D" w:rsidRDefault="00596C0D" w:rsidP="00596C0D">
            <w:pPr>
              <w:rPr>
                <w:rFonts w:ascii="Calibri" w:eastAsia="Times New Roman" w:hAnsi="Calibri" w:cs="Calibri"/>
                <w:sz w:val="22"/>
              </w:rPr>
            </w:pPr>
            <w:proofErr w:type="gramStart"/>
            <w:r w:rsidRPr="00596C0D">
              <w:rPr>
                <w:rFonts w:ascii="Calibri" w:eastAsia="Times New Roman" w:hAnsi="Calibri" w:cs="Calibri"/>
                <w:sz w:val="22"/>
              </w:rPr>
              <w:t>Human  Expression</w:t>
            </w:r>
            <w:proofErr w:type="gramEnd"/>
          </w:p>
        </w:tc>
        <w:tc>
          <w:tcPr>
            <w:tcW w:w="2632" w:type="dxa"/>
            <w:tcBorders>
              <w:top w:val="single" w:sz="4" w:space="0" w:color="auto"/>
              <w:left w:val="nil"/>
              <w:bottom w:val="nil"/>
              <w:right w:val="nil"/>
            </w:tcBorders>
            <w:shd w:val="clear" w:color="auto" w:fill="auto"/>
            <w:vAlign w:val="center"/>
            <w:hideMark/>
          </w:tcPr>
          <w:p w14:paraId="6BDCF254"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1B - Literature</w:t>
            </w:r>
            <w:r w:rsidRPr="00596C0D">
              <w:rPr>
                <w:rFonts w:ascii="Calibri" w:eastAsia="Times New Roman" w:hAnsi="Calibri" w:cs="Calibri"/>
                <w:sz w:val="22"/>
              </w:rPr>
              <w:br/>
              <w:t>3A - Arts and Humanities</w:t>
            </w:r>
          </w:p>
        </w:tc>
        <w:tc>
          <w:tcPr>
            <w:tcW w:w="2356" w:type="dxa"/>
            <w:tcBorders>
              <w:top w:val="nil"/>
              <w:left w:val="nil"/>
              <w:bottom w:val="nil"/>
              <w:right w:val="nil"/>
            </w:tcBorders>
            <w:shd w:val="clear" w:color="auto" w:fill="auto"/>
            <w:vAlign w:val="center"/>
            <w:hideMark/>
          </w:tcPr>
          <w:p w14:paraId="16495EC7" w14:textId="77777777" w:rsidR="00596C0D" w:rsidRPr="00596C0D" w:rsidRDefault="00596C0D" w:rsidP="00596C0D">
            <w:pPr>
              <w:rPr>
                <w:rFonts w:ascii="Calibri" w:eastAsia="Times New Roman" w:hAnsi="Calibri" w:cs="Calibri"/>
                <w:sz w:val="20"/>
                <w:szCs w:val="20"/>
              </w:rPr>
            </w:pPr>
            <w:r w:rsidRPr="00596C0D">
              <w:rPr>
                <w:rFonts w:ascii="Calibri" w:eastAsia="Times New Roman" w:hAnsi="Calibri" w:cs="Calibri"/>
                <w:sz w:val="20"/>
                <w:szCs w:val="20"/>
              </w:rPr>
              <w:t>ART, ASL, CHIN, CMAT, DANC, ENGL, FREN, GERM, HONR, MDFL, MUSC, NURS, PHIL, SPAN, THEA</w:t>
            </w:r>
          </w:p>
        </w:tc>
        <w:tc>
          <w:tcPr>
            <w:tcW w:w="956" w:type="dxa"/>
            <w:tcBorders>
              <w:top w:val="nil"/>
              <w:left w:val="nil"/>
              <w:bottom w:val="nil"/>
              <w:right w:val="nil"/>
            </w:tcBorders>
            <w:shd w:val="clear" w:color="auto" w:fill="auto"/>
            <w:noWrap/>
            <w:vAlign w:val="center"/>
            <w:hideMark/>
          </w:tcPr>
          <w:p w14:paraId="17C5BF41"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80%</w:t>
            </w:r>
          </w:p>
        </w:tc>
        <w:tc>
          <w:tcPr>
            <w:tcW w:w="1256" w:type="dxa"/>
            <w:tcBorders>
              <w:top w:val="nil"/>
              <w:left w:val="nil"/>
              <w:bottom w:val="nil"/>
              <w:right w:val="nil"/>
            </w:tcBorders>
            <w:shd w:val="clear" w:color="auto" w:fill="auto"/>
            <w:noWrap/>
            <w:vAlign w:val="center"/>
            <w:hideMark/>
          </w:tcPr>
          <w:p w14:paraId="1846D49E"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1940</w:t>
            </w:r>
          </w:p>
        </w:tc>
        <w:tc>
          <w:tcPr>
            <w:tcW w:w="956" w:type="dxa"/>
            <w:tcBorders>
              <w:top w:val="nil"/>
              <w:left w:val="nil"/>
              <w:bottom w:val="nil"/>
              <w:right w:val="nil"/>
            </w:tcBorders>
            <w:shd w:val="clear" w:color="auto" w:fill="auto"/>
            <w:noWrap/>
            <w:vAlign w:val="center"/>
            <w:hideMark/>
          </w:tcPr>
          <w:p w14:paraId="7057671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20.0 </w:t>
            </w:r>
          </w:p>
        </w:tc>
        <w:tc>
          <w:tcPr>
            <w:tcW w:w="1196" w:type="dxa"/>
            <w:tcBorders>
              <w:top w:val="nil"/>
              <w:left w:val="nil"/>
              <w:bottom w:val="nil"/>
              <w:right w:val="nil"/>
            </w:tcBorders>
            <w:shd w:val="clear" w:color="auto" w:fill="auto"/>
            <w:noWrap/>
            <w:vAlign w:val="center"/>
            <w:hideMark/>
          </w:tcPr>
          <w:p w14:paraId="641BF32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291 </w:t>
            </w:r>
          </w:p>
        </w:tc>
        <w:tc>
          <w:tcPr>
            <w:tcW w:w="1156" w:type="dxa"/>
            <w:tcBorders>
              <w:top w:val="nil"/>
              <w:left w:val="nil"/>
              <w:bottom w:val="nil"/>
              <w:right w:val="nil"/>
            </w:tcBorders>
            <w:shd w:val="clear" w:color="auto" w:fill="auto"/>
            <w:noWrap/>
            <w:vAlign w:val="center"/>
            <w:hideMark/>
          </w:tcPr>
          <w:p w14:paraId="1F4C897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97 </w:t>
            </w:r>
          </w:p>
        </w:tc>
        <w:tc>
          <w:tcPr>
            <w:tcW w:w="1196" w:type="dxa"/>
            <w:tcBorders>
              <w:top w:val="nil"/>
              <w:left w:val="nil"/>
              <w:bottom w:val="nil"/>
              <w:right w:val="nil"/>
            </w:tcBorders>
            <w:shd w:val="clear" w:color="auto" w:fill="auto"/>
            <w:noWrap/>
            <w:vAlign w:val="center"/>
            <w:hideMark/>
          </w:tcPr>
          <w:p w14:paraId="56429A0F" w14:textId="77777777" w:rsidR="00596C0D" w:rsidRPr="00596C0D" w:rsidRDefault="00596C0D" w:rsidP="00596C0D">
            <w:pPr>
              <w:jc w:val="right"/>
              <w:rPr>
                <w:rFonts w:ascii="Calibri" w:eastAsia="Times New Roman" w:hAnsi="Calibri" w:cs="Calibri"/>
                <w:color w:val="000000"/>
                <w:sz w:val="22"/>
              </w:rPr>
            </w:pPr>
          </w:p>
        </w:tc>
        <w:tc>
          <w:tcPr>
            <w:tcW w:w="956" w:type="dxa"/>
            <w:tcBorders>
              <w:top w:val="nil"/>
              <w:left w:val="nil"/>
              <w:bottom w:val="nil"/>
              <w:right w:val="single" w:sz="4" w:space="0" w:color="auto"/>
            </w:tcBorders>
            <w:shd w:val="clear" w:color="auto" w:fill="auto"/>
            <w:noWrap/>
            <w:vAlign w:val="center"/>
            <w:hideMark/>
          </w:tcPr>
          <w:p w14:paraId="541D06A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7D41E994" w14:textId="77777777" w:rsidTr="00596C0D">
        <w:trPr>
          <w:trHeight w:val="765"/>
        </w:trPr>
        <w:tc>
          <w:tcPr>
            <w:tcW w:w="2824" w:type="dxa"/>
            <w:tcBorders>
              <w:top w:val="nil"/>
              <w:left w:val="single" w:sz="4" w:space="0" w:color="auto"/>
              <w:bottom w:val="nil"/>
              <w:right w:val="nil"/>
            </w:tcBorders>
            <w:shd w:val="clear" w:color="auto" w:fill="auto"/>
            <w:vAlign w:val="center"/>
            <w:hideMark/>
          </w:tcPr>
          <w:p w14:paraId="7B2066C0"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Social Configuration</w:t>
            </w:r>
          </w:p>
        </w:tc>
        <w:tc>
          <w:tcPr>
            <w:tcW w:w="2632" w:type="dxa"/>
            <w:tcBorders>
              <w:top w:val="nil"/>
              <w:left w:val="nil"/>
              <w:bottom w:val="nil"/>
              <w:right w:val="nil"/>
            </w:tcBorders>
            <w:shd w:val="clear" w:color="auto" w:fill="auto"/>
            <w:vAlign w:val="center"/>
            <w:hideMark/>
          </w:tcPr>
          <w:p w14:paraId="2512D78D"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3B - Social Science</w:t>
            </w:r>
          </w:p>
        </w:tc>
        <w:tc>
          <w:tcPr>
            <w:tcW w:w="2356" w:type="dxa"/>
            <w:tcBorders>
              <w:top w:val="nil"/>
              <w:left w:val="nil"/>
              <w:bottom w:val="nil"/>
              <w:right w:val="nil"/>
            </w:tcBorders>
            <w:shd w:val="clear" w:color="auto" w:fill="auto"/>
            <w:vAlign w:val="center"/>
            <w:hideMark/>
          </w:tcPr>
          <w:p w14:paraId="5EE4032E" w14:textId="77777777" w:rsidR="00596C0D" w:rsidRPr="00596C0D" w:rsidRDefault="00596C0D" w:rsidP="00596C0D">
            <w:pPr>
              <w:rPr>
                <w:rFonts w:ascii="Calibri" w:eastAsia="Times New Roman" w:hAnsi="Calibri" w:cs="Calibri"/>
                <w:sz w:val="20"/>
                <w:szCs w:val="20"/>
              </w:rPr>
            </w:pPr>
            <w:r w:rsidRPr="00596C0D">
              <w:rPr>
                <w:rFonts w:ascii="Calibri" w:eastAsia="Times New Roman" w:hAnsi="Calibri" w:cs="Calibri"/>
                <w:sz w:val="20"/>
                <w:szCs w:val="20"/>
              </w:rPr>
              <w:t>ANTH, CADR, ECON, FINA, GEOG, HONR, POSC, PSYC, SOCI (2/3)</w:t>
            </w:r>
          </w:p>
        </w:tc>
        <w:tc>
          <w:tcPr>
            <w:tcW w:w="956" w:type="dxa"/>
            <w:tcBorders>
              <w:top w:val="nil"/>
              <w:left w:val="nil"/>
              <w:bottom w:val="nil"/>
              <w:right w:val="nil"/>
            </w:tcBorders>
            <w:shd w:val="clear" w:color="auto" w:fill="auto"/>
            <w:noWrap/>
            <w:vAlign w:val="center"/>
            <w:hideMark/>
          </w:tcPr>
          <w:p w14:paraId="6C5AD61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63%</w:t>
            </w:r>
          </w:p>
        </w:tc>
        <w:tc>
          <w:tcPr>
            <w:tcW w:w="1256" w:type="dxa"/>
            <w:tcBorders>
              <w:top w:val="nil"/>
              <w:left w:val="nil"/>
              <w:bottom w:val="nil"/>
              <w:right w:val="nil"/>
            </w:tcBorders>
            <w:shd w:val="clear" w:color="auto" w:fill="auto"/>
            <w:noWrap/>
            <w:vAlign w:val="center"/>
            <w:hideMark/>
          </w:tcPr>
          <w:p w14:paraId="73D372FD"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1511</w:t>
            </w:r>
          </w:p>
        </w:tc>
        <w:tc>
          <w:tcPr>
            <w:tcW w:w="956" w:type="dxa"/>
            <w:tcBorders>
              <w:top w:val="nil"/>
              <w:left w:val="nil"/>
              <w:bottom w:val="nil"/>
              <w:right w:val="nil"/>
            </w:tcBorders>
            <w:shd w:val="clear" w:color="auto" w:fill="auto"/>
            <w:noWrap/>
            <w:vAlign w:val="center"/>
            <w:hideMark/>
          </w:tcPr>
          <w:p w14:paraId="11EF36E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37.4 </w:t>
            </w:r>
          </w:p>
        </w:tc>
        <w:tc>
          <w:tcPr>
            <w:tcW w:w="1196" w:type="dxa"/>
            <w:tcBorders>
              <w:top w:val="nil"/>
              <w:left w:val="nil"/>
              <w:bottom w:val="nil"/>
              <w:right w:val="nil"/>
            </w:tcBorders>
            <w:shd w:val="clear" w:color="auto" w:fill="auto"/>
            <w:noWrap/>
            <w:vAlign w:val="center"/>
            <w:hideMark/>
          </w:tcPr>
          <w:p w14:paraId="2119A0B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68 </w:t>
            </w:r>
          </w:p>
        </w:tc>
        <w:tc>
          <w:tcPr>
            <w:tcW w:w="1156" w:type="dxa"/>
            <w:tcBorders>
              <w:top w:val="nil"/>
              <w:left w:val="nil"/>
              <w:bottom w:val="nil"/>
              <w:right w:val="nil"/>
            </w:tcBorders>
            <w:shd w:val="clear" w:color="auto" w:fill="auto"/>
            <w:noWrap/>
            <w:vAlign w:val="center"/>
            <w:hideMark/>
          </w:tcPr>
          <w:p w14:paraId="6F378F2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40 </w:t>
            </w:r>
          </w:p>
        </w:tc>
        <w:tc>
          <w:tcPr>
            <w:tcW w:w="1196" w:type="dxa"/>
            <w:tcBorders>
              <w:top w:val="nil"/>
              <w:left w:val="nil"/>
              <w:bottom w:val="nil"/>
              <w:right w:val="nil"/>
            </w:tcBorders>
            <w:shd w:val="clear" w:color="auto" w:fill="auto"/>
            <w:noWrap/>
            <w:vAlign w:val="center"/>
            <w:hideMark/>
          </w:tcPr>
          <w:p w14:paraId="417BC2FB" w14:textId="77777777" w:rsidR="00596C0D" w:rsidRPr="00596C0D" w:rsidRDefault="00596C0D" w:rsidP="00596C0D">
            <w:pPr>
              <w:jc w:val="right"/>
              <w:rPr>
                <w:rFonts w:ascii="Calibri" w:eastAsia="Times New Roman" w:hAnsi="Calibri" w:cs="Calibri"/>
                <w:color w:val="000000"/>
                <w:sz w:val="22"/>
              </w:rPr>
            </w:pPr>
          </w:p>
        </w:tc>
        <w:tc>
          <w:tcPr>
            <w:tcW w:w="956" w:type="dxa"/>
            <w:tcBorders>
              <w:top w:val="nil"/>
              <w:left w:val="nil"/>
              <w:bottom w:val="nil"/>
              <w:right w:val="single" w:sz="4" w:space="0" w:color="auto"/>
            </w:tcBorders>
            <w:shd w:val="clear" w:color="auto" w:fill="auto"/>
            <w:noWrap/>
            <w:vAlign w:val="center"/>
            <w:hideMark/>
          </w:tcPr>
          <w:p w14:paraId="43F3DBBE"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043E7B19" w14:textId="77777777" w:rsidTr="00596C0D">
        <w:trPr>
          <w:trHeight w:val="885"/>
        </w:trPr>
        <w:tc>
          <w:tcPr>
            <w:tcW w:w="2824" w:type="dxa"/>
            <w:tcBorders>
              <w:top w:val="nil"/>
              <w:left w:val="single" w:sz="4" w:space="0" w:color="auto"/>
              <w:bottom w:val="nil"/>
              <w:right w:val="nil"/>
            </w:tcBorders>
            <w:shd w:val="clear" w:color="auto" w:fill="auto"/>
            <w:vAlign w:val="center"/>
            <w:hideMark/>
          </w:tcPr>
          <w:p w14:paraId="64AABFA2"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Social Issues</w:t>
            </w:r>
          </w:p>
        </w:tc>
        <w:tc>
          <w:tcPr>
            <w:tcW w:w="2632" w:type="dxa"/>
            <w:tcBorders>
              <w:top w:val="nil"/>
              <w:left w:val="nil"/>
              <w:bottom w:val="nil"/>
              <w:right w:val="nil"/>
            </w:tcBorders>
            <w:shd w:val="clear" w:color="auto" w:fill="auto"/>
            <w:vAlign w:val="center"/>
            <w:hideMark/>
          </w:tcPr>
          <w:p w14:paraId="0586A736"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3C - Social Science</w:t>
            </w:r>
          </w:p>
        </w:tc>
        <w:tc>
          <w:tcPr>
            <w:tcW w:w="2356" w:type="dxa"/>
            <w:tcBorders>
              <w:top w:val="nil"/>
              <w:left w:val="nil"/>
              <w:bottom w:val="nil"/>
              <w:right w:val="nil"/>
            </w:tcBorders>
            <w:shd w:val="clear" w:color="auto" w:fill="auto"/>
            <w:vAlign w:val="center"/>
            <w:hideMark/>
          </w:tcPr>
          <w:p w14:paraId="19C971AD" w14:textId="77777777" w:rsidR="00596C0D" w:rsidRPr="00596C0D" w:rsidRDefault="00596C0D" w:rsidP="00596C0D">
            <w:pPr>
              <w:rPr>
                <w:rFonts w:ascii="Calibri" w:eastAsia="Times New Roman" w:hAnsi="Calibri" w:cs="Calibri"/>
                <w:sz w:val="20"/>
                <w:szCs w:val="20"/>
              </w:rPr>
            </w:pPr>
            <w:r w:rsidRPr="00596C0D">
              <w:rPr>
                <w:rFonts w:ascii="Calibri" w:eastAsia="Times New Roman" w:hAnsi="Calibri" w:cs="Calibri"/>
                <w:sz w:val="20"/>
                <w:szCs w:val="20"/>
              </w:rPr>
              <w:t>ANTH, CADR, ECON, FINA, GEOG, HONR, POSC, PSYC, SOCI (1/3)</w:t>
            </w:r>
          </w:p>
        </w:tc>
        <w:tc>
          <w:tcPr>
            <w:tcW w:w="956" w:type="dxa"/>
            <w:tcBorders>
              <w:top w:val="nil"/>
              <w:left w:val="nil"/>
              <w:bottom w:val="nil"/>
              <w:right w:val="nil"/>
            </w:tcBorders>
            <w:shd w:val="clear" w:color="auto" w:fill="auto"/>
            <w:noWrap/>
            <w:vAlign w:val="center"/>
            <w:hideMark/>
          </w:tcPr>
          <w:p w14:paraId="601AB00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70%</w:t>
            </w:r>
          </w:p>
        </w:tc>
        <w:tc>
          <w:tcPr>
            <w:tcW w:w="1256" w:type="dxa"/>
            <w:tcBorders>
              <w:top w:val="nil"/>
              <w:left w:val="nil"/>
              <w:bottom w:val="nil"/>
              <w:right w:val="nil"/>
            </w:tcBorders>
            <w:shd w:val="clear" w:color="auto" w:fill="auto"/>
            <w:noWrap/>
            <w:vAlign w:val="center"/>
            <w:hideMark/>
          </w:tcPr>
          <w:p w14:paraId="7ADF962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1474</w:t>
            </w:r>
          </w:p>
        </w:tc>
        <w:tc>
          <w:tcPr>
            <w:tcW w:w="956" w:type="dxa"/>
            <w:tcBorders>
              <w:top w:val="nil"/>
              <w:left w:val="nil"/>
              <w:bottom w:val="nil"/>
              <w:right w:val="nil"/>
            </w:tcBorders>
            <w:shd w:val="clear" w:color="auto" w:fill="auto"/>
            <w:noWrap/>
            <w:vAlign w:val="center"/>
            <w:hideMark/>
          </w:tcPr>
          <w:p w14:paraId="6E90CE1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37.4 </w:t>
            </w:r>
          </w:p>
        </w:tc>
        <w:tc>
          <w:tcPr>
            <w:tcW w:w="1196" w:type="dxa"/>
            <w:tcBorders>
              <w:top w:val="nil"/>
              <w:left w:val="nil"/>
              <w:bottom w:val="nil"/>
              <w:right w:val="nil"/>
            </w:tcBorders>
            <w:shd w:val="clear" w:color="auto" w:fill="auto"/>
            <w:noWrap/>
            <w:vAlign w:val="center"/>
            <w:hideMark/>
          </w:tcPr>
          <w:p w14:paraId="443FBD9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33 </w:t>
            </w:r>
          </w:p>
        </w:tc>
        <w:tc>
          <w:tcPr>
            <w:tcW w:w="1156" w:type="dxa"/>
            <w:tcBorders>
              <w:top w:val="nil"/>
              <w:left w:val="nil"/>
              <w:bottom w:val="nil"/>
              <w:right w:val="nil"/>
            </w:tcBorders>
            <w:shd w:val="clear" w:color="auto" w:fill="auto"/>
            <w:noWrap/>
            <w:vAlign w:val="center"/>
            <w:hideMark/>
          </w:tcPr>
          <w:p w14:paraId="5C595DB0"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39 </w:t>
            </w:r>
          </w:p>
        </w:tc>
        <w:tc>
          <w:tcPr>
            <w:tcW w:w="1196" w:type="dxa"/>
            <w:tcBorders>
              <w:top w:val="nil"/>
              <w:left w:val="nil"/>
              <w:bottom w:val="nil"/>
              <w:right w:val="nil"/>
            </w:tcBorders>
            <w:shd w:val="clear" w:color="auto" w:fill="auto"/>
            <w:noWrap/>
            <w:vAlign w:val="center"/>
            <w:hideMark/>
          </w:tcPr>
          <w:p w14:paraId="6B6C113C" w14:textId="77777777" w:rsidR="00596C0D" w:rsidRPr="00596C0D" w:rsidRDefault="00596C0D" w:rsidP="00596C0D">
            <w:pPr>
              <w:jc w:val="right"/>
              <w:rPr>
                <w:rFonts w:ascii="Calibri" w:eastAsia="Times New Roman" w:hAnsi="Calibri" w:cs="Calibri"/>
                <w:color w:val="000000"/>
                <w:sz w:val="22"/>
              </w:rPr>
            </w:pPr>
          </w:p>
        </w:tc>
        <w:tc>
          <w:tcPr>
            <w:tcW w:w="956" w:type="dxa"/>
            <w:tcBorders>
              <w:top w:val="nil"/>
              <w:left w:val="nil"/>
              <w:bottom w:val="nil"/>
              <w:right w:val="single" w:sz="4" w:space="0" w:color="auto"/>
            </w:tcBorders>
            <w:shd w:val="clear" w:color="auto" w:fill="auto"/>
            <w:noWrap/>
            <w:vAlign w:val="center"/>
            <w:hideMark/>
          </w:tcPr>
          <w:p w14:paraId="2BDE250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40989F8B" w14:textId="77777777" w:rsidTr="00596C0D">
        <w:trPr>
          <w:trHeight w:val="360"/>
        </w:trPr>
        <w:tc>
          <w:tcPr>
            <w:tcW w:w="2824" w:type="dxa"/>
            <w:tcBorders>
              <w:top w:val="nil"/>
              <w:left w:val="single" w:sz="4" w:space="0" w:color="auto"/>
              <w:bottom w:val="single" w:sz="4" w:space="0" w:color="auto"/>
              <w:right w:val="nil"/>
            </w:tcBorders>
            <w:shd w:val="clear" w:color="000000" w:fill="D9D9D9"/>
            <w:noWrap/>
            <w:vAlign w:val="center"/>
            <w:hideMark/>
          </w:tcPr>
          <w:p w14:paraId="6C05187D" w14:textId="77777777" w:rsidR="00596C0D" w:rsidRPr="00596C0D" w:rsidRDefault="00596C0D" w:rsidP="00596C0D">
            <w:pPr>
              <w:rPr>
                <w:rFonts w:ascii="Calibri" w:eastAsia="Times New Roman" w:hAnsi="Calibri" w:cs="Calibri"/>
                <w:b/>
                <w:bCs/>
                <w:color w:val="000000"/>
                <w:sz w:val="22"/>
              </w:rPr>
            </w:pPr>
            <w:r w:rsidRPr="00596C0D">
              <w:rPr>
                <w:rFonts w:ascii="Calibri" w:eastAsia="Times New Roman" w:hAnsi="Calibri" w:cs="Calibri"/>
                <w:b/>
                <w:bCs/>
                <w:color w:val="000000"/>
                <w:sz w:val="22"/>
              </w:rPr>
              <w:t xml:space="preserve">HE, </w:t>
            </w:r>
            <w:proofErr w:type="spellStart"/>
            <w:r w:rsidRPr="00596C0D">
              <w:rPr>
                <w:rFonts w:ascii="Calibri" w:eastAsia="Times New Roman" w:hAnsi="Calibri" w:cs="Calibri"/>
                <w:b/>
                <w:bCs/>
                <w:color w:val="000000"/>
                <w:sz w:val="22"/>
              </w:rPr>
              <w:t>HiC</w:t>
            </w:r>
            <w:proofErr w:type="spellEnd"/>
            <w:r w:rsidRPr="00596C0D">
              <w:rPr>
                <w:rFonts w:ascii="Calibri" w:eastAsia="Times New Roman" w:hAnsi="Calibri" w:cs="Calibri"/>
                <w:b/>
                <w:bCs/>
                <w:color w:val="000000"/>
                <w:sz w:val="22"/>
              </w:rPr>
              <w:t>, SC, SI combined</w:t>
            </w:r>
          </w:p>
        </w:tc>
        <w:tc>
          <w:tcPr>
            <w:tcW w:w="2632" w:type="dxa"/>
            <w:tcBorders>
              <w:top w:val="nil"/>
              <w:left w:val="nil"/>
              <w:bottom w:val="single" w:sz="4" w:space="0" w:color="auto"/>
              <w:right w:val="nil"/>
            </w:tcBorders>
            <w:shd w:val="clear" w:color="000000" w:fill="D9D9D9"/>
            <w:vAlign w:val="center"/>
            <w:hideMark/>
          </w:tcPr>
          <w:p w14:paraId="1A896C46"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2A/2B/3A/3B/3C</w:t>
            </w:r>
          </w:p>
        </w:tc>
        <w:tc>
          <w:tcPr>
            <w:tcW w:w="2356" w:type="dxa"/>
            <w:tcBorders>
              <w:top w:val="nil"/>
              <w:left w:val="nil"/>
              <w:bottom w:val="single" w:sz="4" w:space="0" w:color="auto"/>
              <w:right w:val="nil"/>
            </w:tcBorders>
            <w:shd w:val="clear" w:color="000000" w:fill="D9D9D9"/>
            <w:vAlign w:val="center"/>
            <w:hideMark/>
          </w:tcPr>
          <w:p w14:paraId="250B6C75"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All of the Above</w:t>
            </w:r>
          </w:p>
        </w:tc>
        <w:tc>
          <w:tcPr>
            <w:tcW w:w="956" w:type="dxa"/>
            <w:tcBorders>
              <w:top w:val="nil"/>
              <w:left w:val="nil"/>
              <w:bottom w:val="single" w:sz="4" w:space="0" w:color="auto"/>
              <w:right w:val="nil"/>
            </w:tcBorders>
            <w:shd w:val="clear" w:color="000000" w:fill="D9D9D9"/>
            <w:noWrap/>
            <w:vAlign w:val="center"/>
            <w:hideMark/>
          </w:tcPr>
          <w:p w14:paraId="424C92B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70%</w:t>
            </w:r>
          </w:p>
        </w:tc>
        <w:tc>
          <w:tcPr>
            <w:tcW w:w="1256" w:type="dxa"/>
            <w:tcBorders>
              <w:top w:val="nil"/>
              <w:left w:val="nil"/>
              <w:bottom w:val="single" w:sz="4" w:space="0" w:color="auto"/>
              <w:right w:val="nil"/>
            </w:tcBorders>
            <w:shd w:val="clear" w:color="000000" w:fill="D9D9D9"/>
            <w:noWrap/>
            <w:vAlign w:val="center"/>
            <w:hideMark/>
          </w:tcPr>
          <w:p w14:paraId="0EA5DBB0"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6817</w:t>
            </w:r>
          </w:p>
        </w:tc>
        <w:tc>
          <w:tcPr>
            <w:tcW w:w="956" w:type="dxa"/>
            <w:tcBorders>
              <w:top w:val="nil"/>
              <w:left w:val="nil"/>
              <w:bottom w:val="single" w:sz="4" w:space="0" w:color="auto"/>
              <w:right w:val="nil"/>
            </w:tcBorders>
            <w:shd w:val="clear" w:color="000000" w:fill="D9D9D9"/>
            <w:noWrap/>
            <w:vAlign w:val="center"/>
            <w:hideMark/>
          </w:tcPr>
          <w:p w14:paraId="0BE9BAE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29.3 </w:t>
            </w:r>
          </w:p>
        </w:tc>
        <w:tc>
          <w:tcPr>
            <w:tcW w:w="1196" w:type="dxa"/>
            <w:tcBorders>
              <w:top w:val="nil"/>
              <w:left w:val="nil"/>
              <w:bottom w:val="single" w:sz="4" w:space="0" w:color="auto"/>
              <w:right w:val="nil"/>
            </w:tcBorders>
            <w:shd w:val="clear" w:color="000000" w:fill="D9D9D9"/>
            <w:noWrap/>
            <w:vAlign w:val="center"/>
            <w:hideMark/>
          </w:tcPr>
          <w:p w14:paraId="20B483E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530 </w:t>
            </w:r>
          </w:p>
        </w:tc>
        <w:tc>
          <w:tcPr>
            <w:tcW w:w="1156" w:type="dxa"/>
            <w:tcBorders>
              <w:top w:val="nil"/>
              <w:left w:val="nil"/>
              <w:bottom w:val="single" w:sz="4" w:space="0" w:color="auto"/>
              <w:right w:val="nil"/>
            </w:tcBorders>
            <w:shd w:val="clear" w:color="000000" w:fill="D9D9D9"/>
            <w:noWrap/>
            <w:vAlign w:val="center"/>
            <w:hideMark/>
          </w:tcPr>
          <w:p w14:paraId="4834965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249 </w:t>
            </w:r>
          </w:p>
        </w:tc>
        <w:tc>
          <w:tcPr>
            <w:tcW w:w="1196" w:type="dxa"/>
            <w:tcBorders>
              <w:top w:val="nil"/>
              <w:left w:val="nil"/>
              <w:bottom w:val="single" w:sz="4" w:space="0" w:color="auto"/>
              <w:right w:val="nil"/>
            </w:tcBorders>
            <w:shd w:val="clear" w:color="000000" w:fill="D9D9D9"/>
            <w:noWrap/>
            <w:vAlign w:val="center"/>
            <w:hideMark/>
          </w:tcPr>
          <w:p w14:paraId="2478A9F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180 </w:t>
            </w:r>
          </w:p>
        </w:tc>
        <w:tc>
          <w:tcPr>
            <w:tcW w:w="956" w:type="dxa"/>
            <w:tcBorders>
              <w:top w:val="nil"/>
              <w:left w:val="nil"/>
              <w:bottom w:val="single" w:sz="4" w:space="0" w:color="auto"/>
              <w:right w:val="single" w:sz="4" w:space="0" w:color="auto"/>
            </w:tcBorders>
            <w:shd w:val="clear" w:color="000000" w:fill="D9D9D9"/>
            <w:noWrap/>
            <w:vAlign w:val="center"/>
            <w:hideMark/>
          </w:tcPr>
          <w:p w14:paraId="441DA6E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(101)</w:t>
            </w:r>
          </w:p>
        </w:tc>
      </w:tr>
      <w:tr w:rsidR="00596C0D" w:rsidRPr="00596C0D" w14:paraId="7C914895" w14:textId="77777777" w:rsidTr="00596C0D">
        <w:trPr>
          <w:trHeight w:val="345"/>
        </w:trPr>
        <w:tc>
          <w:tcPr>
            <w:tcW w:w="2824" w:type="dxa"/>
            <w:tcBorders>
              <w:top w:val="nil"/>
              <w:left w:val="single" w:sz="4" w:space="0" w:color="auto"/>
              <w:bottom w:val="nil"/>
              <w:right w:val="nil"/>
            </w:tcBorders>
            <w:shd w:val="clear" w:color="auto" w:fill="auto"/>
            <w:vAlign w:val="center"/>
            <w:hideMark/>
          </w:tcPr>
          <w:p w14:paraId="3A2D771B"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Hands-on Science</w:t>
            </w:r>
          </w:p>
        </w:tc>
        <w:tc>
          <w:tcPr>
            <w:tcW w:w="2632" w:type="dxa"/>
            <w:tcBorders>
              <w:top w:val="nil"/>
              <w:left w:val="nil"/>
              <w:bottom w:val="nil"/>
              <w:right w:val="nil"/>
            </w:tcBorders>
            <w:shd w:val="clear" w:color="auto" w:fill="auto"/>
            <w:noWrap/>
            <w:vAlign w:val="center"/>
            <w:hideMark/>
          </w:tcPr>
          <w:p w14:paraId="7D3F17F4"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4A1 - Lab Science</w:t>
            </w:r>
          </w:p>
        </w:tc>
        <w:tc>
          <w:tcPr>
            <w:tcW w:w="2356" w:type="dxa"/>
            <w:tcBorders>
              <w:top w:val="nil"/>
              <w:left w:val="nil"/>
              <w:bottom w:val="nil"/>
              <w:right w:val="nil"/>
            </w:tcBorders>
            <w:shd w:val="clear" w:color="auto" w:fill="auto"/>
            <w:noWrap/>
            <w:vAlign w:val="center"/>
            <w:hideMark/>
          </w:tcPr>
          <w:p w14:paraId="7886E0FA"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BIOL, CHEM, PHYS, GEOG</w:t>
            </w:r>
          </w:p>
        </w:tc>
        <w:tc>
          <w:tcPr>
            <w:tcW w:w="956" w:type="dxa"/>
            <w:tcBorders>
              <w:top w:val="nil"/>
              <w:left w:val="nil"/>
              <w:bottom w:val="nil"/>
              <w:right w:val="nil"/>
            </w:tcBorders>
            <w:shd w:val="clear" w:color="auto" w:fill="auto"/>
            <w:noWrap/>
            <w:vAlign w:val="center"/>
            <w:hideMark/>
          </w:tcPr>
          <w:p w14:paraId="6971C20A"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75%</w:t>
            </w:r>
          </w:p>
        </w:tc>
        <w:tc>
          <w:tcPr>
            <w:tcW w:w="1256" w:type="dxa"/>
            <w:tcBorders>
              <w:top w:val="nil"/>
              <w:left w:val="nil"/>
              <w:bottom w:val="nil"/>
              <w:right w:val="nil"/>
            </w:tcBorders>
            <w:shd w:val="clear" w:color="auto" w:fill="auto"/>
            <w:noWrap/>
            <w:vAlign w:val="center"/>
            <w:hideMark/>
          </w:tcPr>
          <w:p w14:paraId="4C2DF72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1808</w:t>
            </w:r>
          </w:p>
        </w:tc>
        <w:tc>
          <w:tcPr>
            <w:tcW w:w="956" w:type="dxa"/>
            <w:tcBorders>
              <w:top w:val="nil"/>
              <w:left w:val="nil"/>
              <w:bottom w:val="nil"/>
              <w:right w:val="nil"/>
            </w:tcBorders>
            <w:shd w:val="clear" w:color="auto" w:fill="auto"/>
            <w:noWrap/>
            <w:vAlign w:val="center"/>
            <w:hideMark/>
          </w:tcPr>
          <w:p w14:paraId="1A6EDD1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21</w:t>
            </w:r>
          </w:p>
        </w:tc>
        <w:tc>
          <w:tcPr>
            <w:tcW w:w="1196" w:type="dxa"/>
            <w:tcBorders>
              <w:top w:val="nil"/>
              <w:left w:val="nil"/>
              <w:bottom w:val="nil"/>
              <w:right w:val="nil"/>
            </w:tcBorders>
            <w:shd w:val="clear" w:color="auto" w:fill="auto"/>
            <w:noWrap/>
            <w:vAlign w:val="center"/>
            <w:hideMark/>
          </w:tcPr>
          <w:p w14:paraId="2A23CFD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295 </w:t>
            </w:r>
          </w:p>
        </w:tc>
        <w:tc>
          <w:tcPr>
            <w:tcW w:w="1156" w:type="dxa"/>
            <w:tcBorders>
              <w:top w:val="nil"/>
              <w:left w:val="nil"/>
              <w:bottom w:val="nil"/>
              <w:right w:val="nil"/>
            </w:tcBorders>
            <w:shd w:val="clear" w:color="auto" w:fill="auto"/>
            <w:noWrap/>
            <w:vAlign w:val="center"/>
            <w:hideMark/>
          </w:tcPr>
          <w:p w14:paraId="3AE9057B" w14:textId="77777777" w:rsidR="00596C0D" w:rsidRPr="00596C0D" w:rsidRDefault="00596C0D" w:rsidP="00596C0D">
            <w:pPr>
              <w:jc w:val="right"/>
              <w:rPr>
                <w:rFonts w:ascii="Calibri" w:eastAsia="Times New Roman" w:hAnsi="Calibri" w:cs="Calibri"/>
                <w:color w:val="000000"/>
                <w:sz w:val="22"/>
              </w:rPr>
            </w:pPr>
          </w:p>
        </w:tc>
        <w:tc>
          <w:tcPr>
            <w:tcW w:w="1196" w:type="dxa"/>
            <w:tcBorders>
              <w:top w:val="nil"/>
              <w:left w:val="nil"/>
              <w:bottom w:val="nil"/>
              <w:right w:val="nil"/>
            </w:tcBorders>
            <w:shd w:val="clear" w:color="auto" w:fill="auto"/>
            <w:noWrap/>
            <w:vAlign w:val="center"/>
            <w:hideMark/>
          </w:tcPr>
          <w:p w14:paraId="18841721" w14:textId="77777777" w:rsidR="00596C0D" w:rsidRPr="00596C0D" w:rsidRDefault="00596C0D" w:rsidP="00596C0D">
            <w:pPr>
              <w:jc w:val="right"/>
              <w:rPr>
                <w:rFonts w:eastAsia="Times New Roman" w:cs="Times New Roman"/>
                <w:sz w:val="20"/>
                <w:szCs w:val="20"/>
              </w:rPr>
            </w:pPr>
          </w:p>
        </w:tc>
        <w:tc>
          <w:tcPr>
            <w:tcW w:w="956" w:type="dxa"/>
            <w:tcBorders>
              <w:top w:val="nil"/>
              <w:left w:val="nil"/>
              <w:bottom w:val="nil"/>
              <w:right w:val="single" w:sz="4" w:space="0" w:color="auto"/>
            </w:tcBorders>
            <w:shd w:val="clear" w:color="auto" w:fill="auto"/>
            <w:noWrap/>
            <w:vAlign w:val="center"/>
            <w:hideMark/>
          </w:tcPr>
          <w:p w14:paraId="1E77FF7E"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48BB067C" w14:textId="77777777" w:rsidTr="00596C0D">
        <w:trPr>
          <w:trHeight w:val="555"/>
        </w:trPr>
        <w:tc>
          <w:tcPr>
            <w:tcW w:w="2824" w:type="dxa"/>
            <w:tcBorders>
              <w:top w:val="nil"/>
              <w:left w:val="single" w:sz="4" w:space="0" w:color="auto"/>
              <w:bottom w:val="nil"/>
              <w:right w:val="nil"/>
            </w:tcBorders>
            <w:shd w:val="clear" w:color="auto" w:fill="auto"/>
            <w:vAlign w:val="center"/>
            <w:hideMark/>
          </w:tcPr>
          <w:p w14:paraId="6C9A64BA" w14:textId="77777777" w:rsidR="00596C0D" w:rsidRPr="00596C0D" w:rsidRDefault="00596C0D" w:rsidP="00596C0D">
            <w:pPr>
              <w:rPr>
                <w:rFonts w:ascii="Calibri" w:eastAsia="Times New Roman" w:hAnsi="Calibri" w:cs="Calibri"/>
                <w:sz w:val="22"/>
              </w:rPr>
            </w:pPr>
            <w:r w:rsidRPr="00596C0D">
              <w:rPr>
                <w:rFonts w:ascii="Calibri" w:eastAsia="Times New Roman" w:hAnsi="Calibri" w:cs="Calibri"/>
                <w:sz w:val="22"/>
              </w:rPr>
              <w:t>Solutions through Science</w:t>
            </w:r>
          </w:p>
        </w:tc>
        <w:tc>
          <w:tcPr>
            <w:tcW w:w="2632" w:type="dxa"/>
            <w:tcBorders>
              <w:top w:val="nil"/>
              <w:left w:val="nil"/>
              <w:bottom w:val="nil"/>
              <w:right w:val="nil"/>
            </w:tcBorders>
            <w:shd w:val="clear" w:color="auto" w:fill="auto"/>
            <w:noWrap/>
            <w:vAlign w:val="center"/>
            <w:hideMark/>
          </w:tcPr>
          <w:p w14:paraId="7A172349"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xml:space="preserve">4B - </w:t>
            </w:r>
            <w:proofErr w:type="gramStart"/>
            <w:r w:rsidRPr="00596C0D">
              <w:rPr>
                <w:rFonts w:ascii="Calibri" w:eastAsia="Times New Roman" w:hAnsi="Calibri" w:cs="Calibri"/>
                <w:color w:val="000000"/>
                <w:sz w:val="22"/>
              </w:rPr>
              <w:t>Non Lab</w:t>
            </w:r>
            <w:proofErr w:type="gramEnd"/>
            <w:r w:rsidRPr="00596C0D">
              <w:rPr>
                <w:rFonts w:ascii="Calibri" w:eastAsia="Times New Roman" w:hAnsi="Calibri" w:cs="Calibri"/>
                <w:color w:val="000000"/>
                <w:sz w:val="22"/>
              </w:rPr>
              <w:t xml:space="preserve"> Science </w:t>
            </w:r>
            <w:r w:rsidRPr="00596C0D">
              <w:rPr>
                <w:rFonts w:ascii="Calibri" w:eastAsia="Times New Roman" w:hAnsi="Calibri" w:cs="Calibri"/>
                <w:color w:val="FF0000"/>
                <w:sz w:val="22"/>
              </w:rPr>
              <w:t>or Math</w:t>
            </w:r>
          </w:p>
        </w:tc>
        <w:tc>
          <w:tcPr>
            <w:tcW w:w="2356" w:type="dxa"/>
            <w:tcBorders>
              <w:top w:val="nil"/>
              <w:left w:val="nil"/>
              <w:bottom w:val="nil"/>
              <w:right w:val="nil"/>
            </w:tcBorders>
            <w:shd w:val="clear" w:color="auto" w:fill="auto"/>
            <w:vAlign w:val="center"/>
            <w:hideMark/>
          </w:tcPr>
          <w:p w14:paraId="64B1A120"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xml:space="preserve">BIOL, CHEM, PHYS, GEOG, COSC, </w:t>
            </w:r>
            <w:r w:rsidRPr="00596C0D">
              <w:rPr>
                <w:rFonts w:ascii="Calibri" w:eastAsia="Times New Roman" w:hAnsi="Calibri" w:cs="Calibri"/>
                <w:color w:val="FF0000"/>
                <w:sz w:val="22"/>
              </w:rPr>
              <w:t>MATH</w:t>
            </w:r>
          </w:p>
        </w:tc>
        <w:tc>
          <w:tcPr>
            <w:tcW w:w="956" w:type="dxa"/>
            <w:tcBorders>
              <w:top w:val="nil"/>
              <w:left w:val="nil"/>
              <w:bottom w:val="nil"/>
              <w:right w:val="nil"/>
            </w:tcBorders>
            <w:shd w:val="clear" w:color="auto" w:fill="auto"/>
            <w:noWrap/>
            <w:vAlign w:val="center"/>
            <w:hideMark/>
          </w:tcPr>
          <w:p w14:paraId="0D7F415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71%</w:t>
            </w:r>
          </w:p>
        </w:tc>
        <w:tc>
          <w:tcPr>
            <w:tcW w:w="1256" w:type="dxa"/>
            <w:tcBorders>
              <w:top w:val="nil"/>
              <w:left w:val="nil"/>
              <w:bottom w:val="nil"/>
              <w:right w:val="nil"/>
            </w:tcBorders>
            <w:shd w:val="clear" w:color="auto" w:fill="auto"/>
            <w:noWrap/>
            <w:vAlign w:val="center"/>
            <w:hideMark/>
          </w:tcPr>
          <w:p w14:paraId="65FA4B9E"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1619</w:t>
            </w:r>
          </w:p>
        </w:tc>
        <w:tc>
          <w:tcPr>
            <w:tcW w:w="956" w:type="dxa"/>
            <w:tcBorders>
              <w:top w:val="nil"/>
              <w:left w:val="nil"/>
              <w:bottom w:val="nil"/>
              <w:right w:val="nil"/>
            </w:tcBorders>
            <w:shd w:val="clear" w:color="auto" w:fill="auto"/>
            <w:noWrap/>
            <w:vAlign w:val="center"/>
            <w:hideMark/>
          </w:tcPr>
          <w:p w14:paraId="4E33E24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28</w:t>
            </w:r>
          </w:p>
        </w:tc>
        <w:tc>
          <w:tcPr>
            <w:tcW w:w="1196" w:type="dxa"/>
            <w:tcBorders>
              <w:top w:val="nil"/>
              <w:left w:val="nil"/>
              <w:bottom w:val="nil"/>
              <w:right w:val="nil"/>
            </w:tcBorders>
            <w:shd w:val="clear" w:color="auto" w:fill="auto"/>
            <w:noWrap/>
            <w:vAlign w:val="center"/>
            <w:hideMark/>
          </w:tcPr>
          <w:p w14:paraId="377BF37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43 </w:t>
            </w:r>
          </w:p>
        </w:tc>
        <w:tc>
          <w:tcPr>
            <w:tcW w:w="1156" w:type="dxa"/>
            <w:tcBorders>
              <w:top w:val="nil"/>
              <w:left w:val="nil"/>
              <w:bottom w:val="nil"/>
              <w:right w:val="nil"/>
            </w:tcBorders>
            <w:shd w:val="clear" w:color="auto" w:fill="auto"/>
            <w:noWrap/>
            <w:vAlign w:val="center"/>
            <w:hideMark/>
          </w:tcPr>
          <w:p w14:paraId="2937EEE1" w14:textId="77777777" w:rsidR="00596C0D" w:rsidRPr="00596C0D" w:rsidRDefault="00596C0D" w:rsidP="00596C0D">
            <w:pPr>
              <w:jc w:val="right"/>
              <w:rPr>
                <w:rFonts w:ascii="Calibri" w:eastAsia="Times New Roman" w:hAnsi="Calibri" w:cs="Calibri"/>
                <w:color w:val="000000"/>
                <w:sz w:val="22"/>
              </w:rPr>
            </w:pPr>
          </w:p>
        </w:tc>
        <w:tc>
          <w:tcPr>
            <w:tcW w:w="1196" w:type="dxa"/>
            <w:tcBorders>
              <w:top w:val="nil"/>
              <w:left w:val="nil"/>
              <w:bottom w:val="nil"/>
              <w:right w:val="nil"/>
            </w:tcBorders>
            <w:shd w:val="clear" w:color="auto" w:fill="auto"/>
            <w:noWrap/>
            <w:vAlign w:val="center"/>
            <w:hideMark/>
          </w:tcPr>
          <w:p w14:paraId="61D3EEA0" w14:textId="77777777" w:rsidR="00596C0D" w:rsidRPr="00596C0D" w:rsidRDefault="00596C0D" w:rsidP="00596C0D">
            <w:pPr>
              <w:jc w:val="right"/>
              <w:rPr>
                <w:rFonts w:eastAsia="Times New Roman" w:cs="Times New Roman"/>
                <w:sz w:val="20"/>
                <w:szCs w:val="20"/>
              </w:rPr>
            </w:pPr>
          </w:p>
        </w:tc>
        <w:tc>
          <w:tcPr>
            <w:tcW w:w="956" w:type="dxa"/>
            <w:tcBorders>
              <w:top w:val="nil"/>
              <w:left w:val="nil"/>
              <w:bottom w:val="nil"/>
              <w:right w:val="single" w:sz="4" w:space="0" w:color="auto"/>
            </w:tcBorders>
            <w:shd w:val="clear" w:color="auto" w:fill="auto"/>
            <w:noWrap/>
            <w:vAlign w:val="center"/>
            <w:hideMark/>
          </w:tcPr>
          <w:p w14:paraId="1A765581"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w:t>
            </w:r>
          </w:p>
        </w:tc>
      </w:tr>
      <w:tr w:rsidR="00596C0D" w:rsidRPr="00596C0D" w14:paraId="38666258" w14:textId="77777777" w:rsidTr="00596C0D">
        <w:trPr>
          <w:trHeight w:val="390"/>
        </w:trPr>
        <w:tc>
          <w:tcPr>
            <w:tcW w:w="2824" w:type="dxa"/>
            <w:tcBorders>
              <w:top w:val="nil"/>
              <w:left w:val="single" w:sz="4" w:space="0" w:color="auto"/>
              <w:bottom w:val="single" w:sz="4" w:space="0" w:color="auto"/>
              <w:right w:val="nil"/>
            </w:tcBorders>
            <w:shd w:val="clear" w:color="000000" w:fill="D9D9D9"/>
            <w:vAlign w:val="center"/>
            <w:hideMark/>
          </w:tcPr>
          <w:p w14:paraId="49F4ADF8" w14:textId="77777777" w:rsidR="00596C0D" w:rsidRPr="00596C0D" w:rsidRDefault="00596C0D" w:rsidP="00596C0D">
            <w:pPr>
              <w:rPr>
                <w:rFonts w:ascii="Calibri" w:eastAsia="Times New Roman" w:hAnsi="Calibri" w:cs="Calibri"/>
                <w:b/>
                <w:bCs/>
                <w:color w:val="000000"/>
                <w:sz w:val="22"/>
              </w:rPr>
            </w:pPr>
            <w:proofErr w:type="spellStart"/>
            <w:r w:rsidRPr="00596C0D">
              <w:rPr>
                <w:rFonts w:ascii="Calibri" w:eastAsia="Times New Roman" w:hAnsi="Calibri" w:cs="Calibri"/>
                <w:b/>
                <w:bCs/>
                <w:color w:val="000000"/>
                <w:sz w:val="22"/>
              </w:rPr>
              <w:t>HoS</w:t>
            </w:r>
            <w:proofErr w:type="spellEnd"/>
            <w:r w:rsidRPr="00596C0D">
              <w:rPr>
                <w:rFonts w:ascii="Calibri" w:eastAsia="Times New Roman" w:hAnsi="Calibri" w:cs="Calibri"/>
                <w:b/>
                <w:bCs/>
                <w:color w:val="000000"/>
                <w:sz w:val="22"/>
              </w:rPr>
              <w:t>/</w:t>
            </w:r>
            <w:proofErr w:type="spellStart"/>
            <w:r w:rsidRPr="00596C0D">
              <w:rPr>
                <w:rFonts w:ascii="Calibri" w:eastAsia="Times New Roman" w:hAnsi="Calibri" w:cs="Calibri"/>
                <w:b/>
                <w:bCs/>
                <w:color w:val="000000"/>
                <w:sz w:val="22"/>
              </w:rPr>
              <w:t>StS</w:t>
            </w:r>
            <w:proofErr w:type="spellEnd"/>
            <w:r w:rsidRPr="00596C0D">
              <w:rPr>
                <w:rFonts w:ascii="Calibri" w:eastAsia="Times New Roman" w:hAnsi="Calibri" w:cs="Calibri"/>
                <w:b/>
                <w:bCs/>
                <w:color w:val="000000"/>
                <w:sz w:val="22"/>
              </w:rPr>
              <w:t xml:space="preserve"> Combined</w:t>
            </w:r>
          </w:p>
        </w:tc>
        <w:tc>
          <w:tcPr>
            <w:tcW w:w="2632" w:type="dxa"/>
            <w:tcBorders>
              <w:top w:val="nil"/>
              <w:left w:val="nil"/>
              <w:bottom w:val="single" w:sz="4" w:space="0" w:color="auto"/>
              <w:right w:val="nil"/>
            </w:tcBorders>
            <w:shd w:val="clear" w:color="000000" w:fill="D9D9D9"/>
            <w:vAlign w:val="center"/>
            <w:hideMark/>
          </w:tcPr>
          <w:p w14:paraId="4AC2E4A6"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4A/4B</w:t>
            </w:r>
          </w:p>
        </w:tc>
        <w:tc>
          <w:tcPr>
            <w:tcW w:w="2356" w:type="dxa"/>
            <w:tcBorders>
              <w:top w:val="nil"/>
              <w:left w:val="nil"/>
              <w:bottom w:val="single" w:sz="4" w:space="0" w:color="auto"/>
              <w:right w:val="nil"/>
            </w:tcBorders>
            <w:shd w:val="clear" w:color="000000" w:fill="D9D9D9"/>
            <w:vAlign w:val="center"/>
            <w:hideMark/>
          </w:tcPr>
          <w:p w14:paraId="31CAA12D"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All of the Above</w:t>
            </w:r>
          </w:p>
        </w:tc>
        <w:tc>
          <w:tcPr>
            <w:tcW w:w="956" w:type="dxa"/>
            <w:tcBorders>
              <w:top w:val="nil"/>
              <w:left w:val="nil"/>
              <w:bottom w:val="single" w:sz="4" w:space="0" w:color="auto"/>
              <w:right w:val="nil"/>
            </w:tcBorders>
            <w:shd w:val="clear" w:color="000000" w:fill="D9D9D9"/>
            <w:noWrap/>
            <w:vAlign w:val="center"/>
            <w:hideMark/>
          </w:tcPr>
          <w:p w14:paraId="4596124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74%</w:t>
            </w:r>
          </w:p>
        </w:tc>
        <w:tc>
          <w:tcPr>
            <w:tcW w:w="1256" w:type="dxa"/>
            <w:tcBorders>
              <w:top w:val="nil"/>
              <w:left w:val="nil"/>
              <w:bottom w:val="single" w:sz="4" w:space="0" w:color="auto"/>
              <w:right w:val="nil"/>
            </w:tcBorders>
            <w:shd w:val="clear" w:color="000000" w:fill="D9D9D9"/>
            <w:noWrap/>
            <w:vAlign w:val="center"/>
            <w:hideMark/>
          </w:tcPr>
          <w:p w14:paraId="2947892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3427</w:t>
            </w:r>
          </w:p>
        </w:tc>
        <w:tc>
          <w:tcPr>
            <w:tcW w:w="956" w:type="dxa"/>
            <w:tcBorders>
              <w:top w:val="nil"/>
              <w:left w:val="nil"/>
              <w:bottom w:val="single" w:sz="4" w:space="0" w:color="auto"/>
              <w:right w:val="nil"/>
            </w:tcBorders>
            <w:shd w:val="clear" w:color="000000" w:fill="D9D9D9"/>
            <w:vAlign w:val="center"/>
            <w:hideMark/>
          </w:tcPr>
          <w:p w14:paraId="38657DD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22.3 </w:t>
            </w:r>
          </w:p>
        </w:tc>
        <w:tc>
          <w:tcPr>
            <w:tcW w:w="1196" w:type="dxa"/>
            <w:tcBorders>
              <w:top w:val="nil"/>
              <w:left w:val="nil"/>
              <w:bottom w:val="single" w:sz="4" w:space="0" w:color="auto"/>
              <w:right w:val="nil"/>
            </w:tcBorders>
            <w:shd w:val="clear" w:color="000000" w:fill="D9D9D9"/>
            <w:noWrap/>
            <w:vAlign w:val="center"/>
            <w:hideMark/>
          </w:tcPr>
          <w:p w14:paraId="2898EDA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338 </w:t>
            </w:r>
          </w:p>
        </w:tc>
        <w:tc>
          <w:tcPr>
            <w:tcW w:w="1156" w:type="dxa"/>
            <w:tcBorders>
              <w:top w:val="nil"/>
              <w:left w:val="nil"/>
              <w:bottom w:val="single" w:sz="4" w:space="0" w:color="auto"/>
              <w:right w:val="nil"/>
            </w:tcBorders>
            <w:shd w:val="clear" w:color="000000" w:fill="D9D9D9"/>
            <w:vAlign w:val="center"/>
            <w:hideMark/>
          </w:tcPr>
          <w:p w14:paraId="0DE11B7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154 </w:t>
            </w:r>
          </w:p>
        </w:tc>
        <w:tc>
          <w:tcPr>
            <w:tcW w:w="1196" w:type="dxa"/>
            <w:tcBorders>
              <w:top w:val="nil"/>
              <w:left w:val="nil"/>
              <w:bottom w:val="single" w:sz="4" w:space="0" w:color="auto"/>
              <w:right w:val="nil"/>
            </w:tcBorders>
            <w:shd w:val="clear" w:color="000000" w:fill="D9D9D9"/>
            <w:noWrap/>
            <w:vAlign w:val="center"/>
            <w:hideMark/>
          </w:tcPr>
          <w:p w14:paraId="0FE8A11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111 </w:t>
            </w:r>
          </w:p>
        </w:tc>
        <w:tc>
          <w:tcPr>
            <w:tcW w:w="956" w:type="dxa"/>
            <w:tcBorders>
              <w:top w:val="nil"/>
              <w:left w:val="nil"/>
              <w:bottom w:val="single" w:sz="4" w:space="0" w:color="auto"/>
              <w:right w:val="single" w:sz="4" w:space="0" w:color="auto"/>
            </w:tcBorders>
            <w:shd w:val="clear" w:color="000000" w:fill="D9D9D9"/>
            <w:noWrap/>
            <w:vAlign w:val="center"/>
            <w:hideMark/>
          </w:tcPr>
          <w:p w14:paraId="6A78D3E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(73)</w:t>
            </w:r>
          </w:p>
        </w:tc>
      </w:tr>
      <w:tr w:rsidR="00596C0D" w:rsidRPr="00596C0D" w14:paraId="3C2B8F91" w14:textId="77777777" w:rsidTr="00596C0D">
        <w:trPr>
          <w:trHeight w:val="300"/>
        </w:trPr>
        <w:tc>
          <w:tcPr>
            <w:tcW w:w="2824" w:type="dxa"/>
            <w:tcBorders>
              <w:top w:val="nil"/>
              <w:left w:val="single" w:sz="4" w:space="0" w:color="auto"/>
              <w:bottom w:val="single" w:sz="4" w:space="0" w:color="auto"/>
              <w:right w:val="single" w:sz="4" w:space="0" w:color="auto"/>
            </w:tcBorders>
            <w:shd w:val="clear" w:color="000000" w:fill="D9D9D9"/>
            <w:vAlign w:val="center"/>
            <w:hideMark/>
          </w:tcPr>
          <w:p w14:paraId="4AD7957F" w14:textId="77777777" w:rsidR="00596C0D" w:rsidRPr="00596C0D" w:rsidRDefault="00596C0D" w:rsidP="00596C0D">
            <w:pPr>
              <w:rPr>
                <w:rFonts w:ascii="Calibri" w:eastAsia="Times New Roman" w:hAnsi="Calibri" w:cs="Calibri"/>
                <w:b/>
                <w:bCs/>
                <w:color w:val="000000"/>
                <w:sz w:val="22"/>
              </w:rPr>
            </w:pPr>
            <w:r w:rsidRPr="00596C0D">
              <w:rPr>
                <w:rFonts w:ascii="Calibri" w:eastAsia="Times New Roman" w:hAnsi="Calibri" w:cs="Calibri"/>
                <w:b/>
                <w:bCs/>
                <w:color w:val="000000"/>
                <w:sz w:val="22"/>
              </w:rPr>
              <w:t>Quantitative Analysis</w:t>
            </w:r>
          </w:p>
        </w:tc>
        <w:tc>
          <w:tcPr>
            <w:tcW w:w="2632" w:type="dxa"/>
            <w:tcBorders>
              <w:top w:val="nil"/>
              <w:left w:val="nil"/>
              <w:bottom w:val="single" w:sz="4" w:space="0" w:color="auto"/>
              <w:right w:val="single" w:sz="4" w:space="0" w:color="auto"/>
            </w:tcBorders>
            <w:shd w:val="clear" w:color="000000" w:fill="D9D9D9"/>
            <w:vAlign w:val="center"/>
            <w:hideMark/>
          </w:tcPr>
          <w:p w14:paraId="4B8F0692"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4C - Mathematics</w:t>
            </w:r>
          </w:p>
        </w:tc>
        <w:tc>
          <w:tcPr>
            <w:tcW w:w="2356" w:type="dxa"/>
            <w:tcBorders>
              <w:top w:val="nil"/>
              <w:left w:val="nil"/>
              <w:bottom w:val="single" w:sz="4" w:space="0" w:color="auto"/>
              <w:right w:val="single" w:sz="4" w:space="0" w:color="auto"/>
            </w:tcBorders>
            <w:shd w:val="clear" w:color="000000" w:fill="D9D9D9"/>
            <w:vAlign w:val="center"/>
            <w:hideMark/>
          </w:tcPr>
          <w:p w14:paraId="48FBFC49"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MATH</w:t>
            </w:r>
          </w:p>
        </w:tc>
        <w:tc>
          <w:tcPr>
            <w:tcW w:w="956" w:type="dxa"/>
            <w:tcBorders>
              <w:top w:val="nil"/>
              <w:left w:val="nil"/>
              <w:bottom w:val="single" w:sz="4" w:space="0" w:color="auto"/>
              <w:right w:val="single" w:sz="4" w:space="0" w:color="auto"/>
            </w:tcBorders>
            <w:shd w:val="clear" w:color="000000" w:fill="D9D9D9"/>
            <w:vAlign w:val="center"/>
            <w:hideMark/>
          </w:tcPr>
          <w:p w14:paraId="060A4FE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65%</w:t>
            </w:r>
          </w:p>
        </w:tc>
        <w:tc>
          <w:tcPr>
            <w:tcW w:w="1256" w:type="dxa"/>
            <w:tcBorders>
              <w:top w:val="nil"/>
              <w:left w:val="nil"/>
              <w:bottom w:val="single" w:sz="4" w:space="0" w:color="auto"/>
              <w:right w:val="single" w:sz="4" w:space="0" w:color="auto"/>
            </w:tcBorders>
            <w:shd w:val="clear" w:color="000000" w:fill="D9D9D9"/>
            <w:noWrap/>
            <w:vAlign w:val="center"/>
            <w:hideMark/>
          </w:tcPr>
          <w:p w14:paraId="54A8A43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1570</w:t>
            </w:r>
          </w:p>
        </w:tc>
        <w:tc>
          <w:tcPr>
            <w:tcW w:w="956" w:type="dxa"/>
            <w:tcBorders>
              <w:top w:val="nil"/>
              <w:left w:val="nil"/>
              <w:bottom w:val="single" w:sz="4" w:space="0" w:color="auto"/>
              <w:right w:val="single" w:sz="4" w:space="0" w:color="auto"/>
            </w:tcBorders>
            <w:shd w:val="clear" w:color="000000" w:fill="D9D9D9"/>
            <w:vAlign w:val="center"/>
            <w:hideMark/>
          </w:tcPr>
          <w:p w14:paraId="64B0B48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26.6</w:t>
            </w:r>
          </w:p>
        </w:tc>
        <w:tc>
          <w:tcPr>
            <w:tcW w:w="1196" w:type="dxa"/>
            <w:tcBorders>
              <w:top w:val="nil"/>
              <w:left w:val="nil"/>
              <w:bottom w:val="single" w:sz="4" w:space="0" w:color="auto"/>
              <w:right w:val="single" w:sz="4" w:space="0" w:color="auto"/>
            </w:tcBorders>
            <w:shd w:val="clear" w:color="000000" w:fill="D9D9D9"/>
            <w:noWrap/>
            <w:vAlign w:val="center"/>
            <w:hideMark/>
          </w:tcPr>
          <w:p w14:paraId="6A09D9F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127 </w:t>
            </w:r>
          </w:p>
        </w:tc>
        <w:tc>
          <w:tcPr>
            <w:tcW w:w="1156" w:type="dxa"/>
            <w:tcBorders>
              <w:top w:val="nil"/>
              <w:left w:val="nil"/>
              <w:bottom w:val="single" w:sz="4" w:space="0" w:color="auto"/>
              <w:right w:val="single" w:sz="4" w:space="0" w:color="auto"/>
            </w:tcBorders>
            <w:shd w:val="clear" w:color="000000" w:fill="D9D9D9"/>
            <w:noWrap/>
            <w:vAlign w:val="center"/>
            <w:hideMark/>
          </w:tcPr>
          <w:p w14:paraId="16FB7A1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59 </w:t>
            </w:r>
          </w:p>
        </w:tc>
        <w:tc>
          <w:tcPr>
            <w:tcW w:w="1196" w:type="dxa"/>
            <w:tcBorders>
              <w:top w:val="nil"/>
              <w:left w:val="nil"/>
              <w:bottom w:val="single" w:sz="4" w:space="0" w:color="auto"/>
              <w:right w:val="single" w:sz="4" w:space="0" w:color="auto"/>
            </w:tcBorders>
            <w:shd w:val="clear" w:color="000000" w:fill="D9D9D9"/>
            <w:noWrap/>
            <w:vAlign w:val="center"/>
            <w:hideMark/>
          </w:tcPr>
          <w:p w14:paraId="4886FE3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68 </w:t>
            </w:r>
          </w:p>
        </w:tc>
        <w:tc>
          <w:tcPr>
            <w:tcW w:w="956" w:type="dxa"/>
            <w:tcBorders>
              <w:top w:val="nil"/>
              <w:left w:val="nil"/>
              <w:bottom w:val="single" w:sz="4" w:space="0" w:color="auto"/>
              <w:right w:val="single" w:sz="4" w:space="0" w:color="auto"/>
            </w:tcBorders>
            <w:shd w:val="clear" w:color="000000" w:fill="D9D9D9"/>
            <w:noWrap/>
            <w:vAlign w:val="center"/>
            <w:hideMark/>
          </w:tcPr>
          <w:p w14:paraId="7DD3A9F1"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0EEBDB50" w14:textId="77777777" w:rsidTr="00596C0D">
        <w:trPr>
          <w:trHeight w:val="300"/>
        </w:trPr>
        <w:tc>
          <w:tcPr>
            <w:tcW w:w="2824" w:type="dxa"/>
            <w:tcBorders>
              <w:top w:val="nil"/>
              <w:left w:val="single" w:sz="4" w:space="0" w:color="auto"/>
              <w:bottom w:val="single" w:sz="4" w:space="0" w:color="auto"/>
              <w:right w:val="single" w:sz="4" w:space="0" w:color="auto"/>
            </w:tcBorders>
            <w:shd w:val="clear" w:color="000000" w:fill="D9D9D9"/>
            <w:vAlign w:val="center"/>
            <w:hideMark/>
          </w:tcPr>
          <w:p w14:paraId="6E2F81D1" w14:textId="77777777" w:rsidR="00596C0D" w:rsidRPr="00596C0D" w:rsidRDefault="00596C0D" w:rsidP="00596C0D">
            <w:pPr>
              <w:rPr>
                <w:rFonts w:ascii="Calibri" w:eastAsia="Times New Roman" w:hAnsi="Calibri" w:cs="Calibri"/>
                <w:b/>
                <w:bCs/>
                <w:color w:val="000000"/>
                <w:sz w:val="22"/>
              </w:rPr>
            </w:pPr>
            <w:r w:rsidRPr="00596C0D">
              <w:rPr>
                <w:rFonts w:ascii="Calibri" w:eastAsia="Times New Roman" w:hAnsi="Calibri" w:cs="Calibri"/>
                <w:b/>
                <w:bCs/>
                <w:color w:val="000000"/>
                <w:sz w:val="22"/>
              </w:rPr>
              <w:t>Personal Wellness</w:t>
            </w:r>
          </w:p>
        </w:tc>
        <w:tc>
          <w:tcPr>
            <w:tcW w:w="2632" w:type="dxa"/>
            <w:tcBorders>
              <w:top w:val="nil"/>
              <w:left w:val="nil"/>
              <w:bottom w:val="single" w:sz="4" w:space="0" w:color="auto"/>
              <w:right w:val="single" w:sz="4" w:space="0" w:color="auto"/>
            </w:tcBorders>
            <w:shd w:val="clear" w:color="000000" w:fill="D9D9D9"/>
            <w:vAlign w:val="center"/>
            <w:hideMark/>
          </w:tcPr>
          <w:p w14:paraId="2F942E74"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5 - Fitness &amp; Wellness</w:t>
            </w:r>
          </w:p>
        </w:tc>
        <w:tc>
          <w:tcPr>
            <w:tcW w:w="2356" w:type="dxa"/>
            <w:tcBorders>
              <w:top w:val="nil"/>
              <w:left w:val="nil"/>
              <w:bottom w:val="single" w:sz="4" w:space="0" w:color="auto"/>
              <w:right w:val="single" w:sz="4" w:space="0" w:color="auto"/>
            </w:tcBorders>
            <w:shd w:val="clear" w:color="000000" w:fill="D9D9D9"/>
            <w:vAlign w:val="center"/>
            <w:hideMark/>
          </w:tcPr>
          <w:p w14:paraId="62C6F7F9"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FTWL</w:t>
            </w:r>
          </w:p>
        </w:tc>
        <w:tc>
          <w:tcPr>
            <w:tcW w:w="956" w:type="dxa"/>
            <w:tcBorders>
              <w:top w:val="nil"/>
              <w:left w:val="nil"/>
              <w:bottom w:val="single" w:sz="4" w:space="0" w:color="auto"/>
              <w:right w:val="single" w:sz="4" w:space="0" w:color="auto"/>
            </w:tcBorders>
            <w:shd w:val="clear" w:color="000000" w:fill="D9D9D9"/>
            <w:noWrap/>
            <w:vAlign w:val="center"/>
            <w:hideMark/>
          </w:tcPr>
          <w:p w14:paraId="0623F18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81%</w:t>
            </w:r>
          </w:p>
        </w:tc>
        <w:tc>
          <w:tcPr>
            <w:tcW w:w="1256" w:type="dxa"/>
            <w:tcBorders>
              <w:top w:val="nil"/>
              <w:left w:val="nil"/>
              <w:bottom w:val="single" w:sz="4" w:space="0" w:color="auto"/>
              <w:right w:val="single" w:sz="4" w:space="0" w:color="auto"/>
            </w:tcBorders>
            <w:shd w:val="clear" w:color="000000" w:fill="D9D9D9"/>
            <w:noWrap/>
            <w:vAlign w:val="center"/>
            <w:hideMark/>
          </w:tcPr>
          <w:p w14:paraId="2BF4F134"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1922</w:t>
            </w:r>
          </w:p>
        </w:tc>
        <w:tc>
          <w:tcPr>
            <w:tcW w:w="956" w:type="dxa"/>
            <w:tcBorders>
              <w:top w:val="nil"/>
              <w:left w:val="nil"/>
              <w:bottom w:val="single" w:sz="4" w:space="0" w:color="auto"/>
              <w:right w:val="single" w:sz="4" w:space="0" w:color="auto"/>
            </w:tcBorders>
            <w:shd w:val="clear" w:color="000000" w:fill="D9D9D9"/>
            <w:noWrap/>
            <w:vAlign w:val="center"/>
            <w:hideMark/>
          </w:tcPr>
          <w:p w14:paraId="6ED61DB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39.6</w:t>
            </w:r>
          </w:p>
        </w:tc>
        <w:tc>
          <w:tcPr>
            <w:tcW w:w="1196" w:type="dxa"/>
            <w:tcBorders>
              <w:top w:val="nil"/>
              <w:left w:val="nil"/>
              <w:bottom w:val="single" w:sz="4" w:space="0" w:color="auto"/>
              <w:right w:val="single" w:sz="4" w:space="0" w:color="auto"/>
            </w:tcBorders>
            <w:shd w:val="clear" w:color="000000" w:fill="D9D9D9"/>
            <w:noWrap/>
            <w:vAlign w:val="center"/>
            <w:hideMark/>
          </w:tcPr>
          <w:p w14:paraId="273F272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52 </w:t>
            </w:r>
          </w:p>
        </w:tc>
        <w:tc>
          <w:tcPr>
            <w:tcW w:w="1156" w:type="dxa"/>
            <w:tcBorders>
              <w:top w:val="nil"/>
              <w:left w:val="nil"/>
              <w:bottom w:val="single" w:sz="4" w:space="0" w:color="auto"/>
              <w:right w:val="single" w:sz="4" w:space="0" w:color="auto"/>
            </w:tcBorders>
            <w:shd w:val="clear" w:color="000000" w:fill="D9D9D9"/>
            <w:noWrap/>
            <w:vAlign w:val="center"/>
            <w:hideMark/>
          </w:tcPr>
          <w:p w14:paraId="3CCD36F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48 </w:t>
            </w:r>
          </w:p>
        </w:tc>
        <w:tc>
          <w:tcPr>
            <w:tcW w:w="1196" w:type="dxa"/>
            <w:tcBorders>
              <w:top w:val="nil"/>
              <w:left w:val="nil"/>
              <w:bottom w:val="single" w:sz="4" w:space="0" w:color="auto"/>
              <w:right w:val="single" w:sz="4" w:space="0" w:color="auto"/>
            </w:tcBorders>
            <w:shd w:val="clear" w:color="000000" w:fill="D9D9D9"/>
            <w:noWrap/>
            <w:vAlign w:val="center"/>
            <w:hideMark/>
          </w:tcPr>
          <w:p w14:paraId="27C285F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4 </w:t>
            </w:r>
          </w:p>
        </w:tc>
        <w:tc>
          <w:tcPr>
            <w:tcW w:w="956" w:type="dxa"/>
            <w:tcBorders>
              <w:top w:val="nil"/>
              <w:left w:val="nil"/>
              <w:bottom w:val="single" w:sz="4" w:space="0" w:color="auto"/>
              <w:right w:val="single" w:sz="4" w:space="0" w:color="auto"/>
            </w:tcBorders>
            <w:shd w:val="clear" w:color="000000" w:fill="D9D9D9"/>
            <w:noWrap/>
            <w:vAlign w:val="center"/>
            <w:hideMark/>
          </w:tcPr>
          <w:p w14:paraId="6C9AEFB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24F25785" w14:textId="77777777" w:rsidTr="00596C0D">
        <w:trPr>
          <w:trHeight w:val="300"/>
        </w:trPr>
        <w:tc>
          <w:tcPr>
            <w:tcW w:w="2824" w:type="dxa"/>
            <w:tcBorders>
              <w:top w:val="nil"/>
              <w:left w:val="single" w:sz="4" w:space="0" w:color="auto"/>
              <w:bottom w:val="single" w:sz="4" w:space="0" w:color="auto"/>
              <w:right w:val="single" w:sz="4" w:space="0" w:color="auto"/>
            </w:tcBorders>
            <w:shd w:val="clear" w:color="000000" w:fill="D9D9D9"/>
            <w:vAlign w:val="center"/>
            <w:hideMark/>
          </w:tcPr>
          <w:p w14:paraId="094941A4" w14:textId="77777777" w:rsidR="00596C0D" w:rsidRPr="00596C0D" w:rsidRDefault="00596C0D" w:rsidP="00596C0D">
            <w:pPr>
              <w:rPr>
                <w:rFonts w:ascii="Calibri" w:eastAsia="Times New Roman" w:hAnsi="Calibri" w:cs="Calibri"/>
                <w:b/>
                <w:bCs/>
                <w:color w:val="000000"/>
                <w:sz w:val="22"/>
              </w:rPr>
            </w:pPr>
            <w:r w:rsidRPr="00596C0D">
              <w:rPr>
                <w:rFonts w:ascii="Calibri" w:eastAsia="Times New Roman" w:hAnsi="Calibri" w:cs="Calibri"/>
                <w:b/>
                <w:bCs/>
                <w:color w:val="000000"/>
                <w:sz w:val="22"/>
              </w:rPr>
              <w:t>First Year Seminar</w:t>
            </w:r>
          </w:p>
        </w:tc>
        <w:tc>
          <w:tcPr>
            <w:tcW w:w="2632" w:type="dxa"/>
            <w:tcBorders>
              <w:top w:val="nil"/>
              <w:left w:val="nil"/>
              <w:bottom w:val="single" w:sz="4" w:space="0" w:color="auto"/>
              <w:right w:val="single" w:sz="4" w:space="0" w:color="auto"/>
            </w:tcBorders>
            <w:shd w:val="clear" w:color="000000" w:fill="D9D9D9"/>
            <w:vAlign w:val="center"/>
            <w:hideMark/>
          </w:tcPr>
          <w:p w14:paraId="5A67DF2F"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None</w:t>
            </w:r>
          </w:p>
        </w:tc>
        <w:tc>
          <w:tcPr>
            <w:tcW w:w="2356" w:type="dxa"/>
            <w:tcBorders>
              <w:top w:val="nil"/>
              <w:left w:val="nil"/>
              <w:bottom w:val="single" w:sz="4" w:space="0" w:color="auto"/>
              <w:right w:val="single" w:sz="4" w:space="0" w:color="auto"/>
            </w:tcBorders>
            <w:shd w:val="clear" w:color="000000" w:fill="D9D9D9"/>
            <w:vAlign w:val="center"/>
            <w:hideMark/>
          </w:tcPr>
          <w:p w14:paraId="5DE9E72A"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None</w:t>
            </w:r>
          </w:p>
        </w:tc>
        <w:tc>
          <w:tcPr>
            <w:tcW w:w="956" w:type="dxa"/>
            <w:tcBorders>
              <w:top w:val="nil"/>
              <w:left w:val="nil"/>
              <w:bottom w:val="single" w:sz="4" w:space="0" w:color="auto"/>
              <w:right w:val="single" w:sz="4" w:space="0" w:color="auto"/>
            </w:tcBorders>
            <w:shd w:val="clear" w:color="000000" w:fill="D9D9D9"/>
            <w:noWrap/>
            <w:vAlign w:val="center"/>
            <w:hideMark/>
          </w:tcPr>
          <w:p w14:paraId="71560EF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100%</w:t>
            </w:r>
          </w:p>
        </w:tc>
        <w:tc>
          <w:tcPr>
            <w:tcW w:w="1256" w:type="dxa"/>
            <w:tcBorders>
              <w:top w:val="nil"/>
              <w:left w:val="nil"/>
              <w:bottom w:val="single" w:sz="4" w:space="0" w:color="auto"/>
              <w:right w:val="single" w:sz="4" w:space="0" w:color="auto"/>
            </w:tcBorders>
            <w:shd w:val="clear" w:color="000000" w:fill="D9D9D9"/>
            <w:noWrap/>
            <w:vAlign w:val="center"/>
            <w:hideMark/>
          </w:tcPr>
          <w:p w14:paraId="0D8942B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2580</w:t>
            </w:r>
          </w:p>
        </w:tc>
        <w:tc>
          <w:tcPr>
            <w:tcW w:w="956" w:type="dxa"/>
            <w:tcBorders>
              <w:top w:val="nil"/>
              <w:left w:val="nil"/>
              <w:bottom w:val="single" w:sz="4" w:space="0" w:color="auto"/>
              <w:right w:val="single" w:sz="4" w:space="0" w:color="auto"/>
            </w:tcBorders>
            <w:shd w:val="clear" w:color="000000" w:fill="D9D9D9"/>
            <w:noWrap/>
            <w:vAlign w:val="center"/>
            <w:hideMark/>
          </w:tcPr>
          <w:p w14:paraId="65D0713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20.0</w:t>
            </w:r>
          </w:p>
        </w:tc>
        <w:tc>
          <w:tcPr>
            <w:tcW w:w="1196" w:type="dxa"/>
            <w:tcBorders>
              <w:top w:val="nil"/>
              <w:left w:val="nil"/>
              <w:bottom w:val="single" w:sz="4" w:space="0" w:color="auto"/>
              <w:right w:val="single" w:sz="4" w:space="0" w:color="auto"/>
            </w:tcBorders>
            <w:shd w:val="clear" w:color="000000" w:fill="D9D9D9"/>
            <w:noWrap/>
            <w:vAlign w:val="center"/>
            <w:hideMark/>
          </w:tcPr>
          <w:p w14:paraId="089440E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1156" w:type="dxa"/>
            <w:tcBorders>
              <w:top w:val="nil"/>
              <w:left w:val="nil"/>
              <w:bottom w:val="single" w:sz="4" w:space="0" w:color="auto"/>
              <w:right w:val="single" w:sz="4" w:space="0" w:color="auto"/>
            </w:tcBorders>
            <w:shd w:val="clear" w:color="000000" w:fill="D9D9D9"/>
            <w:noWrap/>
            <w:vAlign w:val="center"/>
            <w:hideMark/>
          </w:tcPr>
          <w:p w14:paraId="3A8B4D7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129 </w:t>
            </w:r>
          </w:p>
        </w:tc>
        <w:tc>
          <w:tcPr>
            <w:tcW w:w="1196" w:type="dxa"/>
            <w:tcBorders>
              <w:top w:val="nil"/>
              <w:left w:val="nil"/>
              <w:bottom w:val="single" w:sz="4" w:space="0" w:color="auto"/>
              <w:right w:val="single" w:sz="4" w:space="0" w:color="auto"/>
            </w:tcBorders>
            <w:shd w:val="clear" w:color="000000" w:fill="D9D9D9"/>
            <w:noWrap/>
            <w:vAlign w:val="center"/>
            <w:hideMark/>
          </w:tcPr>
          <w:p w14:paraId="0D279CC2"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956" w:type="dxa"/>
            <w:tcBorders>
              <w:top w:val="nil"/>
              <w:left w:val="nil"/>
              <w:bottom w:val="single" w:sz="4" w:space="0" w:color="auto"/>
              <w:right w:val="single" w:sz="4" w:space="0" w:color="auto"/>
            </w:tcBorders>
            <w:shd w:val="clear" w:color="000000" w:fill="D9D9D9"/>
            <w:noWrap/>
            <w:vAlign w:val="center"/>
            <w:hideMark/>
          </w:tcPr>
          <w:p w14:paraId="43B57FBD"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129 </w:t>
            </w:r>
          </w:p>
        </w:tc>
      </w:tr>
      <w:tr w:rsidR="00596C0D" w:rsidRPr="00596C0D" w14:paraId="222F7DCE" w14:textId="77777777" w:rsidTr="00596C0D">
        <w:trPr>
          <w:trHeight w:val="300"/>
        </w:trPr>
        <w:tc>
          <w:tcPr>
            <w:tcW w:w="2824" w:type="dxa"/>
            <w:tcBorders>
              <w:top w:val="nil"/>
              <w:left w:val="single" w:sz="4" w:space="0" w:color="auto"/>
              <w:bottom w:val="single" w:sz="4" w:space="0" w:color="auto"/>
              <w:right w:val="single" w:sz="4" w:space="0" w:color="auto"/>
            </w:tcBorders>
            <w:shd w:val="clear" w:color="000000" w:fill="D9D9D9"/>
            <w:vAlign w:val="center"/>
            <w:hideMark/>
          </w:tcPr>
          <w:p w14:paraId="00144557" w14:textId="77777777" w:rsidR="00596C0D" w:rsidRPr="00596C0D" w:rsidRDefault="00596C0D" w:rsidP="00596C0D">
            <w:pPr>
              <w:rPr>
                <w:rFonts w:ascii="Calibri" w:eastAsia="Times New Roman" w:hAnsi="Calibri" w:cs="Calibri"/>
                <w:b/>
                <w:bCs/>
                <w:color w:val="000000"/>
                <w:sz w:val="22"/>
              </w:rPr>
            </w:pPr>
            <w:r w:rsidRPr="00596C0D">
              <w:rPr>
                <w:rFonts w:ascii="Calibri" w:eastAsia="Times New Roman" w:hAnsi="Calibri" w:cs="Calibri"/>
                <w:b/>
                <w:bCs/>
                <w:color w:val="000000"/>
                <w:sz w:val="22"/>
              </w:rPr>
              <w:t>Diversity and Inclusion</w:t>
            </w:r>
          </w:p>
        </w:tc>
        <w:tc>
          <w:tcPr>
            <w:tcW w:w="2632" w:type="dxa"/>
            <w:tcBorders>
              <w:top w:val="nil"/>
              <w:left w:val="nil"/>
              <w:bottom w:val="single" w:sz="4" w:space="0" w:color="auto"/>
              <w:right w:val="single" w:sz="4" w:space="0" w:color="auto"/>
            </w:tcBorders>
            <w:shd w:val="clear" w:color="000000" w:fill="D9D9D9"/>
            <w:vAlign w:val="center"/>
            <w:hideMark/>
          </w:tcPr>
          <w:p w14:paraId="24B4BAAD"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None</w:t>
            </w:r>
          </w:p>
        </w:tc>
        <w:tc>
          <w:tcPr>
            <w:tcW w:w="2356" w:type="dxa"/>
            <w:tcBorders>
              <w:top w:val="nil"/>
              <w:left w:val="nil"/>
              <w:bottom w:val="single" w:sz="4" w:space="0" w:color="auto"/>
              <w:right w:val="single" w:sz="4" w:space="0" w:color="auto"/>
            </w:tcBorders>
            <w:shd w:val="clear" w:color="000000" w:fill="D9D9D9"/>
            <w:vAlign w:val="center"/>
            <w:hideMark/>
          </w:tcPr>
          <w:p w14:paraId="446A4ECC"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All DISC potentially</w:t>
            </w:r>
          </w:p>
        </w:tc>
        <w:tc>
          <w:tcPr>
            <w:tcW w:w="956" w:type="dxa"/>
            <w:tcBorders>
              <w:top w:val="nil"/>
              <w:left w:val="nil"/>
              <w:bottom w:val="single" w:sz="4" w:space="0" w:color="auto"/>
              <w:right w:val="single" w:sz="4" w:space="0" w:color="auto"/>
            </w:tcBorders>
            <w:shd w:val="clear" w:color="000000" w:fill="D9D9D9"/>
            <w:noWrap/>
            <w:vAlign w:val="center"/>
            <w:hideMark/>
          </w:tcPr>
          <w:p w14:paraId="3D5DC851"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100%</w:t>
            </w:r>
          </w:p>
        </w:tc>
        <w:tc>
          <w:tcPr>
            <w:tcW w:w="1256" w:type="dxa"/>
            <w:tcBorders>
              <w:top w:val="nil"/>
              <w:left w:val="nil"/>
              <w:bottom w:val="single" w:sz="4" w:space="0" w:color="auto"/>
              <w:right w:val="single" w:sz="4" w:space="0" w:color="auto"/>
            </w:tcBorders>
            <w:shd w:val="clear" w:color="000000" w:fill="D9D9D9"/>
            <w:noWrap/>
            <w:vAlign w:val="center"/>
            <w:hideMark/>
          </w:tcPr>
          <w:p w14:paraId="51DAADF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2580</w:t>
            </w:r>
          </w:p>
        </w:tc>
        <w:tc>
          <w:tcPr>
            <w:tcW w:w="956" w:type="dxa"/>
            <w:tcBorders>
              <w:top w:val="nil"/>
              <w:left w:val="nil"/>
              <w:bottom w:val="single" w:sz="4" w:space="0" w:color="auto"/>
              <w:right w:val="single" w:sz="4" w:space="0" w:color="auto"/>
            </w:tcBorders>
            <w:shd w:val="clear" w:color="000000" w:fill="D9D9D9"/>
            <w:noWrap/>
            <w:vAlign w:val="center"/>
            <w:hideMark/>
          </w:tcPr>
          <w:p w14:paraId="4D50645F"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w:t>
            </w:r>
          </w:p>
        </w:tc>
        <w:tc>
          <w:tcPr>
            <w:tcW w:w="1196" w:type="dxa"/>
            <w:tcBorders>
              <w:top w:val="nil"/>
              <w:left w:val="nil"/>
              <w:bottom w:val="single" w:sz="4" w:space="0" w:color="auto"/>
              <w:right w:val="single" w:sz="4" w:space="0" w:color="auto"/>
            </w:tcBorders>
            <w:shd w:val="clear" w:color="000000" w:fill="D9D9D9"/>
            <w:noWrap/>
            <w:vAlign w:val="center"/>
            <w:hideMark/>
          </w:tcPr>
          <w:p w14:paraId="20277E9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1156" w:type="dxa"/>
            <w:tcBorders>
              <w:top w:val="nil"/>
              <w:left w:val="nil"/>
              <w:bottom w:val="single" w:sz="4" w:space="0" w:color="auto"/>
              <w:right w:val="single" w:sz="4" w:space="0" w:color="auto"/>
            </w:tcBorders>
            <w:shd w:val="clear" w:color="000000" w:fill="D9D9D9"/>
            <w:noWrap/>
            <w:vAlign w:val="center"/>
            <w:hideMark/>
          </w:tcPr>
          <w:p w14:paraId="262FED73"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1196" w:type="dxa"/>
            <w:tcBorders>
              <w:top w:val="nil"/>
              <w:left w:val="nil"/>
              <w:bottom w:val="single" w:sz="4" w:space="0" w:color="auto"/>
              <w:right w:val="single" w:sz="4" w:space="0" w:color="auto"/>
            </w:tcBorders>
            <w:shd w:val="clear" w:color="000000" w:fill="D9D9D9"/>
            <w:noWrap/>
            <w:vAlign w:val="center"/>
            <w:hideMark/>
          </w:tcPr>
          <w:p w14:paraId="17B52E0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956" w:type="dxa"/>
            <w:tcBorders>
              <w:top w:val="nil"/>
              <w:left w:val="nil"/>
              <w:bottom w:val="single" w:sz="4" w:space="0" w:color="auto"/>
              <w:right w:val="single" w:sz="4" w:space="0" w:color="auto"/>
            </w:tcBorders>
            <w:shd w:val="clear" w:color="000000" w:fill="D9D9D9"/>
            <w:noWrap/>
            <w:vAlign w:val="center"/>
            <w:hideMark/>
          </w:tcPr>
          <w:p w14:paraId="1CB3361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67713CE9" w14:textId="77777777" w:rsidTr="00596C0D">
        <w:trPr>
          <w:trHeight w:val="300"/>
        </w:trPr>
        <w:tc>
          <w:tcPr>
            <w:tcW w:w="2824" w:type="dxa"/>
            <w:tcBorders>
              <w:top w:val="nil"/>
              <w:left w:val="single" w:sz="4" w:space="0" w:color="auto"/>
              <w:bottom w:val="single" w:sz="4" w:space="0" w:color="auto"/>
              <w:right w:val="single" w:sz="4" w:space="0" w:color="auto"/>
            </w:tcBorders>
            <w:shd w:val="clear" w:color="000000" w:fill="D9D9D9"/>
            <w:vAlign w:val="center"/>
            <w:hideMark/>
          </w:tcPr>
          <w:p w14:paraId="12FA1311" w14:textId="77777777" w:rsidR="00596C0D" w:rsidRPr="00596C0D" w:rsidRDefault="00596C0D" w:rsidP="00596C0D">
            <w:pPr>
              <w:rPr>
                <w:rFonts w:ascii="Calibri" w:eastAsia="Times New Roman" w:hAnsi="Calibri" w:cs="Calibri"/>
                <w:b/>
                <w:bCs/>
                <w:color w:val="000000"/>
                <w:sz w:val="22"/>
              </w:rPr>
            </w:pPr>
            <w:r w:rsidRPr="00596C0D">
              <w:rPr>
                <w:rFonts w:ascii="Calibri" w:eastAsia="Times New Roman" w:hAnsi="Calibri" w:cs="Calibri"/>
                <w:b/>
                <w:bCs/>
                <w:color w:val="000000"/>
                <w:sz w:val="22"/>
              </w:rPr>
              <w:t>Civic &amp; Community Engagement</w:t>
            </w:r>
          </w:p>
        </w:tc>
        <w:tc>
          <w:tcPr>
            <w:tcW w:w="2632" w:type="dxa"/>
            <w:tcBorders>
              <w:top w:val="nil"/>
              <w:left w:val="nil"/>
              <w:bottom w:val="single" w:sz="4" w:space="0" w:color="auto"/>
              <w:right w:val="single" w:sz="4" w:space="0" w:color="auto"/>
            </w:tcBorders>
            <w:shd w:val="clear" w:color="000000" w:fill="D9D9D9"/>
            <w:vAlign w:val="center"/>
            <w:hideMark/>
          </w:tcPr>
          <w:p w14:paraId="1EBA34BE"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None</w:t>
            </w:r>
          </w:p>
        </w:tc>
        <w:tc>
          <w:tcPr>
            <w:tcW w:w="2356" w:type="dxa"/>
            <w:tcBorders>
              <w:top w:val="nil"/>
              <w:left w:val="nil"/>
              <w:bottom w:val="single" w:sz="4" w:space="0" w:color="auto"/>
              <w:right w:val="single" w:sz="4" w:space="0" w:color="auto"/>
            </w:tcBorders>
            <w:shd w:val="clear" w:color="000000" w:fill="D9D9D9"/>
            <w:vAlign w:val="center"/>
            <w:hideMark/>
          </w:tcPr>
          <w:p w14:paraId="68860E06"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All DISC potentially</w:t>
            </w:r>
          </w:p>
        </w:tc>
        <w:tc>
          <w:tcPr>
            <w:tcW w:w="956" w:type="dxa"/>
            <w:tcBorders>
              <w:top w:val="nil"/>
              <w:left w:val="nil"/>
              <w:bottom w:val="single" w:sz="4" w:space="0" w:color="auto"/>
              <w:right w:val="single" w:sz="4" w:space="0" w:color="auto"/>
            </w:tcBorders>
            <w:shd w:val="clear" w:color="000000" w:fill="D9D9D9"/>
            <w:noWrap/>
            <w:vAlign w:val="center"/>
            <w:hideMark/>
          </w:tcPr>
          <w:p w14:paraId="79D4F470"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100%</w:t>
            </w:r>
          </w:p>
        </w:tc>
        <w:tc>
          <w:tcPr>
            <w:tcW w:w="1256" w:type="dxa"/>
            <w:tcBorders>
              <w:top w:val="nil"/>
              <w:left w:val="nil"/>
              <w:bottom w:val="single" w:sz="4" w:space="0" w:color="auto"/>
              <w:right w:val="single" w:sz="4" w:space="0" w:color="auto"/>
            </w:tcBorders>
            <w:shd w:val="clear" w:color="000000" w:fill="D9D9D9"/>
            <w:noWrap/>
            <w:vAlign w:val="center"/>
            <w:hideMark/>
          </w:tcPr>
          <w:p w14:paraId="79B25AFB"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2580</w:t>
            </w:r>
          </w:p>
        </w:tc>
        <w:tc>
          <w:tcPr>
            <w:tcW w:w="956" w:type="dxa"/>
            <w:tcBorders>
              <w:top w:val="nil"/>
              <w:left w:val="nil"/>
              <w:bottom w:val="single" w:sz="4" w:space="0" w:color="auto"/>
              <w:right w:val="single" w:sz="4" w:space="0" w:color="auto"/>
            </w:tcBorders>
            <w:shd w:val="clear" w:color="000000" w:fill="D9D9D9"/>
            <w:noWrap/>
            <w:vAlign w:val="center"/>
            <w:hideMark/>
          </w:tcPr>
          <w:p w14:paraId="4A59376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w:t>
            </w:r>
          </w:p>
        </w:tc>
        <w:tc>
          <w:tcPr>
            <w:tcW w:w="1196" w:type="dxa"/>
            <w:tcBorders>
              <w:top w:val="nil"/>
              <w:left w:val="nil"/>
              <w:bottom w:val="single" w:sz="4" w:space="0" w:color="auto"/>
              <w:right w:val="single" w:sz="4" w:space="0" w:color="auto"/>
            </w:tcBorders>
            <w:shd w:val="clear" w:color="000000" w:fill="D9D9D9"/>
            <w:noWrap/>
            <w:vAlign w:val="center"/>
            <w:hideMark/>
          </w:tcPr>
          <w:p w14:paraId="5BAF841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1156" w:type="dxa"/>
            <w:tcBorders>
              <w:top w:val="nil"/>
              <w:left w:val="nil"/>
              <w:bottom w:val="single" w:sz="4" w:space="0" w:color="auto"/>
              <w:right w:val="single" w:sz="4" w:space="0" w:color="auto"/>
            </w:tcBorders>
            <w:shd w:val="clear" w:color="000000" w:fill="D9D9D9"/>
            <w:noWrap/>
            <w:vAlign w:val="center"/>
            <w:hideMark/>
          </w:tcPr>
          <w:p w14:paraId="776B7B7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1196" w:type="dxa"/>
            <w:tcBorders>
              <w:top w:val="nil"/>
              <w:left w:val="nil"/>
              <w:bottom w:val="single" w:sz="4" w:space="0" w:color="auto"/>
              <w:right w:val="single" w:sz="4" w:space="0" w:color="auto"/>
            </w:tcBorders>
            <w:shd w:val="clear" w:color="000000" w:fill="D9D9D9"/>
            <w:noWrap/>
            <w:vAlign w:val="center"/>
            <w:hideMark/>
          </w:tcPr>
          <w:p w14:paraId="716C498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956" w:type="dxa"/>
            <w:tcBorders>
              <w:top w:val="nil"/>
              <w:left w:val="nil"/>
              <w:bottom w:val="single" w:sz="4" w:space="0" w:color="auto"/>
              <w:right w:val="single" w:sz="4" w:space="0" w:color="auto"/>
            </w:tcBorders>
            <w:shd w:val="clear" w:color="000000" w:fill="D9D9D9"/>
            <w:noWrap/>
            <w:vAlign w:val="center"/>
            <w:hideMark/>
          </w:tcPr>
          <w:p w14:paraId="624E0DB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13416D13" w14:textId="77777777" w:rsidTr="00596C0D">
        <w:trPr>
          <w:trHeight w:val="300"/>
        </w:trPr>
        <w:tc>
          <w:tcPr>
            <w:tcW w:w="2824" w:type="dxa"/>
            <w:tcBorders>
              <w:top w:val="nil"/>
              <w:left w:val="single" w:sz="4" w:space="0" w:color="auto"/>
              <w:bottom w:val="single" w:sz="4" w:space="0" w:color="auto"/>
              <w:right w:val="single" w:sz="4" w:space="0" w:color="auto"/>
            </w:tcBorders>
            <w:shd w:val="clear" w:color="000000" w:fill="D9D9D9"/>
            <w:vAlign w:val="center"/>
            <w:hideMark/>
          </w:tcPr>
          <w:p w14:paraId="7E3A9427" w14:textId="77777777" w:rsidR="00596C0D" w:rsidRPr="00596C0D" w:rsidRDefault="00596C0D" w:rsidP="00596C0D">
            <w:pPr>
              <w:rPr>
                <w:rFonts w:ascii="Calibri" w:eastAsia="Times New Roman" w:hAnsi="Calibri" w:cs="Calibri"/>
                <w:b/>
                <w:bCs/>
                <w:color w:val="000000"/>
                <w:sz w:val="22"/>
              </w:rPr>
            </w:pPr>
            <w:r w:rsidRPr="00596C0D">
              <w:rPr>
                <w:rFonts w:ascii="Calibri" w:eastAsia="Times New Roman" w:hAnsi="Calibri" w:cs="Calibri"/>
                <w:b/>
                <w:bCs/>
                <w:color w:val="000000"/>
                <w:sz w:val="22"/>
              </w:rPr>
              <w:t>Environmental Sustainability</w:t>
            </w:r>
          </w:p>
        </w:tc>
        <w:tc>
          <w:tcPr>
            <w:tcW w:w="2632" w:type="dxa"/>
            <w:tcBorders>
              <w:top w:val="nil"/>
              <w:left w:val="nil"/>
              <w:bottom w:val="single" w:sz="4" w:space="0" w:color="auto"/>
              <w:right w:val="single" w:sz="4" w:space="0" w:color="auto"/>
            </w:tcBorders>
            <w:shd w:val="clear" w:color="000000" w:fill="D9D9D9"/>
            <w:vAlign w:val="center"/>
            <w:hideMark/>
          </w:tcPr>
          <w:p w14:paraId="28529062"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None</w:t>
            </w:r>
          </w:p>
        </w:tc>
        <w:tc>
          <w:tcPr>
            <w:tcW w:w="2356" w:type="dxa"/>
            <w:tcBorders>
              <w:top w:val="nil"/>
              <w:left w:val="nil"/>
              <w:bottom w:val="single" w:sz="4" w:space="0" w:color="auto"/>
              <w:right w:val="single" w:sz="4" w:space="0" w:color="auto"/>
            </w:tcBorders>
            <w:shd w:val="clear" w:color="000000" w:fill="D9D9D9"/>
            <w:vAlign w:val="center"/>
            <w:hideMark/>
          </w:tcPr>
          <w:p w14:paraId="0279CEF4"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All DISC potentially</w:t>
            </w:r>
          </w:p>
        </w:tc>
        <w:tc>
          <w:tcPr>
            <w:tcW w:w="956" w:type="dxa"/>
            <w:tcBorders>
              <w:top w:val="nil"/>
              <w:left w:val="nil"/>
              <w:bottom w:val="single" w:sz="4" w:space="0" w:color="auto"/>
              <w:right w:val="single" w:sz="4" w:space="0" w:color="auto"/>
            </w:tcBorders>
            <w:shd w:val="clear" w:color="000000" w:fill="D9D9D9"/>
            <w:noWrap/>
            <w:vAlign w:val="center"/>
            <w:hideMark/>
          </w:tcPr>
          <w:p w14:paraId="160527D5"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100%</w:t>
            </w:r>
          </w:p>
        </w:tc>
        <w:tc>
          <w:tcPr>
            <w:tcW w:w="1256" w:type="dxa"/>
            <w:tcBorders>
              <w:top w:val="nil"/>
              <w:left w:val="nil"/>
              <w:bottom w:val="single" w:sz="4" w:space="0" w:color="auto"/>
              <w:right w:val="single" w:sz="4" w:space="0" w:color="auto"/>
            </w:tcBorders>
            <w:shd w:val="clear" w:color="000000" w:fill="D9D9D9"/>
            <w:noWrap/>
            <w:vAlign w:val="center"/>
            <w:hideMark/>
          </w:tcPr>
          <w:p w14:paraId="5ED5CAE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2580</w:t>
            </w:r>
          </w:p>
        </w:tc>
        <w:tc>
          <w:tcPr>
            <w:tcW w:w="956" w:type="dxa"/>
            <w:tcBorders>
              <w:top w:val="nil"/>
              <w:left w:val="nil"/>
              <w:bottom w:val="single" w:sz="4" w:space="0" w:color="auto"/>
              <w:right w:val="single" w:sz="4" w:space="0" w:color="auto"/>
            </w:tcBorders>
            <w:shd w:val="clear" w:color="000000" w:fill="D9D9D9"/>
            <w:noWrap/>
            <w:vAlign w:val="center"/>
            <w:hideMark/>
          </w:tcPr>
          <w:p w14:paraId="4AD5FD6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w:t>
            </w:r>
          </w:p>
        </w:tc>
        <w:tc>
          <w:tcPr>
            <w:tcW w:w="1196" w:type="dxa"/>
            <w:tcBorders>
              <w:top w:val="nil"/>
              <w:left w:val="nil"/>
              <w:bottom w:val="single" w:sz="4" w:space="0" w:color="auto"/>
              <w:right w:val="single" w:sz="4" w:space="0" w:color="auto"/>
            </w:tcBorders>
            <w:shd w:val="clear" w:color="000000" w:fill="D9D9D9"/>
            <w:noWrap/>
            <w:vAlign w:val="center"/>
            <w:hideMark/>
          </w:tcPr>
          <w:p w14:paraId="0E67FB98"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1156" w:type="dxa"/>
            <w:tcBorders>
              <w:top w:val="nil"/>
              <w:left w:val="nil"/>
              <w:bottom w:val="single" w:sz="4" w:space="0" w:color="auto"/>
              <w:right w:val="single" w:sz="4" w:space="0" w:color="auto"/>
            </w:tcBorders>
            <w:shd w:val="clear" w:color="000000" w:fill="D9D9D9"/>
            <w:noWrap/>
            <w:vAlign w:val="center"/>
            <w:hideMark/>
          </w:tcPr>
          <w:p w14:paraId="462BA42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1196" w:type="dxa"/>
            <w:tcBorders>
              <w:top w:val="nil"/>
              <w:left w:val="nil"/>
              <w:bottom w:val="single" w:sz="4" w:space="0" w:color="auto"/>
              <w:right w:val="single" w:sz="4" w:space="0" w:color="auto"/>
            </w:tcBorders>
            <w:shd w:val="clear" w:color="000000" w:fill="D9D9D9"/>
            <w:noWrap/>
            <w:vAlign w:val="center"/>
            <w:hideMark/>
          </w:tcPr>
          <w:p w14:paraId="13452CE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956" w:type="dxa"/>
            <w:tcBorders>
              <w:top w:val="nil"/>
              <w:left w:val="nil"/>
              <w:bottom w:val="single" w:sz="4" w:space="0" w:color="auto"/>
              <w:right w:val="single" w:sz="4" w:space="0" w:color="auto"/>
            </w:tcBorders>
            <w:shd w:val="clear" w:color="000000" w:fill="D9D9D9"/>
            <w:noWrap/>
            <w:vAlign w:val="center"/>
            <w:hideMark/>
          </w:tcPr>
          <w:p w14:paraId="5FD897B9"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r>
      <w:tr w:rsidR="00596C0D" w:rsidRPr="00596C0D" w14:paraId="6775EB09" w14:textId="77777777" w:rsidTr="00596C0D">
        <w:trPr>
          <w:trHeight w:val="300"/>
        </w:trPr>
        <w:tc>
          <w:tcPr>
            <w:tcW w:w="2824" w:type="dxa"/>
            <w:tcBorders>
              <w:top w:val="nil"/>
              <w:left w:val="single" w:sz="4" w:space="0" w:color="auto"/>
              <w:bottom w:val="single" w:sz="4" w:space="0" w:color="auto"/>
              <w:right w:val="single" w:sz="4" w:space="0" w:color="auto"/>
            </w:tcBorders>
            <w:shd w:val="clear" w:color="000000" w:fill="D9D9D9"/>
            <w:vAlign w:val="center"/>
            <w:hideMark/>
          </w:tcPr>
          <w:p w14:paraId="500235B6" w14:textId="77777777" w:rsidR="00596C0D" w:rsidRPr="00596C0D" w:rsidRDefault="00596C0D" w:rsidP="00596C0D">
            <w:pPr>
              <w:rPr>
                <w:rFonts w:ascii="Calibri" w:eastAsia="Times New Roman" w:hAnsi="Calibri" w:cs="Calibri"/>
                <w:b/>
                <w:bCs/>
                <w:color w:val="000000"/>
                <w:sz w:val="22"/>
              </w:rPr>
            </w:pPr>
            <w:r w:rsidRPr="00596C0D">
              <w:rPr>
                <w:rFonts w:ascii="Calibri" w:eastAsia="Times New Roman" w:hAnsi="Calibri" w:cs="Calibri"/>
                <w:b/>
                <w:bCs/>
                <w:color w:val="000000"/>
                <w:sz w:val="22"/>
              </w:rPr>
              <w:t>Experiential Learning</w:t>
            </w:r>
          </w:p>
        </w:tc>
        <w:tc>
          <w:tcPr>
            <w:tcW w:w="2632" w:type="dxa"/>
            <w:tcBorders>
              <w:top w:val="nil"/>
              <w:left w:val="nil"/>
              <w:bottom w:val="single" w:sz="4" w:space="0" w:color="auto"/>
              <w:right w:val="single" w:sz="4" w:space="0" w:color="auto"/>
            </w:tcBorders>
            <w:shd w:val="clear" w:color="000000" w:fill="D9D9D9"/>
            <w:vAlign w:val="center"/>
            <w:hideMark/>
          </w:tcPr>
          <w:p w14:paraId="7FD36FB7"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None</w:t>
            </w:r>
          </w:p>
        </w:tc>
        <w:tc>
          <w:tcPr>
            <w:tcW w:w="2356" w:type="dxa"/>
            <w:tcBorders>
              <w:top w:val="nil"/>
              <w:left w:val="nil"/>
              <w:bottom w:val="single" w:sz="4" w:space="0" w:color="auto"/>
              <w:right w:val="single" w:sz="4" w:space="0" w:color="auto"/>
            </w:tcBorders>
            <w:shd w:val="clear" w:color="000000" w:fill="D9D9D9"/>
            <w:vAlign w:val="center"/>
            <w:hideMark/>
          </w:tcPr>
          <w:p w14:paraId="6D71AF32"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All DISC</w:t>
            </w:r>
          </w:p>
        </w:tc>
        <w:tc>
          <w:tcPr>
            <w:tcW w:w="956" w:type="dxa"/>
            <w:tcBorders>
              <w:top w:val="nil"/>
              <w:left w:val="nil"/>
              <w:bottom w:val="single" w:sz="4" w:space="0" w:color="auto"/>
              <w:right w:val="single" w:sz="4" w:space="0" w:color="auto"/>
            </w:tcBorders>
            <w:shd w:val="clear" w:color="000000" w:fill="D9D9D9"/>
            <w:noWrap/>
            <w:vAlign w:val="center"/>
            <w:hideMark/>
          </w:tcPr>
          <w:p w14:paraId="3D5B0AC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100%</w:t>
            </w:r>
          </w:p>
        </w:tc>
        <w:tc>
          <w:tcPr>
            <w:tcW w:w="1256" w:type="dxa"/>
            <w:tcBorders>
              <w:top w:val="nil"/>
              <w:left w:val="nil"/>
              <w:bottom w:val="single" w:sz="4" w:space="0" w:color="auto"/>
              <w:right w:val="single" w:sz="4" w:space="0" w:color="auto"/>
            </w:tcBorders>
            <w:shd w:val="clear" w:color="000000" w:fill="D9D9D9"/>
            <w:noWrap/>
            <w:vAlign w:val="center"/>
            <w:hideMark/>
          </w:tcPr>
          <w:p w14:paraId="68B92046"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203</w:t>
            </w:r>
          </w:p>
        </w:tc>
        <w:tc>
          <w:tcPr>
            <w:tcW w:w="956" w:type="dxa"/>
            <w:tcBorders>
              <w:top w:val="nil"/>
              <w:left w:val="nil"/>
              <w:bottom w:val="single" w:sz="4" w:space="0" w:color="auto"/>
              <w:right w:val="single" w:sz="4" w:space="0" w:color="auto"/>
            </w:tcBorders>
            <w:shd w:val="clear" w:color="000000" w:fill="D9D9D9"/>
            <w:noWrap/>
            <w:vAlign w:val="center"/>
            <w:hideMark/>
          </w:tcPr>
          <w:p w14:paraId="21180F2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15 </w:t>
            </w:r>
          </w:p>
        </w:tc>
        <w:tc>
          <w:tcPr>
            <w:tcW w:w="1196" w:type="dxa"/>
            <w:tcBorders>
              <w:top w:val="nil"/>
              <w:left w:val="nil"/>
              <w:bottom w:val="single" w:sz="4" w:space="0" w:color="auto"/>
              <w:right w:val="single" w:sz="4" w:space="0" w:color="auto"/>
            </w:tcBorders>
            <w:shd w:val="clear" w:color="000000" w:fill="D9D9D9"/>
            <w:noWrap/>
            <w:vAlign w:val="center"/>
            <w:hideMark/>
          </w:tcPr>
          <w:p w14:paraId="330ADA7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1156" w:type="dxa"/>
            <w:tcBorders>
              <w:top w:val="nil"/>
              <w:left w:val="nil"/>
              <w:bottom w:val="single" w:sz="4" w:space="0" w:color="auto"/>
              <w:right w:val="single" w:sz="4" w:space="0" w:color="auto"/>
            </w:tcBorders>
            <w:shd w:val="clear" w:color="000000" w:fill="D9D9D9"/>
            <w:noWrap/>
            <w:vAlign w:val="center"/>
            <w:hideMark/>
          </w:tcPr>
          <w:p w14:paraId="426C962C"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14 </w:t>
            </w:r>
          </w:p>
        </w:tc>
        <w:tc>
          <w:tcPr>
            <w:tcW w:w="1196" w:type="dxa"/>
            <w:tcBorders>
              <w:top w:val="nil"/>
              <w:left w:val="nil"/>
              <w:bottom w:val="single" w:sz="4" w:space="0" w:color="auto"/>
              <w:right w:val="single" w:sz="4" w:space="0" w:color="auto"/>
            </w:tcBorders>
            <w:shd w:val="clear" w:color="000000" w:fill="D9D9D9"/>
            <w:noWrap/>
            <w:vAlign w:val="center"/>
            <w:hideMark/>
          </w:tcPr>
          <w:p w14:paraId="5AC9E8A1"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0 </w:t>
            </w:r>
          </w:p>
        </w:tc>
        <w:tc>
          <w:tcPr>
            <w:tcW w:w="956" w:type="dxa"/>
            <w:tcBorders>
              <w:top w:val="nil"/>
              <w:left w:val="nil"/>
              <w:bottom w:val="single" w:sz="4" w:space="0" w:color="auto"/>
              <w:right w:val="single" w:sz="4" w:space="0" w:color="auto"/>
            </w:tcBorders>
            <w:shd w:val="clear" w:color="000000" w:fill="D9D9D9"/>
            <w:noWrap/>
            <w:vAlign w:val="center"/>
            <w:hideMark/>
          </w:tcPr>
          <w:p w14:paraId="0EEE4FBE"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 xml:space="preserve">14 </w:t>
            </w:r>
          </w:p>
        </w:tc>
      </w:tr>
      <w:tr w:rsidR="00596C0D" w:rsidRPr="00596C0D" w14:paraId="196C0BCA" w14:textId="77777777" w:rsidTr="00596C0D">
        <w:trPr>
          <w:trHeight w:val="300"/>
        </w:trPr>
        <w:tc>
          <w:tcPr>
            <w:tcW w:w="2824" w:type="dxa"/>
            <w:tcBorders>
              <w:top w:val="nil"/>
              <w:left w:val="nil"/>
              <w:bottom w:val="nil"/>
              <w:right w:val="nil"/>
            </w:tcBorders>
            <w:shd w:val="clear" w:color="000000" w:fill="BDD7EE"/>
            <w:vAlign w:val="center"/>
            <w:hideMark/>
          </w:tcPr>
          <w:p w14:paraId="31C6AF42"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Net Gain/(Loss)</w:t>
            </w:r>
          </w:p>
        </w:tc>
        <w:tc>
          <w:tcPr>
            <w:tcW w:w="2632" w:type="dxa"/>
            <w:tcBorders>
              <w:top w:val="nil"/>
              <w:left w:val="nil"/>
              <w:bottom w:val="nil"/>
              <w:right w:val="nil"/>
            </w:tcBorders>
            <w:shd w:val="clear" w:color="000000" w:fill="BDD7EE"/>
            <w:vAlign w:val="center"/>
            <w:hideMark/>
          </w:tcPr>
          <w:p w14:paraId="2E3E3B8A"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2356" w:type="dxa"/>
            <w:tcBorders>
              <w:top w:val="nil"/>
              <w:left w:val="nil"/>
              <w:bottom w:val="nil"/>
              <w:right w:val="nil"/>
            </w:tcBorders>
            <w:shd w:val="clear" w:color="000000" w:fill="BDD7EE"/>
            <w:vAlign w:val="center"/>
            <w:hideMark/>
          </w:tcPr>
          <w:p w14:paraId="247ED854"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956" w:type="dxa"/>
            <w:tcBorders>
              <w:top w:val="nil"/>
              <w:left w:val="nil"/>
              <w:bottom w:val="nil"/>
              <w:right w:val="nil"/>
            </w:tcBorders>
            <w:shd w:val="clear" w:color="000000" w:fill="BDD7EE"/>
            <w:vAlign w:val="center"/>
            <w:hideMark/>
          </w:tcPr>
          <w:p w14:paraId="313DD506"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1256" w:type="dxa"/>
            <w:tcBorders>
              <w:top w:val="nil"/>
              <w:left w:val="nil"/>
              <w:bottom w:val="nil"/>
              <w:right w:val="nil"/>
            </w:tcBorders>
            <w:shd w:val="clear" w:color="000000" w:fill="BDD7EE"/>
            <w:vAlign w:val="center"/>
            <w:hideMark/>
          </w:tcPr>
          <w:p w14:paraId="2C221E19"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956" w:type="dxa"/>
            <w:tcBorders>
              <w:top w:val="nil"/>
              <w:left w:val="nil"/>
              <w:bottom w:val="nil"/>
              <w:right w:val="nil"/>
            </w:tcBorders>
            <w:shd w:val="clear" w:color="000000" w:fill="BDD7EE"/>
            <w:vAlign w:val="center"/>
            <w:hideMark/>
          </w:tcPr>
          <w:p w14:paraId="33E97388"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1196" w:type="dxa"/>
            <w:tcBorders>
              <w:top w:val="nil"/>
              <w:left w:val="nil"/>
              <w:bottom w:val="nil"/>
              <w:right w:val="nil"/>
            </w:tcBorders>
            <w:shd w:val="clear" w:color="000000" w:fill="BDD7EE"/>
            <w:vAlign w:val="center"/>
            <w:hideMark/>
          </w:tcPr>
          <w:p w14:paraId="1E020911"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1156" w:type="dxa"/>
            <w:tcBorders>
              <w:top w:val="nil"/>
              <w:left w:val="nil"/>
              <w:bottom w:val="nil"/>
              <w:right w:val="nil"/>
            </w:tcBorders>
            <w:shd w:val="clear" w:color="000000" w:fill="BDD7EE"/>
            <w:vAlign w:val="center"/>
            <w:hideMark/>
          </w:tcPr>
          <w:p w14:paraId="4F2290CA"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1196" w:type="dxa"/>
            <w:tcBorders>
              <w:top w:val="nil"/>
              <w:left w:val="nil"/>
              <w:bottom w:val="nil"/>
              <w:right w:val="nil"/>
            </w:tcBorders>
            <w:shd w:val="clear" w:color="000000" w:fill="BDD7EE"/>
            <w:vAlign w:val="center"/>
            <w:hideMark/>
          </w:tcPr>
          <w:p w14:paraId="7C197763" w14:textId="77777777" w:rsidR="00596C0D" w:rsidRPr="00596C0D" w:rsidRDefault="00596C0D" w:rsidP="00596C0D">
            <w:pPr>
              <w:rPr>
                <w:rFonts w:ascii="Calibri" w:eastAsia="Times New Roman" w:hAnsi="Calibri" w:cs="Calibri"/>
                <w:color w:val="000000"/>
                <w:sz w:val="22"/>
              </w:rPr>
            </w:pPr>
            <w:r w:rsidRPr="00596C0D">
              <w:rPr>
                <w:rFonts w:ascii="Calibri" w:eastAsia="Times New Roman" w:hAnsi="Calibri" w:cs="Calibri"/>
                <w:color w:val="000000"/>
                <w:sz w:val="22"/>
              </w:rPr>
              <w:t> </w:t>
            </w:r>
          </w:p>
        </w:tc>
        <w:tc>
          <w:tcPr>
            <w:tcW w:w="956" w:type="dxa"/>
            <w:tcBorders>
              <w:top w:val="nil"/>
              <w:left w:val="single" w:sz="4" w:space="0" w:color="auto"/>
              <w:bottom w:val="single" w:sz="4" w:space="0" w:color="auto"/>
              <w:right w:val="single" w:sz="4" w:space="0" w:color="auto"/>
            </w:tcBorders>
            <w:shd w:val="clear" w:color="000000" w:fill="FFFF00"/>
            <w:noWrap/>
            <w:vAlign w:val="center"/>
            <w:hideMark/>
          </w:tcPr>
          <w:p w14:paraId="78060147" w14:textId="77777777" w:rsidR="00596C0D" w:rsidRPr="00596C0D" w:rsidRDefault="00596C0D" w:rsidP="00596C0D">
            <w:pPr>
              <w:jc w:val="right"/>
              <w:rPr>
                <w:rFonts w:ascii="Calibri" w:eastAsia="Times New Roman" w:hAnsi="Calibri" w:cs="Calibri"/>
                <w:color w:val="000000"/>
                <w:sz w:val="22"/>
              </w:rPr>
            </w:pPr>
            <w:r w:rsidRPr="00596C0D">
              <w:rPr>
                <w:rFonts w:ascii="Calibri" w:eastAsia="Times New Roman" w:hAnsi="Calibri" w:cs="Calibri"/>
                <w:color w:val="000000"/>
                <w:sz w:val="22"/>
              </w:rPr>
              <w:t>(32)</w:t>
            </w:r>
          </w:p>
        </w:tc>
      </w:tr>
    </w:tbl>
    <w:p w14:paraId="23DA13A0" w14:textId="77777777" w:rsidR="00596C0D" w:rsidRDefault="00596C0D" w:rsidP="00596C0D"/>
    <w:sectPr w:rsidR="00596C0D" w:rsidSect="00596C0D">
      <w:pgSz w:w="15840" w:h="12240" w:orient="landscape"/>
      <w:pgMar w:top="720" w:right="144" w:bottom="720" w:left="14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3DD906" w14:textId="77777777" w:rsidR="001315BE" w:rsidRDefault="001315BE">
      <w:r>
        <w:separator/>
      </w:r>
    </w:p>
  </w:endnote>
  <w:endnote w:type="continuationSeparator" w:id="0">
    <w:p w14:paraId="53442E05" w14:textId="77777777" w:rsidR="001315BE" w:rsidRDefault="00131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Light">
    <w:altName w:val="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5ADEC5" w14:textId="77777777" w:rsidR="001315BE" w:rsidRDefault="001315BE">
      <w:r>
        <w:separator/>
      </w:r>
    </w:p>
  </w:footnote>
  <w:footnote w:type="continuationSeparator" w:id="0">
    <w:p w14:paraId="49358B56" w14:textId="77777777" w:rsidR="001315BE" w:rsidRDefault="001315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7148405"/>
      <w:docPartObj>
        <w:docPartGallery w:val="Page Numbers (Top of Page)"/>
        <w:docPartUnique/>
      </w:docPartObj>
    </w:sdtPr>
    <w:sdtEndPr>
      <w:rPr>
        <w:noProof/>
      </w:rPr>
    </w:sdtEndPr>
    <w:sdtContent>
      <w:p w14:paraId="27D13585" w14:textId="1454691F" w:rsidR="001315BE" w:rsidRDefault="001315BE">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1315BE" w:rsidRDefault="001315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A40AA8"/>
    <w:multiLevelType w:val="hybridMultilevel"/>
    <w:tmpl w:val="AD5652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D1435C"/>
    <w:multiLevelType w:val="hybridMultilevel"/>
    <w:tmpl w:val="A59E514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7F55F8"/>
    <w:multiLevelType w:val="hybridMultilevel"/>
    <w:tmpl w:val="E0FCCB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5B567D"/>
    <w:multiLevelType w:val="hybridMultilevel"/>
    <w:tmpl w:val="70BC34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D52E7F"/>
    <w:multiLevelType w:val="hybridMultilevel"/>
    <w:tmpl w:val="7C821F6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2D4EAB"/>
    <w:multiLevelType w:val="hybridMultilevel"/>
    <w:tmpl w:val="6FBAD6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8C5805"/>
    <w:multiLevelType w:val="hybridMultilevel"/>
    <w:tmpl w:val="77567FC4"/>
    <w:lvl w:ilvl="0" w:tplc="0409000F">
      <w:start w:val="1"/>
      <w:numFmt w:val="decimal"/>
      <w:lvlText w:val="%1."/>
      <w:lvlJc w:val="left"/>
      <w:pPr>
        <w:ind w:left="720" w:hanging="360"/>
      </w:pPr>
      <w:rPr>
        <w:rFonts w:hint="default"/>
      </w:rPr>
    </w:lvl>
    <w:lvl w:ilvl="1" w:tplc="16424B46">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45313D"/>
    <w:multiLevelType w:val="hybridMultilevel"/>
    <w:tmpl w:val="11F2B7B8"/>
    <w:lvl w:ilvl="0" w:tplc="0409000F">
      <w:start w:val="1"/>
      <w:numFmt w:val="decimal"/>
      <w:lvlText w:val="%1."/>
      <w:lvlJc w:val="left"/>
      <w:pPr>
        <w:ind w:left="720" w:hanging="360"/>
      </w:pPr>
      <w:rPr>
        <w:rFonts w:hint="default"/>
      </w:rPr>
    </w:lvl>
    <w:lvl w:ilvl="1" w:tplc="AEDC9FD6">
      <w:start w:val="3"/>
      <w:numFmt w:val="bullet"/>
      <w:lvlText w:val="•"/>
      <w:lvlJc w:val="left"/>
      <w:pPr>
        <w:ind w:left="1440" w:hanging="360"/>
      </w:pPr>
      <w:rPr>
        <w:rFonts w:ascii="Calibri" w:eastAsiaTheme="minorHAnsi" w:hAnsi="Calibri" w:cs="Calibri" w:hint="default"/>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E60E6D"/>
    <w:multiLevelType w:val="hybridMultilevel"/>
    <w:tmpl w:val="195C62DE"/>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CE20F1F"/>
    <w:multiLevelType w:val="hybridMultilevel"/>
    <w:tmpl w:val="F898A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AB7C4F"/>
    <w:multiLevelType w:val="hybridMultilevel"/>
    <w:tmpl w:val="E0FCCB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703814"/>
    <w:multiLevelType w:val="hybridMultilevel"/>
    <w:tmpl w:val="D16CBC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7F68A8"/>
    <w:multiLevelType w:val="hybridMultilevel"/>
    <w:tmpl w:val="652484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A1B67E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89F30BD"/>
    <w:multiLevelType w:val="hybridMultilevel"/>
    <w:tmpl w:val="27E02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D8F29F0"/>
    <w:multiLevelType w:val="hybridMultilevel"/>
    <w:tmpl w:val="A7BEA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DFE5CF4"/>
    <w:multiLevelType w:val="hybridMultilevel"/>
    <w:tmpl w:val="A2DA0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4014E18"/>
    <w:multiLevelType w:val="hybridMultilevel"/>
    <w:tmpl w:val="5B86841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94A7D98"/>
    <w:multiLevelType w:val="hybridMultilevel"/>
    <w:tmpl w:val="0158CF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7A6C453A"/>
    <w:multiLevelType w:val="hybridMultilevel"/>
    <w:tmpl w:val="166EF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ED75B7A"/>
    <w:multiLevelType w:val="hybridMultilevel"/>
    <w:tmpl w:val="42ECB7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0"/>
  </w:num>
  <w:num w:numId="3">
    <w:abstractNumId w:val="26"/>
  </w:num>
  <w:num w:numId="4">
    <w:abstractNumId w:val="23"/>
  </w:num>
  <w:num w:numId="5">
    <w:abstractNumId w:val="28"/>
  </w:num>
  <w:num w:numId="6">
    <w:abstractNumId w:val="18"/>
  </w:num>
  <w:num w:numId="7">
    <w:abstractNumId w:val="6"/>
  </w:num>
  <w:num w:numId="8">
    <w:abstractNumId w:val="16"/>
  </w:num>
  <w:num w:numId="9">
    <w:abstractNumId w:val="11"/>
  </w:num>
  <w:num w:numId="10">
    <w:abstractNumId w:val="22"/>
  </w:num>
  <w:num w:numId="11">
    <w:abstractNumId w:val="17"/>
  </w:num>
  <w:num w:numId="12">
    <w:abstractNumId w:val="3"/>
  </w:num>
  <w:num w:numId="13">
    <w:abstractNumId w:val="8"/>
  </w:num>
  <w:num w:numId="14">
    <w:abstractNumId w:val="15"/>
  </w:num>
  <w:num w:numId="15">
    <w:abstractNumId w:val="24"/>
  </w:num>
  <w:num w:numId="16">
    <w:abstractNumId w:val="0"/>
  </w:num>
  <w:num w:numId="17">
    <w:abstractNumId w:val="19"/>
  </w:num>
  <w:num w:numId="18">
    <w:abstractNumId w:val="27"/>
  </w:num>
  <w:num w:numId="19">
    <w:abstractNumId w:val="2"/>
  </w:num>
  <w:num w:numId="20">
    <w:abstractNumId w:val="13"/>
  </w:num>
  <w:num w:numId="21">
    <w:abstractNumId w:val="25"/>
  </w:num>
  <w:num w:numId="22">
    <w:abstractNumId w:val="7"/>
  </w:num>
  <w:num w:numId="23">
    <w:abstractNumId w:val="5"/>
  </w:num>
  <w:num w:numId="24">
    <w:abstractNumId w:val="20"/>
  </w:num>
  <w:num w:numId="25">
    <w:abstractNumId w:val="29"/>
  </w:num>
  <w:num w:numId="26">
    <w:abstractNumId w:val="14"/>
  </w:num>
  <w:num w:numId="27">
    <w:abstractNumId w:val="9"/>
  </w:num>
  <w:num w:numId="28">
    <w:abstractNumId w:val="21"/>
  </w:num>
  <w:num w:numId="29">
    <w:abstractNumId w:val="1"/>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06A4F"/>
    <w:rsid w:val="000104F9"/>
    <w:rsid w:val="0002135A"/>
    <w:rsid w:val="000317CD"/>
    <w:rsid w:val="00033A7F"/>
    <w:rsid w:val="00036283"/>
    <w:rsid w:val="00041007"/>
    <w:rsid w:val="0005495E"/>
    <w:rsid w:val="00055A10"/>
    <w:rsid w:val="00094390"/>
    <w:rsid w:val="00094393"/>
    <w:rsid w:val="000A5917"/>
    <w:rsid w:val="000E3DFB"/>
    <w:rsid w:val="000E42CA"/>
    <w:rsid w:val="000F4D1E"/>
    <w:rsid w:val="00101DCC"/>
    <w:rsid w:val="0010721A"/>
    <w:rsid w:val="00112126"/>
    <w:rsid w:val="00116D60"/>
    <w:rsid w:val="00125124"/>
    <w:rsid w:val="001315BE"/>
    <w:rsid w:val="001438F6"/>
    <w:rsid w:val="001473E6"/>
    <w:rsid w:val="00157E8E"/>
    <w:rsid w:val="00172C9A"/>
    <w:rsid w:val="00187F89"/>
    <w:rsid w:val="0019627C"/>
    <w:rsid w:val="001D3991"/>
    <w:rsid w:val="001F0225"/>
    <w:rsid w:val="001F4B38"/>
    <w:rsid w:val="00210F5E"/>
    <w:rsid w:val="00216DEB"/>
    <w:rsid w:val="002203EE"/>
    <w:rsid w:val="0025268D"/>
    <w:rsid w:val="00254A70"/>
    <w:rsid w:val="002569F9"/>
    <w:rsid w:val="002629C6"/>
    <w:rsid w:val="00267B98"/>
    <w:rsid w:val="0028056C"/>
    <w:rsid w:val="00286FA4"/>
    <w:rsid w:val="002B0CA1"/>
    <w:rsid w:val="002C0FB7"/>
    <w:rsid w:val="002D7514"/>
    <w:rsid w:val="00304A8B"/>
    <w:rsid w:val="003079B9"/>
    <w:rsid w:val="00333BC5"/>
    <w:rsid w:val="00346EC9"/>
    <w:rsid w:val="003507E0"/>
    <w:rsid w:val="00381900"/>
    <w:rsid w:val="00383A30"/>
    <w:rsid w:val="003936F4"/>
    <w:rsid w:val="003D511D"/>
    <w:rsid w:val="003E4EA6"/>
    <w:rsid w:val="003E55A9"/>
    <w:rsid w:val="003E7803"/>
    <w:rsid w:val="004012EE"/>
    <w:rsid w:val="004267A3"/>
    <w:rsid w:val="00461C36"/>
    <w:rsid w:val="00464D10"/>
    <w:rsid w:val="00480CB1"/>
    <w:rsid w:val="00492D6D"/>
    <w:rsid w:val="0050534A"/>
    <w:rsid w:val="005059D7"/>
    <w:rsid w:val="00521034"/>
    <w:rsid w:val="00560B24"/>
    <w:rsid w:val="0056772C"/>
    <w:rsid w:val="00585A59"/>
    <w:rsid w:val="00592BEC"/>
    <w:rsid w:val="00596C0D"/>
    <w:rsid w:val="005A61C8"/>
    <w:rsid w:val="005F1F9E"/>
    <w:rsid w:val="00603FF3"/>
    <w:rsid w:val="00607C5D"/>
    <w:rsid w:val="00611D9D"/>
    <w:rsid w:val="006437C4"/>
    <w:rsid w:val="006453DD"/>
    <w:rsid w:val="00670975"/>
    <w:rsid w:val="006754DD"/>
    <w:rsid w:val="00682758"/>
    <w:rsid w:val="0069153A"/>
    <w:rsid w:val="006A6BB6"/>
    <w:rsid w:val="006A6F86"/>
    <w:rsid w:val="006D4B00"/>
    <w:rsid w:val="006D5ED9"/>
    <w:rsid w:val="006F6508"/>
    <w:rsid w:val="00700370"/>
    <w:rsid w:val="00715FDE"/>
    <w:rsid w:val="00716178"/>
    <w:rsid w:val="00726364"/>
    <w:rsid w:val="00727A89"/>
    <w:rsid w:val="00750A79"/>
    <w:rsid w:val="00766CD8"/>
    <w:rsid w:val="0078358E"/>
    <w:rsid w:val="00796088"/>
    <w:rsid w:val="007971AC"/>
    <w:rsid w:val="007B53CD"/>
    <w:rsid w:val="007C036D"/>
    <w:rsid w:val="007E599B"/>
    <w:rsid w:val="00807BB2"/>
    <w:rsid w:val="0082202A"/>
    <w:rsid w:val="00833007"/>
    <w:rsid w:val="008701EF"/>
    <w:rsid w:val="0087427B"/>
    <w:rsid w:val="00874636"/>
    <w:rsid w:val="00883034"/>
    <w:rsid w:val="00883E42"/>
    <w:rsid w:val="00890A7F"/>
    <w:rsid w:val="00896DF1"/>
    <w:rsid w:val="008B24BB"/>
    <w:rsid w:val="008B3A19"/>
    <w:rsid w:val="008C7B92"/>
    <w:rsid w:val="008D5021"/>
    <w:rsid w:val="009123EE"/>
    <w:rsid w:val="00920A11"/>
    <w:rsid w:val="00930D13"/>
    <w:rsid w:val="009425B9"/>
    <w:rsid w:val="00994CD3"/>
    <w:rsid w:val="009951E0"/>
    <w:rsid w:val="009B223F"/>
    <w:rsid w:val="009D2D06"/>
    <w:rsid w:val="009E33BF"/>
    <w:rsid w:val="00A02FC6"/>
    <w:rsid w:val="00A065A2"/>
    <w:rsid w:val="00A17FB9"/>
    <w:rsid w:val="00A204F1"/>
    <w:rsid w:val="00A55CF6"/>
    <w:rsid w:val="00A67A13"/>
    <w:rsid w:val="00A70672"/>
    <w:rsid w:val="00A74B82"/>
    <w:rsid w:val="00A80ADF"/>
    <w:rsid w:val="00A8775D"/>
    <w:rsid w:val="00A937BC"/>
    <w:rsid w:val="00A93889"/>
    <w:rsid w:val="00AA2A6A"/>
    <w:rsid w:val="00AA2AE5"/>
    <w:rsid w:val="00AC14C9"/>
    <w:rsid w:val="00AC7078"/>
    <w:rsid w:val="00AE5FF0"/>
    <w:rsid w:val="00AF1CEB"/>
    <w:rsid w:val="00AF76B0"/>
    <w:rsid w:val="00B03A9E"/>
    <w:rsid w:val="00B05471"/>
    <w:rsid w:val="00B25066"/>
    <w:rsid w:val="00B309BE"/>
    <w:rsid w:val="00B647CD"/>
    <w:rsid w:val="00B83994"/>
    <w:rsid w:val="00B83BAE"/>
    <w:rsid w:val="00BD200A"/>
    <w:rsid w:val="00BD2FE3"/>
    <w:rsid w:val="00C06314"/>
    <w:rsid w:val="00C16F4A"/>
    <w:rsid w:val="00C21B4C"/>
    <w:rsid w:val="00C30896"/>
    <w:rsid w:val="00C52903"/>
    <w:rsid w:val="00C600FE"/>
    <w:rsid w:val="00C61DAB"/>
    <w:rsid w:val="00C83D87"/>
    <w:rsid w:val="00CB7699"/>
    <w:rsid w:val="00D123BB"/>
    <w:rsid w:val="00D27773"/>
    <w:rsid w:val="00D442F3"/>
    <w:rsid w:val="00D445A5"/>
    <w:rsid w:val="00D55B57"/>
    <w:rsid w:val="00D67D39"/>
    <w:rsid w:val="00D84DC4"/>
    <w:rsid w:val="00D95ABB"/>
    <w:rsid w:val="00D95F16"/>
    <w:rsid w:val="00DA07FD"/>
    <w:rsid w:val="00DB3B83"/>
    <w:rsid w:val="00DD2526"/>
    <w:rsid w:val="00DD407E"/>
    <w:rsid w:val="00E02486"/>
    <w:rsid w:val="00E50C5A"/>
    <w:rsid w:val="00E7310C"/>
    <w:rsid w:val="00E90156"/>
    <w:rsid w:val="00EB65FA"/>
    <w:rsid w:val="00EB6DD7"/>
    <w:rsid w:val="00EB72FE"/>
    <w:rsid w:val="00EC0EE4"/>
    <w:rsid w:val="00EE0892"/>
    <w:rsid w:val="00F023CA"/>
    <w:rsid w:val="00F42371"/>
    <w:rsid w:val="00FA3379"/>
    <w:rsid w:val="00FB6B40"/>
    <w:rsid w:val="00FB76B0"/>
    <w:rsid w:val="00FC2E4B"/>
    <w:rsid w:val="00FD5DBC"/>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D442F3"/>
    <w:pPr>
      <w:autoSpaceDE w:val="0"/>
      <w:autoSpaceDN w:val="0"/>
      <w:adjustRightInd w:val="0"/>
    </w:pPr>
    <w:rPr>
      <w:rFonts w:ascii="Calibri" w:hAnsi="Calibri" w:cs="Calibri"/>
      <w:color w:val="000000"/>
      <w:szCs w:val="24"/>
    </w:rPr>
  </w:style>
  <w:style w:type="table" w:styleId="TableGrid">
    <w:name w:val="Table Grid"/>
    <w:basedOn w:val="TableNormal"/>
    <w:uiPriority w:val="39"/>
    <w:rsid w:val="00FC2E4B"/>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9241545">
      <w:bodyDiv w:val="1"/>
      <w:marLeft w:val="0"/>
      <w:marRight w:val="0"/>
      <w:marTop w:val="0"/>
      <w:marBottom w:val="0"/>
      <w:divBdr>
        <w:top w:val="none" w:sz="0" w:space="0" w:color="auto"/>
        <w:left w:val="none" w:sz="0" w:space="0" w:color="auto"/>
        <w:bottom w:val="none" w:sz="0" w:space="0" w:color="auto"/>
        <w:right w:val="none" w:sz="0" w:space="0" w:color="auto"/>
      </w:divBdr>
    </w:div>
    <w:div w:id="530648619">
      <w:bodyDiv w:val="1"/>
      <w:marLeft w:val="0"/>
      <w:marRight w:val="0"/>
      <w:marTop w:val="0"/>
      <w:marBottom w:val="0"/>
      <w:divBdr>
        <w:top w:val="none" w:sz="0" w:space="0" w:color="auto"/>
        <w:left w:val="none" w:sz="0" w:space="0" w:color="auto"/>
        <w:bottom w:val="none" w:sz="0" w:space="0" w:color="auto"/>
        <w:right w:val="none" w:sz="0" w:space="0" w:color="auto"/>
      </w:divBdr>
    </w:div>
    <w:div w:id="594167191">
      <w:bodyDiv w:val="1"/>
      <w:marLeft w:val="0"/>
      <w:marRight w:val="0"/>
      <w:marTop w:val="0"/>
      <w:marBottom w:val="0"/>
      <w:divBdr>
        <w:top w:val="none" w:sz="0" w:space="0" w:color="auto"/>
        <w:left w:val="none" w:sz="0" w:space="0" w:color="auto"/>
        <w:bottom w:val="none" w:sz="0" w:space="0" w:color="auto"/>
        <w:right w:val="none" w:sz="0" w:space="0" w:color="auto"/>
      </w:divBdr>
    </w:div>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 w:id="970206911">
      <w:bodyDiv w:val="1"/>
      <w:marLeft w:val="0"/>
      <w:marRight w:val="0"/>
      <w:marTop w:val="0"/>
      <w:marBottom w:val="0"/>
      <w:divBdr>
        <w:top w:val="none" w:sz="0" w:space="0" w:color="auto"/>
        <w:left w:val="none" w:sz="0" w:space="0" w:color="auto"/>
        <w:bottom w:val="none" w:sz="0" w:space="0" w:color="auto"/>
        <w:right w:val="none" w:sz="0" w:space="0" w:color="auto"/>
      </w:divBdr>
    </w:div>
    <w:div w:id="1243223850">
      <w:bodyDiv w:val="1"/>
      <w:marLeft w:val="0"/>
      <w:marRight w:val="0"/>
      <w:marTop w:val="0"/>
      <w:marBottom w:val="0"/>
      <w:divBdr>
        <w:top w:val="none" w:sz="0" w:space="0" w:color="auto"/>
        <w:left w:val="none" w:sz="0" w:space="0" w:color="auto"/>
        <w:bottom w:val="none" w:sz="0" w:space="0" w:color="auto"/>
        <w:right w:val="none" w:sz="0" w:space="0" w:color="auto"/>
      </w:divBdr>
    </w:div>
    <w:div w:id="1269464559">
      <w:bodyDiv w:val="1"/>
      <w:marLeft w:val="0"/>
      <w:marRight w:val="0"/>
      <w:marTop w:val="0"/>
      <w:marBottom w:val="0"/>
      <w:divBdr>
        <w:top w:val="none" w:sz="0" w:space="0" w:color="auto"/>
        <w:left w:val="none" w:sz="0" w:space="0" w:color="auto"/>
        <w:bottom w:val="none" w:sz="0" w:space="0" w:color="auto"/>
        <w:right w:val="none" w:sz="0" w:space="0" w:color="auto"/>
      </w:divBdr>
    </w:div>
    <w:div w:id="2016688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CCB1E0-2298-4332-81F6-696DB8632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23</Pages>
  <Words>7040</Words>
  <Characters>40133</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35</cp:revision>
  <dcterms:created xsi:type="dcterms:W3CDTF">2020-11-20T20:19:00Z</dcterms:created>
  <dcterms:modified xsi:type="dcterms:W3CDTF">2020-11-30T22:20:00Z</dcterms:modified>
</cp:coreProperties>
</file>