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C665C2" w14:textId="49787FE2" w:rsidR="009B2FD5" w:rsidRPr="009B2FD5" w:rsidRDefault="009B2FD5" w:rsidP="009B2FD5">
      <w:pPr>
        <w:spacing w:after="0" w:line="480" w:lineRule="auto"/>
        <w:jc w:val="center"/>
        <w:rPr>
          <w:rFonts w:cs="Times New Roman"/>
          <w:b/>
          <w:bCs/>
          <w:color w:val="000000"/>
          <w:sz w:val="36"/>
          <w:szCs w:val="36"/>
        </w:rPr>
      </w:pPr>
      <w:bookmarkStart w:id="0" w:name="_Hlk59280551"/>
      <w:bookmarkStart w:id="1" w:name="_Hlk61298115"/>
      <w:r w:rsidRPr="009B2FD5">
        <w:rPr>
          <w:rFonts w:cs="Times New Roman"/>
          <w:b/>
          <w:bCs/>
          <w:color w:val="000000"/>
          <w:sz w:val="36"/>
          <w:szCs w:val="36"/>
        </w:rPr>
        <w:t>Advanced oxidation processes: performance, advantages, and scale</w:t>
      </w:r>
      <w:r w:rsidR="00F31DB6">
        <w:rPr>
          <w:rFonts w:cs="Times New Roman"/>
          <w:b/>
          <w:bCs/>
          <w:color w:val="000000"/>
          <w:sz w:val="36"/>
          <w:szCs w:val="36"/>
        </w:rPr>
        <w:t>-</w:t>
      </w:r>
      <w:r w:rsidRPr="009B2FD5">
        <w:rPr>
          <w:rFonts w:cs="Times New Roman"/>
          <w:b/>
          <w:bCs/>
          <w:color w:val="000000"/>
          <w:sz w:val="36"/>
          <w:szCs w:val="36"/>
        </w:rPr>
        <w:t>up of emerging technologies</w:t>
      </w:r>
    </w:p>
    <w:p w14:paraId="403AA6C2" w14:textId="3671531A" w:rsidR="009B2FD5" w:rsidRPr="009B2FD5" w:rsidRDefault="009B2FD5" w:rsidP="009B2FD5">
      <w:pPr>
        <w:autoSpaceDE w:val="0"/>
        <w:autoSpaceDN w:val="0"/>
        <w:jc w:val="center"/>
        <w:rPr>
          <w:rFonts w:eastAsia="Times New Roman" w:cs="Times New Roman"/>
          <w:b/>
          <w:iCs/>
          <w:color w:val="000000"/>
          <w:sz w:val="22"/>
        </w:rPr>
      </w:pPr>
      <w:proofErr w:type="spellStart"/>
      <w:r w:rsidRPr="009B2FD5">
        <w:rPr>
          <w:rFonts w:eastAsia="Times New Roman" w:cs="Times New Roman"/>
          <w:b/>
          <w:color w:val="000000"/>
          <w:sz w:val="22"/>
        </w:rPr>
        <w:t>Monali</w:t>
      </w:r>
      <w:proofErr w:type="spellEnd"/>
      <w:r w:rsidRPr="009B2FD5">
        <w:rPr>
          <w:rFonts w:eastAsia="Times New Roman" w:cs="Times New Roman"/>
          <w:b/>
          <w:color w:val="000000"/>
          <w:sz w:val="22"/>
        </w:rPr>
        <w:t xml:space="preserve"> </w:t>
      </w:r>
      <w:proofErr w:type="spellStart"/>
      <w:r w:rsidRPr="009B2FD5">
        <w:rPr>
          <w:rFonts w:eastAsia="Times New Roman" w:cs="Times New Roman"/>
          <w:b/>
          <w:color w:val="000000"/>
          <w:sz w:val="22"/>
        </w:rPr>
        <w:t>Priyadarshini</w:t>
      </w:r>
      <w:r w:rsidRPr="009B2FD5">
        <w:rPr>
          <w:rFonts w:eastAsia="Times New Roman" w:cs="Times New Roman"/>
          <w:b/>
          <w:iCs/>
          <w:color w:val="000000"/>
          <w:sz w:val="22"/>
          <w:vertAlign w:val="superscript"/>
        </w:rPr>
        <w:t>a</w:t>
      </w:r>
      <w:proofErr w:type="spellEnd"/>
      <w:r w:rsidRPr="009B2FD5">
        <w:rPr>
          <w:rFonts w:eastAsia="Times New Roman" w:cs="Times New Roman"/>
          <w:b/>
          <w:color w:val="000000"/>
          <w:sz w:val="22"/>
        </w:rPr>
        <w:t xml:space="preserve">, Indrasis </w:t>
      </w:r>
      <w:proofErr w:type="spellStart"/>
      <w:r w:rsidRPr="009B2FD5">
        <w:rPr>
          <w:rFonts w:eastAsia="Times New Roman" w:cs="Times New Roman"/>
          <w:b/>
          <w:color w:val="000000"/>
          <w:sz w:val="22"/>
        </w:rPr>
        <w:t>Das</w:t>
      </w:r>
      <w:r w:rsidRPr="009B2FD5">
        <w:rPr>
          <w:rFonts w:eastAsia="Times New Roman" w:cs="Times New Roman"/>
          <w:b/>
          <w:iCs/>
          <w:color w:val="000000"/>
          <w:sz w:val="22"/>
          <w:vertAlign w:val="superscript"/>
        </w:rPr>
        <w:t>b,c</w:t>
      </w:r>
      <w:proofErr w:type="spellEnd"/>
      <w:r w:rsidR="005E5E4F">
        <w:rPr>
          <w:rFonts w:eastAsia="Times New Roman" w:cs="Times New Roman"/>
          <w:b/>
          <w:iCs/>
          <w:color w:val="000000"/>
          <w:sz w:val="22"/>
          <w:vertAlign w:val="superscript"/>
        </w:rPr>
        <w:t>*</w:t>
      </w:r>
      <w:r w:rsidRPr="009B2FD5">
        <w:rPr>
          <w:rFonts w:eastAsia="Times New Roman" w:cs="Times New Roman"/>
          <w:b/>
          <w:iCs/>
          <w:color w:val="000000"/>
          <w:sz w:val="22"/>
        </w:rPr>
        <w:t xml:space="preserve">, </w:t>
      </w:r>
      <w:r w:rsidRPr="009B2FD5">
        <w:rPr>
          <w:rFonts w:eastAsia="Times New Roman" w:cs="Times New Roman"/>
          <w:b/>
          <w:color w:val="000000"/>
          <w:sz w:val="22"/>
        </w:rPr>
        <w:t xml:space="preserve">Makarand M. </w:t>
      </w:r>
      <w:proofErr w:type="spellStart"/>
      <w:r w:rsidRPr="009B2FD5">
        <w:rPr>
          <w:rFonts w:eastAsia="Times New Roman" w:cs="Times New Roman"/>
          <w:b/>
          <w:color w:val="000000"/>
          <w:sz w:val="22"/>
        </w:rPr>
        <w:t>Ghangrekar</w:t>
      </w:r>
      <w:r w:rsidRPr="009B2FD5">
        <w:rPr>
          <w:rFonts w:eastAsia="Times New Roman" w:cs="Times New Roman"/>
          <w:b/>
          <w:color w:val="000000"/>
          <w:sz w:val="22"/>
          <w:vertAlign w:val="superscript"/>
        </w:rPr>
        <w:t>a,</w:t>
      </w:r>
      <w:r w:rsidRPr="009B2FD5">
        <w:rPr>
          <w:rFonts w:eastAsia="Times New Roman" w:cs="Times New Roman"/>
          <w:b/>
          <w:iCs/>
          <w:color w:val="000000"/>
          <w:sz w:val="22"/>
          <w:vertAlign w:val="superscript"/>
        </w:rPr>
        <w:t>c</w:t>
      </w:r>
      <w:proofErr w:type="spellEnd"/>
      <w:r w:rsidRPr="009B2FD5">
        <w:rPr>
          <w:rFonts w:eastAsia="Times New Roman" w:cs="Times New Roman"/>
          <w:b/>
          <w:iCs/>
          <w:color w:val="000000"/>
          <w:sz w:val="22"/>
        </w:rPr>
        <w:t xml:space="preserve">, Lee </w:t>
      </w:r>
      <w:proofErr w:type="spellStart"/>
      <w:r w:rsidRPr="009B2FD5">
        <w:rPr>
          <w:rFonts w:eastAsia="Times New Roman" w:cs="Times New Roman"/>
          <w:b/>
          <w:iCs/>
          <w:color w:val="000000"/>
          <w:sz w:val="22"/>
        </w:rPr>
        <w:t>Blaney</w:t>
      </w:r>
      <w:r w:rsidRPr="009B2FD5">
        <w:rPr>
          <w:rFonts w:eastAsia="Times New Roman" w:cs="Times New Roman"/>
          <w:b/>
          <w:iCs/>
          <w:color w:val="000000"/>
          <w:sz w:val="22"/>
          <w:vertAlign w:val="superscript"/>
        </w:rPr>
        <w:t>d</w:t>
      </w:r>
      <w:proofErr w:type="spellEnd"/>
      <w:r w:rsidRPr="009B2FD5">
        <w:rPr>
          <w:rFonts w:eastAsia="Times New Roman" w:cs="Times New Roman"/>
          <w:b/>
          <w:iCs/>
          <w:color w:val="000000"/>
          <w:sz w:val="22"/>
          <w:vertAlign w:val="superscript"/>
        </w:rPr>
        <w:t>*</w:t>
      </w:r>
    </w:p>
    <w:p w14:paraId="251C2DE1" w14:textId="77777777" w:rsidR="009B2FD5" w:rsidRPr="009B2FD5" w:rsidRDefault="009B2FD5" w:rsidP="009B2FD5">
      <w:pPr>
        <w:autoSpaceDE w:val="0"/>
        <w:autoSpaceDN w:val="0"/>
        <w:jc w:val="center"/>
        <w:rPr>
          <w:rFonts w:eastAsia="Times New Roman" w:cs="Times New Roman"/>
          <w:color w:val="000000"/>
          <w:sz w:val="22"/>
          <w:szCs w:val="24"/>
        </w:rPr>
      </w:pPr>
      <w:proofErr w:type="spellStart"/>
      <w:r w:rsidRPr="009B2FD5">
        <w:rPr>
          <w:rFonts w:eastAsia="Times New Roman" w:cs="Times New Roman"/>
          <w:iCs/>
          <w:color w:val="000000"/>
          <w:sz w:val="22"/>
          <w:szCs w:val="24"/>
          <w:vertAlign w:val="superscript"/>
        </w:rPr>
        <w:t>a</w:t>
      </w:r>
      <w:r w:rsidRPr="009B2FD5">
        <w:rPr>
          <w:rFonts w:eastAsia="Times New Roman" w:cs="Times New Roman"/>
          <w:color w:val="000000"/>
          <w:sz w:val="22"/>
          <w:szCs w:val="24"/>
        </w:rPr>
        <w:t>School</w:t>
      </w:r>
      <w:proofErr w:type="spellEnd"/>
      <w:r w:rsidRPr="009B2FD5">
        <w:rPr>
          <w:rFonts w:eastAsia="Times New Roman" w:cs="Times New Roman"/>
          <w:color w:val="000000"/>
          <w:sz w:val="22"/>
          <w:szCs w:val="24"/>
        </w:rPr>
        <w:t xml:space="preserve"> of Environmental Science and Engineering, Indian Institute of Technology Kharagpur, Kharagpur, West Bengal India, 721302</w:t>
      </w:r>
    </w:p>
    <w:p w14:paraId="4518DC91" w14:textId="77777777" w:rsidR="009B2FD5" w:rsidRPr="009B2FD5" w:rsidRDefault="009B2FD5" w:rsidP="009B2FD5">
      <w:pPr>
        <w:autoSpaceDE w:val="0"/>
        <w:autoSpaceDN w:val="0"/>
        <w:jc w:val="center"/>
        <w:rPr>
          <w:rFonts w:eastAsia="Times New Roman" w:cs="Times New Roman"/>
          <w:color w:val="000000"/>
          <w:sz w:val="22"/>
          <w:szCs w:val="24"/>
        </w:rPr>
      </w:pPr>
      <w:proofErr w:type="spellStart"/>
      <w:r w:rsidRPr="009B2FD5">
        <w:rPr>
          <w:rFonts w:eastAsia="Times New Roman" w:cs="Times New Roman"/>
          <w:color w:val="000000"/>
          <w:sz w:val="22"/>
          <w:szCs w:val="24"/>
          <w:vertAlign w:val="superscript"/>
        </w:rPr>
        <w:t>b</w:t>
      </w:r>
      <w:r w:rsidRPr="009B2FD5">
        <w:rPr>
          <w:rFonts w:eastAsia="Times New Roman" w:cs="Times New Roman"/>
          <w:color w:val="000000"/>
          <w:sz w:val="22"/>
          <w:szCs w:val="24"/>
        </w:rPr>
        <w:t>Environmental</w:t>
      </w:r>
      <w:proofErr w:type="spellEnd"/>
      <w:r w:rsidRPr="009B2FD5">
        <w:rPr>
          <w:rFonts w:eastAsia="Times New Roman" w:cs="Times New Roman"/>
          <w:color w:val="000000"/>
          <w:sz w:val="22"/>
          <w:szCs w:val="24"/>
        </w:rPr>
        <w:t xml:space="preserve"> Engineering Department, CSIR-Central Leather Research Institute, Adyar, Chennai, Tamil Nadu, India- 600020</w:t>
      </w:r>
    </w:p>
    <w:p w14:paraId="65D2799F" w14:textId="77777777" w:rsidR="009B2FD5" w:rsidRPr="009B2FD5" w:rsidRDefault="009B2FD5" w:rsidP="009B2FD5">
      <w:pPr>
        <w:autoSpaceDE w:val="0"/>
        <w:autoSpaceDN w:val="0"/>
        <w:jc w:val="center"/>
        <w:rPr>
          <w:rFonts w:eastAsia="Times New Roman" w:cs="Times New Roman"/>
          <w:color w:val="000000"/>
          <w:sz w:val="22"/>
          <w:szCs w:val="24"/>
        </w:rPr>
      </w:pPr>
      <w:r w:rsidRPr="009B2FD5">
        <w:rPr>
          <w:rFonts w:eastAsia="Times New Roman" w:cs="Times New Roman"/>
          <w:iCs/>
          <w:color w:val="000000"/>
          <w:sz w:val="22"/>
          <w:szCs w:val="24"/>
          <w:vertAlign w:val="superscript"/>
        </w:rPr>
        <w:t>c</w:t>
      </w:r>
      <w:r w:rsidRPr="009B2FD5">
        <w:rPr>
          <w:rFonts w:eastAsia="Times New Roman" w:cs="Times New Roman"/>
          <w:color w:val="000000"/>
          <w:sz w:val="22"/>
          <w:szCs w:val="24"/>
        </w:rPr>
        <w:t>Department of Civil Engineering, Indian Institute of Technology Kharagpur, Kharagpur, West Bengal, India, 721302</w:t>
      </w:r>
    </w:p>
    <w:p w14:paraId="5690A586" w14:textId="52F3AB84" w:rsidR="009B2FD5" w:rsidRPr="009B2FD5" w:rsidRDefault="009B2FD5" w:rsidP="009B2FD5">
      <w:pPr>
        <w:autoSpaceDE w:val="0"/>
        <w:autoSpaceDN w:val="0"/>
        <w:jc w:val="center"/>
        <w:rPr>
          <w:rFonts w:eastAsia="Times New Roman" w:cs="Times New Roman"/>
          <w:color w:val="000000"/>
          <w:sz w:val="22"/>
          <w:szCs w:val="24"/>
        </w:rPr>
      </w:pPr>
      <w:r w:rsidRPr="009B2FD5">
        <w:rPr>
          <w:rFonts w:eastAsia="Times New Roman" w:cs="Times New Roman"/>
          <w:color w:val="000000"/>
          <w:sz w:val="22"/>
          <w:szCs w:val="24"/>
          <w:vertAlign w:val="superscript"/>
        </w:rPr>
        <w:t>d</w:t>
      </w:r>
      <w:r w:rsidRPr="009B2FD5">
        <w:rPr>
          <w:rFonts w:eastAsia="Times New Roman" w:cs="Times New Roman"/>
          <w:color w:val="000000"/>
          <w:sz w:val="22"/>
          <w:szCs w:val="24"/>
        </w:rPr>
        <w:t>Department of Chemical, Biochemical, and Environmental Engineering, University of Maryland Baltimore County, Baltimore, MD, USA, 21250</w:t>
      </w:r>
    </w:p>
    <w:p w14:paraId="5634AA36" w14:textId="77777777" w:rsidR="005E5E4F" w:rsidRDefault="005E5E4F" w:rsidP="005E5E4F">
      <w:pPr>
        <w:ind w:right="-164"/>
        <w:jc w:val="center"/>
        <w:rPr>
          <w:rStyle w:val="Hyperlink"/>
          <w:color w:val="000000" w:themeColor="text1"/>
          <w:szCs w:val="24"/>
        </w:rPr>
      </w:pPr>
      <w:r>
        <w:rPr>
          <w:rFonts w:cs="Times New Roman"/>
          <w:color w:val="000000" w:themeColor="text1"/>
          <w:szCs w:val="24"/>
          <w:lang w:val="en-GB"/>
        </w:rPr>
        <w:t xml:space="preserve">*Corresponding author E-mail: </w:t>
      </w:r>
      <w:hyperlink r:id="rId7" w:history="1">
        <w:r>
          <w:rPr>
            <w:rStyle w:val="Hyperlink"/>
            <w:rFonts w:cs="Times New Roman"/>
            <w:color w:val="000000" w:themeColor="text1"/>
            <w:szCs w:val="24"/>
            <w:lang w:val="en-GB"/>
          </w:rPr>
          <w:t>indrasis@clri.res.in</w:t>
        </w:r>
      </w:hyperlink>
      <w:r>
        <w:rPr>
          <w:rStyle w:val="Hyperlink"/>
          <w:rFonts w:cs="Times New Roman"/>
          <w:color w:val="000000" w:themeColor="text1"/>
          <w:szCs w:val="24"/>
          <w:lang w:val="en-GB"/>
        </w:rPr>
        <w:t xml:space="preserve"> (Indrasis Das) and </w:t>
      </w:r>
      <w:hyperlink r:id="rId8" w:history="1">
        <w:r>
          <w:rPr>
            <w:rStyle w:val="Hyperlink"/>
            <w:rFonts w:cs="Times New Roman"/>
            <w:color w:val="000000" w:themeColor="text1"/>
            <w:szCs w:val="24"/>
            <w:lang w:val="en-GB"/>
          </w:rPr>
          <w:t>blaney@umbc.edu</w:t>
        </w:r>
      </w:hyperlink>
      <w:r>
        <w:rPr>
          <w:rStyle w:val="Hyperlink"/>
          <w:rFonts w:cs="Times New Roman"/>
          <w:color w:val="000000" w:themeColor="text1"/>
          <w:szCs w:val="24"/>
          <w:lang w:val="en-GB"/>
        </w:rPr>
        <w:t xml:space="preserve"> (Lee Blaney)</w:t>
      </w:r>
    </w:p>
    <w:p w14:paraId="4DCE762F" w14:textId="5A1232F3" w:rsidR="00E24673" w:rsidRPr="0038343B" w:rsidRDefault="00E24673" w:rsidP="00E24673">
      <w:pPr>
        <w:spacing w:line="480" w:lineRule="auto"/>
        <w:jc w:val="center"/>
        <w:rPr>
          <w:rFonts w:cs="Times New Roman"/>
          <w:color w:val="0563C1"/>
          <w:szCs w:val="24"/>
          <w:u w:val="single"/>
          <w:lang w:val="en-GB"/>
        </w:rPr>
      </w:pPr>
    </w:p>
    <w:bookmarkEnd w:id="0"/>
    <w:bookmarkEnd w:id="1"/>
    <w:p w14:paraId="638A5BBF" w14:textId="6A53CC91" w:rsidR="00BD55AC" w:rsidRPr="0038343B" w:rsidRDefault="00BD55AC">
      <w:pPr>
        <w:spacing w:after="160" w:line="259" w:lineRule="auto"/>
        <w:jc w:val="left"/>
      </w:pPr>
      <w:r w:rsidRPr="0038343B">
        <w:br w:type="page"/>
      </w:r>
    </w:p>
    <w:bookmarkStart w:id="2" w:name="_Hlk59549426" w:displacedByCustomXml="next"/>
    <w:sdt>
      <w:sdtPr>
        <w:rPr>
          <w:rFonts w:ascii="Times New Roman" w:eastAsia="Calibri" w:hAnsi="Times New Roman" w:cs="SimSun"/>
          <w:color w:val="auto"/>
          <w:sz w:val="24"/>
          <w:szCs w:val="22"/>
        </w:rPr>
        <w:id w:val="71479605"/>
        <w:docPartObj>
          <w:docPartGallery w:val="Table of Contents"/>
          <w:docPartUnique/>
        </w:docPartObj>
      </w:sdtPr>
      <w:sdtEndPr>
        <w:rPr>
          <w:b/>
          <w:bCs/>
          <w:noProof/>
        </w:rPr>
      </w:sdtEndPr>
      <w:sdtContent>
        <w:p w14:paraId="7E4AD6EF" w14:textId="3FF05609" w:rsidR="00662419" w:rsidRPr="00A937A7" w:rsidRDefault="00662419">
          <w:pPr>
            <w:pStyle w:val="TOCHeading"/>
            <w:rPr>
              <w:rFonts w:ascii="Times New Roman" w:hAnsi="Times New Roman" w:cs="Times New Roman"/>
              <w:b/>
              <w:bCs/>
              <w:color w:val="000000" w:themeColor="text1"/>
            </w:rPr>
          </w:pPr>
          <w:r w:rsidRPr="00A937A7">
            <w:rPr>
              <w:rFonts w:ascii="Times New Roman" w:hAnsi="Times New Roman" w:cs="Times New Roman"/>
              <w:b/>
              <w:bCs/>
              <w:color w:val="000000" w:themeColor="text1"/>
            </w:rPr>
            <w:t>Contents</w:t>
          </w:r>
        </w:p>
        <w:p w14:paraId="5DA8C114" w14:textId="498AF278" w:rsidR="00BB7FA9" w:rsidRDefault="00662419">
          <w:pPr>
            <w:pStyle w:val="TOC1"/>
            <w:tabs>
              <w:tab w:val="right" w:leader="dot" w:pos="9463"/>
            </w:tabs>
            <w:rPr>
              <w:rFonts w:asciiTheme="minorHAnsi" w:eastAsiaTheme="minorEastAsia" w:hAnsiTheme="minorHAnsi" w:cstheme="minorBidi"/>
              <w:noProof/>
              <w:sz w:val="22"/>
              <w:lang w:val="en-IN" w:eastAsia="en-IN"/>
            </w:rPr>
          </w:pPr>
          <w:r>
            <w:fldChar w:fldCharType="begin"/>
          </w:r>
          <w:r>
            <w:instrText xml:space="preserve"> TOC \o "1-3" \h \z \u </w:instrText>
          </w:r>
          <w:r>
            <w:fldChar w:fldCharType="separate"/>
          </w:r>
          <w:hyperlink w:anchor="_Toc102395632" w:history="1">
            <w:r w:rsidR="00BB7FA9" w:rsidRPr="00FB4DA9">
              <w:rPr>
                <w:rStyle w:val="Hyperlink"/>
                <w:b/>
                <w:noProof/>
              </w:rPr>
              <w:t>Supplementary S1</w:t>
            </w:r>
            <w:r w:rsidR="00BB7FA9">
              <w:rPr>
                <w:noProof/>
                <w:webHidden/>
              </w:rPr>
              <w:tab/>
            </w:r>
            <w:r w:rsidR="00BB7FA9">
              <w:rPr>
                <w:noProof/>
                <w:webHidden/>
              </w:rPr>
              <w:fldChar w:fldCharType="begin"/>
            </w:r>
            <w:r w:rsidR="00BB7FA9">
              <w:rPr>
                <w:noProof/>
                <w:webHidden/>
              </w:rPr>
              <w:instrText xml:space="preserve"> PAGEREF _Toc102395632 \h </w:instrText>
            </w:r>
            <w:r w:rsidR="00BB7FA9">
              <w:rPr>
                <w:noProof/>
                <w:webHidden/>
              </w:rPr>
            </w:r>
            <w:r w:rsidR="00BB7FA9">
              <w:rPr>
                <w:noProof/>
                <w:webHidden/>
              </w:rPr>
              <w:fldChar w:fldCharType="separate"/>
            </w:r>
            <w:r w:rsidR="00BB7FA9">
              <w:rPr>
                <w:noProof/>
                <w:webHidden/>
              </w:rPr>
              <w:t>3</w:t>
            </w:r>
            <w:r w:rsidR="00BB7FA9">
              <w:rPr>
                <w:noProof/>
                <w:webHidden/>
              </w:rPr>
              <w:fldChar w:fldCharType="end"/>
            </w:r>
          </w:hyperlink>
        </w:p>
        <w:p w14:paraId="2E03F40C" w14:textId="0C2A72BB"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33" w:history="1">
            <w:r w:rsidR="00BB7FA9" w:rsidRPr="00FB4DA9">
              <w:rPr>
                <w:rStyle w:val="Hyperlink"/>
                <w:b/>
                <w:bCs/>
                <w:noProof/>
                <w:lang w:val="en-GB"/>
              </w:rPr>
              <w:t>Review Focus and Novelty Statement</w:t>
            </w:r>
            <w:r w:rsidR="00BB7FA9">
              <w:rPr>
                <w:noProof/>
                <w:webHidden/>
              </w:rPr>
              <w:tab/>
            </w:r>
            <w:r w:rsidR="00BB7FA9">
              <w:rPr>
                <w:noProof/>
                <w:webHidden/>
              </w:rPr>
              <w:fldChar w:fldCharType="begin"/>
            </w:r>
            <w:r w:rsidR="00BB7FA9">
              <w:rPr>
                <w:noProof/>
                <w:webHidden/>
              </w:rPr>
              <w:instrText xml:space="preserve"> PAGEREF _Toc102395633 \h </w:instrText>
            </w:r>
            <w:r w:rsidR="00BB7FA9">
              <w:rPr>
                <w:noProof/>
                <w:webHidden/>
              </w:rPr>
            </w:r>
            <w:r w:rsidR="00BB7FA9">
              <w:rPr>
                <w:noProof/>
                <w:webHidden/>
              </w:rPr>
              <w:fldChar w:fldCharType="separate"/>
            </w:r>
            <w:r w:rsidR="00BB7FA9">
              <w:rPr>
                <w:noProof/>
                <w:webHidden/>
              </w:rPr>
              <w:t>3</w:t>
            </w:r>
            <w:r w:rsidR="00BB7FA9">
              <w:rPr>
                <w:noProof/>
                <w:webHidden/>
              </w:rPr>
              <w:fldChar w:fldCharType="end"/>
            </w:r>
          </w:hyperlink>
        </w:p>
        <w:p w14:paraId="68B62EFF" w14:textId="24F9C783"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34" w:history="1">
            <w:r w:rsidR="00BB7FA9" w:rsidRPr="00FB4DA9">
              <w:rPr>
                <w:rStyle w:val="Hyperlink"/>
                <w:rFonts w:cs="Times New Roman"/>
                <w:b/>
                <w:noProof/>
                <w:lang w:val="en-GB"/>
              </w:rPr>
              <w:t>Table S1.</w:t>
            </w:r>
            <w:r w:rsidR="00BB7FA9" w:rsidRPr="00FB4DA9">
              <w:rPr>
                <w:rStyle w:val="Hyperlink"/>
                <w:rFonts w:cs="Times New Roman"/>
                <w:bCs/>
                <w:noProof/>
                <w:lang w:val="en-GB"/>
              </w:rPr>
              <w:t xml:space="preserve"> Previously published reviews on AOPs.</w:t>
            </w:r>
            <w:r w:rsidR="00BB7FA9">
              <w:rPr>
                <w:noProof/>
                <w:webHidden/>
              </w:rPr>
              <w:tab/>
            </w:r>
            <w:r w:rsidR="00BB7FA9">
              <w:rPr>
                <w:noProof/>
                <w:webHidden/>
              </w:rPr>
              <w:fldChar w:fldCharType="begin"/>
            </w:r>
            <w:r w:rsidR="00BB7FA9">
              <w:rPr>
                <w:noProof/>
                <w:webHidden/>
              </w:rPr>
              <w:instrText xml:space="preserve"> PAGEREF _Toc102395634 \h </w:instrText>
            </w:r>
            <w:r w:rsidR="00BB7FA9">
              <w:rPr>
                <w:noProof/>
                <w:webHidden/>
              </w:rPr>
            </w:r>
            <w:r w:rsidR="00BB7FA9">
              <w:rPr>
                <w:noProof/>
                <w:webHidden/>
              </w:rPr>
              <w:fldChar w:fldCharType="separate"/>
            </w:r>
            <w:r w:rsidR="00BB7FA9">
              <w:rPr>
                <w:noProof/>
                <w:webHidden/>
              </w:rPr>
              <w:t>3</w:t>
            </w:r>
            <w:r w:rsidR="00BB7FA9">
              <w:rPr>
                <w:noProof/>
                <w:webHidden/>
              </w:rPr>
              <w:fldChar w:fldCharType="end"/>
            </w:r>
          </w:hyperlink>
        </w:p>
        <w:p w14:paraId="3035E725" w14:textId="2B904EF4"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35" w:history="1">
            <w:r w:rsidR="00BB7FA9" w:rsidRPr="00FB4DA9">
              <w:rPr>
                <w:rStyle w:val="Hyperlink"/>
                <w:b/>
                <w:noProof/>
              </w:rPr>
              <w:t>Supplementary S2</w:t>
            </w:r>
            <w:r w:rsidR="00BB7FA9">
              <w:rPr>
                <w:noProof/>
                <w:webHidden/>
              </w:rPr>
              <w:tab/>
            </w:r>
            <w:r w:rsidR="00BB7FA9">
              <w:rPr>
                <w:noProof/>
                <w:webHidden/>
              </w:rPr>
              <w:fldChar w:fldCharType="begin"/>
            </w:r>
            <w:r w:rsidR="00BB7FA9">
              <w:rPr>
                <w:noProof/>
                <w:webHidden/>
              </w:rPr>
              <w:instrText xml:space="preserve"> PAGEREF _Toc102395635 \h </w:instrText>
            </w:r>
            <w:r w:rsidR="00BB7FA9">
              <w:rPr>
                <w:noProof/>
                <w:webHidden/>
              </w:rPr>
            </w:r>
            <w:r w:rsidR="00BB7FA9">
              <w:rPr>
                <w:noProof/>
                <w:webHidden/>
              </w:rPr>
              <w:fldChar w:fldCharType="separate"/>
            </w:r>
            <w:r w:rsidR="00BB7FA9">
              <w:rPr>
                <w:noProof/>
                <w:webHidden/>
              </w:rPr>
              <w:t>4</w:t>
            </w:r>
            <w:r w:rsidR="00BB7FA9">
              <w:rPr>
                <w:noProof/>
                <w:webHidden/>
              </w:rPr>
              <w:fldChar w:fldCharType="end"/>
            </w:r>
          </w:hyperlink>
        </w:p>
        <w:p w14:paraId="1EF14F9C" w14:textId="5B76C9FE"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36" w:history="1">
            <w:r w:rsidR="00BB7FA9" w:rsidRPr="00FB4DA9">
              <w:rPr>
                <w:rStyle w:val="Hyperlink"/>
                <w:b/>
                <w:bCs/>
                <w:noProof/>
              </w:rPr>
              <w:t>Conventional ozonation process and mechanism</w:t>
            </w:r>
            <w:r w:rsidR="00BB7FA9">
              <w:rPr>
                <w:noProof/>
                <w:webHidden/>
              </w:rPr>
              <w:tab/>
            </w:r>
            <w:r w:rsidR="00BB7FA9">
              <w:rPr>
                <w:noProof/>
                <w:webHidden/>
              </w:rPr>
              <w:fldChar w:fldCharType="begin"/>
            </w:r>
            <w:r w:rsidR="00BB7FA9">
              <w:rPr>
                <w:noProof/>
                <w:webHidden/>
              </w:rPr>
              <w:instrText xml:space="preserve"> PAGEREF _Toc102395636 \h </w:instrText>
            </w:r>
            <w:r w:rsidR="00BB7FA9">
              <w:rPr>
                <w:noProof/>
                <w:webHidden/>
              </w:rPr>
            </w:r>
            <w:r w:rsidR="00BB7FA9">
              <w:rPr>
                <w:noProof/>
                <w:webHidden/>
              </w:rPr>
              <w:fldChar w:fldCharType="separate"/>
            </w:r>
            <w:r w:rsidR="00BB7FA9">
              <w:rPr>
                <w:noProof/>
                <w:webHidden/>
              </w:rPr>
              <w:t>4</w:t>
            </w:r>
            <w:r w:rsidR="00BB7FA9">
              <w:rPr>
                <w:noProof/>
                <w:webHidden/>
              </w:rPr>
              <w:fldChar w:fldCharType="end"/>
            </w:r>
          </w:hyperlink>
        </w:p>
        <w:p w14:paraId="2A87CCFE" w14:textId="3D81765D"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37" w:history="1">
            <w:r w:rsidR="00BB7FA9" w:rsidRPr="00FB4DA9">
              <w:rPr>
                <w:rStyle w:val="Hyperlink"/>
                <w:b/>
                <w:bCs/>
                <w:noProof/>
              </w:rPr>
              <w:t xml:space="preserve">Table S2. </w:t>
            </w:r>
            <w:r w:rsidR="00BB7FA9" w:rsidRPr="00FB4DA9">
              <w:rPr>
                <w:rStyle w:val="Hyperlink"/>
                <w:noProof/>
              </w:rPr>
              <w:t>Transformation of</w:t>
            </w:r>
            <w:r w:rsidR="00BB7FA9" w:rsidRPr="00FB4DA9">
              <w:rPr>
                <w:rStyle w:val="Hyperlink"/>
                <w:b/>
                <w:bCs/>
                <w:noProof/>
              </w:rPr>
              <w:t xml:space="preserve"> </w:t>
            </w:r>
            <w:r w:rsidR="00BB7FA9" w:rsidRPr="00FB4DA9">
              <w:rPr>
                <w:rStyle w:val="Hyperlink"/>
                <w:noProof/>
              </w:rPr>
              <w:t>contaminants of emerging concern by catalytic ozonation processes.</w:t>
            </w:r>
            <w:r w:rsidR="00BB7FA9">
              <w:rPr>
                <w:noProof/>
                <w:webHidden/>
              </w:rPr>
              <w:tab/>
            </w:r>
            <w:r w:rsidR="00BB7FA9">
              <w:rPr>
                <w:noProof/>
                <w:webHidden/>
              </w:rPr>
              <w:fldChar w:fldCharType="begin"/>
            </w:r>
            <w:r w:rsidR="00BB7FA9">
              <w:rPr>
                <w:noProof/>
                <w:webHidden/>
              </w:rPr>
              <w:instrText xml:space="preserve"> PAGEREF _Toc102395637 \h </w:instrText>
            </w:r>
            <w:r w:rsidR="00BB7FA9">
              <w:rPr>
                <w:noProof/>
                <w:webHidden/>
              </w:rPr>
            </w:r>
            <w:r w:rsidR="00BB7FA9">
              <w:rPr>
                <w:noProof/>
                <w:webHidden/>
              </w:rPr>
              <w:fldChar w:fldCharType="separate"/>
            </w:r>
            <w:r w:rsidR="00BB7FA9">
              <w:rPr>
                <w:noProof/>
                <w:webHidden/>
              </w:rPr>
              <w:t>5</w:t>
            </w:r>
            <w:r w:rsidR="00BB7FA9">
              <w:rPr>
                <w:noProof/>
                <w:webHidden/>
              </w:rPr>
              <w:fldChar w:fldCharType="end"/>
            </w:r>
          </w:hyperlink>
        </w:p>
        <w:p w14:paraId="36D00464" w14:textId="265F900E"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38" w:history="1">
            <w:r w:rsidR="00BB7FA9" w:rsidRPr="00FB4DA9">
              <w:rPr>
                <w:rStyle w:val="Hyperlink"/>
                <w:b/>
                <w:bCs/>
                <w:noProof/>
              </w:rPr>
              <w:t>Supplementary S3</w:t>
            </w:r>
            <w:r w:rsidR="00BB7FA9">
              <w:rPr>
                <w:noProof/>
                <w:webHidden/>
              </w:rPr>
              <w:tab/>
            </w:r>
            <w:r w:rsidR="00BB7FA9">
              <w:rPr>
                <w:noProof/>
                <w:webHidden/>
              </w:rPr>
              <w:fldChar w:fldCharType="begin"/>
            </w:r>
            <w:r w:rsidR="00BB7FA9">
              <w:rPr>
                <w:noProof/>
                <w:webHidden/>
              </w:rPr>
              <w:instrText xml:space="preserve"> PAGEREF _Toc102395638 \h </w:instrText>
            </w:r>
            <w:r w:rsidR="00BB7FA9">
              <w:rPr>
                <w:noProof/>
                <w:webHidden/>
              </w:rPr>
            </w:r>
            <w:r w:rsidR="00BB7FA9">
              <w:rPr>
                <w:noProof/>
                <w:webHidden/>
              </w:rPr>
              <w:fldChar w:fldCharType="separate"/>
            </w:r>
            <w:r w:rsidR="00BB7FA9">
              <w:rPr>
                <w:noProof/>
                <w:webHidden/>
              </w:rPr>
              <w:t>6</w:t>
            </w:r>
            <w:r w:rsidR="00BB7FA9">
              <w:rPr>
                <w:noProof/>
                <w:webHidden/>
              </w:rPr>
              <w:fldChar w:fldCharType="end"/>
            </w:r>
          </w:hyperlink>
        </w:p>
        <w:p w14:paraId="65453B2E" w14:textId="5B2D81C8"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39" w:history="1">
            <w:r w:rsidR="00BB7FA9" w:rsidRPr="00FB4DA9">
              <w:rPr>
                <w:rStyle w:val="Hyperlink"/>
                <w:b/>
                <w:bCs/>
                <w:noProof/>
              </w:rPr>
              <w:t>Cavitation</w:t>
            </w:r>
            <w:r w:rsidR="00BB7FA9">
              <w:rPr>
                <w:noProof/>
                <w:webHidden/>
              </w:rPr>
              <w:tab/>
            </w:r>
            <w:r w:rsidR="00BB7FA9">
              <w:rPr>
                <w:noProof/>
                <w:webHidden/>
              </w:rPr>
              <w:fldChar w:fldCharType="begin"/>
            </w:r>
            <w:r w:rsidR="00BB7FA9">
              <w:rPr>
                <w:noProof/>
                <w:webHidden/>
              </w:rPr>
              <w:instrText xml:space="preserve"> PAGEREF _Toc102395639 \h </w:instrText>
            </w:r>
            <w:r w:rsidR="00BB7FA9">
              <w:rPr>
                <w:noProof/>
                <w:webHidden/>
              </w:rPr>
            </w:r>
            <w:r w:rsidR="00BB7FA9">
              <w:rPr>
                <w:noProof/>
                <w:webHidden/>
              </w:rPr>
              <w:fldChar w:fldCharType="separate"/>
            </w:r>
            <w:r w:rsidR="00BB7FA9">
              <w:rPr>
                <w:noProof/>
                <w:webHidden/>
              </w:rPr>
              <w:t>6</w:t>
            </w:r>
            <w:r w:rsidR="00BB7FA9">
              <w:rPr>
                <w:noProof/>
                <w:webHidden/>
              </w:rPr>
              <w:fldChar w:fldCharType="end"/>
            </w:r>
          </w:hyperlink>
        </w:p>
        <w:p w14:paraId="2BFC3F29" w14:textId="6CF2D0DD"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0" w:history="1">
            <w:r w:rsidR="00BB7FA9" w:rsidRPr="00FB4DA9">
              <w:rPr>
                <w:rStyle w:val="Hyperlink"/>
                <w:rFonts w:eastAsia="Times New Roman"/>
                <w:b/>
                <w:bCs/>
                <w:noProof/>
                <w:lang w:val="en-IN"/>
              </w:rPr>
              <w:t xml:space="preserve">Table S3. </w:t>
            </w:r>
            <w:r w:rsidR="00BB7FA9" w:rsidRPr="00FB4DA9">
              <w:rPr>
                <w:rStyle w:val="Hyperlink"/>
                <w:rFonts w:eastAsia="Times New Roman"/>
                <w:noProof/>
                <w:lang w:val="en-IN"/>
              </w:rPr>
              <w:t>Degradation of</w:t>
            </w:r>
            <w:r w:rsidR="00BB7FA9" w:rsidRPr="00FB4DA9">
              <w:rPr>
                <w:rStyle w:val="Hyperlink"/>
                <w:rFonts w:eastAsia="Times New Roman"/>
                <w:b/>
                <w:bCs/>
                <w:noProof/>
                <w:lang w:val="en-IN"/>
              </w:rPr>
              <w:t xml:space="preserve"> </w:t>
            </w:r>
            <w:r w:rsidR="00BB7FA9" w:rsidRPr="00FB4DA9">
              <w:rPr>
                <w:rStyle w:val="Hyperlink"/>
                <w:rFonts w:eastAsia="Times New Roman"/>
                <w:noProof/>
                <w:lang w:val="en-IN"/>
              </w:rPr>
              <w:t>contaminants of emerging concern by</w:t>
            </w:r>
            <w:r w:rsidR="00BB7FA9" w:rsidRPr="00FB4DA9">
              <w:rPr>
                <w:rStyle w:val="Hyperlink"/>
                <w:rFonts w:eastAsia="Times New Roman"/>
                <w:noProof/>
              </w:rPr>
              <w:t xml:space="preserve"> acoustic cavitation processes.</w:t>
            </w:r>
            <w:r w:rsidR="00BB7FA9">
              <w:rPr>
                <w:noProof/>
                <w:webHidden/>
              </w:rPr>
              <w:tab/>
            </w:r>
            <w:r w:rsidR="00BB7FA9">
              <w:rPr>
                <w:noProof/>
                <w:webHidden/>
              </w:rPr>
              <w:fldChar w:fldCharType="begin"/>
            </w:r>
            <w:r w:rsidR="00BB7FA9">
              <w:rPr>
                <w:noProof/>
                <w:webHidden/>
              </w:rPr>
              <w:instrText xml:space="preserve"> PAGEREF _Toc102395640 \h </w:instrText>
            </w:r>
            <w:r w:rsidR="00BB7FA9">
              <w:rPr>
                <w:noProof/>
                <w:webHidden/>
              </w:rPr>
            </w:r>
            <w:r w:rsidR="00BB7FA9">
              <w:rPr>
                <w:noProof/>
                <w:webHidden/>
              </w:rPr>
              <w:fldChar w:fldCharType="separate"/>
            </w:r>
            <w:r w:rsidR="00BB7FA9">
              <w:rPr>
                <w:noProof/>
                <w:webHidden/>
              </w:rPr>
              <w:t>7</w:t>
            </w:r>
            <w:r w:rsidR="00BB7FA9">
              <w:rPr>
                <w:noProof/>
                <w:webHidden/>
              </w:rPr>
              <w:fldChar w:fldCharType="end"/>
            </w:r>
          </w:hyperlink>
        </w:p>
        <w:p w14:paraId="070FCD82" w14:textId="5D03BD5E"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1" w:history="1">
            <w:r w:rsidR="00BB7FA9" w:rsidRPr="00FB4DA9">
              <w:rPr>
                <w:rStyle w:val="Hyperlink"/>
                <w:b/>
                <w:bCs/>
                <w:noProof/>
                <w:lang w:val="en-IN"/>
              </w:rPr>
              <w:t xml:space="preserve">Table S4. </w:t>
            </w:r>
            <w:r w:rsidR="00BB7FA9" w:rsidRPr="00FB4DA9">
              <w:rPr>
                <w:rStyle w:val="Hyperlink"/>
                <w:noProof/>
                <w:lang w:val="en-IN"/>
              </w:rPr>
              <w:t>A variety of</w:t>
            </w:r>
            <w:r w:rsidR="00BB7FA9" w:rsidRPr="00FB4DA9">
              <w:rPr>
                <w:rStyle w:val="Hyperlink"/>
                <w:noProof/>
              </w:rPr>
              <w:t xml:space="preserve"> </w:t>
            </w:r>
            <w:r w:rsidR="00BB7FA9" w:rsidRPr="00FB4DA9">
              <w:rPr>
                <w:rStyle w:val="Hyperlink"/>
                <w:noProof/>
                <w:lang w:val="en-IN"/>
              </w:rPr>
              <w:t xml:space="preserve">hydrodynamic cavitation </w:t>
            </w:r>
            <w:r w:rsidR="00BB7FA9" w:rsidRPr="00FB4DA9">
              <w:rPr>
                <w:rStyle w:val="Hyperlink"/>
                <w:noProof/>
              </w:rPr>
              <w:t>processes have been used to degrade organic contaminants.</w:t>
            </w:r>
            <w:r w:rsidR="00BB7FA9">
              <w:rPr>
                <w:noProof/>
                <w:webHidden/>
              </w:rPr>
              <w:tab/>
            </w:r>
            <w:r w:rsidR="00BB7FA9">
              <w:rPr>
                <w:noProof/>
                <w:webHidden/>
              </w:rPr>
              <w:fldChar w:fldCharType="begin"/>
            </w:r>
            <w:r w:rsidR="00BB7FA9">
              <w:rPr>
                <w:noProof/>
                <w:webHidden/>
              </w:rPr>
              <w:instrText xml:space="preserve"> PAGEREF _Toc102395641 \h </w:instrText>
            </w:r>
            <w:r w:rsidR="00BB7FA9">
              <w:rPr>
                <w:noProof/>
                <w:webHidden/>
              </w:rPr>
            </w:r>
            <w:r w:rsidR="00BB7FA9">
              <w:rPr>
                <w:noProof/>
                <w:webHidden/>
              </w:rPr>
              <w:fldChar w:fldCharType="separate"/>
            </w:r>
            <w:r w:rsidR="00BB7FA9">
              <w:rPr>
                <w:noProof/>
                <w:webHidden/>
              </w:rPr>
              <w:t>8</w:t>
            </w:r>
            <w:r w:rsidR="00BB7FA9">
              <w:rPr>
                <w:noProof/>
                <w:webHidden/>
              </w:rPr>
              <w:fldChar w:fldCharType="end"/>
            </w:r>
          </w:hyperlink>
        </w:p>
        <w:p w14:paraId="044B9DE4" w14:textId="71A3B51A"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2" w:history="1">
            <w:r w:rsidR="00BB7FA9" w:rsidRPr="00FB4DA9">
              <w:rPr>
                <w:rStyle w:val="Hyperlink"/>
                <w:b/>
                <w:noProof/>
              </w:rPr>
              <w:t>Supplementary S4</w:t>
            </w:r>
            <w:r w:rsidR="00BB7FA9">
              <w:rPr>
                <w:noProof/>
                <w:webHidden/>
              </w:rPr>
              <w:tab/>
            </w:r>
            <w:r w:rsidR="00BB7FA9">
              <w:rPr>
                <w:noProof/>
                <w:webHidden/>
              </w:rPr>
              <w:fldChar w:fldCharType="begin"/>
            </w:r>
            <w:r w:rsidR="00BB7FA9">
              <w:rPr>
                <w:noProof/>
                <w:webHidden/>
              </w:rPr>
              <w:instrText xml:space="preserve"> PAGEREF _Toc102395642 \h </w:instrText>
            </w:r>
            <w:r w:rsidR="00BB7FA9">
              <w:rPr>
                <w:noProof/>
                <w:webHidden/>
              </w:rPr>
            </w:r>
            <w:r w:rsidR="00BB7FA9">
              <w:rPr>
                <w:noProof/>
                <w:webHidden/>
              </w:rPr>
              <w:fldChar w:fldCharType="separate"/>
            </w:r>
            <w:r w:rsidR="00BB7FA9">
              <w:rPr>
                <w:noProof/>
                <w:webHidden/>
              </w:rPr>
              <w:t>9</w:t>
            </w:r>
            <w:r w:rsidR="00BB7FA9">
              <w:rPr>
                <w:noProof/>
                <w:webHidden/>
              </w:rPr>
              <w:fldChar w:fldCharType="end"/>
            </w:r>
          </w:hyperlink>
        </w:p>
        <w:p w14:paraId="63F4E701" w14:textId="23504A20"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3" w:history="1">
            <w:r w:rsidR="00BB7FA9" w:rsidRPr="00FB4DA9">
              <w:rPr>
                <w:rStyle w:val="Hyperlink"/>
                <w:b/>
                <w:bCs/>
                <w:noProof/>
              </w:rPr>
              <w:t xml:space="preserve">Table S5. </w:t>
            </w:r>
            <w:r w:rsidR="00BB7FA9" w:rsidRPr="00FB4DA9">
              <w:rPr>
                <w:rStyle w:val="Hyperlink"/>
                <w:noProof/>
              </w:rPr>
              <w:t>Removal efficiency of emerging contaminants by γ-rays based AOP</w:t>
            </w:r>
            <w:r w:rsidR="00BB7FA9" w:rsidRPr="00FB4DA9">
              <w:rPr>
                <w:rStyle w:val="Hyperlink"/>
                <w:rFonts w:eastAsia="Times New Roman"/>
                <w:noProof/>
              </w:rPr>
              <w:t>. Note, C</w:t>
            </w:r>
            <w:r w:rsidR="00BB7FA9" w:rsidRPr="00FB4DA9">
              <w:rPr>
                <w:rStyle w:val="Hyperlink"/>
                <w:rFonts w:eastAsia="Times New Roman"/>
                <w:noProof/>
                <w:vertAlign w:val="subscript"/>
              </w:rPr>
              <w:t>0</w:t>
            </w:r>
            <w:r w:rsidR="00BB7FA9" w:rsidRPr="00FB4DA9">
              <w:rPr>
                <w:rStyle w:val="Hyperlink"/>
                <w:rFonts w:eastAsia="Times New Roman"/>
                <w:noProof/>
              </w:rPr>
              <w:t xml:space="preserve"> is the initial contaminant concentration.</w:t>
            </w:r>
            <w:r w:rsidR="00BB7FA9">
              <w:rPr>
                <w:noProof/>
                <w:webHidden/>
              </w:rPr>
              <w:tab/>
            </w:r>
            <w:r w:rsidR="00BB7FA9">
              <w:rPr>
                <w:noProof/>
                <w:webHidden/>
              </w:rPr>
              <w:fldChar w:fldCharType="begin"/>
            </w:r>
            <w:r w:rsidR="00BB7FA9">
              <w:rPr>
                <w:noProof/>
                <w:webHidden/>
              </w:rPr>
              <w:instrText xml:space="preserve"> PAGEREF _Toc102395643 \h </w:instrText>
            </w:r>
            <w:r w:rsidR="00BB7FA9">
              <w:rPr>
                <w:noProof/>
                <w:webHidden/>
              </w:rPr>
            </w:r>
            <w:r w:rsidR="00BB7FA9">
              <w:rPr>
                <w:noProof/>
                <w:webHidden/>
              </w:rPr>
              <w:fldChar w:fldCharType="separate"/>
            </w:r>
            <w:r w:rsidR="00BB7FA9">
              <w:rPr>
                <w:noProof/>
                <w:webHidden/>
              </w:rPr>
              <w:t>9</w:t>
            </w:r>
            <w:r w:rsidR="00BB7FA9">
              <w:rPr>
                <w:noProof/>
                <w:webHidden/>
              </w:rPr>
              <w:fldChar w:fldCharType="end"/>
            </w:r>
          </w:hyperlink>
        </w:p>
        <w:p w14:paraId="454EED86" w14:textId="037DAE70"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4" w:history="1">
            <w:r w:rsidR="00BB7FA9" w:rsidRPr="00FB4DA9">
              <w:rPr>
                <w:rStyle w:val="Hyperlink"/>
                <w:b/>
                <w:bCs/>
                <w:noProof/>
              </w:rPr>
              <w:t>Supplementary S5</w:t>
            </w:r>
            <w:r w:rsidR="00BB7FA9">
              <w:rPr>
                <w:noProof/>
                <w:webHidden/>
              </w:rPr>
              <w:tab/>
            </w:r>
            <w:r w:rsidR="00BB7FA9">
              <w:rPr>
                <w:noProof/>
                <w:webHidden/>
              </w:rPr>
              <w:fldChar w:fldCharType="begin"/>
            </w:r>
            <w:r w:rsidR="00BB7FA9">
              <w:rPr>
                <w:noProof/>
                <w:webHidden/>
              </w:rPr>
              <w:instrText xml:space="preserve"> PAGEREF _Toc102395644 \h </w:instrText>
            </w:r>
            <w:r w:rsidR="00BB7FA9">
              <w:rPr>
                <w:noProof/>
                <w:webHidden/>
              </w:rPr>
            </w:r>
            <w:r w:rsidR="00BB7FA9">
              <w:rPr>
                <w:noProof/>
                <w:webHidden/>
              </w:rPr>
              <w:fldChar w:fldCharType="separate"/>
            </w:r>
            <w:r w:rsidR="00BB7FA9">
              <w:rPr>
                <w:noProof/>
                <w:webHidden/>
              </w:rPr>
              <w:t>9</w:t>
            </w:r>
            <w:r w:rsidR="00BB7FA9">
              <w:rPr>
                <w:noProof/>
                <w:webHidden/>
              </w:rPr>
              <w:fldChar w:fldCharType="end"/>
            </w:r>
          </w:hyperlink>
        </w:p>
        <w:p w14:paraId="7FFB178D" w14:textId="3BD94446"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5" w:history="1">
            <w:r w:rsidR="00BB7FA9" w:rsidRPr="00FB4DA9">
              <w:rPr>
                <w:rStyle w:val="Hyperlink"/>
                <w:b/>
                <w:bCs/>
                <w:noProof/>
              </w:rPr>
              <w:t>Electrochemical Oxidation based AOP</w:t>
            </w:r>
            <w:r w:rsidR="00BB7FA9">
              <w:rPr>
                <w:noProof/>
                <w:webHidden/>
              </w:rPr>
              <w:tab/>
            </w:r>
            <w:r w:rsidR="00BB7FA9">
              <w:rPr>
                <w:noProof/>
                <w:webHidden/>
              </w:rPr>
              <w:fldChar w:fldCharType="begin"/>
            </w:r>
            <w:r w:rsidR="00BB7FA9">
              <w:rPr>
                <w:noProof/>
                <w:webHidden/>
              </w:rPr>
              <w:instrText xml:space="preserve"> PAGEREF _Toc102395645 \h </w:instrText>
            </w:r>
            <w:r w:rsidR="00BB7FA9">
              <w:rPr>
                <w:noProof/>
                <w:webHidden/>
              </w:rPr>
            </w:r>
            <w:r w:rsidR="00BB7FA9">
              <w:rPr>
                <w:noProof/>
                <w:webHidden/>
              </w:rPr>
              <w:fldChar w:fldCharType="separate"/>
            </w:r>
            <w:r w:rsidR="00BB7FA9">
              <w:rPr>
                <w:noProof/>
                <w:webHidden/>
              </w:rPr>
              <w:t>9</w:t>
            </w:r>
            <w:r w:rsidR="00BB7FA9">
              <w:rPr>
                <w:noProof/>
                <w:webHidden/>
              </w:rPr>
              <w:fldChar w:fldCharType="end"/>
            </w:r>
          </w:hyperlink>
        </w:p>
        <w:p w14:paraId="5EC36F50" w14:textId="03B86134"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6" w:history="1">
            <w:r w:rsidR="00BB7FA9" w:rsidRPr="00FB4DA9">
              <w:rPr>
                <w:rStyle w:val="Hyperlink"/>
                <w:b/>
                <w:noProof/>
                <w:lang w:val="en-IN"/>
              </w:rPr>
              <w:t xml:space="preserve">Table S6. </w:t>
            </w:r>
            <w:r w:rsidR="00BB7FA9" w:rsidRPr="00FB4DA9">
              <w:rPr>
                <w:rStyle w:val="Hyperlink"/>
                <w:bCs/>
                <w:noProof/>
                <w:lang w:val="en-IN"/>
              </w:rPr>
              <w:t>Transformation of contaminants of emerging concern by</w:t>
            </w:r>
            <w:r w:rsidR="00BB7FA9" w:rsidRPr="00FB4DA9">
              <w:rPr>
                <w:rStyle w:val="Hyperlink"/>
                <w:bCs/>
                <w:noProof/>
              </w:rPr>
              <w:t xml:space="preserve"> anodic oxidation</w:t>
            </w:r>
            <w:r w:rsidR="00BB7FA9">
              <w:rPr>
                <w:noProof/>
                <w:webHidden/>
              </w:rPr>
              <w:tab/>
            </w:r>
            <w:r w:rsidR="00BB7FA9">
              <w:rPr>
                <w:noProof/>
                <w:webHidden/>
              </w:rPr>
              <w:fldChar w:fldCharType="begin"/>
            </w:r>
            <w:r w:rsidR="00BB7FA9">
              <w:rPr>
                <w:noProof/>
                <w:webHidden/>
              </w:rPr>
              <w:instrText xml:space="preserve"> PAGEREF _Toc102395646 \h </w:instrText>
            </w:r>
            <w:r w:rsidR="00BB7FA9">
              <w:rPr>
                <w:noProof/>
                <w:webHidden/>
              </w:rPr>
            </w:r>
            <w:r w:rsidR="00BB7FA9">
              <w:rPr>
                <w:noProof/>
                <w:webHidden/>
              </w:rPr>
              <w:fldChar w:fldCharType="separate"/>
            </w:r>
            <w:r w:rsidR="00BB7FA9">
              <w:rPr>
                <w:noProof/>
                <w:webHidden/>
              </w:rPr>
              <w:t>12</w:t>
            </w:r>
            <w:r w:rsidR="00BB7FA9">
              <w:rPr>
                <w:noProof/>
                <w:webHidden/>
              </w:rPr>
              <w:fldChar w:fldCharType="end"/>
            </w:r>
          </w:hyperlink>
        </w:p>
        <w:p w14:paraId="0A9229E8" w14:textId="2E9AE417"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7" w:history="1">
            <w:r w:rsidR="00BB7FA9" w:rsidRPr="00FB4DA9">
              <w:rPr>
                <w:rStyle w:val="Hyperlink"/>
                <w:b/>
                <w:noProof/>
              </w:rPr>
              <w:t>Supplementary S5</w:t>
            </w:r>
            <w:r w:rsidR="00BB7FA9">
              <w:rPr>
                <w:noProof/>
                <w:webHidden/>
              </w:rPr>
              <w:tab/>
            </w:r>
            <w:r w:rsidR="00BB7FA9">
              <w:rPr>
                <w:noProof/>
                <w:webHidden/>
              </w:rPr>
              <w:fldChar w:fldCharType="begin"/>
            </w:r>
            <w:r w:rsidR="00BB7FA9">
              <w:rPr>
                <w:noProof/>
                <w:webHidden/>
              </w:rPr>
              <w:instrText xml:space="preserve"> PAGEREF _Toc102395647 \h </w:instrText>
            </w:r>
            <w:r w:rsidR="00BB7FA9">
              <w:rPr>
                <w:noProof/>
                <w:webHidden/>
              </w:rPr>
            </w:r>
            <w:r w:rsidR="00BB7FA9">
              <w:rPr>
                <w:noProof/>
                <w:webHidden/>
              </w:rPr>
              <w:fldChar w:fldCharType="separate"/>
            </w:r>
            <w:r w:rsidR="00BB7FA9">
              <w:rPr>
                <w:noProof/>
                <w:webHidden/>
              </w:rPr>
              <w:t>16</w:t>
            </w:r>
            <w:r w:rsidR="00BB7FA9">
              <w:rPr>
                <w:noProof/>
                <w:webHidden/>
              </w:rPr>
              <w:fldChar w:fldCharType="end"/>
            </w:r>
          </w:hyperlink>
        </w:p>
        <w:p w14:paraId="245E5498" w14:textId="4A484719"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8" w:history="1">
            <w:r w:rsidR="00BB7FA9" w:rsidRPr="00FB4DA9">
              <w:rPr>
                <w:rStyle w:val="Hyperlink"/>
                <w:b/>
                <w:noProof/>
              </w:rPr>
              <w:t xml:space="preserve">Table S7. </w:t>
            </w:r>
            <w:r w:rsidR="00BB7FA9" w:rsidRPr="00FB4DA9">
              <w:rPr>
                <w:rStyle w:val="Hyperlink"/>
                <w:bCs/>
                <w:noProof/>
              </w:rPr>
              <w:t>Degradation of contaminants of emerging concern</w:t>
            </w:r>
            <w:r w:rsidR="00BB7FA9" w:rsidRPr="00FB4DA9">
              <w:rPr>
                <w:rStyle w:val="Hyperlink"/>
                <w:b/>
                <w:noProof/>
              </w:rPr>
              <w:t xml:space="preserve"> </w:t>
            </w:r>
            <w:r w:rsidR="00BB7FA9" w:rsidRPr="00FB4DA9">
              <w:rPr>
                <w:rStyle w:val="Hyperlink"/>
                <w:noProof/>
                <w:lang w:val="en-IN"/>
              </w:rPr>
              <w:t>by</w:t>
            </w:r>
            <w:r w:rsidR="00BB7FA9" w:rsidRPr="00FB4DA9">
              <w:rPr>
                <w:rStyle w:val="Hyperlink"/>
                <w:noProof/>
              </w:rPr>
              <w:t xml:space="preserve"> various Fenton process</w:t>
            </w:r>
            <w:r w:rsidR="00BB7FA9">
              <w:rPr>
                <w:noProof/>
                <w:webHidden/>
              </w:rPr>
              <w:tab/>
            </w:r>
            <w:r w:rsidR="00BB7FA9">
              <w:rPr>
                <w:noProof/>
                <w:webHidden/>
              </w:rPr>
              <w:fldChar w:fldCharType="begin"/>
            </w:r>
            <w:r w:rsidR="00BB7FA9">
              <w:rPr>
                <w:noProof/>
                <w:webHidden/>
              </w:rPr>
              <w:instrText xml:space="preserve"> PAGEREF _Toc102395648 \h </w:instrText>
            </w:r>
            <w:r w:rsidR="00BB7FA9">
              <w:rPr>
                <w:noProof/>
                <w:webHidden/>
              </w:rPr>
            </w:r>
            <w:r w:rsidR="00BB7FA9">
              <w:rPr>
                <w:noProof/>
                <w:webHidden/>
              </w:rPr>
              <w:fldChar w:fldCharType="separate"/>
            </w:r>
            <w:r w:rsidR="00BB7FA9">
              <w:rPr>
                <w:noProof/>
                <w:webHidden/>
              </w:rPr>
              <w:t>16</w:t>
            </w:r>
            <w:r w:rsidR="00BB7FA9">
              <w:rPr>
                <w:noProof/>
                <w:webHidden/>
              </w:rPr>
              <w:fldChar w:fldCharType="end"/>
            </w:r>
          </w:hyperlink>
        </w:p>
        <w:p w14:paraId="51DFFE3F" w14:textId="6D5EF783"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49" w:history="1">
            <w:r w:rsidR="00BB7FA9" w:rsidRPr="00FB4DA9">
              <w:rPr>
                <w:rStyle w:val="Hyperlink"/>
                <w:b/>
                <w:bCs/>
                <w:noProof/>
                <w:lang w:val="en-IN"/>
              </w:rPr>
              <w:t>Supplementary S8</w:t>
            </w:r>
            <w:r w:rsidR="00BB7FA9">
              <w:rPr>
                <w:noProof/>
                <w:webHidden/>
              </w:rPr>
              <w:tab/>
            </w:r>
            <w:r w:rsidR="00BB7FA9">
              <w:rPr>
                <w:noProof/>
                <w:webHidden/>
              </w:rPr>
              <w:fldChar w:fldCharType="begin"/>
            </w:r>
            <w:r w:rsidR="00BB7FA9">
              <w:rPr>
                <w:noProof/>
                <w:webHidden/>
              </w:rPr>
              <w:instrText xml:space="preserve"> PAGEREF _Toc102395649 \h </w:instrText>
            </w:r>
            <w:r w:rsidR="00BB7FA9">
              <w:rPr>
                <w:noProof/>
                <w:webHidden/>
              </w:rPr>
            </w:r>
            <w:r w:rsidR="00BB7FA9">
              <w:rPr>
                <w:noProof/>
                <w:webHidden/>
              </w:rPr>
              <w:fldChar w:fldCharType="separate"/>
            </w:r>
            <w:r w:rsidR="00BB7FA9">
              <w:rPr>
                <w:noProof/>
                <w:webHidden/>
              </w:rPr>
              <w:t>18</w:t>
            </w:r>
            <w:r w:rsidR="00BB7FA9">
              <w:rPr>
                <w:noProof/>
                <w:webHidden/>
              </w:rPr>
              <w:fldChar w:fldCharType="end"/>
            </w:r>
          </w:hyperlink>
        </w:p>
        <w:p w14:paraId="1929851D" w14:textId="10B92A80" w:rsidR="00BB7FA9" w:rsidRDefault="003E2EE4">
          <w:pPr>
            <w:pStyle w:val="TOC1"/>
            <w:tabs>
              <w:tab w:val="right" w:leader="dot" w:pos="9463"/>
            </w:tabs>
            <w:rPr>
              <w:rFonts w:asciiTheme="minorHAnsi" w:eastAsiaTheme="minorEastAsia" w:hAnsiTheme="minorHAnsi" w:cstheme="minorBidi"/>
              <w:noProof/>
              <w:sz w:val="22"/>
              <w:lang w:val="en-IN" w:eastAsia="en-IN"/>
            </w:rPr>
          </w:pPr>
          <w:hyperlink w:anchor="_Toc102395650" w:history="1">
            <w:r w:rsidR="00BB7FA9" w:rsidRPr="00FB4DA9">
              <w:rPr>
                <w:rStyle w:val="Hyperlink"/>
                <w:b/>
                <w:noProof/>
                <w:lang w:val="en-IN"/>
              </w:rPr>
              <w:t xml:space="preserve">Table S8. </w:t>
            </w:r>
            <w:r w:rsidR="00BB7FA9" w:rsidRPr="00FB4DA9">
              <w:rPr>
                <w:rStyle w:val="Hyperlink"/>
                <w:bCs/>
                <w:noProof/>
                <w:lang w:val="en-IN"/>
              </w:rPr>
              <w:t xml:space="preserve">Degradation of emerging contaminants </w:t>
            </w:r>
            <w:r w:rsidR="00BB7FA9" w:rsidRPr="00FB4DA9">
              <w:rPr>
                <w:rStyle w:val="Hyperlink"/>
                <w:noProof/>
                <w:lang w:val="en-IN"/>
              </w:rPr>
              <w:t>by</w:t>
            </w:r>
            <w:r w:rsidR="00BB7FA9" w:rsidRPr="00FB4DA9">
              <w:rPr>
                <w:rStyle w:val="Hyperlink"/>
                <w:noProof/>
              </w:rPr>
              <w:t xml:space="preserve"> non-thermal plasma assisted AOP</w:t>
            </w:r>
            <w:r w:rsidR="00BB7FA9">
              <w:rPr>
                <w:noProof/>
                <w:webHidden/>
              </w:rPr>
              <w:tab/>
            </w:r>
            <w:r w:rsidR="00BB7FA9">
              <w:rPr>
                <w:noProof/>
                <w:webHidden/>
              </w:rPr>
              <w:fldChar w:fldCharType="begin"/>
            </w:r>
            <w:r w:rsidR="00BB7FA9">
              <w:rPr>
                <w:noProof/>
                <w:webHidden/>
              </w:rPr>
              <w:instrText xml:space="preserve"> PAGEREF _Toc102395650 \h </w:instrText>
            </w:r>
            <w:r w:rsidR="00BB7FA9">
              <w:rPr>
                <w:noProof/>
                <w:webHidden/>
              </w:rPr>
            </w:r>
            <w:r w:rsidR="00BB7FA9">
              <w:rPr>
                <w:noProof/>
                <w:webHidden/>
              </w:rPr>
              <w:fldChar w:fldCharType="separate"/>
            </w:r>
            <w:r w:rsidR="00BB7FA9">
              <w:rPr>
                <w:noProof/>
                <w:webHidden/>
              </w:rPr>
              <w:t>18</w:t>
            </w:r>
            <w:r w:rsidR="00BB7FA9">
              <w:rPr>
                <w:noProof/>
                <w:webHidden/>
              </w:rPr>
              <w:fldChar w:fldCharType="end"/>
            </w:r>
          </w:hyperlink>
        </w:p>
        <w:p w14:paraId="182480A5" w14:textId="68E47549" w:rsidR="00662419" w:rsidRDefault="00662419">
          <w:r>
            <w:rPr>
              <w:b/>
              <w:bCs/>
              <w:noProof/>
            </w:rPr>
            <w:fldChar w:fldCharType="end"/>
          </w:r>
        </w:p>
      </w:sdtContent>
    </w:sdt>
    <w:p w14:paraId="71B62666" w14:textId="77777777" w:rsidR="001A53B0" w:rsidRPr="0038343B" w:rsidRDefault="001A53B0">
      <w:pPr>
        <w:spacing w:after="160" w:line="259" w:lineRule="auto"/>
        <w:jc w:val="left"/>
        <w:rPr>
          <w:rFonts w:eastAsiaTheme="majorEastAsia" w:cstheme="majorBidi"/>
          <w:b/>
          <w:color w:val="000000" w:themeColor="text1"/>
          <w:szCs w:val="32"/>
        </w:rPr>
      </w:pPr>
      <w:r w:rsidRPr="0038343B">
        <w:rPr>
          <w:b/>
        </w:rPr>
        <w:br w:type="page"/>
      </w:r>
    </w:p>
    <w:p w14:paraId="04CA0420" w14:textId="4EEA8CFD" w:rsidR="00FF6451" w:rsidRDefault="005A0D94" w:rsidP="00813919">
      <w:pPr>
        <w:pStyle w:val="Heading1"/>
        <w:spacing w:before="0" w:line="480" w:lineRule="auto"/>
        <w:rPr>
          <w:b/>
        </w:rPr>
      </w:pPr>
      <w:bookmarkStart w:id="3" w:name="_Toc102395632"/>
      <w:r w:rsidRPr="0038343B">
        <w:rPr>
          <w:b/>
        </w:rPr>
        <w:lastRenderedPageBreak/>
        <w:t>Supplementary S1</w:t>
      </w:r>
      <w:bookmarkEnd w:id="3"/>
    </w:p>
    <w:p w14:paraId="172FA1ED" w14:textId="09FA3AFD" w:rsidR="00662419" w:rsidRPr="00813919" w:rsidRDefault="00813919" w:rsidP="00813919">
      <w:pPr>
        <w:pStyle w:val="Heading1"/>
        <w:spacing w:before="0"/>
        <w:rPr>
          <w:b/>
          <w:bCs/>
        </w:rPr>
      </w:pPr>
      <w:bookmarkStart w:id="4" w:name="_Toc102395633"/>
      <w:r w:rsidRPr="00813919">
        <w:rPr>
          <w:b/>
          <w:bCs/>
          <w:lang w:val="en-GB"/>
        </w:rPr>
        <w:t>Review Focus and Novelty Statement</w:t>
      </w:r>
      <w:bookmarkEnd w:id="4"/>
    </w:p>
    <w:p w14:paraId="0B7383B6" w14:textId="2412EAE4" w:rsidR="00FF6451" w:rsidRPr="00FF6451" w:rsidRDefault="00FF6451" w:rsidP="00FF6451">
      <w:pPr>
        <w:pStyle w:val="Heading1"/>
        <w:spacing w:line="480" w:lineRule="auto"/>
        <w:rPr>
          <w:b/>
          <w:iCs/>
          <w:szCs w:val="18"/>
        </w:rPr>
      </w:pPr>
      <w:bookmarkStart w:id="5" w:name="_Toc102395634"/>
      <w:r w:rsidRPr="00FF6451">
        <w:rPr>
          <w:rFonts w:cs="Times New Roman"/>
          <w:b/>
          <w:szCs w:val="24"/>
          <w:lang w:val="en-GB"/>
        </w:rPr>
        <w:t>Table S1.</w:t>
      </w:r>
      <w:r w:rsidRPr="00FF6451">
        <w:rPr>
          <w:rFonts w:cs="Times New Roman"/>
          <w:bCs/>
          <w:szCs w:val="24"/>
          <w:lang w:val="en-GB"/>
        </w:rPr>
        <w:t xml:space="preserve"> Previously published reviews on AOPs.</w:t>
      </w:r>
      <w:bookmarkEnd w:id="5"/>
    </w:p>
    <w:tbl>
      <w:tblPr>
        <w:tblStyle w:val="TableGrid11"/>
        <w:tblW w:w="1000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7"/>
        <w:gridCol w:w="4442"/>
        <w:gridCol w:w="3533"/>
        <w:gridCol w:w="1452"/>
      </w:tblGrid>
      <w:tr w:rsidR="00FF6451" w:rsidRPr="00100213" w14:paraId="29E93982" w14:textId="77777777" w:rsidTr="00665A1E">
        <w:trPr>
          <w:trHeight w:val="243"/>
          <w:jc w:val="center"/>
        </w:trPr>
        <w:tc>
          <w:tcPr>
            <w:tcW w:w="577" w:type="dxa"/>
            <w:tcBorders>
              <w:top w:val="single" w:sz="4" w:space="0" w:color="auto"/>
              <w:bottom w:val="single" w:sz="4" w:space="0" w:color="auto"/>
            </w:tcBorders>
          </w:tcPr>
          <w:p w14:paraId="69908DE5" w14:textId="77777777" w:rsidR="00FF6451" w:rsidRPr="00100213" w:rsidRDefault="00FF6451" w:rsidP="00100213">
            <w:pPr>
              <w:widowControl w:val="0"/>
              <w:adjustRightInd w:val="0"/>
              <w:spacing w:after="0" w:line="240" w:lineRule="auto"/>
              <w:contextualSpacing/>
              <w:rPr>
                <w:rFonts w:cs="Times New Roman"/>
                <w:b/>
                <w:color w:val="000000" w:themeColor="text1"/>
                <w:sz w:val="22"/>
                <w:lang w:val="en-GB"/>
              </w:rPr>
            </w:pPr>
            <w:r w:rsidRPr="00100213">
              <w:rPr>
                <w:rFonts w:cs="Times New Roman"/>
                <w:b/>
                <w:color w:val="000000" w:themeColor="text1"/>
                <w:sz w:val="22"/>
                <w:lang w:val="en-GB"/>
              </w:rPr>
              <w:t>No.</w:t>
            </w:r>
          </w:p>
        </w:tc>
        <w:tc>
          <w:tcPr>
            <w:tcW w:w="4442" w:type="dxa"/>
            <w:tcBorders>
              <w:top w:val="single" w:sz="4" w:space="0" w:color="auto"/>
              <w:bottom w:val="single" w:sz="4" w:space="0" w:color="auto"/>
            </w:tcBorders>
          </w:tcPr>
          <w:p w14:paraId="69A06D8B" w14:textId="77777777" w:rsidR="00FF6451" w:rsidRPr="00100213" w:rsidRDefault="00FF6451" w:rsidP="00100213">
            <w:pPr>
              <w:widowControl w:val="0"/>
              <w:adjustRightInd w:val="0"/>
              <w:spacing w:after="0" w:line="240" w:lineRule="auto"/>
              <w:contextualSpacing/>
              <w:rPr>
                <w:rFonts w:cs="Times New Roman"/>
                <w:b/>
                <w:color w:val="000000" w:themeColor="text1"/>
                <w:sz w:val="22"/>
                <w:lang w:val="en-GB"/>
              </w:rPr>
            </w:pPr>
            <w:r w:rsidRPr="00100213">
              <w:rPr>
                <w:rFonts w:cs="Times New Roman"/>
                <w:b/>
                <w:color w:val="000000" w:themeColor="text1"/>
                <w:sz w:val="22"/>
                <w:lang w:val="en-GB"/>
              </w:rPr>
              <w:t>Technology</w:t>
            </w:r>
          </w:p>
        </w:tc>
        <w:tc>
          <w:tcPr>
            <w:tcW w:w="3533" w:type="dxa"/>
            <w:tcBorders>
              <w:top w:val="single" w:sz="4" w:space="0" w:color="auto"/>
              <w:bottom w:val="single" w:sz="4" w:space="0" w:color="auto"/>
            </w:tcBorders>
          </w:tcPr>
          <w:p w14:paraId="4A976827" w14:textId="77777777" w:rsidR="00FF6451" w:rsidRPr="00100213" w:rsidRDefault="00FF6451" w:rsidP="00100213">
            <w:pPr>
              <w:widowControl w:val="0"/>
              <w:adjustRightInd w:val="0"/>
              <w:spacing w:after="0" w:line="240" w:lineRule="auto"/>
              <w:contextualSpacing/>
              <w:rPr>
                <w:rFonts w:cs="Times New Roman"/>
                <w:b/>
                <w:color w:val="000000" w:themeColor="text1"/>
                <w:sz w:val="22"/>
                <w:lang w:val="en-GB"/>
              </w:rPr>
            </w:pPr>
            <w:r w:rsidRPr="00100213">
              <w:rPr>
                <w:rFonts w:cs="Times New Roman"/>
                <w:b/>
                <w:color w:val="000000" w:themeColor="text1"/>
                <w:sz w:val="22"/>
                <w:lang w:val="en-GB"/>
              </w:rPr>
              <w:t>Focus of the work</w:t>
            </w:r>
          </w:p>
        </w:tc>
        <w:tc>
          <w:tcPr>
            <w:tcW w:w="1452" w:type="dxa"/>
            <w:tcBorders>
              <w:top w:val="single" w:sz="4" w:space="0" w:color="auto"/>
              <w:bottom w:val="single" w:sz="4" w:space="0" w:color="auto"/>
            </w:tcBorders>
          </w:tcPr>
          <w:p w14:paraId="2D838745" w14:textId="77777777" w:rsidR="00FF6451" w:rsidRPr="00100213" w:rsidRDefault="00FF6451" w:rsidP="00100213">
            <w:pPr>
              <w:widowControl w:val="0"/>
              <w:adjustRightInd w:val="0"/>
              <w:spacing w:after="0" w:line="240" w:lineRule="auto"/>
              <w:contextualSpacing/>
              <w:jc w:val="center"/>
              <w:rPr>
                <w:rFonts w:cs="Times New Roman"/>
                <w:b/>
                <w:color w:val="000000" w:themeColor="text1"/>
                <w:sz w:val="22"/>
                <w:lang w:val="en-GB"/>
              </w:rPr>
            </w:pPr>
            <w:r w:rsidRPr="00100213">
              <w:rPr>
                <w:rFonts w:cs="Times New Roman"/>
                <w:b/>
                <w:color w:val="000000" w:themeColor="text1"/>
                <w:sz w:val="22"/>
                <w:lang w:val="en-GB"/>
              </w:rPr>
              <w:t>Reference</w:t>
            </w:r>
          </w:p>
        </w:tc>
      </w:tr>
      <w:tr w:rsidR="00FF6451" w:rsidRPr="00100213" w14:paraId="7374D7AB" w14:textId="77777777" w:rsidTr="00665A1E">
        <w:trPr>
          <w:trHeight w:val="387"/>
          <w:jc w:val="center"/>
        </w:trPr>
        <w:tc>
          <w:tcPr>
            <w:tcW w:w="577" w:type="dxa"/>
            <w:tcBorders>
              <w:top w:val="single" w:sz="4" w:space="0" w:color="auto"/>
              <w:bottom w:val="single" w:sz="4" w:space="0" w:color="auto"/>
            </w:tcBorders>
          </w:tcPr>
          <w:p w14:paraId="73500917"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1</w:t>
            </w:r>
          </w:p>
        </w:tc>
        <w:tc>
          <w:tcPr>
            <w:tcW w:w="4442" w:type="dxa"/>
            <w:tcBorders>
              <w:top w:val="single" w:sz="4" w:space="0" w:color="auto"/>
              <w:bottom w:val="single" w:sz="4" w:space="0" w:color="auto"/>
            </w:tcBorders>
          </w:tcPr>
          <w:p w14:paraId="6079A187"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Coupling of perovskite catalysts and AOPs</w:t>
            </w:r>
          </w:p>
        </w:tc>
        <w:tc>
          <w:tcPr>
            <w:tcW w:w="3533" w:type="dxa"/>
            <w:tcBorders>
              <w:top w:val="single" w:sz="4" w:space="0" w:color="auto"/>
              <w:bottom w:val="single" w:sz="4" w:space="0" w:color="auto"/>
            </w:tcBorders>
          </w:tcPr>
          <w:p w14:paraId="3536A0B8" w14:textId="77777777" w:rsidR="00FF6451" w:rsidRPr="00100213" w:rsidRDefault="00FF6451" w:rsidP="00100213">
            <w:pPr>
              <w:widowControl w:val="0"/>
              <w:adjustRightInd w:val="0"/>
              <w:spacing w:after="0" w:line="240" w:lineRule="auto"/>
              <w:ind w:right="-111"/>
              <w:contextualSpacing/>
              <w:rPr>
                <w:rFonts w:cs="Times New Roman"/>
                <w:bCs/>
                <w:color w:val="000000" w:themeColor="text1"/>
                <w:sz w:val="22"/>
                <w:lang w:val="en-GB"/>
              </w:rPr>
            </w:pPr>
            <w:r w:rsidRPr="00100213">
              <w:rPr>
                <w:rFonts w:cs="Times New Roman"/>
                <w:bCs/>
                <w:color w:val="000000" w:themeColor="text1"/>
                <w:sz w:val="22"/>
                <w:lang w:val="en-GB"/>
              </w:rPr>
              <w:t>Reaction mechanisms of perovskite in AOPs and application</w:t>
            </w:r>
          </w:p>
        </w:tc>
        <w:tc>
          <w:tcPr>
            <w:tcW w:w="1452" w:type="dxa"/>
            <w:tcBorders>
              <w:top w:val="single" w:sz="4" w:space="0" w:color="auto"/>
              <w:bottom w:val="single" w:sz="4" w:space="0" w:color="auto"/>
            </w:tcBorders>
          </w:tcPr>
          <w:p w14:paraId="0BC0832C"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{"citationItems":[{"id":"ITEM-1","itemData":{"DOI":"10.1016/j.jhazmat.2021.127637","ISSN":"18733336","PMID":"34753649","abstract":"Perovskite has been widely concerned in the field of modern environmental catalysis due to its low price, high stability, excellent catalytic activity, diverse structure and strong conversion adaptability. In recent years, people have been working on the coupling of perovskite catalysts and advanced oxidation processes (AOPs) on the removal of organic pollutants from wastewater. In this review, we classified perovskites of different designs and summarized the application and basic reaction mechanisms of each perovskite in different AOPs. This review helps scientists selecting and designing more effective perovskite catalysts for AOPs by summarizing the applications and reaction mechanisms of perovskite in AOPs. At the end of the review, the challenges and future directions of perovskite in removing organic pollutants from wastewater are discussed.","author":[{"dropping-particle":"","family":"Lin","given":"Naipeng","non-dropping-particle":"","parse-names":false,"suffix":""},{"dropping-particle":"","family":"Gong","given":"Yishu","non-dropping-particle":"","parse-names":false,"suffix":""},{"dropping-particle":"","family":"Wang","given":"Ruotong","non-dropping-particle":"","parse-names":false,"suffix":""},{"dropping-particle":"","family":"Wang","given":"Yin","non-dropping-particle":"","parse-names":false,"suffix":""},{"dropping-particle":"","family":"Zhang","given":"Xiaodong","non-dropping-particle":"","parse-names":false,"suffix":""}],"container-title":"Journal of Hazardous Materials","id":"ITEM-1","issue":"PC","issued":{"date-parts":[["2022"]]},"page":"127637","publisher":"Elsevier B.V.","title":"Critical review of perovskite-based materials in advanced oxidation system for wastewater treatment: Design, applications and mechanisms","type":"article-journal","volume":"424"},"uris":["http://www.mendeley.com/documents/?uuid=bb6f6a3b-9797-4110-9ab7-25909a13dfe6"]}],"mendeley":{"formattedCitation":"(Lin et al., 2022)","plainTextFormattedCitation":"(Lin et al., 2022)","previouslyFormattedCitation":"(Lin et al., 2022)"},"properties":{"noteIndex":0},"schema":"https://github.com/citation-style-language/schema/raw/master/csl-citation.json"}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(Lin et al., 2022)</w:t>
            </w:r>
            <w:r w:rsidRPr="00100213">
              <w:rPr>
                <w:rFonts w:cs="Times New Roman"/>
                <w:bCs/>
                <w:color w:val="000000" w:themeColor="text1"/>
                <w:sz w:val="22"/>
                <w:lang w:val="en-GB"/>
              </w:rPr>
              <w:fldChar w:fldCharType="end"/>
            </w:r>
          </w:p>
        </w:tc>
      </w:tr>
      <w:tr w:rsidR="00FF6451" w:rsidRPr="00100213" w14:paraId="46274220" w14:textId="77777777" w:rsidTr="00665A1E">
        <w:trPr>
          <w:trHeight w:val="387"/>
          <w:jc w:val="center"/>
        </w:trPr>
        <w:tc>
          <w:tcPr>
            <w:tcW w:w="577" w:type="dxa"/>
            <w:tcBorders>
              <w:top w:val="single" w:sz="4" w:space="0" w:color="auto"/>
              <w:bottom w:val="single" w:sz="4" w:space="0" w:color="auto"/>
            </w:tcBorders>
          </w:tcPr>
          <w:p w14:paraId="6482AD29"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2</w:t>
            </w:r>
          </w:p>
        </w:tc>
        <w:tc>
          <w:tcPr>
            <w:tcW w:w="4442" w:type="dxa"/>
            <w:tcBorders>
              <w:top w:val="single" w:sz="4" w:space="0" w:color="auto"/>
              <w:bottom w:val="single" w:sz="4" w:space="0" w:color="auto"/>
            </w:tcBorders>
          </w:tcPr>
          <w:p w14:paraId="0439E96C"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proofErr w:type="spellStart"/>
            <w:r w:rsidRPr="00100213">
              <w:rPr>
                <w:rFonts w:cs="Times New Roman"/>
                <w:bCs/>
                <w:color w:val="000000" w:themeColor="text1"/>
                <w:sz w:val="22"/>
                <w:lang w:val="en-GB"/>
              </w:rPr>
              <w:t>Sonochemical</w:t>
            </w:r>
            <w:proofErr w:type="spellEnd"/>
            <w:r w:rsidRPr="00100213">
              <w:rPr>
                <w:rFonts w:cs="Times New Roman"/>
                <w:bCs/>
                <w:color w:val="000000" w:themeColor="text1"/>
                <w:sz w:val="22"/>
                <w:lang w:val="en-GB"/>
              </w:rPr>
              <w:t xml:space="preserve">-, persulphate-, photochemical-, and Fenton-based AOPs </w:t>
            </w:r>
          </w:p>
        </w:tc>
        <w:tc>
          <w:tcPr>
            <w:tcW w:w="3533" w:type="dxa"/>
            <w:tcBorders>
              <w:top w:val="single" w:sz="4" w:space="0" w:color="auto"/>
              <w:bottom w:val="single" w:sz="4" w:space="0" w:color="auto"/>
            </w:tcBorders>
          </w:tcPr>
          <w:p w14:paraId="3CBC7A73" w14:textId="77777777" w:rsidR="00FF6451" w:rsidRPr="00100213" w:rsidRDefault="00FF6451" w:rsidP="00100213">
            <w:pPr>
              <w:widowControl w:val="0"/>
              <w:adjustRightInd w:val="0"/>
              <w:spacing w:after="0" w:line="240" w:lineRule="auto"/>
              <w:ind w:right="-111"/>
              <w:contextualSpacing/>
              <w:rPr>
                <w:rFonts w:cs="Times New Roman"/>
                <w:bCs/>
                <w:color w:val="000000" w:themeColor="text1"/>
                <w:sz w:val="22"/>
                <w:lang w:val="en-GB"/>
              </w:rPr>
            </w:pPr>
            <w:r w:rsidRPr="00100213">
              <w:rPr>
                <w:rFonts w:cs="Times New Roman"/>
                <w:bCs/>
                <w:color w:val="000000" w:themeColor="text1"/>
                <w:sz w:val="22"/>
                <w:lang w:val="en-GB"/>
              </w:rPr>
              <w:t>Identification of nitrogen-containing byproducts in AOPs</w:t>
            </w:r>
            <w:r w:rsidRPr="00100213">
              <w:rPr>
                <w:rFonts w:cs="Times New Roman"/>
                <w:bCs/>
                <w:color w:val="000000" w:themeColor="text1"/>
                <w:sz w:val="22"/>
                <w:lang w:val="en-IN"/>
              </w:rPr>
              <w:t xml:space="preserve">, </w:t>
            </w:r>
            <w:r w:rsidRPr="00100213">
              <w:rPr>
                <w:rFonts w:cs="Times New Roman"/>
                <w:bCs/>
                <w:color w:val="000000" w:themeColor="text1"/>
                <w:sz w:val="22"/>
                <w:lang w:val="en-GB"/>
              </w:rPr>
              <w:t>kinetics of nitro-product formation</w:t>
            </w:r>
          </w:p>
        </w:tc>
        <w:tc>
          <w:tcPr>
            <w:tcW w:w="1452" w:type="dxa"/>
            <w:tcBorders>
              <w:top w:val="single" w:sz="4" w:space="0" w:color="auto"/>
              <w:bottom w:val="single" w:sz="4" w:space="0" w:color="auto"/>
            </w:tcBorders>
          </w:tcPr>
          <w:p w14:paraId="25B259AE"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{"citationItems":[{"id":"ITEM-1","itemData":{"DOI":"10.1016/j.cej.2021.133002","ISSN":"13858947","abstract":"Chemical compounds containing nitro group (nitro-products) are a one of toxic by-products, that can be formed during wastewater treatment processes. In case of presence of nitrite or nitrate ions, the formation of nitro-products during advanced oxidation processes (AOPs) is very common. It is caused by the reactive nitrogen species (RNs) such as nitrate radical (NO3•), nitrite radical (NO2•), nitrogen oxide radical (NO•) and peroxynirite (ONOO–). In fact, the oxidative degradation of N-containing pollutants releases nitrate, nitrite and ammonium ions. In some cases, secondary reactions of mineralised nitrogen species (nitrate and nitrite ions) with the parent or intermediate compound generate next several nitro-products. The nitro-products are more toxic comparing to the primary pollutants and act as the precursors of the nitrogenous disinfection by-products. Moreover, some studies reported unexpected nitro-products formation during the oxidative degradation. In case of such processes a special attention should be made to monitor and minimize these effects. De-nitration of the initial nitro-compounds induces the formation of various nitro-products in AOPs. It was observed for UV light driven, Fenton and persulfate based AOPs. The sonochemical nitrogen fixation is a key mechanism for the formation of nitro-compounds in ultrasounds based AOPs. Therefore, this paper is focused on comparison of various AOPs in terms of nitro-products formation mechanisms and the associated environmental issues.","author":[{"dropping-particle":"","family":"Rayaroth","given":"Manoj P.","non-dropping-particle":"","parse-names":false,"suffix":""},{"dropping-particle":"","family":"Aravindakumar","given":"Charuvila T.","non-dropping-particle":"","parse-names":false,"suffix":""},{"dropping-particle":"","family":"Shah","given":"Noor S.","non-dropping-particle":"","parse-names":false,"suffix":""},{"dropping-particle":"","family":"Boczkaj","given":"Grzegorz","non-dropping-particle":"","parse-names":false,"suffix":""}],"container-title":"Chemical Engineering Journal","id":"ITEM-1","issue":"P4","issued":{"date-parts":[["2022"]]},"page":"133002","publisher":"Elsevier B.V.","title":"Advanced oxidation processes (AOPs) based wastewater treatment - unexpected nitration side reactions - a serious environmental issue: A review","type":"article-journal","volume":"430"},"uris":["http://www.mendeley.com/documents/?uuid=251daea1-da78-4e28-b0cd-fce7015e2f65"]}],"mendeley":{"formattedCitation":"(Rayaroth et al., 2022)","plainTextFormattedCitation":"(Rayaroth et al., 2022)","previouslyFormattedCitation":"(Rayaroth et al., 2022)"},"properties":{"noteIndex":0},"schema":"https://github.com/citation-style-language/schema/raw/master/csl-citation.json"}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(Rayaroth et al., 2022)</w:t>
            </w:r>
            <w:r w:rsidRPr="00100213">
              <w:rPr>
                <w:rFonts w:cs="Times New Roman"/>
                <w:bCs/>
                <w:color w:val="000000" w:themeColor="text1"/>
                <w:sz w:val="22"/>
                <w:lang w:val="en-GB"/>
              </w:rPr>
              <w:fldChar w:fldCharType="end"/>
            </w:r>
          </w:p>
        </w:tc>
      </w:tr>
      <w:tr w:rsidR="00FF6451" w:rsidRPr="00100213" w14:paraId="7AFEBDE0" w14:textId="77777777" w:rsidTr="00665A1E">
        <w:trPr>
          <w:trHeight w:val="387"/>
          <w:jc w:val="center"/>
        </w:trPr>
        <w:tc>
          <w:tcPr>
            <w:tcW w:w="577" w:type="dxa"/>
            <w:tcBorders>
              <w:top w:val="single" w:sz="4" w:space="0" w:color="auto"/>
              <w:bottom w:val="single" w:sz="4" w:space="0" w:color="auto"/>
            </w:tcBorders>
          </w:tcPr>
          <w:p w14:paraId="6B209E43"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3</w:t>
            </w:r>
          </w:p>
        </w:tc>
        <w:tc>
          <w:tcPr>
            <w:tcW w:w="4442" w:type="dxa"/>
            <w:tcBorders>
              <w:top w:val="single" w:sz="4" w:space="0" w:color="auto"/>
              <w:bottom w:val="single" w:sz="4" w:space="0" w:color="auto"/>
            </w:tcBorders>
          </w:tcPr>
          <w:p w14:paraId="5D646BF8"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Plasma activation, catalyst structures, AOP-bioremediation, and membrane-based AOPs</w:t>
            </w:r>
          </w:p>
        </w:tc>
        <w:tc>
          <w:tcPr>
            <w:tcW w:w="3533" w:type="dxa"/>
            <w:tcBorders>
              <w:top w:val="single" w:sz="4" w:space="0" w:color="auto"/>
              <w:bottom w:val="single" w:sz="4" w:space="0" w:color="auto"/>
            </w:tcBorders>
          </w:tcPr>
          <w:p w14:paraId="708EFE34"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 xml:space="preserve">Artificial neural networks (ANNs) for modelling of AOPs, sustainability, challenges  </w:t>
            </w:r>
          </w:p>
        </w:tc>
        <w:tc>
          <w:tcPr>
            <w:tcW w:w="1452" w:type="dxa"/>
            <w:tcBorders>
              <w:top w:val="single" w:sz="4" w:space="0" w:color="auto"/>
              <w:bottom w:val="single" w:sz="4" w:space="0" w:color="auto"/>
            </w:tcBorders>
          </w:tcPr>
          <w:p w14:paraId="38BB0D6C"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{"citationItems":[{"id":"ITEM-1","itemData":{"DOI":"10.1016/j.psep.2020.08.015","ISSN":"09575820","abstract":"Water reuse for drinking, irrigation, district cooling, process heating/cooling, landscaping, etc. remains pivotal to water security and sustainability. Advanced oxidation processes (AOPs) are at the heart of the industrial wastewater treatment especially for the removal of contaminants of emerging concern. Recent studies conducted to advance AOP technologies for the degradation of industrial wastewater pollutants generally encompass seven areas, namely artificial neural networks (ANNs), sustainability, plasma activation, catalyst structures, AOP-Bioremediation, and membrane-based AOPs. This review presents the advancements in AOPs for oxidation and removal of a wide range of contaminants of emerging concern from water. Detailed discussions and a critical examination of recently published works are presented in this article. Many of the reports have recorded technical progress in the form of: improved energy efficiency through the use of low-energy and renewable energy sources, successful prediction of process performance and process control, improved light capturing capabilities through plasmonic effect, successful integration with biological treatment methods and membrane filtration. In spite of this progress, a number of challenges still persist such as lack of appropriate ANN modeling structures, impractical spatial and temporal scales of investigation (i.e. scales that are too low for real operations), and membrane fouling in membrane-based AOPs. These challenges and the strategies for addressing them are discussed in this article.","author":[{"dropping-particle":"","family":"Giwa","given":"Adewale","non-dropping-particle":"","parse-names":false,"suffix":""},{"dropping-particle":"","family":"Yusuf","given":"Ahmed","non-dropping-particle":"","parse-names":false,"suffix":""},{"dropping-particle":"","family":"Balogun","given":"Hammed Abiodun","non-dropping-particle":"","parse-names":false,"suffix":""},{"dropping-particle":"","family":"Sambudi","given":"Nonni Soraya","non-dropping-particle":"","parse-names":false,"suffix":""},{"dropping-particle":"","family":"Bilad","given":"Muhammad Roil","non-dropping-particle":"","parse-names":false,"suffix":""},{"dropping-particle":"","family":"Adeyemi","given":"Idowu","non-dropping-particle":"","parse-names":false,"suffix":""},{"dropping-particle":"","family":"Chakraborty","given":"Sudip","non-dropping-particle":"","parse-names":false,"suffix":""},{"dropping-particle":"","family":"Curcio","given":"Stefano","non-dropping-particle":"","parse-names":false,"suffix":""}],"container-title":"Process Safety and Environmental Protection","id":"ITEM-1","issued":{"date-parts":[["2021"]]},"page":"220-256","publisher":"Institution of Chemical Engineers","title":"Recent advances in advanced oxidation processes for removal of contaminants from water: A comprehensive review","type":"article-journal","volume":"146"},"uris":["http://www.mendeley.com/documents/?uuid=206b15b9-824d-40d0-a042-b44bcb01504b"]}],"mendeley":{"formattedCitation":"(Giwa et al., 2021)","plainTextFormattedCitation":"(Giwa et al., 2021)","previouslyFormattedCitation":"(Giwa et al., 2021)"},"properties":{"noteIndex":0},"schema":"https://github.com/citation-style-language/schema/raw/master/csl-citation.json"}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(Giwa et al., 2021)</w:t>
            </w:r>
            <w:r w:rsidRPr="00100213">
              <w:rPr>
                <w:rFonts w:cs="Times New Roman"/>
                <w:bCs/>
                <w:color w:val="000000" w:themeColor="text1"/>
                <w:sz w:val="22"/>
                <w:lang w:val="en-GB"/>
              </w:rPr>
              <w:fldChar w:fldCharType="end"/>
            </w:r>
          </w:p>
        </w:tc>
      </w:tr>
      <w:tr w:rsidR="00FF6451" w:rsidRPr="00100213" w14:paraId="3DDF923D" w14:textId="77777777" w:rsidTr="00665A1E">
        <w:trPr>
          <w:trHeight w:val="387"/>
          <w:jc w:val="center"/>
        </w:trPr>
        <w:tc>
          <w:tcPr>
            <w:tcW w:w="577" w:type="dxa"/>
            <w:tcBorders>
              <w:top w:val="single" w:sz="4" w:space="0" w:color="auto"/>
              <w:bottom w:val="single" w:sz="4" w:space="0" w:color="auto"/>
            </w:tcBorders>
          </w:tcPr>
          <w:p w14:paraId="19C72BD2"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4</w:t>
            </w:r>
          </w:p>
        </w:tc>
        <w:tc>
          <w:tcPr>
            <w:tcW w:w="4442" w:type="dxa"/>
            <w:tcBorders>
              <w:top w:val="single" w:sz="4" w:space="0" w:color="auto"/>
              <w:bottom w:val="single" w:sz="4" w:space="0" w:color="auto"/>
            </w:tcBorders>
          </w:tcPr>
          <w:p w14:paraId="08E8CB11"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Ozone-based, Fenton, UV photolysis, H</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/UV, ozone/UV, photocatalysis, photo-Fenton, and TiO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 xml:space="preserve"> photocatalysis</w:t>
            </w:r>
          </w:p>
        </w:tc>
        <w:tc>
          <w:tcPr>
            <w:tcW w:w="3533" w:type="dxa"/>
            <w:tcBorders>
              <w:top w:val="single" w:sz="4" w:space="0" w:color="auto"/>
              <w:bottom w:val="single" w:sz="4" w:space="0" w:color="auto"/>
            </w:tcBorders>
          </w:tcPr>
          <w:p w14:paraId="65C3125B"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 xml:space="preserve">Mechanisms, applications, and recent advancement </w:t>
            </w:r>
          </w:p>
        </w:tc>
        <w:tc>
          <w:tcPr>
            <w:tcW w:w="1452" w:type="dxa"/>
            <w:tcBorders>
              <w:top w:val="single" w:sz="4" w:space="0" w:color="auto"/>
              <w:bottom w:val="single" w:sz="4" w:space="0" w:color="auto"/>
            </w:tcBorders>
          </w:tcPr>
          <w:p w14:paraId="07A41C55"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{"citationItems":[{"id":"ITEM-1","itemData":{"DOI":"10.1016/b978-0-12-821011-6.00008-6","ISBN":"9780128210116","abstract":"Rapid industrialization and a fast-growing population are continuously demanding newer materials for lavishing lifestyles. As a result, their production discharges recalcitrant pollutants as byproducts into the ecosystem. The sugar, distillery, pharmaceutical, and dairy industries are some prime and important industries that are discharging the recalcitrant effluents. These effluents are discharged in water as waste and disturb the dissolved oxygen level of the aqueous system. Such wastewater contains multiple persistent toxic components (organic and inorganic) due to which the water quality is degraded. It requires specific treatments to check the quality of the wastewater before it can be discharged into the environment. The main purpose of wastewater treatment is to remove organic compounds, solids, colors, etc., from the effluent or to convert it into a relatively less toxic form. The present conventional treatment technologies, including adsorption, filtration, biological treatment, coagulation, etc., are inefficient in completely removing such recalcitrant pollutants/solids. Advanced oxidation processes (AOPs) are effective technologies used in wastewater treatment. In a conventional oxidation process, the organics in wastewater are reduced in the presence of oxygen by the mechanism of oxidation. In AOPs, organics are reduced by the mechanism of oxidation in the presence of external energy sources such as solar energy, electric energy, ultraviolet radiation (UV), electrochemical, etc. The major advantages of AOPs are: (1) Organic compounds are reduced without transfer to another phase; (2) They are effective to all organic pollutants and some toxic metals; (3) They can be used for water disinfection; (4) They are cheaper in installation; and (5) They are efficient for small-scale installation. In AOP treatment processes, sulfate radicals (SO4•−) or hydroxyl radicals (OH•), which are generated and have a short life span, are used to reduce organic matters/certain inorganic pollutants and thereby enhance the biodegradability index of the treated wastewater. There are many methods used as AOPs, such as an ozone-based oxidation process, a Fenton oxidation process, UV photolysis, H2O2/UV, ozone/UV, photocatalysis (photo-Fenton and TiO2 photocatalysis, etc.). In this chapter, we summarize the recent advancements in AOP technology in treatment of wastewater from distilleries, dairy, sugar, paper, etc.","author":[{"dropping-particle":"","family":"Khare","given":"Prateek","non-dropping-particle":"","parse-names":false,"suffix":""},{"dropping-particle":"","family":"Patel","given":"Ratnesh Kumar","non-dropping-particle":"","parse-names":false,"suffix":""},{"dropping-particle":"","family":"Sharan","given":"Shambhoo","non-dropping-particle":"","parse-names":false,"suffix":""},{"dropping-particle":"","family":"Shankar","given":"Ravi","non-dropping-particle":"","parse-names":false,"suffix":""}],"container-title":"Advanced Oxidation Processes for Effluent Treatment Plants","id":"ITEM-1","issued":{"date-parts":[["2021"]]},"page":"137-160","title":"Recent trends in advanced oxidation process for treatment of recalcitrant industrial effluents","type":"article-journal"},"uris":["http://www.mendeley.com/documents/?uuid=c04864be-53aa-4f2a-810d-58adef46ecf3"]}],"mendeley":{"formattedCitation":"(Khare et al., 2021)","plainTextFormattedCitation":"(Khare et al., 2021)","previouslyFormattedCitation":"(Khare et al., 2021)"},"properties":{"noteIndex":0},"schema":"https://github.com/citation-style-language/schema/raw/master/csl-citation.json"}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(Khare et al., 2021)</w:t>
            </w:r>
            <w:r w:rsidRPr="00100213">
              <w:rPr>
                <w:rFonts w:cs="Times New Roman"/>
                <w:bCs/>
                <w:color w:val="000000" w:themeColor="text1"/>
                <w:sz w:val="22"/>
                <w:lang w:val="en-GB"/>
              </w:rPr>
              <w:fldChar w:fldCharType="end"/>
            </w:r>
          </w:p>
        </w:tc>
      </w:tr>
      <w:tr w:rsidR="00FF6451" w:rsidRPr="00100213" w14:paraId="0F1F40E2" w14:textId="77777777" w:rsidTr="00665A1E">
        <w:trPr>
          <w:trHeight w:val="387"/>
          <w:jc w:val="center"/>
        </w:trPr>
        <w:tc>
          <w:tcPr>
            <w:tcW w:w="577" w:type="dxa"/>
            <w:tcBorders>
              <w:top w:val="single" w:sz="4" w:space="0" w:color="auto"/>
              <w:bottom w:val="single" w:sz="4" w:space="0" w:color="auto"/>
            </w:tcBorders>
          </w:tcPr>
          <w:p w14:paraId="44FA1230"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5</w:t>
            </w:r>
          </w:p>
        </w:tc>
        <w:tc>
          <w:tcPr>
            <w:tcW w:w="4442" w:type="dxa"/>
            <w:tcBorders>
              <w:top w:val="single" w:sz="4" w:space="0" w:color="auto"/>
              <w:bottom w:val="single" w:sz="4" w:space="0" w:color="auto"/>
            </w:tcBorders>
          </w:tcPr>
          <w:p w14:paraId="4898A815"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Electrochemical oxidation, ultrasonication, and ionizing radiation</w:t>
            </w:r>
          </w:p>
        </w:tc>
        <w:tc>
          <w:tcPr>
            <w:tcW w:w="3533" w:type="dxa"/>
            <w:tcBorders>
              <w:top w:val="single" w:sz="4" w:space="0" w:color="auto"/>
              <w:bottom w:val="single" w:sz="4" w:space="0" w:color="auto"/>
            </w:tcBorders>
          </w:tcPr>
          <w:p w14:paraId="23751602"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Factors and limitations</w:t>
            </w:r>
          </w:p>
        </w:tc>
        <w:tc>
          <w:tcPr>
            <w:tcW w:w="1452" w:type="dxa"/>
            <w:tcBorders>
              <w:top w:val="single" w:sz="4" w:space="0" w:color="auto"/>
              <w:bottom w:val="single" w:sz="4" w:space="0" w:color="auto"/>
            </w:tcBorders>
          </w:tcPr>
          <w:p w14:paraId="5DD9FF2D"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{"citationItems":[{"id":"ITEM-1","itemData":{"DOI":"10.1016/j.eti.2021.101757","ISSN":"23521864","abstract":"Because of their intrinsic potential to produce metabolic effects on the human body at smaller concentrations, pharmaceuticals and personal care products (PPCPs) are a distinct category of emerging environmental pollutants. Due to their widespread intake, limited metabolic capacity, and indecorous disposal, PPCPs pollutants are commonly found in water supplies and wastewater treatment plants. If partly oxidized PPCPs are introduced into wastewater treatment plants, they will disrupt biological wastewater treatment procedures. As a result, traditional wastewater treatment plants are inadequate for PPCPs elimination. PPCPs have been effectively eliminated using advanced oxidation methods such as electrochemical oxidation, ultrasonication, and ionizing radiation. This review summarizes recent studies on the removal of PPCPs by advanced oxidation processes, as well as knowledge useful for applying these processes in water and wastewater treatment. The degradation of different classes of PPCPs has been reviewed to analyze (i) significant factors — initial concentration of PPCPs, ultrasonication power, radiation dose, current density, temperature, pH, time, and effect of catalysts; (ii) degradation efficiency of the processes when applied in combination with other advanced oxidation methods; (iii) key factors that affect the removal of PPCPs based on their properties. In addition, suggestions for future studies on advanced oxidation methods and their limitations were discussed. Overall, this review could aid in providing an in-depth understanding of the current research trends concerning PPCPs and advanced oxidation processes.","author":[{"dropping-particle":"","family":"Krishnan","given":"Radhakrishnan Yedhu","non-dropping-particle":"","parse-names":false,"suffix":""},{"dropping-particle":"","family":"Manikandan","given":"Sivasubramanian","non-dropping-particle":"","parse-names":false,"suffix":""},{"dropping-particle":"","family":"Subbaiya","given":"Ramasamy","non-dropping-particle":"","parse-names":false,"suffix":""},{"dropping-particle":"","family":"Biruntha","given":"Muniyandi","non-dropping-particle":"","parse-names":false,"suffix":""},{"dropping-particle":"","family":"Govarthanan","given":"Muthusamy","non-dropping-particle":"","parse-names":false,"suffix":""},{"dropping-particle":"","family":"Karmegam","given":"Natchimuthu","non-dropping-particle":"","parse-names":false,"suffix":""}],"container-title":"Environmental Technology and Innovation","id":"ITEM-1","issued":{"date-parts":[["2021"]]},"page":"101757","publisher":"Elsevier B.V.","title":"Removal of emerging micropollutants originating from pharmaceuticals and personal care products (PPCPs) in water and wastewater by advanced oxidation processes: A review","type":"article-journal","volume":"23"},"uris":["http://www.mendeley.com/documents/?uuid=d7d438b7-a01b-40fc-a7c6-825d62cdeb11"]}],"mendeley":{"formattedCitation":"(Krishnan et al., 2021)","plainTextFormattedCitation":"(Krishnan et al., 2021)","previouslyFormattedCitation":"(Krishnan et al., 2021)"},"properties":{"noteIndex":0},"schema":"https://github.com/citation-style-language/schema/raw/master/csl-citation.json"}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(Krishnan et al., 2021)</w:t>
            </w:r>
            <w:r w:rsidRPr="00100213">
              <w:rPr>
                <w:rFonts w:cs="Times New Roman"/>
                <w:bCs/>
                <w:color w:val="000000" w:themeColor="text1"/>
                <w:sz w:val="22"/>
                <w:lang w:val="en-GB"/>
              </w:rPr>
              <w:fldChar w:fldCharType="end"/>
            </w:r>
          </w:p>
        </w:tc>
      </w:tr>
      <w:tr w:rsidR="00FF6451" w:rsidRPr="00100213" w14:paraId="35B8DD55" w14:textId="77777777" w:rsidTr="00665A1E">
        <w:trPr>
          <w:trHeight w:val="387"/>
          <w:jc w:val="center"/>
        </w:trPr>
        <w:tc>
          <w:tcPr>
            <w:tcW w:w="577" w:type="dxa"/>
            <w:tcBorders>
              <w:top w:val="single" w:sz="4" w:space="0" w:color="auto"/>
              <w:bottom w:val="single" w:sz="4" w:space="0" w:color="auto"/>
            </w:tcBorders>
          </w:tcPr>
          <w:p w14:paraId="3D08E848"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6</w:t>
            </w:r>
          </w:p>
        </w:tc>
        <w:tc>
          <w:tcPr>
            <w:tcW w:w="4442" w:type="dxa"/>
            <w:tcBorders>
              <w:top w:val="single" w:sz="4" w:space="0" w:color="auto"/>
              <w:bottom w:val="single" w:sz="4" w:space="0" w:color="auto"/>
            </w:tcBorders>
          </w:tcPr>
          <w:p w14:paraId="19C3E541"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Photolysis, photocatalysis, ozonation, Fenton, anodic oxidation, sonolysis, and wet air oxidation</w:t>
            </w:r>
          </w:p>
        </w:tc>
        <w:tc>
          <w:tcPr>
            <w:tcW w:w="3533" w:type="dxa"/>
            <w:tcBorders>
              <w:top w:val="single" w:sz="4" w:space="0" w:color="auto"/>
              <w:bottom w:val="single" w:sz="4" w:space="0" w:color="auto"/>
            </w:tcBorders>
          </w:tcPr>
          <w:p w14:paraId="0B3EB2F4"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Mechanisms, factors, degradation products, and effluent toxicity</w:t>
            </w:r>
          </w:p>
        </w:tc>
        <w:tc>
          <w:tcPr>
            <w:tcW w:w="1452" w:type="dxa"/>
            <w:tcBorders>
              <w:top w:val="single" w:sz="4" w:space="0" w:color="auto"/>
              <w:bottom w:val="single" w:sz="4" w:space="0" w:color="auto"/>
            </w:tcBorders>
          </w:tcPr>
          <w:p w14:paraId="7F63E0ED"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{"citationItems":[{"id":"ITEM-1","itemData":{"DOI":"10.1016/j.jwpe.2020.101778","ISSN":"22147144","abstract":"The persistent nature and low biodegradability of a large number of trace organic contaminants (TrOCs) reduce effectiveness of their removal by conventional wastewater treatments. In this context, advanced oxidation processes (AOPs), such as photolysis, photocatalysis, ozonation, Fenton process, anodic oxidation, sonolysis and wet air oxidation, have been studied extensively for the effective degradation of the wide range of TrOCs. All AOPs produce reactive oxygen species (HO2●, O2●−), especially hydroxyl radicals that unselectively attack contaminants and oxidise them. Factors affecting the degradation rates of TrOCs by different AOPs include the concentration and nature of the TrOCs, bulk wastewater characteristics, dose of chemicals or catalysts used, and other reaction parameters. This review critically analyses the overview of already established AOPs, the effect of the structure of TrOCs based on different functional groups such as electron donating groups (EDGs) and electron withdrawing groups (EWGs) on their degradation by each AOP. The overall degradation rates based on data collected from a comprehensive literature review show that ozonation achieves effective degradation for a broad range of TrOCs, but it can lead to the production of toxic degradation by-products. By comparison, photocatalysis shows moderate to high degradation rate for TrOCs. Photolysis and Fenton processes show TrOC-specific suitability. This review also demonstrates that optimum doses of chemicals/catalysts are required for each AOP. This is because excessive concentrations of catalysts or other chemicals (e.g., H2O2: iron dose in Fenton process) may result in low TrOC degradation. Degradation of individual TrOCs can result in a number of degradation by-product that varies in nature. Different AOP has different reaction mechanisms that also affect the number and nature of by-product formation during TrOC degradation.","author":[{"dropping-particle":"","family":"Tufail","given":"Arbab","non-dropping-particle":"","parse-names":false,"suffix":""},{"dropping-particle":"","family":"Price","given":"William E.","non-dropping-particle":"","parse-names":false,"suffix":""},{"dropping-particle":"","family":"Mohseni","given":"Madjid","non-dropping-particle":"","parse-names":false,"suffix":""},{"dropping-particle":"","family":"Pramanik","given":"Biplob K.","non-dropping-particle":"","parse-names":false,"suffix":""},{"dropping-particle":"","family":"Hai","given":"Faisal I.","non-dropping-particle":"","parse-names":false,"suffix":""}],"container-title":"Journal of Water Process Engineering","id":"ITEM-1","issue":"November 2020","issued":{"date-parts":[["2021"]]},"page":"101778","publisher":"Elsevier Ltd","title":"A critical review of advanced oxidation processes for emerging trace organic contaminant degradation: Mechanisms, factors, degradation products, and effluent toxicity","type":"article-journal","volume":"40"},"uris":["http://www.mendeley.com/documents/?uuid=414aa1e7-784a-423c-8131-5e47fbe819e4"]}],"mendeley":{"formattedCitation":"(Tufail et al., 2021)","plainTextFormattedCitation":"(Tufail et al., 2021)","previouslyFormattedCitation":"(Tufail et al., 2021)"},"properties":{"noteIndex":0},"schema":"https://github.com/citation-style-language/schema/raw/master/csl-citation.json"}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(Tufail et al., 2021)</w:t>
            </w:r>
            <w:r w:rsidRPr="00100213">
              <w:rPr>
                <w:rFonts w:cs="Times New Roman"/>
                <w:bCs/>
                <w:color w:val="000000" w:themeColor="text1"/>
                <w:sz w:val="22"/>
                <w:lang w:val="en-GB"/>
              </w:rPr>
              <w:fldChar w:fldCharType="end"/>
            </w:r>
          </w:p>
        </w:tc>
      </w:tr>
      <w:tr w:rsidR="00FF6451" w:rsidRPr="00100213" w14:paraId="5AA13CBA" w14:textId="77777777" w:rsidTr="00665A1E">
        <w:trPr>
          <w:trHeight w:val="387"/>
          <w:jc w:val="center"/>
        </w:trPr>
        <w:tc>
          <w:tcPr>
            <w:tcW w:w="577" w:type="dxa"/>
            <w:tcBorders>
              <w:top w:val="single" w:sz="4" w:space="0" w:color="auto"/>
              <w:bottom w:val="single" w:sz="4" w:space="0" w:color="auto"/>
            </w:tcBorders>
          </w:tcPr>
          <w:p w14:paraId="100FDBD3"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7</w:t>
            </w:r>
          </w:p>
        </w:tc>
        <w:tc>
          <w:tcPr>
            <w:tcW w:w="4442" w:type="dxa"/>
            <w:tcBorders>
              <w:top w:val="single" w:sz="4" w:space="0" w:color="auto"/>
              <w:bottom w:val="single" w:sz="4" w:space="0" w:color="auto"/>
            </w:tcBorders>
          </w:tcPr>
          <w:p w14:paraId="4B70EE3D"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Chemical, photochemical, and photocatalytic AOPs</w:t>
            </w:r>
          </w:p>
        </w:tc>
        <w:tc>
          <w:tcPr>
            <w:tcW w:w="3533" w:type="dxa"/>
            <w:tcBorders>
              <w:top w:val="single" w:sz="4" w:space="0" w:color="auto"/>
              <w:bottom w:val="single" w:sz="4" w:space="0" w:color="auto"/>
            </w:tcBorders>
          </w:tcPr>
          <w:p w14:paraId="46708A07"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 xml:space="preserve">Mechanisms, factors, challenges, formation of toxic disinfection byproducts </w:t>
            </w:r>
          </w:p>
        </w:tc>
        <w:tc>
          <w:tcPr>
            <w:tcW w:w="1452" w:type="dxa"/>
            <w:tcBorders>
              <w:top w:val="single" w:sz="4" w:space="0" w:color="auto"/>
              <w:bottom w:val="single" w:sz="4" w:space="0" w:color="auto"/>
            </w:tcBorders>
          </w:tcPr>
          <w:p w14:paraId="666C0FA6"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{"citationItems":[{"id":"ITEM-1","itemData":{"DOI":"10.1016/B978-0-12-813561-7.00009-2","ISBN":"9780128135617","abstract":"The application of contaminants of emerging concern (CECs) such as pharmaceuticals and personal care products, pesticides, flame retardants, plasticizers, endocrine disruptors, surfactants, and polycyclic aromatic hydrocarbons (PAHs) became an indispensable requirement of the current era. Although the CECs are useful for wide-spectrum purposes, they can also result in undesirable effects on human health and other animals. The large-scale use of CEC leads to their ubiquitous occurrence in surface and ground water sources and has caused great concern among the scientific community and regulatory authorities in recent years. Because CEC may have significant adverse effects on human health and other animals including aquatic life, their efficient removal from waterbodies is essential. A number of advanced oxidation processes (AOPs) have been established for the enhanced degradation of CEC. This book chapter focuses on the occurrence and possible effects of CEC on human health and other animals. Various AOPs have been discussed in detail and their applications for the treatment of CEC have been outlined. The AOPs were divided into three groups namely chemical, photochemical, and photocatalytic AOPs. Both hydroxyl and sulfate radicals-driven AOPs were discussed. The experimental results of previously published research papers regarding the removal of CEC have been summarized under each AOP section for better understanding of the effectiveness of these AOPs. The various factors that could affect the performance of these AOPs were taken into account. Furthermore, the cost evaluation of different AOPs is summarized. At the end, some challenges faced by AOPs, including the formation of toxic disinfection by-products, have been highlighted. Finally, future suggestions are recommended for practical applications of these AOPs.","author":[{"dropping-particle":"","family":"Khan","given":"Javed Ali","non-dropping-particle":"","parse-names":false,"suffix":""},{"dropping-particle":"","family":"Sayed","given":"Murtaza","non-dropping-particle":"","parse-names":false,"suffix":""},{"dropping-particle":"","family":"Khan","given":"Sanaullah","non-dropping-particle":"","parse-names":false,"suffix":""},{"dropping-particle":"","family":"Shah","given":"Noor S.","non-dropping-particle":"","parse-names":false,"suffix":""},{"dropping-particle":"","family":"Dionysiou","given":"Dionysios D.","non-dropping-particle":"","parse-names":false,"suffix":""},{"dropping-particle":"","family":"Boczkaj","given":"Grzegorz","non-dropping-particle":"","parse-names":false,"suffix":""}],"container-title":"Contaminants of Emerging Concern in Water and Wastewater","id":"ITEM-1","issued":{"date-parts":[["2020"]]},"page":"299-365","publisher":"Elsevier","title":"Advanced oxidation processes for the treatment of contaminants of emerging concern","type":"chapter"},"uris":["http://www.mendeley.com/documents/?uuid=856d0340-4ae7-46b7-9632-22c2971263bf"]}],"mendeley":{"formattedCitation":"(Khan et al., 2020)","plainTextFormattedCitation":"(Khan et al., 2020)","previouslyFormattedCitation":"(Khan et al., 2020)"},"properties":{"noteIndex":0},"schema":"https://github.com/citation-style-language/schema/raw/master/csl-citation.json"}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(Khan et al., 2020)</w:t>
            </w:r>
            <w:r w:rsidRPr="00100213">
              <w:rPr>
                <w:rFonts w:cs="Times New Roman"/>
                <w:bCs/>
                <w:color w:val="000000" w:themeColor="text1"/>
                <w:sz w:val="22"/>
                <w:lang w:val="en-GB"/>
              </w:rPr>
              <w:fldChar w:fldCharType="end"/>
            </w:r>
          </w:p>
        </w:tc>
      </w:tr>
      <w:tr w:rsidR="00FF6451" w:rsidRPr="00100213" w14:paraId="773F928E" w14:textId="77777777" w:rsidTr="00665A1E">
        <w:trPr>
          <w:trHeight w:val="387"/>
          <w:jc w:val="center"/>
        </w:trPr>
        <w:tc>
          <w:tcPr>
            <w:tcW w:w="577" w:type="dxa"/>
            <w:tcBorders>
              <w:top w:val="single" w:sz="4" w:space="0" w:color="auto"/>
              <w:bottom w:val="single" w:sz="4" w:space="0" w:color="auto"/>
            </w:tcBorders>
          </w:tcPr>
          <w:p w14:paraId="76A39B36"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8</w:t>
            </w:r>
          </w:p>
        </w:tc>
        <w:tc>
          <w:tcPr>
            <w:tcW w:w="4442" w:type="dxa"/>
            <w:tcBorders>
              <w:top w:val="single" w:sz="4" w:space="0" w:color="auto"/>
              <w:bottom w:val="single" w:sz="4" w:space="0" w:color="auto"/>
            </w:tcBorders>
          </w:tcPr>
          <w:p w14:paraId="7D86592E"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H</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/UV, Fenton, Fenton-like, heterogeneous Fenton, and photo-Fenton, TiO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/UV, TiO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/H</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 xml:space="preserve">/UV, and </w:t>
            </w:r>
            <w:proofErr w:type="spellStart"/>
            <w:r w:rsidRPr="00100213">
              <w:rPr>
                <w:rFonts w:cs="Times New Roman"/>
                <w:bCs/>
                <w:color w:val="000000" w:themeColor="text1"/>
                <w:sz w:val="22"/>
                <w:lang w:val="en-GB"/>
              </w:rPr>
              <w:t>sonochemical</w:t>
            </w:r>
            <w:proofErr w:type="spellEnd"/>
            <w:r w:rsidRPr="00100213">
              <w:rPr>
                <w:rFonts w:cs="Times New Roman"/>
                <w:bCs/>
                <w:color w:val="000000" w:themeColor="text1"/>
                <w:sz w:val="22"/>
                <w:lang w:val="en-GB"/>
              </w:rPr>
              <w:t xml:space="preserve"> and electro-oxidative AOPs</w:t>
            </w:r>
          </w:p>
        </w:tc>
        <w:tc>
          <w:tcPr>
            <w:tcW w:w="3533" w:type="dxa"/>
            <w:tcBorders>
              <w:top w:val="single" w:sz="4" w:space="0" w:color="auto"/>
              <w:bottom w:val="single" w:sz="4" w:space="0" w:color="auto"/>
            </w:tcBorders>
          </w:tcPr>
          <w:p w14:paraId="26182F93"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Mechanisms, challenges, and prospects</w:t>
            </w:r>
          </w:p>
        </w:tc>
        <w:tc>
          <w:tcPr>
            <w:tcW w:w="1452" w:type="dxa"/>
            <w:tcBorders>
              <w:top w:val="single" w:sz="4" w:space="0" w:color="auto"/>
              <w:bottom w:val="single" w:sz="4" w:space="0" w:color="auto"/>
            </w:tcBorders>
          </w:tcPr>
          <w:p w14:paraId="08E5E99B"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{"citationItems":[{"id":"ITEM-1","itemData":{"DOI":"10.3390/w12010102","ISSN":"20734441","abstract":"In this work, the application of advanced oxidation processes (AOPs) for the removal of antibiotics from water has been reviewed. The present concern about water has been exposed, and the main problems derived from the presence of emerging pollutants have been analyzed. Photolysis processes, ozone-based AOPs including ozonation, O3/UV, O3/H2O2, and O3/H2O2/UV, hydrogen peroxide-based methods (i.e., H2O2/UV, Fenton, Fenton-like, hetero-Fenton, and photo-Fenton), heterogeneous photocatalysis (TiO2/UV and TiO2/H2O2/UV systems), and sonochemical and electrooxidative AOPs have been reviewed. The main challenges and prospects of AOPs, as well as some recommendations for the improvement of AOPs aimed at the removal of antibiotics from wastewaters, are pointed out.","author":[{"dropping-particle":"","family":"Cuerda-Correa","given":"Eduardo Manuel","non-dropping-particle":"","parse-names":false,"suffix":""},{"dropping-particle":"","family":"Alexandre-Franco","given":"María F.","non-dropping-particle":"","parse-names":false,"suffix":""},{"dropping-particle":"","family":"Fernández-González","given":"Carmen","non-dropping-particle":"","parse-names":false,"suffix":""}],"container-title":"Water (Switzerland)","id":"ITEM-1","issue":"1","issued":{"date-parts":[["2020","1","1"]]},"publisher":"MDPI AG","title":"Advanced oxidation processes for the removal of antibiotics from water. An overview","type":"article","volume":"12"},"uris":["http://www.mendeley.com/documents/?uuid=ba7cc325-33ca-3a4d-b3ad-30f3097cf85b"]}],"mendeley":{"formattedCitation":"(Cuerda-Correa et al., 2020)","plainTextFormattedCitation":"(Cuerda-Correa et al., 2020)","previouslyFormattedCitation":"(Cuerda-Correa et al., 2020)"},"properties":{"noteIndex":0},"schema":"https://github.com/citation-style-language/schema/raw/master/csl-citation.json"}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(Cuerda-Correa et al., 2020)</w:t>
            </w:r>
            <w:r w:rsidRPr="00100213">
              <w:rPr>
                <w:rFonts w:cs="Times New Roman"/>
                <w:bCs/>
                <w:color w:val="000000" w:themeColor="text1"/>
                <w:sz w:val="22"/>
                <w:lang w:val="en-GB"/>
              </w:rPr>
              <w:fldChar w:fldCharType="end"/>
            </w:r>
          </w:p>
        </w:tc>
      </w:tr>
      <w:tr w:rsidR="00FF6451" w:rsidRPr="00100213" w14:paraId="7C1B44C7" w14:textId="77777777" w:rsidTr="00665A1E">
        <w:trPr>
          <w:trHeight w:val="267"/>
          <w:jc w:val="center"/>
        </w:trPr>
        <w:tc>
          <w:tcPr>
            <w:tcW w:w="577" w:type="dxa"/>
            <w:tcBorders>
              <w:top w:val="single" w:sz="4" w:space="0" w:color="auto"/>
              <w:bottom w:val="single" w:sz="4" w:space="0" w:color="auto"/>
            </w:tcBorders>
          </w:tcPr>
          <w:p w14:paraId="5CE65B14"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9</w:t>
            </w:r>
          </w:p>
        </w:tc>
        <w:tc>
          <w:tcPr>
            <w:tcW w:w="4442" w:type="dxa"/>
            <w:tcBorders>
              <w:top w:val="single" w:sz="4" w:space="0" w:color="auto"/>
              <w:bottom w:val="single" w:sz="4" w:space="0" w:color="auto"/>
            </w:tcBorders>
          </w:tcPr>
          <w:p w14:paraId="0C40F419"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Ozonation, UV irradiation,</w:t>
            </w:r>
          </w:p>
          <w:p w14:paraId="32E110CA"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photocatalysis, Fenton reaction, and integrated processes</w:t>
            </w:r>
          </w:p>
        </w:tc>
        <w:tc>
          <w:tcPr>
            <w:tcW w:w="3533" w:type="dxa"/>
            <w:tcBorders>
              <w:top w:val="single" w:sz="4" w:space="0" w:color="auto"/>
              <w:bottom w:val="single" w:sz="4" w:space="0" w:color="auto"/>
            </w:tcBorders>
          </w:tcPr>
          <w:p w14:paraId="7F4DE793"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Process engineering, and environmental, economic, and social parameters</w:t>
            </w:r>
          </w:p>
        </w:tc>
        <w:tc>
          <w:tcPr>
            <w:tcW w:w="1452" w:type="dxa"/>
            <w:tcBorders>
              <w:top w:val="single" w:sz="4" w:space="0" w:color="auto"/>
              <w:bottom w:val="single" w:sz="4" w:space="0" w:color="auto"/>
            </w:tcBorders>
          </w:tcPr>
          <w:p w14:paraId="6AB9FC91"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{"citationItems":[{"id":"ITEM-1","itemData":{"DOI":"10.1007/s40710-017-0207-1","ISSN":"2198-7491","abstract":"Removing emerging contaminants from waste streams has become a topic of growing interest. The adverse effects of endocrine disrupting chemicals (EDCs) and pharmaceutical and personal care products (PPCPs) have been well documented, but much remains to be known about these contaminants and their removal. Their removal with traditional methods has not been entirely successful. However, adequate degradation can be achieved through the use of advanced oxidation processes (AOPs). Multiple factors must be considered when completing an in-depth comparison; therefore, process engineering, environmental, and economic and social parameters were included in a deeper analysis. This study presents a ranking system to numerically score the performance of various AOPs (e.g., Ozonation, UV irradiation, Photocatalysis, Fenton reaction, and integrated processes) in several categories of parameters under engineering, environmental, and socioeconomic components. From this preliminary assessment, it was noted that H2O2/O3 (Perozonation) presented the highest average ranking (3.45), with other processes showing comparable performance. TiO2 photocatalysis received the lowest ranking (2.11).","author":[{"dropping-particle":"","family":"Fast","given":"Sara Ann","non-dropping-particle":"","parse-names":false,"suffix":""},{"dropping-particle":"","family":"Gude","given":"Veera Gnaneswar","non-dropping-particle":"","parse-names":false,"suffix":""},{"dropping-particle":"","family":"Truax","given":"Dennis D","non-dropping-particle":"","parse-names":false,"suffix":""},{"dropping-particle":"","family":"Martin","given":"James","non-dropping-particle":"","parse-names":false,"suffix":""},{"dropping-particle":"","family":"Magbanua","given":"Benjamin S","non-dropping-particle":"","parse-names":false,"suffix":""}],"container-title":"Environmental Processes","id":"ITEM-1","issue":"1","issued":{"date-parts":[["2017"]]},"page":"283-302","title":"A Critical Evaluation of Advanced Oxidation Processes for Emerging Contaminants Removal","type":"article-journal","volume":"4"},"uris":["http://www.mendeley.com/documents/?uuid=8c4b18d0-a54f-4191-99ad-3ecdffd46ab7"]}],"mendeley":{"formattedCitation":"(Fast et al., 2017)","plainTextFormattedCitation":"(Fast et al., 2017)","previouslyFormattedCitation":"(Fast et al., 2017)"},"properties":{"noteIndex":0},"schema":"https://github.com/citation-style-language/schema/raw/master/csl-citation.json"}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(Fast et al., 2017)</w:t>
            </w:r>
            <w:r w:rsidRPr="00100213">
              <w:rPr>
                <w:rFonts w:cs="Times New Roman"/>
                <w:bCs/>
                <w:color w:val="000000" w:themeColor="text1"/>
                <w:sz w:val="22"/>
                <w:lang w:val="en-GB"/>
              </w:rPr>
              <w:fldChar w:fldCharType="end"/>
            </w:r>
          </w:p>
        </w:tc>
      </w:tr>
      <w:tr w:rsidR="00FF6451" w:rsidRPr="00100213" w14:paraId="34011E55" w14:textId="77777777" w:rsidTr="00665A1E">
        <w:trPr>
          <w:trHeight w:val="387"/>
          <w:jc w:val="center"/>
        </w:trPr>
        <w:tc>
          <w:tcPr>
            <w:tcW w:w="577" w:type="dxa"/>
            <w:tcBorders>
              <w:top w:val="single" w:sz="4" w:space="0" w:color="auto"/>
              <w:bottom w:val="single" w:sz="4" w:space="0" w:color="auto"/>
            </w:tcBorders>
          </w:tcPr>
          <w:p w14:paraId="3D2A7B08"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10</w:t>
            </w:r>
          </w:p>
        </w:tc>
        <w:tc>
          <w:tcPr>
            <w:tcW w:w="4442" w:type="dxa"/>
            <w:tcBorders>
              <w:top w:val="single" w:sz="4" w:space="0" w:color="auto"/>
              <w:bottom w:val="single" w:sz="4" w:space="0" w:color="auto"/>
            </w:tcBorders>
          </w:tcPr>
          <w:p w14:paraId="21BEBBBF"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 xml:space="preserve">Ozonation, Fenton processes, </w:t>
            </w:r>
            <w:proofErr w:type="spellStart"/>
            <w:r w:rsidRPr="00100213">
              <w:rPr>
                <w:rFonts w:cs="Times New Roman"/>
                <w:bCs/>
                <w:color w:val="000000" w:themeColor="text1"/>
                <w:sz w:val="22"/>
                <w:lang w:val="en-GB"/>
              </w:rPr>
              <w:t>sonochemical</w:t>
            </w:r>
            <w:proofErr w:type="spellEnd"/>
            <w:r w:rsidRPr="00100213">
              <w:rPr>
                <w:rFonts w:cs="Times New Roman"/>
                <w:bCs/>
                <w:color w:val="000000" w:themeColor="text1"/>
                <w:sz w:val="22"/>
                <w:lang w:val="en-GB"/>
              </w:rPr>
              <w:t>, and TiO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 xml:space="preserve"> heterogeneous photocatalysis</w:t>
            </w:r>
          </w:p>
        </w:tc>
        <w:tc>
          <w:tcPr>
            <w:tcW w:w="3533" w:type="dxa"/>
            <w:tcBorders>
              <w:top w:val="single" w:sz="4" w:space="0" w:color="auto"/>
              <w:bottom w:val="single" w:sz="4" w:space="0" w:color="auto"/>
            </w:tcBorders>
          </w:tcPr>
          <w:p w14:paraId="2D35600F"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Lab-scale applications and mechanisms</w:t>
            </w:r>
          </w:p>
        </w:tc>
        <w:tc>
          <w:tcPr>
            <w:tcW w:w="1452" w:type="dxa"/>
            <w:tcBorders>
              <w:top w:val="single" w:sz="4" w:space="0" w:color="auto"/>
              <w:bottom w:val="single" w:sz="4" w:space="0" w:color="auto"/>
            </w:tcBorders>
          </w:tcPr>
          <w:p w14:paraId="73B2F8D6"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{"citationItems":[{"id":"ITEM-1","itemData":{"DOI":"10.1007/s10661-017-6097-x","ISBN":"1066101760","ISSN":"0167-6369","PMID":"28741247","abstract":"The presence of contaminants of emerging concern (CECs) such as pharmaceuticals and personal care products (PPCPs), endocrine-disrupting compounds (EDCs), flame retardants (FRs), pesticides, and artificial sweeteners (ASWs) in the aquatic environments remains a major challenge to the environment and human health. In this review, the classification and occurrence of emerging contaminants in aquatic environments were discussed in detail. It is well documented that CECs are susceptible to poor removal during the conventional wastewater treatment plants, which introduce them back to the environment ranging from nanogram per liter (e.g., carbamazepine) up to milligram per liter (e.g., acesulfame) concentration level. Meanwhile, a deep insight into the application of advanced oxidation processes (AOPs) on mitigation of the CECs from aquatic environment was presented. In this regard, the utilization of various treatment technologies based on AOPs including ozonation, Fenton processes, sonochemical, and TiO2 heterogeneous photocatalysis was reviewed. Additionally, some innovations (e.g., visible light heterogeneous photocatalysis, electro-Fenton) concerning the AOPs and the combined utilization of AOPs (e.g., sono-Fenton) were documented.","author":[{"dropping-particle":"","family":"Salimi","given":"Maryam","non-dropping-particle":"","parse-names":false,"suffix":""},{"dropping-particle":"","family":"Esrafili","given":"Ali","non-dropping-particle":"","parse-names":false,"suffix":""},{"dropping-particle":"","family":"Gholami","given":"Mitra","non-dropping-particle":"","parse-names":false,"suffix":""},{"dropping-particle":"","family":"Jafari","given":"Ahmad Jonidi","non-dropping-particle":"","parse-names":false,"suffix":""},{"dropping-particle":"","family":"Kalantary","given":"Roshanak Rezaei","non-dropping-particle":"","parse-names":false,"suffix":""},{"dropping-particle":"","family":"Farzadkia","given":"Mahdi","non-dropping-particle":"","parse-names":false,"suffix":""},{"dropping-particle":"","family":"Kermani","given":"Majid","non-dropping-particle":"","parse-names":false,"suffix":""},{"dropping-particle":"","family":"Sobhi","given":"Hamid Reza","non-dropping-particle":"","parse-names":false,"suffix":""}],"container-title":"Environmental Monitoring and Assessment","id":"ITEM-1","issue":"8","issued":{"date-parts":[["2017"]]},"page":"414","title":"Contaminants of emerging concern: a review of new approach in AOP technologies","type":"article-journal","volume":"189"},"uris":["http://www.mendeley.com/documents/?uuid=6186aee3-e3a2-470d-bc03-93312c20ae96"]}],"mendeley":{"formattedCitation":"(Salimi et al., 2017)","plainTextFormattedCitation":"(Salimi et al., 2017)","previouslyFormattedCitation":"(Salimi et al., 2017)"},"properties":{"noteIndex":0},"schema":"https://github.com/citation-style-language/schema/raw/master/csl-citation.json"}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(Salimi et al., 2017)</w:t>
            </w:r>
            <w:r w:rsidRPr="00100213">
              <w:rPr>
                <w:rFonts w:cs="Times New Roman"/>
                <w:bCs/>
                <w:color w:val="000000" w:themeColor="text1"/>
                <w:sz w:val="22"/>
                <w:lang w:val="en-GB"/>
              </w:rPr>
              <w:fldChar w:fldCharType="end"/>
            </w:r>
          </w:p>
        </w:tc>
      </w:tr>
      <w:tr w:rsidR="00FF6451" w:rsidRPr="00100213" w14:paraId="7BCEFF8B" w14:textId="77777777" w:rsidTr="00665A1E">
        <w:trPr>
          <w:trHeight w:val="387"/>
          <w:jc w:val="center"/>
        </w:trPr>
        <w:tc>
          <w:tcPr>
            <w:tcW w:w="577" w:type="dxa"/>
            <w:tcBorders>
              <w:top w:val="single" w:sz="4" w:space="0" w:color="auto"/>
              <w:bottom w:val="single" w:sz="4" w:space="0" w:color="auto"/>
            </w:tcBorders>
          </w:tcPr>
          <w:p w14:paraId="29F56EA2"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11</w:t>
            </w:r>
          </w:p>
        </w:tc>
        <w:tc>
          <w:tcPr>
            <w:tcW w:w="4442" w:type="dxa"/>
            <w:tcBorders>
              <w:top w:val="single" w:sz="4" w:space="0" w:color="auto"/>
              <w:bottom w:val="single" w:sz="4" w:space="0" w:color="auto"/>
            </w:tcBorders>
          </w:tcPr>
          <w:p w14:paraId="47A208D4"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3</w:t>
            </w:r>
            <w:r w:rsidRPr="00100213">
              <w:rPr>
                <w:rFonts w:cs="Times New Roman"/>
                <w:bCs/>
                <w:color w:val="000000" w:themeColor="text1"/>
                <w:sz w:val="22"/>
                <w:lang w:val="en-GB"/>
              </w:rPr>
              <w:t>, UV, Fenton, and sulphate-based AOPs</w:t>
            </w:r>
          </w:p>
        </w:tc>
        <w:tc>
          <w:tcPr>
            <w:tcW w:w="3533" w:type="dxa"/>
            <w:tcBorders>
              <w:top w:val="single" w:sz="4" w:space="0" w:color="auto"/>
              <w:bottom w:val="single" w:sz="4" w:space="0" w:color="auto"/>
            </w:tcBorders>
          </w:tcPr>
          <w:p w14:paraId="2E398DE6"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Fundamental mechanisms, application to landfill leachate treatment</w:t>
            </w:r>
          </w:p>
        </w:tc>
        <w:tc>
          <w:tcPr>
            <w:tcW w:w="1452" w:type="dxa"/>
            <w:tcBorders>
              <w:top w:val="single" w:sz="4" w:space="0" w:color="auto"/>
              <w:bottom w:val="single" w:sz="4" w:space="0" w:color="auto"/>
            </w:tcBorders>
          </w:tcPr>
          <w:p w14:paraId="71058512"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{"citationItems":[{"id":"ITEM-1","itemData":{"DOI":"10.1007/s40726-015-0015-z","ISBN":"4072601500","ISSN":"21986592","abstract":"Advanced oxidation processes (AOPs) were first proposed in the 1980s for drinking water treatment and later were widely studied for treatment of different wastewaters. During the AOP treatment of wastewater, hydroxyl radicals (OH·) or sulfate radicals (SO4·−) are generated in sufficient quantity to remove refractory organic matters, traceable organic contaminants, or certain inorganic pollutants, or to increase wastewater biodegradability as a pre-treatment prior to an ensuing biological treatment. In this paper, we review the fundamental mechanisms of radical generation in different AOPs and select landfill leachate and biologically treated municipal wastewater as model wastewaters to discuss wastewater treatment with different AOPs. Generally, the treatment efficiencies rely heavily upon the selected AOP type, physical and chemical properties of target pollutants, and operating conditions. It would be noted that other mechanisms, besides hydroxyl radical or sulfate radical-based oxidation, may occur during the AOP treatment and contribute to the reduction of target pollutants. Particularly, we summarize recent advances in the AOP treatment of landfill leachate, as well as advanced oxidation of effluent organic matters (EfOM) in biologically treated secondary effluent (BTSE) for water reuse.","author":[{"dropping-particle":"","family":"Deng","given":"Yang","non-dropping-particle":"","parse-names":false,"suffix":""},{"dropping-particle":"","family":"Zhao","given":"Renzun","non-dropping-particle":"","parse-names":false,"suffix":""}],"container-title":"Current Pollution Reports","id":"ITEM-1","issue":"3","issued":{"date-parts":[["2015"]]},"page":"167-176","title":"Advanced Oxidation Processes (AOPs) in Wastewater Treatment","type":"article-journal","volume":"1"},"uris":["http://www.mendeley.com/documents/?uuid=d0914a10-525a-4a11-be75-a847afaa929c"]}],"mendeley":{"formattedCitation":"(Deng and Zhao, 2015)","plainTextFormattedCitation":"(Deng and Zhao, 2015)","previouslyFormattedCitation":"(Deng and Zhao, 2015)"},"properties":{"noteIndex":0},"schema":"https://github.com/citation-style-language/schema/raw/master/csl-citation.json"}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(Deng and Zhao, 2015)</w:t>
            </w:r>
            <w:r w:rsidRPr="00100213">
              <w:rPr>
                <w:rFonts w:cs="Times New Roman"/>
                <w:bCs/>
                <w:color w:val="000000" w:themeColor="text1"/>
                <w:sz w:val="22"/>
                <w:lang w:val="en-GB"/>
              </w:rPr>
              <w:fldChar w:fldCharType="end"/>
            </w:r>
          </w:p>
        </w:tc>
      </w:tr>
      <w:tr w:rsidR="00FF6451" w:rsidRPr="00100213" w14:paraId="7F7478B6" w14:textId="77777777" w:rsidTr="00665A1E">
        <w:trPr>
          <w:trHeight w:val="387"/>
          <w:jc w:val="center"/>
        </w:trPr>
        <w:tc>
          <w:tcPr>
            <w:tcW w:w="577" w:type="dxa"/>
            <w:tcBorders>
              <w:top w:val="single" w:sz="4" w:space="0" w:color="auto"/>
              <w:bottom w:val="single" w:sz="4" w:space="0" w:color="auto"/>
            </w:tcBorders>
          </w:tcPr>
          <w:p w14:paraId="4F2E6903"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12</w:t>
            </w:r>
          </w:p>
        </w:tc>
        <w:tc>
          <w:tcPr>
            <w:tcW w:w="4442" w:type="dxa"/>
            <w:tcBorders>
              <w:top w:val="single" w:sz="4" w:space="0" w:color="auto"/>
              <w:bottom w:val="single" w:sz="4" w:space="0" w:color="auto"/>
            </w:tcBorders>
          </w:tcPr>
          <w:p w14:paraId="427F791F"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 xml:space="preserve">Chemical, photochemical, </w:t>
            </w:r>
            <w:proofErr w:type="spellStart"/>
            <w:r w:rsidRPr="00100213">
              <w:rPr>
                <w:rFonts w:cs="Times New Roman"/>
                <w:bCs/>
                <w:color w:val="000000" w:themeColor="text1"/>
                <w:sz w:val="22"/>
                <w:lang w:val="en-GB"/>
              </w:rPr>
              <w:t>sonochemical</w:t>
            </w:r>
            <w:proofErr w:type="spellEnd"/>
            <w:r w:rsidRPr="00100213">
              <w:rPr>
                <w:rFonts w:cs="Times New Roman"/>
                <w:bCs/>
                <w:color w:val="000000" w:themeColor="text1"/>
                <w:sz w:val="22"/>
                <w:lang w:val="en-GB"/>
              </w:rPr>
              <w:t>, and electrochemical reactions</w:t>
            </w:r>
          </w:p>
        </w:tc>
        <w:tc>
          <w:tcPr>
            <w:tcW w:w="3533" w:type="dxa"/>
            <w:tcBorders>
              <w:top w:val="single" w:sz="4" w:space="0" w:color="auto"/>
              <w:bottom w:val="single" w:sz="4" w:space="0" w:color="auto"/>
            </w:tcBorders>
          </w:tcPr>
          <w:p w14:paraId="2F567CB8"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Principles, performance, advantages, drawbacks, and applications</w:t>
            </w:r>
          </w:p>
        </w:tc>
        <w:tc>
          <w:tcPr>
            <w:tcW w:w="1452" w:type="dxa"/>
            <w:tcBorders>
              <w:top w:val="single" w:sz="4" w:space="0" w:color="auto"/>
              <w:bottom w:val="single" w:sz="4" w:space="0" w:color="auto"/>
            </w:tcBorders>
          </w:tcPr>
          <w:p w14:paraId="23FB6C3F"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{"citationItems":[{"id":"ITEM-1","itemData":{"DOI":"10.1080/10643389.2013.829765","ISSN":"15476537","abstract":"Advanced oxidation processes (AOPs) constitute important, promising, efficient, and environmental-friendly methods developed to principally remove persistent organic pollutants (POPs) from waters and wastewaters. Generally, AOPs are based on the in situ generation of a powerful oxidizing agent, such as hydroxyl radicals (•OH), obtained at a sufficient concentration to effectively decontaminate waters. This critical review presents a precise and overall description of the recent literature (period 1990-2012) concerning the main types of AOPs, based on chemical, photochemical, sonochemical, and electrochemical reactions. The principles, performances, advantages, drawbacks, and applications of these AOPs to the degradation and destruction of POPs in aquatic media and to the treatment of waters and waste waters have been reported and compared. Copyright © Taylor &amp; Francis Group, LLC.","author":[{"dropping-particle":"","family":"Oturan","given":"Mehmet A.","non-dropping-particle":"","parse-names":false,"suffix":""},{"dropping-particle":"","family":"Aaron","given":"Jean Jacques","non-dropping-particle":"","parse-names":false,"suffix":""}],"container-title":"Critical Reviews in Environmental Science and Technology","id":"ITEM-1","issue":"23","issued":{"date-parts":[["2014","12","2"]]},"page":"2577-2641","title":"Advanced oxidation processes in water/wastewater treatment: Principles and applications. A review","type":"article","volume":"44"},"uris":["http://www.mendeley.com/documents/?uuid=48e632cd-8945-3e5b-91bd-54dda2f3cf80"]}],"mendeley":{"formattedCitation":"(Oturan and Aaron, 2014)","plainTextFormattedCitation":"(Oturan and Aaron, 2014)","previouslyFormattedCitation":"(Oturan and Aaron, 2014)"},"properties":{"noteIndex":0},"schema":"https://github.com/citation-style-language/schema/raw/master/csl-citation.json"}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(Oturan and Aaron, 2014)</w:t>
            </w:r>
            <w:r w:rsidRPr="00100213">
              <w:rPr>
                <w:rFonts w:cs="Times New Roman"/>
                <w:bCs/>
                <w:color w:val="000000" w:themeColor="text1"/>
                <w:sz w:val="22"/>
                <w:lang w:val="en-GB"/>
              </w:rPr>
              <w:fldChar w:fldCharType="end"/>
            </w:r>
          </w:p>
        </w:tc>
      </w:tr>
      <w:tr w:rsidR="00FF6451" w:rsidRPr="00100213" w14:paraId="5C32B7E6" w14:textId="77777777" w:rsidTr="00665A1E">
        <w:trPr>
          <w:trHeight w:val="387"/>
          <w:jc w:val="center"/>
        </w:trPr>
        <w:tc>
          <w:tcPr>
            <w:tcW w:w="577" w:type="dxa"/>
            <w:tcBorders>
              <w:top w:val="single" w:sz="4" w:space="0" w:color="auto"/>
              <w:bottom w:val="single" w:sz="4" w:space="0" w:color="auto"/>
            </w:tcBorders>
          </w:tcPr>
          <w:p w14:paraId="3247D76D"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13</w:t>
            </w:r>
          </w:p>
        </w:tc>
        <w:tc>
          <w:tcPr>
            <w:tcW w:w="4442" w:type="dxa"/>
            <w:tcBorders>
              <w:top w:val="single" w:sz="4" w:space="0" w:color="auto"/>
              <w:bottom w:val="single" w:sz="4" w:space="0" w:color="auto"/>
            </w:tcBorders>
          </w:tcPr>
          <w:p w14:paraId="09204D70"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Radiation, photolysis, photocatalysis, sonolysis, electrochemical, Fenton, and ozone-based processes</w:t>
            </w:r>
          </w:p>
        </w:tc>
        <w:tc>
          <w:tcPr>
            <w:tcW w:w="3533" w:type="dxa"/>
            <w:tcBorders>
              <w:top w:val="single" w:sz="4" w:space="0" w:color="auto"/>
              <w:bottom w:val="single" w:sz="4" w:space="0" w:color="auto"/>
            </w:tcBorders>
          </w:tcPr>
          <w:p w14:paraId="37477730"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Description and performance analysis of AOPs and their application</w:t>
            </w:r>
          </w:p>
        </w:tc>
        <w:tc>
          <w:tcPr>
            <w:tcW w:w="1452" w:type="dxa"/>
            <w:tcBorders>
              <w:top w:val="single" w:sz="4" w:space="0" w:color="auto"/>
              <w:bottom w:val="single" w:sz="4" w:space="0" w:color="auto"/>
            </w:tcBorders>
          </w:tcPr>
          <w:p w14:paraId="4BB43A70"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{"citationItems":[{"id":"ITEM-1","itemData":{"DOI":"10.1080/10643389.2010.507698","ISSN":"1064-3389","abstract":"Advanced oxidation processes (AOPs), defined as those technologies that utilize the hydroxyl radical (·OH) for oxidation, have received increasing attention in the research and development of wastewater treatment technologies in the last decades. These processes have been applied successfully for the removal or degradation of toxic pollutants or used as pretreatment to convert recalcitrant pollutants into biodegradable compounds that can then be treated by conventional biological methods. The efficacy of AOPs depends on the generation of reactive free radicals, the most important of which is the hydroxyl radical (·OH). The authors summarize the formation reactions of ·OH and the mechanisms of pollutants degradation. They cover six types of advanced oxidation processes, including radiation, photolysis and photocatalysis, sonolysis, electrochemical oxidation technologies, Fenton-based reactions, and ozone-based processes. Controversial issues in pollutants degradation mechanism were discussed. They review the application of these processes for removal of different kinds of toxic pollutants from wastewater, including aromatic compounds, dyes, pharmaceutical compounds, and pesticides, with emphasis on the parameters assessed, removal effectiveness, and the degradation mechanisms of pollutants. The authors discuss issues associated with practical wastewater treatment and offer suggestions for the direction for future researches.","author":[{"dropping-particle":"","family":"WANG","given":"JIAN LONG","non-dropping-particle":"","parse-names":false,"suffix":""},{"dropping-particle":"","family":"XU","given":"LE JIN","non-dropping-particle":"","parse-names":false,"suffix":""}],"container-title":"Critical Reviews in Environmental Science and Technology","id":"ITEM-1","issue":"3","issued":{"date-parts":[["2012","2"]]},"page":"251-325","title":"Advanced Oxidation Processes for Wastewater Treatment: Formation of Hydroxyl Radical and Application","type":"article-journal","volume":"42"},"uris":["http://www.mendeley.com/documents/?uuid=2e678539-2e57-4a24-9a7c-1ef8f9b7f223"]}],"mendeley":{"formattedCitation":"(WANG and XU, 2012)","manualFormatting":"(Wang And Xu 2012)","plainTextFormattedCitation":"(WANG and XU, 2012)","previouslyFormattedCitation":"(WANG and XU, 2012)"},"properties":{"noteIndex":0},"schema":"https://github.com/citation-style-language/schema/raw/master/csl-citation.json"}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(Wang And Xu 2012)</w:t>
            </w:r>
            <w:r w:rsidRPr="00100213">
              <w:rPr>
                <w:rFonts w:cs="Times New Roman"/>
                <w:bCs/>
                <w:color w:val="000000" w:themeColor="text1"/>
                <w:sz w:val="22"/>
                <w:lang w:val="en-GB"/>
              </w:rPr>
              <w:fldChar w:fldCharType="end"/>
            </w:r>
          </w:p>
        </w:tc>
      </w:tr>
      <w:tr w:rsidR="00FF6451" w:rsidRPr="00100213" w14:paraId="299BFCC7" w14:textId="77777777" w:rsidTr="00665A1E">
        <w:trPr>
          <w:trHeight w:val="888"/>
          <w:jc w:val="center"/>
        </w:trPr>
        <w:tc>
          <w:tcPr>
            <w:tcW w:w="577" w:type="dxa"/>
            <w:tcBorders>
              <w:top w:val="single" w:sz="4" w:space="0" w:color="auto"/>
              <w:bottom w:val="single" w:sz="4" w:space="0" w:color="auto"/>
            </w:tcBorders>
          </w:tcPr>
          <w:p w14:paraId="20C5CAE6"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14</w:t>
            </w:r>
          </w:p>
        </w:tc>
        <w:tc>
          <w:tcPr>
            <w:tcW w:w="4442" w:type="dxa"/>
            <w:tcBorders>
              <w:top w:val="single" w:sz="4" w:space="0" w:color="auto"/>
              <w:bottom w:val="single" w:sz="4" w:space="0" w:color="auto"/>
            </w:tcBorders>
          </w:tcPr>
          <w:p w14:paraId="5F0592F3"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3</w:t>
            </w:r>
            <w:r w:rsidRPr="00100213">
              <w:rPr>
                <w:rFonts w:cs="Times New Roman"/>
                <w:bCs/>
                <w:color w:val="000000" w:themeColor="text1"/>
                <w:sz w:val="22"/>
                <w:lang w:val="en-GB"/>
              </w:rPr>
              <w:t>/UV, H</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/UV, O</w:t>
            </w:r>
            <w:r w:rsidRPr="00100213">
              <w:rPr>
                <w:rFonts w:cs="Times New Roman"/>
                <w:bCs/>
                <w:color w:val="000000" w:themeColor="text1"/>
                <w:sz w:val="22"/>
                <w:vertAlign w:val="subscript"/>
                <w:lang w:val="en-GB"/>
              </w:rPr>
              <w:t>3</w:t>
            </w:r>
            <w:r w:rsidRPr="00100213">
              <w:rPr>
                <w:rFonts w:cs="Times New Roman"/>
                <w:bCs/>
                <w:color w:val="000000" w:themeColor="text1"/>
                <w:sz w:val="22"/>
                <w:lang w:val="en-GB"/>
              </w:rPr>
              <w:t>/H</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 Fe</w:t>
            </w:r>
            <w:r w:rsidRPr="00100213">
              <w:rPr>
                <w:rFonts w:cs="Times New Roman"/>
                <w:bCs/>
                <w:color w:val="000000" w:themeColor="text1"/>
                <w:sz w:val="22"/>
                <w:vertAlign w:val="superscript"/>
                <w:lang w:val="en-GB"/>
              </w:rPr>
              <w:t>2+</w:t>
            </w:r>
            <w:r w:rsidRPr="00100213">
              <w:rPr>
                <w:rFonts w:cs="Times New Roman"/>
                <w:bCs/>
                <w:color w:val="000000" w:themeColor="text1"/>
                <w:sz w:val="22"/>
                <w:lang w:val="en-GB"/>
              </w:rPr>
              <w:t>/H</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/UV, US/H</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 anodic oxidation, electro-Fenton, H</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O</w:t>
            </w:r>
            <w:r w:rsidRPr="00100213">
              <w:rPr>
                <w:rFonts w:cs="Times New Roman"/>
                <w:bCs/>
                <w:color w:val="000000" w:themeColor="text1"/>
                <w:sz w:val="22"/>
                <w:vertAlign w:val="subscript"/>
                <w:lang w:val="en-GB"/>
              </w:rPr>
              <w:t>2</w:t>
            </w:r>
            <w:r w:rsidRPr="00100213">
              <w:rPr>
                <w:rFonts w:cs="Times New Roman"/>
                <w:bCs/>
                <w:color w:val="000000" w:themeColor="text1"/>
                <w:sz w:val="22"/>
                <w:lang w:val="en-GB"/>
              </w:rPr>
              <w:t>/catalyst, catalytic ozonation, photocatalytic, and ozonation</w:t>
            </w:r>
          </w:p>
        </w:tc>
        <w:tc>
          <w:tcPr>
            <w:tcW w:w="3533" w:type="dxa"/>
            <w:tcBorders>
              <w:top w:val="single" w:sz="4" w:space="0" w:color="auto"/>
              <w:bottom w:val="single" w:sz="4" w:space="0" w:color="auto"/>
            </w:tcBorders>
          </w:tcPr>
          <w:p w14:paraId="73E3535C" w14:textId="77777777" w:rsidR="00FF6451" w:rsidRPr="00100213" w:rsidRDefault="00FF6451" w:rsidP="00100213">
            <w:pPr>
              <w:widowControl w:val="0"/>
              <w:adjustRightInd w:val="0"/>
              <w:spacing w:after="0" w:line="240" w:lineRule="auto"/>
              <w:contextualSpacing/>
              <w:rPr>
                <w:rFonts w:cs="Times New Roman"/>
                <w:bCs/>
                <w:color w:val="000000" w:themeColor="text1"/>
                <w:sz w:val="22"/>
                <w:lang w:val="en-GB"/>
              </w:rPr>
            </w:pPr>
            <w:r w:rsidRPr="00100213">
              <w:rPr>
                <w:rFonts w:cs="Times New Roman"/>
                <w:bCs/>
                <w:color w:val="000000" w:themeColor="text1"/>
                <w:sz w:val="22"/>
                <w:lang w:val="en-GB"/>
              </w:rPr>
              <w:t>Mechanisms and lab-scale applications</w:t>
            </w:r>
          </w:p>
        </w:tc>
        <w:tc>
          <w:tcPr>
            <w:tcW w:w="1452" w:type="dxa"/>
            <w:tcBorders>
              <w:top w:val="single" w:sz="4" w:space="0" w:color="auto"/>
              <w:bottom w:val="single" w:sz="4" w:space="0" w:color="auto"/>
            </w:tcBorders>
          </w:tcPr>
          <w:p w14:paraId="7301DD84" w14:textId="77777777" w:rsidR="00FF6451" w:rsidRPr="00100213" w:rsidRDefault="00FF6451" w:rsidP="00100213">
            <w:pPr>
              <w:widowControl w:val="0"/>
              <w:adjustRightInd w:val="0"/>
              <w:spacing w:after="0" w:line="240" w:lineRule="auto"/>
              <w:contextualSpacing/>
              <w:jc w:val="center"/>
              <w:rPr>
                <w:rFonts w:cs="Times New Roman"/>
                <w:bCs/>
                <w:color w:val="000000" w:themeColor="text1"/>
                <w:sz w:val="22"/>
                <w:lang w:val="en-GB"/>
              </w:rPr>
            </w:pPr>
            <w:r w:rsidRPr="00100213">
              <w:rPr>
                <w:rFonts w:cs="Times New Roman"/>
                <w:bCs/>
                <w:color w:val="000000" w:themeColor="text1"/>
                <w:sz w:val="22"/>
                <w:lang w:val="en-GB"/>
              </w:rPr>
              <w:fldChar w:fldCharType="begin" w:fldLock="1"/>
            </w:r>
            <w:r w:rsidRPr="00100213">
              <w:rPr>
                <w:rFonts w:cs="Times New Roman"/>
                <w:bCs/>
                <w:color w:val="000000" w:themeColor="text1"/>
                <w:sz w:val="22"/>
                <w:lang w:val="en-GB"/>
              </w:rPr>
              <w:instrText>ADDIN CSL_CITATION {"citationItems":[{"id":"ITEM-1","itemData":{"DOI":"10.1007/s11270-009-0065-1","ISSN":"00496979","abstract":"The protection and conservation of natural resources is one of the main priorities of modern society. Water is perhaps our most valuable resource, and thus should be recycled. Many of the current recycling techniques for polluted water only concentrate the pollutant without degrading it or eliminating it. In this sense, advanced oxidation processes are possibly one of the most effective methods for the treatment of wastewater containing organic products (effluents from chemical and agrochemical industries, the textile industry, paints, dyes, etc.). More conventional techniques cannot be used to treat such compounds because of their high chemical stability and/or low biodegradability. This article describes, classifies, and analyzes different types of advanced oxidation processes and their application to the treatment of polluted wastewater. © 2009 Springer Science+Business Media B.V.","author":[{"dropping-particle":"","family":"Poyatos","given":"J. M.","non-dropping-particle":"","parse-names":false,"suffix":""},{"dropping-particle":"","family":"Muñio","given":"M. M.","non-dropping-particle":"","parse-names":false,"suffix":""},{"dropping-particle":"","family":"Almecija","given":"M. C.","non-dropping-particle":"","parse-names":false,"suffix":""},{"dropping-particle":"","family":"Torres","given":"J. C.","non-dropping-particle":"","parse-names":false,"suffix":""},{"dropping-particle":"","family":"Hontoria","given":"E.","non-dropping-particle":"","parse-names":false,"suffix":""},{"dropping-particle":"","family":"Osorio","given":"F.","non-dropping-particle":"","parse-names":false,"suffix":""}],"container-title":"Water, Air, and Soil Pollution","id":"ITEM-1","issue":"1-4","issued":{"date-parts":[["2010"]]},"page":"187-204","title":"Advanced oxidation processes for wastewater treatment: State of the art","type":"article-journal","volume":"205"},"uris":["http://www.mendeley.com/documents/?uuid=e0247641-2be7-47df-8a34-120aca7d5b70"]}],"mendeley":{"formattedCitation":"(Poyatos et al., 2010)","plainTextFormattedCitation":"(Poyatos et al., 2010)","previouslyFormattedCitation":"(Poyatos et al., 2010)"},"properties":{"noteIndex":0},"schema":"https://github.com/citation-style-language/schema/raw/master/csl-citation.json"}</w:instrText>
            </w:r>
            <w:r w:rsidRPr="00100213">
              <w:rPr>
                <w:rFonts w:cs="Times New Roman"/>
                <w:bCs/>
                <w:color w:val="000000" w:themeColor="text1"/>
                <w:sz w:val="22"/>
                <w:lang w:val="en-GB"/>
              </w:rPr>
              <w:fldChar w:fldCharType="separate"/>
            </w:r>
            <w:r w:rsidRPr="00100213">
              <w:rPr>
                <w:rFonts w:cs="Times New Roman"/>
                <w:bCs/>
                <w:noProof/>
                <w:color w:val="000000" w:themeColor="text1"/>
                <w:sz w:val="22"/>
                <w:lang w:val="en-GB"/>
              </w:rPr>
              <w:t>(Poyatos et al., 2010)</w:t>
            </w:r>
            <w:r w:rsidRPr="00100213">
              <w:rPr>
                <w:rFonts w:cs="Times New Roman"/>
                <w:bCs/>
                <w:color w:val="000000" w:themeColor="text1"/>
                <w:sz w:val="22"/>
                <w:lang w:val="en-GB"/>
              </w:rPr>
              <w:fldChar w:fldCharType="end"/>
            </w:r>
          </w:p>
        </w:tc>
      </w:tr>
    </w:tbl>
    <w:p w14:paraId="317665AE" w14:textId="77777777" w:rsidR="005A0D94" w:rsidRDefault="005A0D94" w:rsidP="00A66F1A"/>
    <w:p w14:paraId="5A1607B7" w14:textId="1B971603" w:rsidR="0013236E" w:rsidRPr="0038343B" w:rsidRDefault="00A4024E" w:rsidP="00775C0B">
      <w:pPr>
        <w:pStyle w:val="Heading1"/>
        <w:spacing w:line="480" w:lineRule="auto"/>
        <w:rPr>
          <w:b/>
          <w:iCs/>
          <w:szCs w:val="18"/>
        </w:rPr>
      </w:pPr>
      <w:bookmarkStart w:id="6" w:name="_Toc102395635"/>
      <w:r w:rsidRPr="0038343B">
        <w:rPr>
          <w:b/>
        </w:rPr>
        <w:lastRenderedPageBreak/>
        <w:t xml:space="preserve">Supplementary </w:t>
      </w:r>
      <w:bookmarkEnd w:id="2"/>
      <w:r w:rsidR="0013236E" w:rsidRPr="0038343B">
        <w:rPr>
          <w:b/>
        </w:rPr>
        <w:t>S</w:t>
      </w:r>
      <w:r w:rsidR="00503533">
        <w:rPr>
          <w:b/>
        </w:rPr>
        <w:t>2</w:t>
      </w:r>
      <w:bookmarkEnd w:id="6"/>
    </w:p>
    <w:p w14:paraId="17B742DC" w14:textId="1A32E2A1" w:rsidR="00A4024E" w:rsidRPr="0038343B" w:rsidRDefault="00A4024E" w:rsidP="00775C0B">
      <w:pPr>
        <w:pStyle w:val="Heading1"/>
        <w:spacing w:line="480" w:lineRule="auto"/>
        <w:rPr>
          <w:b/>
          <w:iCs/>
          <w:szCs w:val="18"/>
        </w:rPr>
      </w:pPr>
      <w:bookmarkStart w:id="7" w:name="_Toc102395636"/>
      <w:r w:rsidRPr="0038343B">
        <w:rPr>
          <w:b/>
          <w:bCs/>
        </w:rPr>
        <w:t>Conventional ozonation process and mechanism</w:t>
      </w:r>
      <w:bookmarkEnd w:id="7"/>
    </w:p>
    <w:p w14:paraId="1A7CF104" w14:textId="04331E32" w:rsidR="005771D0" w:rsidRDefault="00A4024E" w:rsidP="00735A48">
      <w:pPr>
        <w:spacing w:after="0" w:line="480" w:lineRule="auto"/>
        <w:rPr>
          <w:b/>
          <w:bCs/>
        </w:rPr>
      </w:pPr>
      <w:r w:rsidRPr="0038343B">
        <w:t>Strong oxidation potential (2.07 V) of O</w:t>
      </w:r>
      <w:r w:rsidRPr="0038343B">
        <w:rPr>
          <w:vertAlign w:val="subscript"/>
        </w:rPr>
        <w:t>3</w:t>
      </w:r>
      <w:r w:rsidRPr="0038343B">
        <w:t xml:space="preserve"> is highly efficient for water disinfection and bacteria destabilization </w:t>
      </w:r>
      <w:r w:rsidRPr="0038343B">
        <w:fldChar w:fldCharType="begin" w:fldLock="1"/>
      </w:r>
      <w:r w:rsidR="008666F9">
        <w:instrText>ADDIN CSL_CITATION {"citationItems":[{"id":"ITEM-1","itemData":{"DOI":"10.1126/science.190.4216.782","ISSN":"0036-8075","abstract":"JSTOR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This content downloaded from 134.48.162.150 on Mon, 19 Mar 2018 20:18:15 UTC All use subject to http://about.jstor.org/terms were collected and counted by an electron multiplier. After passing through a pre-amplifier, the ion pulses were integrated by a rate meter and displayed as a function of the magnetic field on an X-Y chart record-er. The mass spectra of the negative ions were obtained by manual scanning. The points-to-grid voltages were comparable to those used for FI, but the ion current measured for the parent anions (1015 ions formed per mole of neutral molecules) was lower by an order of magnitude than that of the corresponding positive molecular ions.","author":[{"dropping-particle":"","family":"Hoigne","given":"J.","non-dropping-particle":"","parse-names":false,"suffix":""},{"dropping-particle":"","family":"Bader","given":"H.","non-dropping-particle":"","parse-names":false,"suffix":""}],"container-title":"Science","id":"ITEM-1","issue":"4216","issued":{"date-parts":[["1975","11","21"]]},"page":"782-784","title":"Ozonation of Water: Role of Hydroxyl Radicals as Oxidizing Intermediates","type":"article-journal","volume":"190"},"uris":["http://www.mendeley.com/documents/?uuid=86b08ebe-9c91-4e04-a95e-8547dc6a8d50","http://www.mendeley.com/documents/?uuid=1a669c0e-c74a-47aa-9faa-21e1a503c07d"]}],"mendeley":{"formattedCitation":"(Hoigne and Bader, 1975)","plainTextFormattedCitation":"(Hoigne and Bader, 1975)","previouslyFormattedCitation":"(Hoigne and Bader, 1975)"},"properties":{"noteIndex":0},"schema":"https://github.com/citation-style-language/schema/raw/master/csl-citation.json"}</w:instrText>
      </w:r>
      <w:r w:rsidRPr="0038343B">
        <w:fldChar w:fldCharType="separate"/>
      </w:r>
      <w:r w:rsidR="00FB6D8C" w:rsidRPr="00FB6D8C">
        <w:rPr>
          <w:noProof/>
        </w:rPr>
        <w:t>(Hoigne and Bader, 1975)</w:t>
      </w:r>
      <w:r w:rsidRPr="0038343B">
        <w:fldChar w:fldCharType="end"/>
      </w:r>
      <w:r w:rsidRPr="0038343B">
        <w:t>. In general, ozonation follows two pathways: direct and indirect ozonation. In direct ozonation, O</w:t>
      </w:r>
      <w:r w:rsidRPr="0038343B">
        <w:rPr>
          <w:vertAlign w:val="subscript"/>
        </w:rPr>
        <w:t>3</w:t>
      </w:r>
      <w:r w:rsidRPr="0038343B">
        <w:t xml:space="preserve"> molecules directly react with the organic pollutants via oxidation-reduction reactions (</w:t>
      </w:r>
      <w:r w:rsidR="009D63AF" w:rsidRPr="009D63AF">
        <w:rPr>
          <w:rFonts w:cs="Times New Roman"/>
          <w:color w:val="000000"/>
        </w:rPr>
        <w:t>Eq.</w:t>
      </w:r>
      <w:r w:rsidR="00FB3888">
        <w:rPr>
          <w:rFonts w:cs="Times New Roman"/>
          <w:color w:val="000000"/>
        </w:rPr>
        <w:t xml:space="preserve"> </w:t>
      </w:r>
      <w:r w:rsidR="00353D49" w:rsidRPr="0038343B">
        <w:t>1</w:t>
      </w:r>
      <w:r w:rsidRPr="0038343B">
        <w:t>), whereas, in indirect ozonation, several free species</w:t>
      </w:r>
      <w:r w:rsidR="00F31DB6">
        <w:t>,</w:t>
      </w:r>
      <w:r w:rsidRPr="0038343B">
        <w:t xml:space="preserve"> such as </w:t>
      </w:r>
      <w:r w:rsidRPr="0038343B">
        <w:rPr>
          <w:szCs w:val="24"/>
        </w:rPr>
        <w:t>OH</w:t>
      </w:r>
      <w:r w:rsidRPr="0038343B">
        <w:rPr>
          <w:b/>
          <w:bCs/>
          <w:szCs w:val="24"/>
        </w:rPr>
        <w:t>˙</w:t>
      </w:r>
      <w:r w:rsidR="00F31DB6">
        <w:rPr>
          <w:b/>
          <w:bCs/>
          <w:szCs w:val="24"/>
        </w:rPr>
        <w:t>,</w:t>
      </w:r>
      <w:r w:rsidRPr="0038343B">
        <w:rPr>
          <w:b/>
          <w:bCs/>
        </w:rPr>
        <w:t xml:space="preserve"> </w:t>
      </w:r>
      <w:r w:rsidRPr="0038343B">
        <w:rPr>
          <w:bCs/>
        </w:rPr>
        <w:t>are</w:t>
      </w:r>
      <w:r w:rsidRPr="0038343B">
        <w:t xml:space="preserve"> generat</w:t>
      </w:r>
      <w:r w:rsidR="00900CD8" w:rsidRPr="0038343B">
        <w:t>ed via series of reactions (</w:t>
      </w:r>
      <w:r w:rsidR="009D63AF" w:rsidRPr="009D63AF">
        <w:rPr>
          <w:rFonts w:cs="Times New Roman"/>
          <w:color w:val="000000"/>
        </w:rPr>
        <w:t>Eq.</w:t>
      </w:r>
      <w:r w:rsidR="009D63AF">
        <w:rPr>
          <w:rFonts w:cs="Times New Roman"/>
          <w:color w:val="000000"/>
        </w:rPr>
        <w:t xml:space="preserve"> </w:t>
      </w:r>
      <w:r w:rsidR="00900CD8" w:rsidRPr="0038343B">
        <w:t>2</w:t>
      </w:r>
      <w:r w:rsidR="00123BE2">
        <w:t>-</w:t>
      </w:r>
      <w:r w:rsidR="00A828D5" w:rsidRPr="0038343B">
        <w:t>7</w:t>
      </w:r>
      <w:r w:rsidRPr="0038343B">
        <w:t>). At low pH, direct ozonation dominates</w:t>
      </w:r>
      <w:r w:rsidR="00F31DB6">
        <w:t>;</w:t>
      </w:r>
      <w:r w:rsidRPr="0038343B">
        <w:t xml:space="preserve"> whereas, at alkaline conditions, indirect ozonation prevails because of the high decomposition rate of O</w:t>
      </w:r>
      <w:r w:rsidRPr="0038343B">
        <w:rPr>
          <w:vertAlign w:val="subscript"/>
        </w:rPr>
        <w:t>3</w:t>
      </w:r>
      <w:r w:rsidRPr="0038343B">
        <w:t xml:space="preserve"> molecules at high pH range </w:t>
      </w:r>
      <w:r w:rsidRPr="0038343B">
        <w:fldChar w:fldCharType="begin" w:fldLock="1"/>
      </w:r>
      <w:r w:rsidR="008666F9">
        <w:instrText>ADDIN CSL_CITATION {"citationItems":[{"id":"ITEM-1","itemData":{"DOI":"10.3390/molecules24091728","ISSN":"1420-3049","PMID":"31058864","abstract":"In this work, primidone, a high persistent pharmacological drug typically found in urban wastewaters, was degraded by different ozone combined AOPs using TiO2 P25 and commercial WO3 as photocatalyst. The comparison of processes, kinetics, nature of transformation products, and ecotoxicity of treated water samples, as well as the influence of the water matrix (ultrapure water or a secondary effluent), is presented and discussed. In presence of ozone, primidone is rapidly eliminated, with hydroxyl radicals being the main species involved. TiO2 was the most active catalyst regardless of the water matrix and the type of solar (global or visible) radiation applied. The synergy between ozone and photocatalysis (photocatalytic ozonation) for TOC removal was more evident at low O3 doses. In spite of having a lower band gap than TiO2 P25, WO3 did not bring any beneficial effects compared to TiO2 P25 regarding PRM and TOC removal. Based on the transformation products identified during ozonation and photocatalytic ozonation of primidone (hydroxyprimidone, phenyl-ethyl-malonamide, and 5-ethyldihydropirimidine-4,6(1H,5H)-dione), a degradation pathway is proposed. The application of the different processes resulted in an environmentally safe effluent for Daphnia magna.","author":[{"dropping-particle":"","family":"Figueredo","given":"Manuel A.","non-dropping-particle":"","parse-names":false,"suffix":""},{"dropping-particle":"","family":"Rodríguez","given":"Eva M.","non-dropping-particle":"","parse-names":false,"suffix":""},{"dropping-particle":"","family":"Checa","given":"Manuel","non-dropping-particle":"","parse-names":false,"suffix":""},{"dropping-particle":"","family":"Beltran","given":"Fernando J.","non-dropping-particle":"","parse-names":false,"suffix":""}],"container-title":"Molecules","id":"ITEM-1","issue":"9","issued":{"date-parts":[["2019","5","3"]]},"page":"1728","title":"Ozone-Based Advanced Oxidation Processes for Primidone Removal in Water using Simulated Solar Radiation and TiO2 or WO3 as Photocatalyst","type":"article-journal","volume":"24"},"uris":["http://www.mendeley.com/documents/?uuid=1cc8b8bf-26e3-494d-8395-c3141f2d9052","http://www.mendeley.com/documents/?uuid=1d8832d0-fbb0-4f0e-980e-6d06cd40172b"]}],"mendeley":{"formattedCitation":"(Figueredo et al., 2019)","plainTextFormattedCitation":"(Figueredo et al., 2019)","previouslyFormattedCitation":"(Figueredo et al., 2019)"},"properties":{"noteIndex":0},"schema":"https://github.com/citation-style-language/schema/raw/master/csl-citation.json"}</w:instrText>
      </w:r>
      <w:r w:rsidRPr="0038343B">
        <w:fldChar w:fldCharType="separate"/>
      </w:r>
      <w:r w:rsidR="00FB6D8C" w:rsidRPr="00FB6D8C">
        <w:rPr>
          <w:noProof/>
        </w:rPr>
        <w:t>(Figueredo et al., 2019)</w:t>
      </w:r>
      <w:r w:rsidRPr="0038343B">
        <w:fldChar w:fldCharType="end"/>
      </w:r>
      <w:r w:rsidRPr="0038343B">
        <w:t xml:space="preserve">. </w:t>
      </w:r>
    </w:p>
    <w:p w14:paraId="35919326" w14:textId="591DB4D2" w:rsidR="00A4024E" w:rsidRPr="005771D0" w:rsidRDefault="00624FB7" w:rsidP="00C22102">
      <w:pPr>
        <w:spacing w:after="0" w:line="480" w:lineRule="auto"/>
        <w:rPr>
          <w:b/>
          <w:bCs/>
        </w:rPr>
      </w:pPr>
      <w:r>
        <w:t>Under</w:t>
      </w:r>
      <w:r w:rsidR="00A4024E" w:rsidRPr="0038343B">
        <w:t xml:space="preserve"> acidic conditions; </w:t>
      </w:r>
    </w:p>
    <w:p w14:paraId="2CC6F352" w14:textId="59AF8B58" w:rsidR="00A4024E" w:rsidRPr="0038343B" w:rsidRDefault="00A4024E" w:rsidP="006977CF">
      <w:pPr>
        <w:spacing w:after="0" w:line="480" w:lineRule="auto"/>
        <w:ind w:firstLine="720"/>
      </w:pPr>
      <w:r w:rsidRPr="0038343B">
        <w:t>3O</w:t>
      </w:r>
      <w:r w:rsidRPr="0038343B">
        <w:rPr>
          <w:vertAlign w:val="subscript"/>
        </w:rPr>
        <w:t>3</w:t>
      </w:r>
      <w:r w:rsidRPr="0038343B">
        <w:t xml:space="preserve"> + OH</w:t>
      </w:r>
      <w:r w:rsidRPr="0038343B">
        <w:rPr>
          <w:b/>
          <w:vertAlign w:val="superscript"/>
        </w:rPr>
        <w:t>−</w:t>
      </w:r>
      <w:r w:rsidRPr="0038343B">
        <w:rPr>
          <w:b/>
        </w:rPr>
        <w:t xml:space="preserve"> </w:t>
      </w:r>
      <w:r w:rsidRPr="0038343B">
        <w:t>+ H</w:t>
      </w:r>
      <w:r w:rsidRPr="0038343B">
        <w:rPr>
          <w:vertAlign w:val="superscript"/>
        </w:rPr>
        <w:t xml:space="preserve">+ </w:t>
      </w:r>
      <w:r w:rsidRPr="0038343B">
        <w:t>→ 2</w:t>
      </w:r>
      <w:bookmarkStart w:id="8" w:name="_Hlk94049994"/>
      <w:r w:rsidR="00F6303A" w:rsidRPr="00517A17">
        <w:rPr>
          <w:rFonts w:ascii="Calibri" w:hAnsi="Calibri" w:cs="Calibri"/>
          <w:color w:val="000000"/>
          <w:szCs w:val="24"/>
          <w:vertAlign w:val="superscript"/>
        </w:rPr>
        <w:t>•</w:t>
      </w:r>
      <w:bookmarkEnd w:id="8"/>
      <w:r w:rsidR="00F6303A" w:rsidRPr="00517A17">
        <w:rPr>
          <w:color w:val="000000"/>
          <w:szCs w:val="24"/>
        </w:rPr>
        <w:t>OH</w:t>
      </w:r>
      <w:r w:rsidRPr="0038343B">
        <w:t xml:space="preserve"> + 4O</w:t>
      </w:r>
      <w:r w:rsidRPr="0038343B">
        <w:rPr>
          <w:vertAlign w:val="subscript"/>
        </w:rPr>
        <w:t>2</w:t>
      </w:r>
      <w:r w:rsidRPr="0038343B">
        <w:tab/>
      </w:r>
      <w:r w:rsidRPr="0038343B">
        <w:tab/>
      </w:r>
      <w:r w:rsidRPr="0038343B">
        <w:tab/>
      </w:r>
      <w:r w:rsidRPr="0038343B">
        <w:tab/>
      </w:r>
      <w:r w:rsidRPr="0038343B">
        <w:tab/>
      </w:r>
      <w:r w:rsidRPr="0038343B">
        <w:tab/>
        <w:t>(</w:t>
      </w:r>
      <w:r w:rsidR="009D63AF" w:rsidRPr="009D63AF">
        <w:rPr>
          <w:rFonts w:cs="Times New Roman"/>
          <w:color w:val="000000"/>
        </w:rPr>
        <w:t>Eq.</w:t>
      </w:r>
      <w:r w:rsidR="006977CF">
        <w:rPr>
          <w:rFonts w:cs="Times New Roman"/>
          <w:color w:val="000000" w:themeColor="text1"/>
        </w:rPr>
        <w:t xml:space="preserve"> </w:t>
      </w:r>
      <w:r w:rsidR="00A828D5" w:rsidRPr="0038343B">
        <w:t>1</w:t>
      </w:r>
      <w:r w:rsidRPr="0038343B">
        <w:t>)</w:t>
      </w:r>
    </w:p>
    <w:p w14:paraId="67715472" w14:textId="444583CA" w:rsidR="00A4024E" w:rsidRPr="0038343B" w:rsidRDefault="00624FB7" w:rsidP="00C22102">
      <w:pPr>
        <w:spacing w:after="0" w:line="480" w:lineRule="auto"/>
      </w:pPr>
      <w:r>
        <w:t>Under</w:t>
      </w:r>
      <w:r w:rsidR="00A4024E" w:rsidRPr="0038343B">
        <w:t xml:space="preserve"> alkaline conditions;</w:t>
      </w:r>
      <w:r w:rsidR="00A4024E" w:rsidRPr="0038343B">
        <w:tab/>
      </w:r>
    </w:p>
    <w:p w14:paraId="01C19A72" w14:textId="2E4EAF09" w:rsidR="00A4024E" w:rsidRPr="0038343B" w:rsidRDefault="00A4024E" w:rsidP="006977CF">
      <w:pPr>
        <w:spacing w:after="0" w:line="480" w:lineRule="auto"/>
        <w:ind w:firstLine="720"/>
        <w:rPr>
          <w:rFonts w:eastAsia="Times New Roman"/>
        </w:rPr>
      </w:pPr>
      <w:r w:rsidRPr="0038343B">
        <w:t>O</w:t>
      </w:r>
      <w:r w:rsidRPr="0038343B">
        <w:rPr>
          <w:vertAlign w:val="subscript"/>
        </w:rPr>
        <w:t>3</w:t>
      </w:r>
      <w:r w:rsidRPr="0038343B">
        <w:t xml:space="preserve"> + OH</w:t>
      </w:r>
      <w:r w:rsidRPr="0038343B">
        <w:rPr>
          <w:b/>
          <w:vertAlign w:val="superscript"/>
        </w:rPr>
        <w:t xml:space="preserve">− </w:t>
      </w:r>
      <w:r w:rsidRPr="0038343B">
        <w:rPr>
          <w:rFonts w:eastAsia="Times New Roman"/>
        </w:rPr>
        <w:t>→ O</w:t>
      </w:r>
      <w:r w:rsidRPr="0038343B">
        <w:rPr>
          <w:rFonts w:eastAsia="Times New Roman"/>
          <w:vertAlign w:val="subscript"/>
        </w:rPr>
        <w:t>2</w:t>
      </w:r>
      <w:r w:rsidRPr="0038343B">
        <w:rPr>
          <w:rFonts w:eastAsia="Times New Roman"/>
        </w:rPr>
        <w:t xml:space="preserve"> + HO</w:t>
      </w:r>
      <w:r w:rsidRPr="0038343B">
        <w:rPr>
          <w:rFonts w:eastAsia="Times New Roman"/>
          <w:vertAlign w:val="subscript"/>
        </w:rPr>
        <w:t>2</w:t>
      </w:r>
      <w:r w:rsidRPr="0038343B">
        <w:rPr>
          <w:b/>
          <w:vertAlign w:val="superscript"/>
        </w:rPr>
        <w:t>−</w:t>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t>(</w:t>
      </w:r>
      <w:r w:rsidR="009D63AF" w:rsidRPr="009D63AF">
        <w:rPr>
          <w:rFonts w:cs="Times New Roman"/>
          <w:color w:val="000000"/>
        </w:rPr>
        <w:t>Eq.</w:t>
      </w:r>
      <w:r w:rsidR="005A4A3B">
        <w:rPr>
          <w:rFonts w:cs="Times New Roman"/>
          <w:color w:val="000000"/>
        </w:rPr>
        <w:t xml:space="preserve"> </w:t>
      </w:r>
      <w:r w:rsidR="00A828D5" w:rsidRPr="0038343B">
        <w:rPr>
          <w:rFonts w:eastAsia="Times New Roman"/>
        </w:rPr>
        <w:t>2</w:t>
      </w:r>
      <w:r w:rsidRPr="0038343B">
        <w:rPr>
          <w:rFonts w:eastAsia="Times New Roman"/>
        </w:rPr>
        <w:t>)</w:t>
      </w:r>
    </w:p>
    <w:p w14:paraId="7B4EB2A5" w14:textId="2119409F" w:rsidR="00A4024E" w:rsidRPr="0038343B" w:rsidRDefault="00A4024E" w:rsidP="006977CF">
      <w:pPr>
        <w:spacing w:after="0" w:line="480" w:lineRule="auto"/>
        <w:ind w:firstLine="720"/>
        <w:rPr>
          <w:rFonts w:eastAsia="Times New Roman"/>
        </w:rPr>
      </w:pPr>
      <w:r w:rsidRPr="0038343B">
        <w:rPr>
          <w:rFonts w:eastAsia="Times New Roman"/>
        </w:rPr>
        <w:t>O</w:t>
      </w:r>
      <w:r w:rsidRPr="0038343B">
        <w:rPr>
          <w:rFonts w:eastAsia="Times New Roman"/>
          <w:vertAlign w:val="subscript"/>
        </w:rPr>
        <w:t>3</w:t>
      </w:r>
      <w:r w:rsidRPr="0038343B">
        <w:rPr>
          <w:rFonts w:eastAsia="Times New Roman"/>
        </w:rPr>
        <w:t xml:space="preserve"> + HO</w:t>
      </w:r>
      <w:r w:rsidRPr="0038343B">
        <w:rPr>
          <w:rFonts w:eastAsia="Times New Roman"/>
          <w:vertAlign w:val="subscript"/>
        </w:rPr>
        <w:t>2</w:t>
      </w:r>
      <w:r w:rsidRPr="0038343B">
        <w:rPr>
          <w:b/>
          <w:vertAlign w:val="superscript"/>
        </w:rPr>
        <w:t>−</w:t>
      </w:r>
      <w:r w:rsidRPr="0038343B">
        <w:rPr>
          <w:vertAlign w:val="superscript"/>
        </w:rPr>
        <w:t xml:space="preserve"> </w:t>
      </w:r>
      <w:r w:rsidRPr="0038343B">
        <w:rPr>
          <w:rFonts w:eastAsia="Times New Roman"/>
        </w:rPr>
        <w:t>→ HO</w:t>
      </w:r>
      <w:r w:rsidRPr="0038343B">
        <w:rPr>
          <w:rFonts w:eastAsia="Times New Roman"/>
          <w:vertAlign w:val="subscript"/>
        </w:rPr>
        <w:t>2</w:t>
      </w:r>
      <w:r w:rsidR="009421B4" w:rsidRPr="00517A17">
        <w:rPr>
          <w:rFonts w:ascii="Calibri" w:hAnsi="Calibri" w:cs="Calibri"/>
          <w:color w:val="000000"/>
          <w:szCs w:val="24"/>
          <w:vertAlign w:val="superscript"/>
        </w:rPr>
        <w:t>•</w:t>
      </w:r>
      <w:r w:rsidRPr="0038343B">
        <w:rPr>
          <w:rFonts w:eastAsia="Times New Roman"/>
        </w:rPr>
        <w:t xml:space="preserve"> + O</w:t>
      </w:r>
      <w:r w:rsidRPr="0038343B">
        <w:rPr>
          <w:rFonts w:eastAsia="Times New Roman"/>
          <w:vertAlign w:val="subscript"/>
        </w:rPr>
        <w:t>3</w:t>
      </w:r>
      <w:r w:rsidR="009421B4" w:rsidRPr="00517A17">
        <w:rPr>
          <w:rFonts w:ascii="Calibri" w:hAnsi="Calibri" w:cs="Calibri"/>
          <w:color w:val="000000"/>
          <w:szCs w:val="24"/>
          <w:vertAlign w:val="superscript"/>
        </w:rPr>
        <w:t>•</w:t>
      </w:r>
      <w:r w:rsidRPr="0038343B">
        <w:rPr>
          <w:b/>
          <w:vertAlign w:val="superscript"/>
        </w:rPr>
        <w:t>−</w:t>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t>(</w:t>
      </w:r>
      <w:r w:rsidR="009D63AF" w:rsidRPr="009D63AF">
        <w:rPr>
          <w:rFonts w:cs="Times New Roman"/>
          <w:color w:val="000000"/>
        </w:rPr>
        <w:t>Eq.</w:t>
      </w:r>
      <w:r w:rsidR="005A4A3B">
        <w:rPr>
          <w:rFonts w:cs="Times New Roman"/>
          <w:color w:val="000000"/>
        </w:rPr>
        <w:t xml:space="preserve"> </w:t>
      </w:r>
      <w:r w:rsidR="00A828D5" w:rsidRPr="0038343B">
        <w:rPr>
          <w:rFonts w:eastAsia="Times New Roman"/>
        </w:rPr>
        <w:t>3</w:t>
      </w:r>
      <w:r w:rsidRPr="0038343B">
        <w:rPr>
          <w:rFonts w:eastAsia="Times New Roman"/>
        </w:rPr>
        <w:t>)</w:t>
      </w:r>
    </w:p>
    <w:p w14:paraId="15285CBB" w14:textId="10235252" w:rsidR="00A4024E" w:rsidRPr="0038343B" w:rsidRDefault="00A4024E" w:rsidP="006977CF">
      <w:pPr>
        <w:spacing w:after="0" w:line="480" w:lineRule="auto"/>
        <w:ind w:firstLine="720"/>
        <w:rPr>
          <w:rFonts w:eastAsia="Times New Roman"/>
        </w:rPr>
      </w:pPr>
      <w:r w:rsidRPr="0038343B">
        <w:rPr>
          <w:rFonts w:eastAsia="Times New Roman"/>
        </w:rPr>
        <w:t>HO</w:t>
      </w:r>
      <w:r w:rsidRPr="0038343B">
        <w:rPr>
          <w:rFonts w:eastAsia="Times New Roman"/>
          <w:vertAlign w:val="subscript"/>
        </w:rPr>
        <w:t>2</w:t>
      </w:r>
      <w:r w:rsidR="009421B4" w:rsidRPr="00517A17">
        <w:rPr>
          <w:rFonts w:ascii="Calibri" w:hAnsi="Calibri" w:cs="Calibri"/>
          <w:color w:val="000000"/>
          <w:szCs w:val="24"/>
          <w:vertAlign w:val="superscript"/>
        </w:rPr>
        <w:t>•</w:t>
      </w:r>
      <w:r w:rsidRPr="0038343B">
        <w:rPr>
          <w:rFonts w:eastAsia="Times New Roman"/>
          <w:vertAlign w:val="subscript"/>
        </w:rPr>
        <w:t xml:space="preserve"> </w:t>
      </w:r>
      <w:r w:rsidRPr="0038343B">
        <w:rPr>
          <w:rFonts w:eastAsia="Times New Roman"/>
        </w:rPr>
        <w:t>→ H</w:t>
      </w:r>
      <w:r w:rsidRPr="0038343B">
        <w:rPr>
          <w:rFonts w:eastAsia="Times New Roman"/>
          <w:vertAlign w:val="superscript"/>
        </w:rPr>
        <w:t>+</w:t>
      </w:r>
      <w:r w:rsidRPr="0038343B">
        <w:rPr>
          <w:rFonts w:eastAsia="Times New Roman"/>
        </w:rPr>
        <w:t xml:space="preserve"> + O</w:t>
      </w:r>
      <w:r w:rsidRPr="0038343B">
        <w:rPr>
          <w:rFonts w:eastAsia="Times New Roman"/>
          <w:vertAlign w:val="subscript"/>
        </w:rPr>
        <w:t>2</w:t>
      </w:r>
      <w:r w:rsidR="009421B4" w:rsidRPr="00517A17">
        <w:rPr>
          <w:rFonts w:ascii="Calibri" w:hAnsi="Calibri" w:cs="Calibri"/>
          <w:color w:val="000000"/>
          <w:szCs w:val="24"/>
          <w:vertAlign w:val="superscript"/>
        </w:rPr>
        <w:t>•</w:t>
      </w:r>
      <w:r w:rsidRPr="0038343B">
        <w:rPr>
          <w:b/>
          <w:vertAlign w:val="superscript"/>
        </w:rPr>
        <w:t xml:space="preserve">− </w:t>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t>(</w:t>
      </w:r>
      <w:r w:rsidR="009D63AF" w:rsidRPr="009D63AF">
        <w:rPr>
          <w:rFonts w:cs="Times New Roman"/>
          <w:color w:val="000000"/>
        </w:rPr>
        <w:t>Eq.</w:t>
      </w:r>
      <w:r w:rsidR="005A4A3B">
        <w:rPr>
          <w:rFonts w:cs="Times New Roman"/>
          <w:color w:val="000000"/>
        </w:rPr>
        <w:t xml:space="preserve"> </w:t>
      </w:r>
      <w:r w:rsidR="00A828D5" w:rsidRPr="0038343B">
        <w:rPr>
          <w:rFonts w:eastAsia="Times New Roman"/>
        </w:rPr>
        <w:t>4</w:t>
      </w:r>
      <w:r w:rsidRPr="0038343B">
        <w:rPr>
          <w:rFonts w:eastAsia="Times New Roman"/>
        </w:rPr>
        <w:t>)</w:t>
      </w:r>
    </w:p>
    <w:p w14:paraId="487A34FF" w14:textId="31651B7D" w:rsidR="00A4024E" w:rsidRPr="0038343B" w:rsidRDefault="00A4024E" w:rsidP="006977CF">
      <w:pPr>
        <w:spacing w:after="0" w:line="480" w:lineRule="auto"/>
        <w:ind w:firstLine="720"/>
        <w:rPr>
          <w:rFonts w:eastAsia="Times New Roman"/>
        </w:rPr>
      </w:pPr>
      <w:r w:rsidRPr="0038343B">
        <w:rPr>
          <w:rFonts w:eastAsia="Times New Roman"/>
        </w:rPr>
        <w:t>O</w:t>
      </w:r>
      <w:r w:rsidRPr="0038343B">
        <w:rPr>
          <w:rFonts w:eastAsia="Times New Roman"/>
          <w:vertAlign w:val="subscript"/>
        </w:rPr>
        <w:t>2</w:t>
      </w:r>
      <w:r w:rsidR="009421B4" w:rsidRPr="00517A17">
        <w:rPr>
          <w:rFonts w:ascii="Calibri" w:hAnsi="Calibri" w:cs="Calibri"/>
          <w:color w:val="000000"/>
          <w:szCs w:val="24"/>
          <w:vertAlign w:val="superscript"/>
        </w:rPr>
        <w:t>•</w:t>
      </w:r>
      <w:r w:rsidRPr="0038343B">
        <w:rPr>
          <w:b/>
          <w:vertAlign w:val="superscript"/>
        </w:rPr>
        <w:t xml:space="preserve">− </w:t>
      </w:r>
      <w:r w:rsidRPr="0038343B">
        <w:rPr>
          <w:rFonts w:eastAsia="Times New Roman"/>
        </w:rPr>
        <w:t>+ O</w:t>
      </w:r>
      <w:r w:rsidRPr="0038343B">
        <w:rPr>
          <w:rFonts w:eastAsia="Times New Roman"/>
          <w:vertAlign w:val="subscript"/>
        </w:rPr>
        <w:t>3</w:t>
      </w:r>
      <w:r w:rsidRPr="0038343B">
        <w:rPr>
          <w:rFonts w:eastAsia="Times New Roman"/>
        </w:rPr>
        <w:t xml:space="preserve"> → O</w:t>
      </w:r>
      <w:r w:rsidRPr="0038343B">
        <w:rPr>
          <w:rFonts w:eastAsia="Times New Roman"/>
          <w:vertAlign w:val="subscript"/>
        </w:rPr>
        <w:t>2</w:t>
      </w:r>
      <w:r w:rsidRPr="0038343B">
        <w:rPr>
          <w:rFonts w:eastAsia="Times New Roman"/>
        </w:rPr>
        <w:t xml:space="preserve"> + O</w:t>
      </w:r>
      <w:r w:rsidRPr="0038343B">
        <w:rPr>
          <w:rFonts w:eastAsia="Times New Roman"/>
          <w:vertAlign w:val="subscript"/>
        </w:rPr>
        <w:t>3</w:t>
      </w:r>
      <w:r w:rsidRPr="0038343B">
        <w:rPr>
          <w:b/>
          <w:vertAlign w:val="superscript"/>
        </w:rPr>
        <w:t>−</w:t>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t>(</w:t>
      </w:r>
      <w:r w:rsidR="009D63AF" w:rsidRPr="009D63AF">
        <w:rPr>
          <w:rFonts w:cs="Times New Roman"/>
          <w:color w:val="000000"/>
        </w:rPr>
        <w:t>Eq.</w:t>
      </w:r>
      <w:r w:rsidR="005A4A3B">
        <w:rPr>
          <w:rFonts w:cs="Times New Roman"/>
          <w:color w:val="000000"/>
        </w:rPr>
        <w:t xml:space="preserve"> </w:t>
      </w:r>
      <w:r w:rsidR="00A828D5" w:rsidRPr="0038343B">
        <w:rPr>
          <w:rFonts w:eastAsia="Times New Roman"/>
        </w:rPr>
        <w:t>5</w:t>
      </w:r>
      <w:r w:rsidRPr="0038343B">
        <w:rPr>
          <w:rFonts w:eastAsia="Times New Roman"/>
        </w:rPr>
        <w:t>)</w:t>
      </w:r>
    </w:p>
    <w:p w14:paraId="134FE3EB" w14:textId="09E187FB" w:rsidR="00A4024E" w:rsidRPr="0038343B" w:rsidRDefault="00A4024E" w:rsidP="006977CF">
      <w:pPr>
        <w:spacing w:after="0" w:line="480" w:lineRule="auto"/>
        <w:ind w:firstLine="720"/>
        <w:rPr>
          <w:rFonts w:eastAsia="Times New Roman"/>
        </w:rPr>
      </w:pPr>
      <w:r w:rsidRPr="0038343B">
        <w:rPr>
          <w:rFonts w:eastAsia="Times New Roman"/>
        </w:rPr>
        <w:t>O</w:t>
      </w:r>
      <w:r w:rsidRPr="0038343B">
        <w:rPr>
          <w:rFonts w:eastAsia="Times New Roman"/>
          <w:vertAlign w:val="subscript"/>
        </w:rPr>
        <w:t>3</w:t>
      </w:r>
      <w:r w:rsidRPr="0038343B">
        <w:rPr>
          <w:rFonts w:eastAsia="Times New Roman"/>
        </w:rPr>
        <w:t xml:space="preserve"> + H</w:t>
      </w:r>
      <w:r w:rsidRPr="0038343B">
        <w:rPr>
          <w:rFonts w:eastAsia="Times New Roman"/>
          <w:vertAlign w:val="superscript"/>
        </w:rPr>
        <w:t>+</w:t>
      </w:r>
      <w:r w:rsidRPr="0038343B">
        <w:rPr>
          <w:rFonts w:eastAsia="Times New Roman"/>
        </w:rPr>
        <w:t xml:space="preserve"> → HO</w:t>
      </w:r>
      <w:r w:rsidRPr="0038343B">
        <w:rPr>
          <w:rFonts w:eastAsia="Times New Roman"/>
          <w:vertAlign w:val="subscript"/>
        </w:rPr>
        <w:t>3</w:t>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r>
      <w:r w:rsidRPr="0038343B">
        <w:rPr>
          <w:rFonts w:eastAsia="Times New Roman"/>
        </w:rPr>
        <w:tab/>
        <w:t>(</w:t>
      </w:r>
      <w:r w:rsidR="009D63AF" w:rsidRPr="009D63AF">
        <w:rPr>
          <w:rFonts w:cs="Times New Roman"/>
          <w:color w:val="000000"/>
        </w:rPr>
        <w:t>Eq.</w:t>
      </w:r>
      <w:r w:rsidR="005A4A3B">
        <w:rPr>
          <w:rFonts w:cs="Times New Roman"/>
          <w:color w:val="000000"/>
        </w:rPr>
        <w:t xml:space="preserve"> </w:t>
      </w:r>
      <w:r w:rsidR="00A828D5" w:rsidRPr="0038343B">
        <w:rPr>
          <w:rFonts w:eastAsia="Times New Roman"/>
        </w:rPr>
        <w:t>6</w:t>
      </w:r>
      <w:r w:rsidRPr="0038343B">
        <w:rPr>
          <w:rFonts w:eastAsia="Times New Roman"/>
        </w:rPr>
        <w:t>)</w:t>
      </w:r>
    </w:p>
    <w:p w14:paraId="52591FD8" w14:textId="096B11FA" w:rsidR="00187AAC" w:rsidRDefault="00A4024E" w:rsidP="006977CF">
      <w:pPr>
        <w:spacing w:after="0" w:line="480" w:lineRule="auto"/>
        <w:ind w:firstLine="720"/>
        <w:rPr>
          <w:bCs/>
        </w:rPr>
      </w:pPr>
      <w:r w:rsidRPr="0038343B">
        <w:rPr>
          <w:rFonts w:eastAsia="Times New Roman"/>
        </w:rPr>
        <w:t>HO</w:t>
      </w:r>
      <w:r w:rsidRPr="0038343B">
        <w:rPr>
          <w:rFonts w:eastAsia="Times New Roman"/>
          <w:vertAlign w:val="subscript"/>
        </w:rPr>
        <w:t xml:space="preserve">3 </w:t>
      </w:r>
      <w:r w:rsidRPr="0038343B">
        <w:rPr>
          <w:rFonts w:eastAsia="Times New Roman"/>
        </w:rPr>
        <w:t xml:space="preserve">→ </w:t>
      </w:r>
      <w:r w:rsidR="00F6303A" w:rsidRPr="00517A17">
        <w:rPr>
          <w:rFonts w:ascii="Calibri" w:hAnsi="Calibri" w:cs="Calibri"/>
          <w:color w:val="000000"/>
          <w:szCs w:val="24"/>
          <w:vertAlign w:val="superscript"/>
        </w:rPr>
        <w:t>•</w:t>
      </w:r>
      <w:r w:rsidR="00F6303A" w:rsidRPr="00517A17">
        <w:rPr>
          <w:color w:val="000000"/>
          <w:szCs w:val="24"/>
        </w:rPr>
        <w:t>OH</w:t>
      </w:r>
      <w:r w:rsidRPr="0038343B">
        <w:rPr>
          <w:b/>
          <w:bCs/>
        </w:rPr>
        <w:t xml:space="preserve"> + </w:t>
      </w:r>
      <w:r w:rsidRPr="0038343B">
        <w:rPr>
          <w:bCs/>
        </w:rPr>
        <w:t>O</w:t>
      </w:r>
      <w:r w:rsidRPr="0038343B">
        <w:rPr>
          <w:bCs/>
          <w:vertAlign w:val="subscript"/>
        </w:rPr>
        <w:t>2</w:t>
      </w:r>
      <w:r w:rsidRPr="0038343B">
        <w:rPr>
          <w:bCs/>
        </w:rPr>
        <w:tab/>
      </w:r>
      <w:r w:rsidRPr="0038343B">
        <w:rPr>
          <w:bCs/>
        </w:rPr>
        <w:tab/>
      </w:r>
      <w:r w:rsidRPr="0038343B">
        <w:rPr>
          <w:bCs/>
        </w:rPr>
        <w:tab/>
      </w:r>
      <w:r w:rsidRPr="0038343B">
        <w:rPr>
          <w:bCs/>
        </w:rPr>
        <w:tab/>
      </w:r>
      <w:r w:rsidRPr="0038343B">
        <w:rPr>
          <w:bCs/>
        </w:rPr>
        <w:tab/>
      </w:r>
      <w:r w:rsidRPr="0038343B">
        <w:rPr>
          <w:bCs/>
        </w:rPr>
        <w:tab/>
      </w:r>
      <w:r w:rsidRPr="0038343B">
        <w:rPr>
          <w:bCs/>
        </w:rPr>
        <w:tab/>
      </w:r>
      <w:r w:rsidRPr="0038343B">
        <w:rPr>
          <w:bCs/>
        </w:rPr>
        <w:tab/>
        <w:t>(</w:t>
      </w:r>
      <w:r w:rsidR="009D63AF" w:rsidRPr="009D63AF">
        <w:rPr>
          <w:rFonts w:cs="Times New Roman"/>
          <w:color w:val="000000"/>
        </w:rPr>
        <w:t>Eq.</w:t>
      </w:r>
      <w:r w:rsidR="005A4A3B">
        <w:rPr>
          <w:rFonts w:cs="Times New Roman"/>
          <w:color w:val="000000"/>
        </w:rPr>
        <w:t xml:space="preserve"> </w:t>
      </w:r>
      <w:r w:rsidR="00A828D5" w:rsidRPr="0038343B">
        <w:rPr>
          <w:bCs/>
        </w:rPr>
        <w:t>7</w:t>
      </w:r>
      <w:r w:rsidRPr="0038343B">
        <w:rPr>
          <w:bCs/>
        </w:rPr>
        <w:t>)</w:t>
      </w:r>
    </w:p>
    <w:p w14:paraId="0F5F1527" w14:textId="77777777" w:rsidR="00F60DF8" w:rsidRDefault="00F60DF8" w:rsidP="00F60DF8">
      <w:pPr>
        <w:spacing w:before="120" w:after="0" w:line="480" w:lineRule="auto"/>
        <w:rPr>
          <w:b/>
          <w:bCs/>
        </w:rPr>
      </w:pPr>
    </w:p>
    <w:p w14:paraId="1EC8AF6C" w14:textId="5D796132" w:rsidR="00BC0CA2" w:rsidRDefault="00BC0CA2" w:rsidP="00F60DF8">
      <w:pPr>
        <w:spacing w:before="120" w:after="0" w:line="480" w:lineRule="auto"/>
        <w:rPr>
          <w:b/>
          <w:bCs/>
        </w:rPr>
        <w:sectPr w:rsidR="00BC0CA2" w:rsidSect="005647F0">
          <w:footerReference w:type="default" r:id="rId9"/>
          <w:type w:val="continuous"/>
          <w:pgSz w:w="12240" w:h="15840"/>
          <w:pgMar w:top="1440" w:right="1327" w:bottom="1440" w:left="1440" w:header="720" w:footer="720" w:gutter="0"/>
          <w:cols w:space="720"/>
          <w:docGrid w:linePitch="360"/>
        </w:sectPr>
      </w:pPr>
    </w:p>
    <w:p w14:paraId="2A26B1DC" w14:textId="74F342B3" w:rsidR="00F60DF8" w:rsidRPr="00F60DF8" w:rsidRDefault="00F60DF8" w:rsidP="005647F0">
      <w:pPr>
        <w:pStyle w:val="Heading1"/>
        <w:rPr>
          <w:b/>
          <w:bCs/>
        </w:rPr>
      </w:pPr>
      <w:bookmarkStart w:id="9" w:name="_Toc102395637"/>
      <w:r w:rsidRPr="00F60DF8">
        <w:rPr>
          <w:b/>
          <w:bCs/>
        </w:rPr>
        <w:lastRenderedPageBreak/>
        <w:t>Table S</w:t>
      </w:r>
      <w:r w:rsidR="00E1569B">
        <w:rPr>
          <w:b/>
          <w:bCs/>
        </w:rPr>
        <w:t>2</w:t>
      </w:r>
      <w:r w:rsidRPr="00F60DF8">
        <w:rPr>
          <w:b/>
          <w:bCs/>
        </w:rPr>
        <w:t xml:space="preserve">. </w:t>
      </w:r>
      <w:r w:rsidRPr="00F60DF8">
        <w:t>Transformation of</w:t>
      </w:r>
      <w:r w:rsidRPr="00F60DF8">
        <w:rPr>
          <w:b/>
          <w:bCs/>
        </w:rPr>
        <w:t xml:space="preserve"> </w:t>
      </w:r>
      <w:r w:rsidRPr="00F60DF8">
        <w:t>contaminants of emerging concern by catalytic ozonation processes.</w:t>
      </w:r>
      <w:bookmarkEnd w:id="9"/>
    </w:p>
    <w:tbl>
      <w:tblPr>
        <w:tblStyle w:val="TableGrid2"/>
        <w:tblW w:w="131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30"/>
        <w:gridCol w:w="1425"/>
        <w:gridCol w:w="1545"/>
        <w:gridCol w:w="1440"/>
        <w:gridCol w:w="1705"/>
        <w:gridCol w:w="905"/>
        <w:gridCol w:w="814"/>
        <w:gridCol w:w="1526"/>
        <w:gridCol w:w="2250"/>
      </w:tblGrid>
      <w:tr w:rsidR="00F60DF8" w:rsidRPr="00F60DF8" w14:paraId="4C3DD36D" w14:textId="77777777" w:rsidTr="0001742A">
        <w:trPr>
          <w:trHeight w:val="94"/>
        </w:trPr>
        <w:tc>
          <w:tcPr>
            <w:tcW w:w="1530" w:type="dxa"/>
            <w:tcBorders>
              <w:top w:val="single" w:sz="4" w:space="0" w:color="auto"/>
              <w:left w:val="nil"/>
              <w:bottom w:val="single" w:sz="4" w:space="0" w:color="auto"/>
              <w:right w:val="nil"/>
            </w:tcBorders>
            <w:tcMar>
              <w:left w:w="58" w:type="dxa"/>
              <w:right w:w="58" w:type="dxa"/>
            </w:tcMar>
            <w:vAlign w:val="center"/>
            <w:hideMark/>
          </w:tcPr>
          <w:p w14:paraId="298212D9" w14:textId="77777777" w:rsidR="00F60DF8" w:rsidRPr="00F60DF8" w:rsidRDefault="00F60DF8" w:rsidP="005647F0">
            <w:pPr>
              <w:spacing w:after="0" w:line="240" w:lineRule="auto"/>
              <w:ind w:left="-202" w:firstLine="202"/>
              <w:rPr>
                <w:rFonts w:cs="Times New Roman"/>
                <w:b/>
                <w:bCs/>
                <w:sz w:val="22"/>
              </w:rPr>
            </w:pPr>
            <w:r w:rsidRPr="00F60DF8">
              <w:rPr>
                <w:rFonts w:cs="Times New Roman"/>
                <w:b/>
                <w:bCs/>
                <w:sz w:val="22"/>
              </w:rPr>
              <w:t>Process type</w:t>
            </w:r>
          </w:p>
        </w:tc>
        <w:tc>
          <w:tcPr>
            <w:tcW w:w="1425" w:type="dxa"/>
            <w:tcBorders>
              <w:top w:val="single" w:sz="4" w:space="0" w:color="auto"/>
              <w:left w:val="nil"/>
              <w:bottom w:val="single" w:sz="4" w:space="0" w:color="auto"/>
              <w:right w:val="nil"/>
            </w:tcBorders>
            <w:vAlign w:val="center"/>
          </w:tcPr>
          <w:p w14:paraId="7E19E512" w14:textId="77777777" w:rsidR="00F60DF8" w:rsidRPr="00F60DF8" w:rsidDel="00413A61" w:rsidRDefault="00F60DF8" w:rsidP="005647F0">
            <w:pPr>
              <w:spacing w:after="0" w:line="240" w:lineRule="auto"/>
              <w:jc w:val="center"/>
              <w:rPr>
                <w:rFonts w:cs="Times New Roman"/>
                <w:b/>
                <w:bCs/>
                <w:sz w:val="22"/>
              </w:rPr>
            </w:pPr>
            <w:r w:rsidRPr="00F60DF8">
              <w:rPr>
                <w:rFonts w:cs="Times New Roman"/>
                <w:b/>
                <w:bCs/>
                <w:sz w:val="22"/>
              </w:rPr>
              <w:t>Type of catalyst</w:t>
            </w:r>
          </w:p>
        </w:tc>
        <w:tc>
          <w:tcPr>
            <w:tcW w:w="1545" w:type="dxa"/>
            <w:tcBorders>
              <w:top w:val="single" w:sz="4" w:space="0" w:color="auto"/>
              <w:left w:val="nil"/>
              <w:bottom w:val="single" w:sz="4" w:space="0" w:color="auto"/>
              <w:right w:val="nil"/>
            </w:tcBorders>
            <w:vAlign w:val="center"/>
          </w:tcPr>
          <w:p w14:paraId="4275E65D" w14:textId="32B0F7C5" w:rsidR="00F60DF8" w:rsidRPr="00F60DF8" w:rsidRDefault="00F60DF8" w:rsidP="005647F0">
            <w:pPr>
              <w:spacing w:after="0" w:line="240" w:lineRule="auto"/>
              <w:jc w:val="center"/>
              <w:rPr>
                <w:rFonts w:cs="Times New Roman"/>
                <w:b/>
                <w:bCs/>
                <w:sz w:val="22"/>
              </w:rPr>
            </w:pPr>
            <w:r w:rsidRPr="00F60DF8">
              <w:rPr>
                <w:rFonts w:cs="Times New Roman"/>
                <w:b/>
                <w:bCs/>
                <w:sz w:val="22"/>
              </w:rPr>
              <w:t>Catalyst dose (mg L</w:t>
            </w:r>
            <w:r w:rsidR="00F31DB6">
              <w:rPr>
                <w:rFonts w:cs="Times New Roman"/>
                <w:bCs/>
                <w:color w:val="000000" w:themeColor="text1"/>
                <w:szCs w:val="24"/>
                <w:vertAlign w:val="superscript"/>
                <w:lang w:val="en-IN"/>
              </w:rPr>
              <w:t>‒</w:t>
            </w:r>
            <w:r w:rsidRPr="00F60DF8">
              <w:rPr>
                <w:rFonts w:cs="Times New Roman"/>
                <w:b/>
                <w:bCs/>
                <w:sz w:val="22"/>
                <w:vertAlign w:val="superscript"/>
              </w:rPr>
              <w:t>1</w:t>
            </w:r>
            <w:r w:rsidRPr="00F60DF8">
              <w:rPr>
                <w:rFonts w:cs="Times New Roman"/>
                <w:b/>
                <w:bCs/>
                <w:sz w:val="22"/>
              </w:rPr>
              <w:t>)</w:t>
            </w:r>
          </w:p>
        </w:tc>
        <w:tc>
          <w:tcPr>
            <w:tcW w:w="1440" w:type="dxa"/>
            <w:tcBorders>
              <w:top w:val="single" w:sz="4" w:space="0" w:color="auto"/>
              <w:left w:val="nil"/>
              <w:bottom w:val="single" w:sz="4" w:space="0" w:color="auto"/>
              <w:right w:val="nil"/>
            </w:tcBorders>
            <w:vAlign w:val="center"/>
          </w:tcPr>
          <w:p w14:paraId="40135D52" w14:textId="4A1DFC22" w:rsidR="00F60DF8" w:rsidRPr="00F60DF8" w:rsidDel="00413A61" w:rsidRDefault="00F60DF8" w:rsidP="005647F0">
            <w:pPr>
              <w:spacing w:after="0" w:line="240" w:lineRule="auto"/>
              <w:jc w:val="center"/>
              <w:rPr>
                <w:rFonts w:cs="Times New Roman"/>
                <w:b/>
                <w:bCs/>
                <w:sz w:val="22"/>
              </w:rPr>
            </w:pPr>
            <w:r w:rsidRPr="00F60DF8">
              <w:rPr>
                <w:rFonts w:cs="Times New Roman"/>
                <w:b/>
                <w:bCs/>
                <w:sz w:val="22"/>
              </w:rPr>
              <w:t>Ozone dose (mg L</w:t>
            </w:r>
            <w:r w:rsidR="00F31DB6">
              <w:rPr>
                <w:rFonts w:cs="Times New Roman"/>
                <w:bCs/>
                <w:color w:val="000000" w:themeColor="text1"/>
                <w:szCs w:val="24"/>
                <w:vertAlign w:val="superscript"/>
                <w:lang w:val="en-IN"/>
              </w:rPr>
              <w:t>‒</w:t>
            </w:r>
            <w:r w:rsidRPr="00F60DF8">
              <w:rPr>
                <w:rFonts w:cs="Times New Roman"/>
                <w:b/>
                <w:bCs/>
                <w:sz w:val="22"/>
                <w:vertAlign w:val="superscript"/>
              </w:rPr>
              <w:t>1</w:t>
            </w:r>
            <w:r w:rsidRPr="00F60DF8">
              <w:rPr>
                <w:rFonts w:cs="Times New Roman"/>
                <w:b/>
                <w:bCs/>
                <w:sz w:val="22"/>
              </w:rPr>
              <w:t>)</w:t>
            </w:r>
          </w:p>
        </w:tc>
        <w:tc>
          <w:tcPr>
            <w:tcW w:w="1705" w:type="dxa"/>
            <w:tcBorders>
              <w:top w:val="single" w:sz="4" w:space="0" w:color="auto"/>
              <w:left w:val="nil"/>
              <w:bottom w:val="single" w:sz="4" w:space="0" w:color="auto"/>
              <w:right w:val="nil"/>
            </w:tcBorders>
            <w:tcMar>
              <w:left w:w="58" w:type="dxa"/>
              <w:right w:w="58" w:type="dxa"/>
            </w:tcMar>
            <w:vAlign w:val="center"/>
            <w:hideMark/>
          </w:tcPr>
          <w:p w14:paraId="41EFDCF8" w14:textId="77777777" w:rsidR="00F60DF8" w:rsidRPr="00F60DF8" w:rsidRDefault="00F60DF8" w:rsidP="005647F0">
            <w:pPr>
              <w:spacing w:after="0" w:line="240" w:lineRule="auto"/>
              <w:rPr>
                <w:rFonts w:cs="Times New Roman"/>
                <w:b/>
                <w:bCs/>
                <w:sz w:val="22"/>
              </w:rPr>
            </w:pPr>
            <w:r w:rsidRPr="00F60DF8">
              <w:rPr>
                <w:rFonts w:cs="Times New Roman"/>
                <w:b/>
                <w:bCs/>
                <w:sz w:val="22"/>
              </w:rPr>
              <w:t>Contaminant</w:t>
            </w:r>
          </w:p>
        </w:tc>
        <w:tc>
          <w:tcPr>
            <w:tcW w:w="905" w:type="dxa"/>
            <w:tcBorders>
              <w:top w:val="single" w:sz="4" w:space="0" w:color="auto"/>
              <w:left w:val="nil"/>
              <w:bottom w:val="single" w:sz="4" w:space="0" w:color="auto"/>
              <w:right w:val="nil"/>
            </w:tcBorders>
            <w:tcMar>
              <w:left w:w="58" w:type="dxa"/>
              <w:right w:w="58" w:type="dxa"/>
            </w:tcMar>
            <w:vAlign w:val="center"/>
            <w:hideMark/>
          </w:tcPr>
          <w:p w14:paraId="29FCE931" w14:textId="77777777" w:rsidR="00F60DF8" w:rsidRPr="00F60DF8" w:rsidRDefault="00F60DF8" w:rsidP="005647F0">
            <w:pPr>
              <w:spacing w:after="0" w:line="240" w:lineRule="auto"/>
              <w:jc w:val="center"/>
              <w:rPr>
                <w:rFonts w:cs="Times New Roman"/>
                <w:b/>
                <w:bCs/>
                <w:sz w:val="22"/>
              </w:rPr>
            </w:pPr>
            <w:r w:rsidRPr="00F60DF8">
              <w:rPr>
                <w:rFonts w:cs="Times New Roman"/>
                <w:b/>
                <w:bCs/>
                <w:sz w:val="22"/>
              </w:rPr>
              <w:t>C</w:t>
            </w:r>
            <w:r w:rsidRPr="00F60DF8">
              <w:rPr>
                <w:rFonts w:cs="Times New Roman"/>
                <w:b/>
                <w:bCs/>
                <w:sz w:val="22"/>
                <w:vertAlign w:val="subscript"/>
              </w:rPr>
              <w:t>0</w:t>
            </w:r>
          </w:p>
          <w:p w14:paraId="668AC122" w14:textId="7B5E8DB3" w:rsidR="00F60DF8" w:rsidRPr="00F60DF8" w:rsidRDefault="00F60DF8" w:rsidP="00624FB7">
            <w:pPr>
              <w:spacing w:after="0" w:line="240" w:lineRule="auto"/>
              <w:ind w:right="-11"/>
              <w:jc w:val="center"/>
              <w:rPr>
                <w:rFonts w:cs="Times New Roman"/>
                <w:b/>
                <w:bCs/>
                <w:sz w:val="22"/>
              </w:rPr>
            </w:pPr>
            <w:r w:rsidRPr="00F60DF8">
              <w:rPr>
                <w:rFonts w:cs="Times New Roman"/>
                <w:b/>
                <w:bCs/>
                <w:iCs/>
                <w:sz w:val="22"/>
              </w:rPr>
              <w:t>(mg L</w:t>
            </w:r>
            <w:r w:rsidR="00F31DB6">
              <w:rPr>
                <w:rFonts w:cs="Times New Roman"/>
                <w:bCs/>
                <w:color w:val="000000" w:themeColor="text1"/>
                <w:szCs w:val="24"/>
                <w:vertAlign w:val="superscript"/>
                <w:lang w:val="en-IN"/>
              </w:rPr>
              <w:t>‒</w:t>
            </w:r>
            <w:r w:rsidRPr="00F60DF8">
              <w:rPr>
                <w:rFonts w:cs="Times New Roman"/>
                <w:b/>
                <w:bCs/>
                <w:iCs/>
                <w:sz w:val="22"/>
                <w:vertAlign w:val="superscript"/>
              </w:rPr>
              <w:t>1</w:t>
            </w:r>
            <w:r w:rsidRPr="00F60DF8">
              <w:rPr>
                <w:rFonts w:cs="Times New Roman"/>
                <w:b/>
                <w:bCs/>
                <w:iCs/>
                <w:sz w:val="22"/>
              </w:rPr>
              <w:t>)</w:t>
            </w:r>
          </w:p>
        </w:tc>
        <w:tc>
          <w:tcPr>
            <w:tcW w:w="814" w:type="dxa"/>
            <w:tcBorders>
              <w:top w:val="single" w:sz="4" w:space="0" w:color="auto"/>
              <w:left w:val="nil"/>
              <w:bottom w:val="single" w:sz="4" w:space="0" w:color="auto"/>
              <w:right w:val="nil"/>
            </w:tcBorders>
            <w:tcMar>
              <w:left w:w="58" w:type="dxa"/>
              <w:right w:w="58" w:type="dxa"/>
            </w:tcMar>
            <w:vAlign w:val="center"/>
            <w:hideMark/>
          </w:tcPr>
          <w:p w14:paraId="7420285D" w14:textId="77777777" w:rsidR="00F60DF8" w:rsidRPr="00F60DF8" w:rsidRDefault="00F60DF8" w:rsidP="005647F0">
            <w:pPr>
              <w:spacing w:after="0" w:line="240" w:lineRule="auto"/>
              <w:jc w:val="center"/>
              <w:rPr>
                <w:rFonts w:cs="Times New Roman"/>
                <w:b/>
                <w:bCs/>
                <w:sz w:val="22"/>
              </w:rPr>
            </w:pPr>
            <w:r w:rsidRPr="00F60DF8">
              <w:rPr>
                <w:rFonts w:cs="Times New Roman"/>
                <w:b/>
                <w:bCs/>
                <w:sz w:val="22"/>
              </w:rPr>
              <w:t>Time (min)</w:t>
            </w:r>
          </w:p>
        </w:tc>
        <w:tc>
          <w:tcPr>
            <w:tcW w:w="1526" w:type="dxa"/>
            <w:tcBorders>
              <w:top w:val="single" w:sz="4" w:space="0" w:color="auto"/>
              <w:left w:val="nil"/>
              <w:bottom w:val="single" w:sz="4" w:space="0" w:color="auto"/>
              <w:right w:val="nil"/>
            </w:tcBorders>
            <w:tcMar>
              <w:left w:w="58" w:type="dxa"/>
              <w:right w:w="58" w:type="dxa"/>
            </w:tcMar>
            <w:vAlign w:val="center"/>
            <w:hideMark/>
          </w:tcPr>
          <w:p w14:paraId="10B97106" w14:textId="77777777" w:rsidR="00F60DF8" w:rsidRPr="00F60DF8" w:rsidRDefault="00F60DF8" w:rsidP="005647F0">
            <w:pPr>
              <w:spacing w:after="0" w:line="240" w:lineRule="auto"/>
              <w:ind w:right="-109"/>
              <w:jc w:val="center"/>
              <w:rPr>
                <w:rFonts w:cs="Times New Roman"/>
                <w:b/>
                <w:bCs/>
                <w:sz w:val="22"/>
              </w:rPr>
            </w:pPr>
            <w:r w:rsidRPr="00F60DF8">
              <w:rPr>
                <w:rFonts w:cs="Times New Roman"/>
                <w:b/>
                <w:bCs/>
                <w:sz w:val="22"/>
              </w:rPr>
              <w:t>Removal efficiency (%)</w:t>
            </w:r>
          </w:p>
        </w:tc>
        <w:tc>
          <w:tcPr>
            <w:tcW w:w="2250" w:type="dxa"/>
            <w:tcBorders>
              <w:top w:val="single" w:sz="4" w:space="0" w:color="auto"/>
              <w:left w:val="nil"/>
              <w:bottom w:val="single" w:sz="4" w:space="0" w:color="auto"/>
              <w:right w:val="nil"/>
            </w:tcBorders>
            <w:tcMar>
              <w:left w:w="58" w:type="dxa"/>
              <w:right w:w="58" w:type="dxa"/>
            </w:tcMar>
            <w:vAlign w:val="center"/>
            <w:hideMark/>
          </w:tcPr>
          <w:p w14:paraId="3531A2C3" w14:textId="77777777" w:rsidR="00F60DF8" w:rsidRPr="00F60DF8" w:rsidRDefault="00F60DF8" w:rsidP="005647F0">
            <w:pPr>
              <w:spacing w:after="0" w:line="240" w:lineRule="auto"/>
              <w:jc w:val="center"/>
              <w:rPr>
                <w:rFonts w:cs="Times New Roman"/>
                <w:b/>
                <w:bCs/>
                <w:sz w:val="22"/>
              </w:rPr>
            </w:pPr>
            <w:r w:rsidRPr="00F60DF8">
              <w:rPr>
                <w:rFonts w:cs="Times New Roman"/>
                <w:b/>
                <w:bCs/>
                <w:sz w:val="22"/>
              </w:rPr>
              <w:t>Reference</w:t>
            </w:r>
          </w:p>
        </w:tc>
      </w:tr>
      <w:tr w:rsidR="00F60DF8" w:rsidRPr="00F60DF8" w14:paraId="386A5D23" w14:textId="77777777" w:rsidTr="0001742A">
        <w:trPr>
          <w:trHeight w:val="94"/>
        </w:trPr>
        <w:tc>
          <w:tcPr>
            <w:tcW w:w="1530" w:type="dxa"/>
            <w:vMerge w:val="restart"/>
            <w:tcBorders>
              <w:top w:val="single" w:sz="4" w:space="0" w:color="auto"/>
              <w:left w:val="nil"/>
              <w:bottom w:val="single" w:sz="4" w:space="0" w:color="auto"/>
              <w:right w:val="nil"/>
            </w:tcBorders>
            <w:tcMar>
              <w:left w:w="58" w:type="dxa"/>
              <w:right w:w="58" w:type="dxa"/>
            </w:tcMar>
            <w:vAlign w:val="center"/>
            <w:hideMark/>
          </w:tcPr>
          <w:p w14:paraId="7AE4EC76" w14:textId="77777777" w:rsidR="00F60DF8" w:rsidRPr="00F60DF8" w:rsidRDefault="00F60DF8" w:rsidP="005647F0">
            <w:pPr>
              <w:spacing w:after="0" w:line="240" w:lineRule="auto"/>
              <w:rPr>
                <w:rFonts w:cs="Times New Roman"/>
                <w:bCs/>
                <w:sz w:val="22"/>
              </w:rPr>
            </w:pPr>
            <w:r w:rsidRPr="00F60DF8">
              <w:rPr>
                <w:rFonts w:cs="Times New Roman"/>
                <w:bCs/>
                <w:sz w:val="22"/>
              </w:rPr>
              <w:t xml:space="preserve">Homogenous </w:t>
            </w:r>
          </w:p>
        </w:tc>
        <w:tc>
          <w:tcPr>
            <w:tcW w:w="1425" w:type="dxa"/>
            <w:tcBorders>
              <w:top w:val="single" w:sz="4" w:space="0" w:color="auto"/>
              <w:left w:val="nil"/>
              <w:bottom w:val="single" w:sz="4" w:space="0" w:color="auto"/>
              <w:right w:val="nil"/>
            </w:tcBorders>
            <w:vAlign w:val="center"/>
          </w:tcPr>
          <w:p w14:paraId="3B507257"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Ce/red mud</w:t>
            </w:r>
          </w:p>
        </w:tc>
        <w:tc>
          <w:tcPr>
            <w:tcW w:w="1545" w:type="dxa"/>
            <w:tcBorders>
              <w:top w:val="single" w:sz="4" w:space="0" w:color="auto"/>
              <w:left w:val="nil"/>
              <w:bottom w:val="single" w:sz="4" w:space="0" w:color="auto"/>
              <w:right w:val="nil"/>
            </w:tcBorders>
            <w:vAlign w:val="center"/>
          </w:tcPr>
          <w:p w14:paraId="183F36AB"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50</w:t>
            </w:r>
          </w:p>
        </w:tc>
        <w:tc>
          <w:tcPr>
            <w:tcW w:w="1440" w:type="dxa"/>
            <w:tcBorders>
              <w:top w:val="single" w:sz="4" w:space="0" w:color="auto"/>
              <w:left w:val="nil"/>
              <w:bottom w:val="single" w:sz="4" w:space="0" w:color="auto"/>
              <w:right w:val="nil"/>
            </w:tcBorders>
            <w:vAlign w:val="center"/>
          </w:tcPr>
          <w:p w14:paraId="4C210767"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0.5</w:t>
            </w:r>
          </w:p>
        </w:tc>
        <w:tc>
          <w:tcPr>
            <w:tcW w:w="1705" w:type="dxa"/>
            <w:tcBorders>
              <w:top w:val="single" w:sz="4" w:space="0" w:color="auto"/>
              <w:left w:val="nil"/>
              <w:bottom w:val="single" w:sz="4" w:space="0" w:color="auto"/>
              <w:right w:val="nil"/>
            </w:tcBorders>
            <w:tcMar>
              <w:left w:w="58" w:type="dxa"/>
              <w:right w:w="58" w:type="dxa"/>
            </w:tcMar>
            <w:vAlign w:val="center"/>
            <w:hideMark/>
          </w:tcPr>
          <w:p w14:paraId="2A25C69F" w14:textId="77777777" w:rsidR="00F60DF8" w:rsidRPr="00F60DF8" w:rsidRDefault="00F60DF8" w:rsidP="005647F0">
            <w:pPr>
              <w:spacing w:after="0" w:line="240" w:lineRule="auto"/>
              <w:rPr>
                <w:rFonts w:cs="Times New Roman"/>
                <w:bCs/>
                <w:sz w:val="22"/>
              </w:rPr>
            </w:pPr>
            <w:r w:rsidRPr="00F60DF8">
              <w:rPr>
                <w:rFonts w:cs="Times New Roman"/>
                <w:bCs/>
                <w:sz w:val="22"/>
              </w:rPr>
              <w:t>Bezafibrate</w:t>
            </w:r>
          </w:p>
        </w:tc>
        <w:tc>
          <w:tcPr>
            <w:tcW w:w="905" w:type="dxa"/>
            <w:tcBorders>
              <w:top w:val="single" w:sz="4" w:space="0" w:color="auto"/>
              <w:left w:val="nil"/>
              <w:bottom w:val="single" w:sz="4" w:space="0" w:color="auto"/>
              <w:right w:val="nil"/>
            </w:tcBorders>
            <w:tcMar>
              <w:left w:w="58" w:type="dxa"/>
              <w:right w:w="58" w:type="dxa"/>
            </w:tcMar>
            <w:vAlign w:val="center"/>
            <w:hideMark/>
          </w:tcPr>
          <w:p w14:paraId="06419131" w14:textId="77777777" w:rsidR="00F60DF8" w:rsidRPr="00F60DF8" w:rsidRDefault="00F60DF8" w:rsidP="005647F0">
            <w:pPr>
              <w:spacing w:after="0" w:line="240" w:lineRule="auto"/>
              <w:jc w:val="center"/>
              <w:rPr>
                <w:rFonts w:cs="Times New Roman"/>
                <w:bCs/>
                <w:iCs/>
                <w:sz w:val="22"/>
              </w:rPr>
            </w:pPr>
            <w:r w:rsidRPr="00F60DF8">
              <w:rPr>
                <w:rFonts w:cs="Times New Roman"/>
                <w:bCs/>
                <w:iCs/>
                <w:sz w:val="22"/>
              </w:rPr>
              <w:t>1</w:t>
            </w:r>
          </w:p>
        </w:tc>
        <w:tc>
          <w:tcPr>
            <w:tcW w:w="814" w:type="dxa"/>
            <w:tcBorders>
              <w:top w:val="single" w:sz="4" w:space="0" w:color="auto"/>
              <w:left w:val="nil"/>
              <w:bottom w:val="single" w:sz="4" w:space="0" w:color="auto"/>
              <w:right w:val="nil"/>
            </w:tcBorders>
            <w:tcMar>
              <w:left w:w="58" w:type="dxa"/>
              <w:right w:w="58" w:type="dxa"/>
            </w:tcMar>
            <w:vAlign w:val="center"/>
            <w:hideMark/>
          </w:tcPr>
          <w:p w14:paraId="1C6BA699"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30</w:t>
            </w:r>
          </w:p>
        </w:tc>
        <w:tc>
          <w:tcPr>
            <w:tcW w:w="1526" w:type="dxa"/>
            <w:tcBorders>
              <w:top w:val="single" w:sz="4" w:space="0" w:color="auto"/>
              <w:left w:val="nil"/>
              <w:bottom w:val="single" w:sz="4" w:space="0" w:color="auto"/>
              <w:right w:val="nil"/>
            </w:tcBorders>
            <w:tcMar>
              <w:left w:w="58" w:type="dxa"/>
              <w:right w:w="58" w:type="dxa"/>
            </w:tcMar>
            <w:vAlign w:val="center"/>
            <w:hideMark/>
          </w:tcPr>
          <w:p w14:paraId="68E2EBFC" w14:textId="654A8D29" w:rsidR="00F60DF8" w:rsidRPr="00F60DF8" w:rsidRDefault="00F60DF8" w:rsidP="005647F0">
            <w:pPr>
              <w:spacing w:after="0" w:line="240" w:lineRule="auto"/>
              <w:jc w:val="center"/>
              <w:rPr>
                <w:rFonts w:cs="Times New Roman"/>
                <w:bCs/>
                <w:sz w:val="22"/>
              </w:rPr>
            </w:pPr>
            <w:r w:rsidRPr="00F60DF8">
              <w:rPr>
                <w:rFonts w:cs="Times New Roman"/>
                <w:bCs/>
                <w:sz w:val="22"/>
              </w:rPr>
              <w:t>96.5</w:t>
            </w:r>
            <w:r w:rsidR="004A59CA" w:rsidRPr="00EF4DDC">
              <w:rPr>
                <w:rFonts w:cs="Times New Roman"/>
                <w:bCs/>
                <w:sz w:val="22"/>
                <w:vertAlign w:val="superscript"/>
              </w:rPr>
              <w:t>c</w:t>
            </w:r>
          </w:p>
        </w:tc>
        <w:tc>
          <w:tcPr>
            <w:tcW w:w="2250" w:type="dxa"/>
            <w:tcBorders>
              <w:top w:val="single" w:sz="4" w:space="0" w:color="auto"/>
              <w:left w:val="nil"/>
              <w:bottom w:val="single" w:sz="4" w:space="0" w:color="auto"/>
              <w:right w:val="nil"/>
            </w:tcBorders>
            <w:tcMar>
              <w:left w:w="58" w:type="dxa"/>
              <w:right w:w="58" w:type="dxa"/>
            </w:tcMar>
            <w:vAlign w:val="center"/>
            <w:hideMark/>
          </w:tcPr>
          <w:p w14:paraId="6484096C"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fldChar w:fldCharType="begin" w:fldLock="1"/>
            </w:r>
            <w:r w:rsidRPr="00F60DF8">
              <w:rPr>
                <w:rFonts w:cs="Times New Roman"/>
                <w:bCs/>
                <w:sz w:val="22"/>
              </w:rPr>
              <w:instrText>ADDIN CSL_CITATION {"citationItems":[{"id":"ITEM-1","itemData":{"DOI":"10.1016/j.chemosphere.2015.12.016","ISSN":"00456535","PMID":"26706928","abstract":"In this study, the performance of bezafibrate (BZF) degradation and detoxification in the aqueous phase using cerium-modified red mud (RM) catalysts prepared using different cerium sources and synthesis methods were evaluated. Experimental results showed that the surface cerium modification was responsible for the development of the catalytic activity of RM and this was influenced by the cerium source and the synthesis method. Catalyst prepared from cerium (IV) by precipitation was found to show the best catalytic activity in BZF degradation and detoxification. Reactive oxygen species including peroxides, hydroxyl radicals, and super oxide ions were identified in all reactions and we proposed the corresponding catalytic reaction mechanism for each catalyst that prepared from different cerium source and method. This was supported by the intermediates profiles that were generated upon BZF degradation. The surface and the structural properties of cerium-modified RM were characterized in detail by several analytical methods. Two interesting findings were made: (1) the surface texture (specific surface area and mesoporous volume) influenced the catalytic reaction pathway; and (2) Ce(III) species and oxygen vacancies were generated on the surface of the catalyst after cerium modification. This plays an important role in the development of the catalytic activity.","author":[{"dropping-particle":"","family":"Xu","given":"Bingbing","non-dropping-particle":"","parse-names":false,"suffix":""},{"dropping-particle":"","family":"Qi","given":"Fei","non-dropping-particle":"","parse-names":false,"suffix":""},{"dropping-particle":"","family":"Sun","given":"Dezhi","non-dropping-particle":"","parse-names":false,"suffix":""},{"dropping-particle":"","family":"Chen","given":"Zhonglin","non-dropping-particle":"","parse-names":false,"suffix":""},{"dropping-particle":"","family":"Robert","given":"Didier","non-dropping-particle":"","parse-names":false,"suffix":""}],"container-title":"Chemosphere","id":"ITEM-1","issued":{"date-parts":[["2016","3"]]},"page":"22-31","title":"Cerium doped red mud catalytic ozonation for bezafibrate degradation in wastewater: Efficiency, intermediates, and toxicity","type":"article-journal","volume":"146"},"uris":["http://www.mendeley.com/documents/?uuid=cb6abce8-5e76-4a6b-9bc6-4fe4074a90c3"]}],"mendeley":{"formattedCitation":"(Xu et al., 2016)","plainTextFormattedCitation":"(Xu et al., 2016)","previouslyFormattedCitation":"(Xu et al., 2016)"},"properties":{"noteIndex":0},"schema":"https://github.com/citation-style-language/schema/raw/master/csl-citation.json"}</w:instrText>
            </w:r>
            <w:r w:rsidRPr="00F60DF8">
              <w:rPr>
                <w:rFonts w:cs="Times New Roman"/>
                <w:bCs/>
                <w:sz w:val="22"/>
              </w:rPr>
              <w:fldChar w:fldCharType="separate"/>
            </w:r>
            <w:r w:rsidRPr="00F60DF8">
              <w:rPr>
                <w:rFonts w:cs="Times New Roman"/>
                <w:bCs/>
                <w:noProof/>
                <w:sz w:val="22"/>
              </w:rPr>
              <w:t>(Xu et al., 2016)</w:t>
            </w:r>
            <w:r w:rsidRPr="00F60DF8">
              <w:rPr>
                <w:rFonts w:cs="Times New Roman"/>
                <w:bCs/>
                <w:sz w:val="22"/>
              </w:rPr>
              <w:fldChar w:fldCharType="end"/>
            </w:r>
          </w:p>
        </w:tc>
      </w:tr>
      <w:tr w:rsidR="00F60DF8" w:rsidRPr="00F60DF8" w14:paraId="1FF23BDE" w14:textId="77777777" w:rsidTr="0001742A">
        <w:trPr>
          <w:trHeight w:val="94"/>
        </w:trPr>
        <w:tc>
          <w:tcPr>
            <w:tcW w:w="1530" w:type="dxa"/>
            <w:vMerge/>
            <w:tcBorders>
              <w:top w:val="single" w:sz="4" w:space="0" w:color="auto"/>
              <w:left w:val="nil"/>
              <w:bottom w:val="single" w:sz="4" w:space="0" w:color="auto"/>
              <w:right w:val="nil"/>
            </w:tcBorders>
            <w:tcMar>
              <w:left w:w="58" w:type="dxa"/>
              <w:right w:w="58" w:type="dxa"/>
            </w:tcMar>
            <w:vAlign w:val="center"/>
            <w:hideMark/>
          </w:tcPr>
          <w:p w14:paraId="6383C694" w14:textId="77777777" w:rsidR="00F60DF8" w:rsidRPr="00F60DF8" w:rsidRDefault="00F60DF8" w:rsidP="005647F0">
            <w:pPr>
              <w:spacing w:after="0" w:line="240" w:lineRule="auto"/>
              <w:rPr>
                <w:rFonts w:cs="Times New Roman"/>
                <w:bCs/>
                <w:sz w:val="22"/>
              </w:rPr>
            </w:pPr>
          </w:p>
        </w:tc>
        <w:tc>
          <w:tcPr>
            <w:tcW w:w="1425" w:type="dxa"/>
            <w:tcBorders>
              <w:top w:val="single" w:sz="4" w:space="0" w:color="auto"/>
              <w:left w:val="nil"/>
              <w:bottom w:val="single" w:sz="4" w:space="0" w:color="auto"/>
              <w:right w:val="nil"/>
            </w:tcBorders>
            <w:vAlign w:val="center"/>
          </w:tcPr>
          <w:p w14:paraId="516604D0"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Fe</w:t>
            </w:r>
            <w:r w:rsidRPr="00F60DF8">
              <w:rPr>
                <w:rFonts w:cs="Times New Roman"/>
                <w:bCs/>
                <w:sz w:val="22"/>
                <w:vertAlign w:val="superscript"/>
              </w:rPr>
              <w:t>2+</w:t>
            </w:r>
          </w:p>
        </w:tc>
        <w:tc>
          <w:tcPr>
            <w:tcW w:w="1545" w:type="dxa"/>
            <w:tcBorders>
              <w:top w:val="single" w:sz="4" w:space="0" w:color="auto"/>
              <w:left w:val="nil"/>
              <w:bottom w:val="single" w:sz="4" w:space="0" w:color="auto"/>
              <w:right w:val="nil"/>
            </w:tcBorders>
            <w:vAlign w:val="center"/>
          </w:tcPr>
          <w:p w14:paraId="51D392BA"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100</w:t>
            </w:r>
          </w:p>
        </w:tc>
        <w:tc>
          <w:tcPr>
            <w:tcW w:w="1440" w:type="dxa"/>
            <w:tcBorders>
              <w:top w:val="single" w:sz="4" w:space="0" w:color="auto"/>
              <w:left w:val="nil"/>
              <w:bottom w:val="single" w:sz="4" w:space="0" w:color="auto"/>
              <w:right w:val="nil"/>
            </w:tcBorders>
            <w:vAlign w:val="center"/>
          </w:tcPr>
          <w:p w14:paraId="3CB0CA61"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380 ± 20</w:t>
            </w:r>
          </w:p>
        </w:tc>
        <w:tc>
          <w:tcPr>
            <w:tcW w:w="1705" w:type="dxa"/>
            <w:tcBorders>
              <w:top w:val="single" w:sz="4" w:space="0" w:color="auto"/>
              <w:left w:val="nil"/>
              <w:bottom w:val="single" w:sz="4" w:space="0" w:color="auto"/>
              <w:right w:val="nil"/>
            </w:tcBorders>
            <w:tcMar>
              <w:left w:w="58" w:type="dxa"/>
              <w:right w:w="58" w:type="dxa"/>
            </w:tcMar>
            <w:vAlign w:val="center"/>
            <w:hideMark/>
          </w:tcPr>
          <w:p w14:paraId="6550B8CA" w14:textId="77777777" w:rsidR="00F60DF8" w:rsidRPr="00F60DF8" w:rsidRDefault="00F60DF8" w:rsidP="005647F0">
            <w:pPr>
              <w:spacing w:after="0" w:line="240" w:lineRule="auto"/>
              <w:rPr>
                <w:rFonts w:cs="Times New Roman"/>
                <w:bCs/>
                <w:sz w:val="22"/>
              </w:rPr>
            </w:pPr>
            <w:r w:rsidRPr="00F60DF8">
              <w:rPr>
                <w:rFonts w:cs="Times New Roman"/>
                <w:bCs/>
                <w:sz w:val="22"/>
              </w:rPr>
              <w:t>Beta-Blockers</w:t>
            </w:r>
          </w:p>
        </w:tc>
        <w:tc>
          <w:tcPr>
            <w:tcW w:w="905" w:type="dxa"/>
            <w:tcBorders>
              <w:top w:val="single" w:sz="4" w:space="0" w:color="auto"/>
              <w:left w:val="nil"/>
              <w:bottom w:val="single" w:sz="4" w:space="0" w:color="auto"/>
              <w:right w:val="nil"/>
            </w:tcBorders>
            <w:tcMar>
              <w:left w:w="58" w:type="dxa"/>
              <w:right w:w="58" w:type="dxa"/>
            </w:tcMar>
            <w:vAlign w:val="center"/>
            <w:hideMark/>
          </w:tcPr>
          <w:p w14:paraId="64CDF725" w14:textId="77777777" w:rsidR="00F60DF8" w:rsidRPr="00F60DF8" w:rsidRDefault="00F60DF8" w:rsidP="005647F0">
            <w:pPr>
              <w:spacing w:after="0" w:line="240" w:lineRule="auto"/>
              <w:jc w:val="center"/>
              <w:rPr>
                <w:rFonts w:cs="Times New Roman"/>
                <w:bCs/>
                <w:iCs/>
                <w:sz w:val="22"/>
              </w:rPr>
            </w:pPr>
            <w:r w:rsidRPr="00F60DF8">
              <w:rPr>
                <w:rFonts w:cs="Times New Roman"/>
                <w:bCs/>
                <w:iCs/>
                <w:sz w:val="22"/>
              </w:rPr>
              <w:t>0.2</w:t>
            </w:r>
          </w:p>
        </w:tc>
        <w:tc>
          <w:tcPr>
            <w:tcW w:w="814" w:type="dxa"/>
            <w:tcBorders>
              <w:top w:val="single" w:sz="4" w:space="0" w:color="auto"/>
              <w:left w:val="nil"/>
              <w:bottom w:val="single" w:sz="4" w:space="0" w:color="auto"/>
              <w:right w:val="nil"/>
            </w:tcBorders>
            <w:tcMar>
              <w:left w:w="58" w:type="dxa"/>
              <w:right w:w="58" w:type="dxa"/>
            </w:tcMar>
            <w:vAlign w:val="center"/>
            <w:hideMark/>
          </w:tcPr>
          <w:p w14:paraId="4C8F3782"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120</w:t>
            </w:r>
          </w:p>
        </w:tc>
        <w:tc>
          <w:tcPr>
            <w:tcW w:w="1526" w:type="dxa"/>
            <w:tcBorders>
              <w:top w:val="single" w:sz="4" w:space="0" w:color="auto"/>
              <w:left w:val="nil"/>
              <w:bottom w:val="single" w:sz="4" w:space="0" w:color="auto"/>
              <w:right w:val="nil"/>
            </w:tcBorders>
            <w:tcMar>
              <w:left w:w="58" w:type="dxa"/>
              <w:right w:w="58" w:type="dxa"/>
            </w:tcMar>
            <w:vAlign w:val="center"/>
            <w:hideMark/>
          </w:tcPr>
          <w:p w14:paraId="2D5153BD"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 xml:space="preserve">77.9 </w:t>
            </w:r>
            <w:r w:rsidRPr="00F60DF8">
              <w:rPr>
                <w:rFonts w:cs="Times New Roman"/>
                <w:bCs/>
                <w:sz w:val="22"/>
                <w:vertAlign w:val="superscript"/>
              </w:rPr>
              <w:t>a</w:t>
            </w:r>
          </w:p>
        </w:tc>
        <w:tc>
          <w:tcPr>
            <w:tcW w:w="2250" w:type="dxa"/>
            <w:tcBorders>
              <w:top w:val="single" w:sz="4" w:space="0" w:color="auto"/>
              <w:left w:val="nil"/>
              <w:bottom w:val="single" w:sz="4" w:space="0" w:color="auto"/>
              <w:right w:val="nil"/>
            </w:tcBorders>
            <w:tcMar>
              <w:left w:w="58" w:type="dxa"/>
              <w:right w:w="58" w:type="dxa"/>
            </w:tcMar>
            <w:vAlign w:val="center"/>
            <w:hideMark/>
          </w:tcPr>
          <w:p w14:paraId="24064783"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fldChar w:fldCharType="begin" w:fldLock="1"/>
            </w:r>
            <w:r w:rsidRPr="00F60DF8">
              <w:rPr>
                <w:rFonts w:cs="Times New Roman"/>
                <w:bCs/>
                <w:sz w:val="22"/>
              </w:rPr>
              <w:instrText>ADDIN CSL_CITATION {"citationItems":[{"id":"ITEM-1","itemData":{"DOI":"10.1016/j.watres.2013.09.039","ISSN":"18792448","PMID":"24436986","abstract":"This study investigates the degradation of the β-blockers in hospital wastewater by direct ozonation and Fe2+/ozonation with a focus on measurements at different initial pHs and Fe2+ concentrations, and the determination of kinetic constants. The results showed that these 'emerging contaminants' were completely degraded, when the removal rate of organic matter reached 30.6% and 49.1% for ozonation and Fe2+/ozonation, respectively. Likewise, the aromaticity removal rates were 63.4% and 77.9% for ozonation and Fe2+/ozonation, respectively. The experimental design showed that pH was the variable which had the greatest effect on the Fe2+/ozonation. The kinetic constants of atenolol, metoprolol and propranolol degradation by direct ozonation complied with pseudo-first-order conditions, while Fe2+/ozonation was suited to a biphasic degradation model. The kobs tended to rise when the pH increases; propranolol showed high kobs, which can be attributed to the naphthalene group (an electron-rich moiety). The identification of degradation products was carried out in aqueous solution using HPLC-MS2, followed by a suggestion of degradation pathways by means of ozonation. The degradation products proved to be dependent on the initial pH, and followed pathways that are based on direct ozonolysis and free radicals. © 2013 Elsevier Ltd.","author":[{"dropping-particle":"","family":"Wilde","given":"Marcelo L.","non-dropping-particle":"","parse-names":false,"suffix":""},{"dropping-particle":"","family":"Montipó","given":"Sheila","non-dropping-particle":"","parse-names":false,"suffix":""},{"dropping-particle":"","family":"Martins","given":"Ayrton F.","non-dropping-particle":"","parse-names":false,"suffix":""}],"container-title":"Water Research","id":"ITEM-1","issue":"1","issued":{"date-parts":[["2014","1"]]},"page":"280-295","title":"Degradation of β-blockers in hospital wastewater by means of ozonation and Fe2+/ozonation","type":"article-journal","volume":"48"},"uris":["http://www.mendeley.com/documents/?uuid=d7820f3e-7c07-43b6-b885-3eeda27e044d"]}],"mendeley":{"formattedCitation":"(Wilde et al., 2014)","plainTextFormattedCitation":"(Wilde et al., 2014)","previouslyFormattedCitation":"(Wilde et al., 2014)"},"properties":{"noteIndex":0},"schema":"https://github.com/citation-style-language/schema/raw/master/csl-citation.json"}</w:instrText>
            </w:r>
            <w:r w:rsidRPr="00F60DF8">
              <w:rPr>
                <w:rFonts w:cs="Times New Roman"/>
                <w:bCs/>
                <w:sz w:val="22"/>
              </w:rPr>
              <w:fldChar w:fldCharType="separate"/>
            </w:r>
            <w:r w:rsidRPr="00F60DF8">
              <w:rPr>
                <w:rFonts w:cs="Times New Roman"/>
                <w:bCs/>
                <w:noProof/>
                <w:sz w:val="22"/>
              </w:rPr>
              <w:t>(Wilde et al., 2014)</w:t>
            </w:r>
            <w:r w:rsidRPr="00F60DF8">
              <w:rPr>
                <w:rFonts w:cs="Times New Roman"/>
                <w:bCs/>
                <w:sz w:val="22"/>
              </w:rPr>
              <w:fldChar w:fldCharType="end"/>
            </w:r>
          </w:p>
        </w:tc>
      </w:tr>
      <w:tr w:rsidR="00F60DF8" w:rsidRPr="00F60DF8" w14:paraId="4BE49216" w14:textId="77777777" w:rsidTr="0001742A">
        <w:trPr>
          <w:trHeight w:val="94"/>
        </w:trPr>
        <w:tc>
          <w:tcPr>
            <w:tcW w:w="1530" w:type="dxa"/>
            <w:vMerge/>
            <w:tcBorders>
              <w:top w:val="single" w:sz="4" w:space="0" w:color="auto"/>
              <w:left w:val="nil"/>
              <w:bottom w:val="single" w:sz="4" w:space="0" w:color="auto"/>
              <w:right w:val="nil"/>
            </w:tcBorders>
            <w:tcMar>
              <w:left w:w="58" w:type="dxa"/>
              <w:right w:w="58" w:type="dxa"/>
            </w:tcMar>
            <w:vAlign w:val="center"/>
            <w:hideMark/>
          </w:tcPr>
          <w:p w14:paraId="2AEF6DDF" w14:textId="77777777" w:rsidR="00F60DF8" w:rsidRPr="00F60DF8" w:rsidRDefault="00F60DF8" w:rsidP="005647F0">
            <w:pPr>
              <w:spacing w:after="0" w:line="240" w:lineRule="auto"/>
              <w:rPr>
                <w:rFonts w:cs="Times New Roman"/>
                <w:bCs/>
                <w:sz w:val="22"/>
              </w:rPr>
            </w:pPr>
          </w:p>
        </w:tc>
        <w:tc>
          <w:tcPr>
            <w:tcW w:w="1425" w:type="dxa"/>
            <w:tcBorders>
              <w:top w:val="single" w:sz="4" w:space="0" w:color="auto"/>
              <w:left w:val="nil"/>
              <w:bottom w:val="single" w:sz="4" w:space="0" w:color="auto"/>
              <w:right w:val="nil"/>
            </w:tcBorders>
            <w:vAlign w:val="center"/>
          </w:tcPr>
          <w:p w14:paraId="3E56BCA8"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Mn</w:t>
            </w:r>
            <w:r w:rsidRPr="00F60DF8">
              <w:rPr>
                <w:rFonts w:cs="Times New Roman"/>
                <w:bCs/>
                <w:sz w:val="22"/>
                <w:vertAlign w:val="superscript"/>
              </w:rPr>
              <w:t>2+</w:t>
            </w:r>
          </w:p>
        </w:tc>
        <w:tc>
          <w:tcPr>
            <w:tcW w:w="1545" w:type="dxa"/>
            <w:tcBorders>
              <w:top w:val="single" w:sz="4" w:space="0" w:color="auto"/>
              <w:left w:val="nil"/>
              <w:bottom w:val="single" w:sz="4" w:space="0" w:color="auto"/>
              <w:right w:val="nil"/>
            </w:tcBorders>
            <w:vAlign w:val="center"/>
          </w:tcPr>
          <w:p w14:paraId="20905F29"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4.1</w:t>
            </w:r>
          </w:p>
        </w:tc>
        <w:tc>
          <w:tcPr>
            <w:tcW w:w="1440" w:type="dxa"/>
            <w:tcBorders>
              <w:top w:val="single" w:sz="4" w:space="0" w:color="auto"/>
              <w:left w:val="nil"/>
              <w:bottom w:val="single" w:sz="4" w:space="0" w:color="auto"/>
              <w:right w:val="nil"/>
            </w:tcBorders>
            <w:vAlign w:val="center"/>
          </w:tcPr>
          <w:p w14:paraId="5D9F7179" w14:textId="77777777" w:rsidR="00F60DF8" w:rsidRPr="00F60DF8" w:rsidRDefault="00F60DF8" w:rsidP="005647F0">
            <w:pPr>
              <w:spacing w:after="0" w:line="240" w:lineRule="auto"/>
              <w:jc w:val="center"/>
              <w:rPr>
                <w:rFonts w:cs="Times New Roman"/>
                <w:bCs/>
                <w:sz w:val="22"/>
                <w:vertAlign w:val="superscript"/>
              </w:rPr>
            </w:pPr>
            <w:r w:rsidRPr="00F60DF8">
              <w:rPr>
                <w:rFonts w:cs="Times New Roman"/>
                <w:bCs/>
                <w:sz w:val="22"/>
              </w:rPr>
              <w:t>72×10</w:t>
            </w:r>
            <w:r w:rsidRPr="00F60DF8">
              <w:rPr>
                <w:rFonts w:cs="Times New Roman"/>
                <w:bCs/>
                <w:sz w:val="22"/>
                <w:vertAlign w:val="superscript"/>
              </w:rPr>
              <w:t>-2</w:t>
            </w:r>
          </w:p>
        </w:tc>
        <w:tc>
          <w:tcPr>
            <w:tcW w:w="1705" w:type="dxa"/>
            <w:tcBorders>
              <w:top w:val="single" w:sz="4" w:space="0" w:color="auto"/>
              <w:left w:val="nil"/>
              <w:bottom w:val="single" w:sz="4" w:space="0" w:color="auto"/>
              <w:right w:val="nil"/>
            </w:tcBorders>
            <w:tcMar>
              <w:left w:w="58" w:type="dxa"/>
              <w:right w:w="58" w:type="dxa"/>
            </w:tcMar>
            <w:vAlign w:val="center"/>
            <w:hideMark/>
          </w:tcPr>
          <w:p w14:paraId="48D11708" w14:textId="77777777" w:rsidR="00F60DF8" w:rsidRPr="00F60DF8" w:rsidRDefault="00F60DF8" w:rsidP="005647F0">
            <w:pPr>
              <w:spacing w:after="0" w:line="240" w:lineRule="auto"/>
              <w:rPr>
                <w:rFonts w:cs="Times New Roman"/>
                <w:bCs/>
                <w:sz w:val="22"/>
              </w:rPr>
            </w:pPr>
            <w:r w:rsidRPr="00F60DF8">
              <w:rPr>
                <w:rFonts w:cs="Times New Roman"/>
                <w:bCs/>
                <w:sz w:val="22"/>
              </w:rPr>
              <w:t>17β-estradiol</w:t>
            </w:r>
          </w:p>
        </w:tc>
        <w:tc>
          <w:tcPr>
            <w:tcW w:w="905" w:type="dxa"/>
            <w:tcBorders>
              <w:top w:val="single" w:sz="4" w:space="0" w:color="auto"/>
              <w:left w:val="nil"/>
              <w:bottom w:val="single" w:sz="4" w:space="0" w:color="auto"/>
              <w:right w:val="nil"/>
            </w:tcBorders>
            <w:tcMar>
              <w:left w:w="58" w:type="dxa"/>
              <w:right w:w="58" w:type="dxa"/>
            </w:tcMar>
            <w:vAlign w:val="center"/>
            <w:hideMark/>
          </w:tcPr>
          <w:p w14:paraId="186D7336" w14:textId="77777777" w:rsidR="00F60DF8" w:rsidRPr="00F60DF8" w:rsidRDefault="00F60DF8" w:rsidP="005647F0">
            <w:pPr>
              <w:spacing w:after="0" w:line="240" w:lineRule="auto"/>
              <w:jc w:val="center"/>
              <w:rPr>
                <w:rFonts w:cs="Times New Roman"/>
                <w:bCs/>
                <w:iCs/>
                <w:sz w:val="22"/>
              </w:rPr>
            </w:pPr>
            <w:r w:rsidRPr="00F60DF8">
              <w:rPr>
                <w:rFonts w:cs="Times New Roman"/>
                <w:bCs/>
                <w:iCs/>
                <w:sz w:val="22"/>
              </w:rPr>
              <w:t>2.7</w:t>
            </w:r>
          </w:p>
        </w:tc>
        <w:tc>
          <w:tcPr>
            <w:tcW w:w="814" w:type="dxa"/>
            <w:tcBorders>
              <w:top w:val="single" w:sz="4" w:space="0" w:color="auto"/>
              <w:left w:val="nil"/>
              <w:bottom w:val="single" w:sz="4" w:space="0" w:color="auto"/>
              <w:right w:val="nil"/>
            </w:tcBorders>
            <w:tcMar>
              <w:left w:w="58" w:type="dxa"/>
              <w:right w:w="58" w:type="dxa"/>
            </w:tcMar>
            <w:vAlign w:val="center"/>
            <w:hideMark/>
          </w:tcPr>
          <w:p w14:paraId="39E9A846"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5</w:t>
            </w:r>
          </w:p>
        </w:tc>
        <w:tc>
          <w:tcPr>
            <w:tcW w:w="1526" w:type="dxa"/>
            <w:tcBorders>
              <w:top w:val="single" w:sz="4" w:space="0" w:color="auto"/>
              <w:left w:val="nil"/>
              <w:bottom w:val="single" w:sz="4" w:space="0" w:color="auto"/>
              <w:right w:val="nil"/>
            </w:tcBorders>
            <w:tcMar>
              <w:left w:w="58" w:type="dxa"/>
              <w:right w:w="58" w:type="dxa"/>
            </w:tcMar>
            <w:vAlign w:val="center"/>
            <w:hideMark/>
          </w:tcPr>
          <w:p w14:paraId="53E94E1C" w14:textId="35B5F254" w:rsidR="00F60DF8" w:rsidRPr="00F60DF8" w:rsidRDefault="00F60DF8" w:rsidP="005647F0">
            <w:pPr>
              <w:spacing w:after="0" w:line="240" w:lineRule="auto"/>
              <w:jc w:val="center"/>
              <w:rPr>
                <w:rFonts w:cs="Times New Roman"/>
                <w:bCs/>
                <w:sz w:val="22"/>
              </w:rPr>
            </w:pPr>
            <w:r w:rsidRPr="00F60DF8">
              <w:rPr>
                <w:rFonts w:cs="Times New Roman"/>
                <w:bCs/>
                <w:sz w:val="22"/>
              </w:rPr>
              <w:t>90</w:t>
            </w:r>
            <w:r w:rsidR="004A59CA" w:rsidRPr="00494F78">
              <w:rPr>
                <w:rFonts w:cs="Times New Roman"/>
                <w:bCs/>
                <w:sz w:val="22"/>
                <w:vertAlign w:val="superscript"/>
              </w:rPr>
              <w:t xml:space="preserve"> c</w:t>
            </w:r>
          </w:p>
        </w:tc>
        <w:tc>
          <w:tcPr>
            <w:tcW w:w="2250" w:type="dxa"/>
            <w:tcBorders>
              <w:top w:val="single" w:sz="4" w:space="0" w:color="auto"/>
              <w:left w:val="nil"/>
              <w:bottom w:val="single" w:sz="4" w:space="0" w:color="auto"/>
              <w:right w:val="nil"/>
            </w:tcBorders>
            <w:tcMar>
              <w:left w:w="58" w:type="dxa"/>
              <w:right w:w="58" w:type="dxa"/>
            </w:tcMar>
            <w:vAlign w:val="center"/>
            <w:hideMark/>
          </w:tcPr>
          <w:p w14:paraId="3866695B"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fldChar w:fldCharType="begin" w:fldLock="1"/>
            </w:r>
            <w:r w:rsidRPr="00F60DF8">
              <w:rPr>
                <w:rFonts w:cs="Times New Roman"/>
                <w:bCs/>
                <w:sz w:val="22"/>
              </w:rPr>
              <w:instrText>ADDIN CSL_CITATION {"citationItems":[{"id":"ITEM-1","itemData":{"DOI":"10.1080/09593330.2012.689358","ISSN":"1479487X","PMID":"23530323","abstract":"Natural estrogens, such as 17β-estradiol (E2), are the main substances responsible for estrogenic activity found in domestic sewage. In the work described herein, the degradation of E2 has been investigated by single ozonation and catalytic ozonation in the presence of manganese ion (Mn 2+) and oxalic acid. The presence of Mn2+ and oxalic acid in the ozonation processes significantly improved the E2 degradation and, hence, the reduction of estrogenic activity in aqueous solution. The addition of Mn2+ and oxalic acid produced many more hydroxyl radicals in the catalytic ozonation system than in the single ozonation system. Oxidation products formed during ozonation of E2 have been identified by means of gas chromatography-mass spectrometry (GC-MS), on the basis of which a possible reaction pathway for E2 degradation by ozonation is proposed. E2 was first oxidized to hydroxyl-semiquinone isomers, and these were subsequently degraded to low molecular weight compounds such as oxalic acid and malonic acid. The latter were easily oxidized by ozone to form carbon dioxide (CO2). The results demonstrate that the ozonation-Mn2+-oxalic acid system may serve as a powerful tool for removing E2, and the addition of Mn 2+ and oxalic acid is favourable for the complete removal of estrogenic activity induced by steroid estrogens in aqueous solution. © 2013 Taylor &amp; Francis Group, LLC.","author":[{"dropping-particle":"","family":"Jiang","given":"Liying","non-dropping-particle":"","parse-names":false,"suffix":""},{"dropping-particle":"","family":"Zhang","given":"Lu","non-dropping-particle":"","parse-names":false,"suffix":""},{"dropping-particle":"","family":"Chen","given":"Jianmeng","non-dropping-particle":"","parse-names":false,"suffix":""},{"dropping-particle":"","family":"Ji","given":"Hong","non-dropping-particle":"","parse-names":false,"suffix":""}],"container-title":"Environmental Technology (United Kingdom)","id":"ITEM-1","issue":"1","issued":{"date-parts":[["2013"]]},"page":"131-138","title":"Degradation of 17β-estradiol in aqueous solution by ozonation in the presence of manganese(II) and oxalic acid","type":"article-journal","volume":"34"},"uris":["http://www.mendeley.com/documents/?uuid=853888df-f385-4612-82e6-44bb21efaf56"]}],"mendeley":{"formattedCitation":"(Jiang et al., 2013)","plainTextFormattedCitation":"(Jiang et al., 2013)","previouslyFormattedCitation":"(Jiang et al., 2013)"},"properties":{"noteIndex":0},"schema":"https://github.com/citation-style-language/schema/raw/master/csl-citation.json"}</w:instrText>
            </w:r>
            <w:r w:rsidRPr="00F60DF8">
              <w:rPr>
                <w:rFonts w:cs="Times New Roman"/>
                <w:bCs/>
                <w:sz w:val="22"/>
              </w:rPr>
              <w:fldChar w:fldCharType="separate"/>
            </w:r>
            <w:r w:rsidRPr="00F60DF8">
              <w:rPr>
                <w:rFonts w:cs="Times New Roman"/>
                <w:bCs/>
                <w:noProof/>
                <w:sz w:val="22"/>
              </w:rPr>
              <w:t>(Jiang et al., 2013)</w:t>
            </w:r>
            <w:r w:rsidRPr="00F60DF8">
              <w:rPr>
                <w:rFonts w:cs="Times New Roman"/>
                <w:bCs/>
                <w:sz w:val="22"/>
              </w:rPr>
              <w:fldChar w:fldCharType="end"/>
            </w:r>
          </w:p>
        </w:tc>
      </w:tr>
      <w:tr w:rsidR="00F60DF8" w:rsidRPr="00F60DF8" w14:paraId="3E54A7E1" w14:textId="77777777" w:rsidTr="0001742A">
        <w:trPr>
          <w:trHeight w:val="449"/>
        </w:trPr>
        <w:tc>
          <w:tcPr>
            <w:tcW w:w="1530" w:type="dxa"/>
            <w:vMerge w:val="restart"/>
            <w:tcBorders>
              <w:top w:val="single" w:sz="4" w:space="0" w:color="auto"/>
              <w:left w:val="nil"/>
              <w:right w:val="nil"/>
            </w:tcBorders>
            <w:tcMar>
              <w:left w:w="58" w:type="dxa"/>
              <w:right w:w="58" w:type="dxa"/>
            </w:tcMar>
            <w:vAlign w:val="center"/>
            <w:hideMark/>
          </w:tcPr>
          <w:p w14:paraId="1AC54184" w14:textId="77777777" w:rsidR="00F60DF8" w:rsidRPr="00F60DF8" w:rsidRDefault="00F60DF8" w:rsidP="005647F0">
            <w:pPr>
              <w:spacing w:after="0" w:line="240" w:lineRule="auto"/>
              <w:rPr>
                <w:rFonts w:cs="Times New Roman"/>
                <w:bCs/>
                <w:sz w:val="22"/>
              </w:rPr>
            </w:pPr>
            <w:r w:rsidRPr="00F60DF8">
              <w:rPr>
                <w:rFonts w:cs="Times New Roman"/>
                <w:bCs/>
                <w:sz w:val="22"/>
              </w:rPr>
              <w:t xml:space="preserve">Heterogeneous </w:t>
            </w:r>
          </w:p>
        </w:tc>
        <w:tc>
          <w:tcPr>
            <w:tcW w:w="1425" w:type="dxa"/>
            <w:tcBorders>
              <w:top w:val="single" w:sz="4" w:space="0" w:color="auto"/>
              <w:left w:val="nil"/>
              <w:bottom w:val="single" w:sz="4" w:space="0" w:color="auto"/>
              <w:right w:val="nil"/>
            </w:tcBorders>
            <w:vAlign w:val="center"/>
          </w:tcPr>
          <w:p w14:paraId="1C6F3188"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Fe-MCM-48</w:t>
            </w:r>
          </w:p>
        </w:tc>
        <w:tc>
          <w:tcPr>
            <w:tcW w:w="1545" w:type="dxa"/>
            <w:tcBorders>
              <w:top w:val="single" w:sz="4" w:space="0" w:color="auto"/>
              <w:left w:val="nil"/>
              <w:bottom w:val="single" w:sz="4" w:space="0" w:color="auto"/>
              <w:right w:val="nil"/>
            </w:tcBorders>
            <w:vAlign w:val="center"/>
          </w:tcPr>
          <w:p w14:paraId="70CBFA4E"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150</w:t>
            </w:r>
          </w:p>
        </w:tc>
        <w:tc>
          <w:tcPr>
            <w:tcW w:w="1440" w:type="dxa"/>
            <w:tcBorders>
              <w:top w:val="single" w:sz="4" w:space="0" w:color="auto"/>
              <w:left w:val="nil"/>
              <w:bottom w:val="single" w:sz="4" w:space="0" w:color="auto"/>
              <w:right w:val="nil"/>
            </w:tcBorders>
            <w:vAlign w:val="center"/>
          </w:tcPr>
          <w:p w14:paraId="5C4E829D"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100</w:t>
            </w:r>
          </w:p>
        </w:tc>
        <w:tc>
          <w:tcPr>
            <w:tcW w:w="1705" w:type="dxa"/>
            <w:tcBorders>
              <w:top w:val="single" w:sz="4" w:space="0" w:color="auto"/>
              <w:left w:val="nil"/>
              <w:bottom w:val="single" w:sz="4" w:space="0" w:color="auto"/>
              <w:right w:val="nil"/>
            </w:tcBorders>
            <w:tcMar>
              <w:left w:w="58" w:type="dxa"/>
              <w:right w:w="58" w:type="dxa"/>
            </w:tcMar>
            <w:vAlign w:val="center"/>
            <w:hideMark/>
          </w:tcPr>
          <w:p w14:paraId="4AF599AD" w14:textId="77777777" w:rsidR="00F60DF8" w:rsidRPr="00F60DF8" w:rsidRDefault="00F60DF8" w:rsidP="005647F0">
            <w:pPr>
              <w:spacing w:after="0" w:line="240" w:lineRule="auto"/>
              <w:rPr>
                <w:rFonts w:cs="Times New Roman"/>
                <w:bCs/>
                <w:sz w:val="22"/>
              </w:rPr>
            </w:pPr>
            <w:r w:rsidRPr="00F60DF8">
              <w:rPr>
                <w:rFonts w:cs="Times New Roman"/>
                <w:bCs/>
                <w:sz w:val="22"/>
              </w:rPr>
              <w:t>Diclofenac</w:t>
            </w:r>
          </w:p>
        </w:tc>
        <w:tc>
          <w:tcPr>
            <w:tcW w:w="905" w:type="dxa"/>
            <w:tcBorders>
              <w:top w:val="single" w:sz="4" w:space="0" w:color="auto"/>
              <w:left w:val="nil"/>
              <w:bottom w:val="single" w:sz="4" w:space="0" w:color="auto"/>
              <w:right w:val="nil"/>
            </w:tcBorders>
            <w:tcMar>
              <w:left w:w="58" w:type="dxa"/>
              <w:right w:w="58" w:type="dxa"/>
            </w:tcMar>
            <w:vAlign w:val="center"/>
            <w:hideMark/>
          </w:tcPr>
          <w:p w14:paraId="4B15571E" w14:textId="77777777" w:rsidR="00F60DF8" w:rsidRPr="00F60DF8" w:rsidRDefault="00F60DF8" w:rsidP="005647F0">
            <w:pPr>
              <w:spacing w:after="0" w:line="240" w:lineRule="auto"/>
              <w:jc w:val="center"/>
              <w:rPr>
                <w:rFonts w:cs="Times New Roman"/>
                <w:bCs/>
                <w:iCs/>
                <w:sz w:val="22"/>
              </w:rPr>
            </w:pPr>
            <w:r w:rsidRPr="00F60DF8">
              <w:rPr>
                <w:rFonts w:cs="Times New Roman"/>
                <w:bCs/>
                <w:iCs/>
                <w:sz w:val="22"/>
              </w:rPr>
              <w:t>15</w:t>
            </w:r>
          </w:p>
        </w:tc>
        <w:tc>
          <w:tcPr>
            <w:tcW w:w="814" w:type="dxa"/>
            <w:tcBorders>
              <w:top w:val="single" w:sz="4" w:space="0" w:color="auto"/>
              <w:left w:val="nil"/>
              <w:bottom w:val="single" w:sz="4" w:space="0" w:color="auto"/>
              <w:right w:val="nil"/>
            </w:tcBorders>
            <w:tcMar>
              <w:left w:w="58" w:type="dxa"/>
              <w:right w:w="58" w:type="dxa"/>
            </w:tcMar>
            <w:vAlign w:val="center"/>
            <w:hideMark/>
          </w:tcPr>
          <w:p w14:paraId="0CBBE880"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60</w:t>
            </w:r>
          </w:p>
        </w:tc>
        <w:tc>
          <w:tcPr>
            <w:tcW w:w="1526" w:type="dxa"/>
            <w:tcBorders>
              <w:top w:val="single" w:sz="4" w:space="0" w:color="auto"/>
              <w:left w:val="nil"/>
              <w:bottom w:val="single" w:sz="4" w:space="0" w:color="auto"/>
              <w:right w:val="nil"/>
            </w:tcBorders>
            <w:tcMar>
              <w:left w:w="58" w:type="dxa"/>
              <w:right w:w="58" w:type="dxa"/>
            </w:tcMar>
            <w:vAlign w:val="center"/>
            <w:hideMark/>
          </w:tcPr>
          <w:p w14:paraId="1FD33EBC"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 xml:space="preserve">50 </w:t>
            </w:r>
            <w:r w:rsidRPr="00F60DF8">
              <w:rPr>
                <w:rFonts w:cs="Times New Roman"/>
                <w:bCs/>
                <w:sz w:val="22"/>
                <w:vertAlign w:val="superscript"/>
              </w:rPr>
              <w:t>b</w:t>
            </w:r>
          </w:p>
        </w:tc>
        <w:tc>
          <w:tcPr>
            <w:tcW w:w="2250" w:type="dxa"/>
            <w:tcBorders>
              <w:top w:val="single" w:sz="4" w:space="0" w:color="auto"/>
              <w:left w:val="nil"/>
              <w:bottom w:val="single" w:sz="4" w:space="0" w:color="auto"/>
              <w:right w:val="nil"/>
            </w:tcBorders>
            <w:tcMar>
              <w:left w:w="58" w:type="dxa"/>
              <w:right w:w="58" w:type="dxa"/>
            </w:tcMar>
            <w:vAlign w:val="center"/>
            <w:hideMark/>
          </w:tcPr>
          <w:p w14:paraId="061A69AC"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fldChar w:fldCharType="begin" w:fldLock="1"/>
            </w:r>
            <w:r w:rsidRPr="00F60DF8">
              <w:rPr>
                <w:rFonts w:cs="Times New Roman"/>
                <w:bCs/>
                <w:sz w:val="22"/>
              </w:rPr>
              <w:instrText>ADDIN CSL_CITATION {"citationItems":[{"id":"ITEM-1","itemData":{"DOI":"10.1016/j.chemosphere.2018.05.066","ISSN":"00456535","PMID":"29778939","abstract":"Fe-MCM-48 catalyst with a three-dimensional cubic pore structure was directly synthesized via a hydrothermal method, and the mineralization efficiency of diclofenac (DCF) in the catalytic ozonation process (Fe-MCM-48/O3) was assessed. X-ray diffraction (XRD), N2 adsorption desorption, transmission electron microscopy (TEM) and X-ray photoelectron spectroscopy (XPS) characterizations revealed that Fe existed in the framework of MCM-48, and Fe-MCM-48 possessed a large surface area and a highly ordered cubic mesoporous structure, which could accelerate reactants and products diffusion. Regarding mineralization efficiency, the addition of Fe-MCM-48 significantly improved total organic carbon (TOC) removal, and approximately 49.9% TOC were removed through the Fe-MCM-48/O3 process at 60 min, which was 2.0 times higher than that in single ozonation. Due to this catalyst's superior structure, Fe-MCM-48 showed the better catalytic activity compared with Fe-MCM-41 and Fe loaded MCM-48 (Fe/MCM-48, Fe existed on the surface of MCM-48). DCF removal in the Fe-MCM-48/O3 process was primarily based on ozone direct oxidation. The improvement of mineralization efficiency was attributed to the function of generated hydroxyl radicals (•OH), which indicated that the presence of Fe-MCM-48 accelerated ozone decomposition. Moreover, the negatively charged surface of Fe-MCM-48 and the proper pH value of the DCF solution played an essential role in [rad]OH generation.","author":[{"dropping-particle":"","family":"Li","given":"Xukai","non-dropping-particle":"","parse-names":false,"suffix":""},{"dropping-particle":"","family":"Chen","given":"Weirui","non-dropping-particle":"","parse-names":false,"suffix":""},{"dropping-particle":"","family":"Tang","given":"Yiming","non-dropping-particle":"","parse-names":false,"suffix":""},{"dropping-particle":"","family":"Li","given":"Laisheng","non-dropping-particle":"","parse-names":false,"suffix":""}],"container-title":"Chemosphere","id":"ITEM-1","issued":{"date-parts":[["2018","9"]]},"page":"615-621","title":"Relationship between the structure of Fe-MCM-48 and its activity in catalytic ozonation for diclofenac mineralization","type":"article-journal","volume":"206"},"uris":["http://www.mendeley.com/documents/?uuid=d05e439f-fa8c-432d-bc7c-12fdbd0b7c7a","http://www.mendeley.com/documents/?uuid=2a0dc1cc-ab18-462c-ac35-ad6c3c4f13e3"]}],"mendeley":{"formattedCitation":"(Li et al., 2018)","plainTextFormattedCitation":"(Li et al., 2018)","previouslyFormattedCitation":"(Li et al., 2018)"},"properties":{"noteIndex":0},"schema":"https://github.com/citation-style-language/schema/raw/master/csl-citation.json"}</w:instrText>
            </w:r>
            <w:r w:rsidRPr="00F60DF8">
              <w:rPr>
                <w:rFonts w:cs="Times New Roman"/>
                <w:bCs/>
                <w:sz w:val="22"/>
              </w:rPr>
              <w:fldChar w:fldCharType="separate"/>
            </w:r>
            <w:r w:rsidRPr="00F60DF8">
              <w:rPr>
                <w:rFonts w:cs="Times New Roman"/>
                <w:bCs/>
                <w:noProof/>
                <w:sz w:val="22"/>
              </w:rPr>
              <w:t>(Li et al., 2018)</w:t>
            </w:r>
            <w:r w:rsidRPr="00F60DF8">
              <w:rPr>
                <w:rFonts w:cs="Times New Roman"/>
                <w:bCs/>
                <w:sz w:val="22"/>
              </w:rPr>
              <w:fldChar w:fldCharType="end"/>
            </w:r>
          </w:p>
        </w:tc>
      </w:tr>
      <w:tr w:rsidR="00F60DF8" w:rsidRPr="00F60DF8" w14:paraId="352A5F78" w14:textId="77777777" w:rsidTr="0001742A">
        <w:trPr>
          <w:trHeight w:val="94"/>
        </w:trPr>
        <w:tc>
          <w:tcPr>
            <w:tcW w:w="1530" w:type="dxa"/>
            <w:vMerge/>
            <w:tcBorders>
              <w:left w:val="nil"/>
              <w:right w:val="nil"/>
            </w:tcBorders>
            <w:tcMar>
              <w:left w:w="58" w:type="dxa"/>
              <w:right w:w="58" w:type="dxa"/>
            </w:tcMar>
            <w:vAlign w:val="center"/>
            <w:hideMark/>
          </w:tcPr>
          <w:p w14:paraId="50B925A6" w14:textId="77777777" w:rsidR="00F60DF8" w:rsidRPr="00F60DF8" w:rsidRDefault="00F60DF8" w:rsidP="005647F0">
            <w:pPr>
              <w:spacing w:after="0" w:line="240" w:lineRule="auto"/>
              <w:rPr>
                <w:rFonts w:cs="Times New Roman"/>
                <w:bCs/>
                <w:sz w:val="22"/>
              </w:rPr>
            </w:pPr>
          </w:p>
        </w:tc>
        <w:tc>
          <w:tcPr>
            <w:tcW w:w="1425" w:type="dxa"/>
            <w:tcBorders>
              <w:top w:val="single" w:sz="4" w:space="0" w:color="auto"/>
              <w:left w:val="nil"/>
              <w:bottom w:val="single" w:sz="4" w:space="0" w:color="auto"/>
              <w:right w:val="nil"/>
            </w:tcBorders>
            <w:vAlign w:val="center"/>
          </w:tcPr>
          <w:p w14:paraId="69E63302"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MnO</w:t>
            </w:r>
            <w:r w:rsidRPr="00F60DF8">
              <w:rPr>
                <w:rFonts w:cs="Times New Roman"/>
                <w:bCs/>
                <w:sz w:val="22"/>
                <w:vertAlign w:val="subscript"/>
              </w:rPr>
              <w:t>2</w:t>
            </w:r>
          </w:p>
        </w:tc>
        <w:tc>
          <w:tcPr>
            <w:tcW w:w="1545" w:type="dxa"/>
            <w:tcBorders>
              <w:top w:val="single" w:sz="4" w:space="0" w:color="auto"/>
              <w:left w:val="nil"/>
              <w:bottom w:val="single" w:sz="4" w:space="0" w:color="auto"/>
              <w:right w:val="nil"/>
            </w:tcBorders>
            <w:vAlign w:val="center"/>
          </w:tcPr>
          <w:p w14:paraId="3F3FCE89"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40</w:t>
            </w:r>
          </w:p>
        </w:tc>
        <w:tc>
          <w:tcPr>
            <w:tcW w:w="1440" w:type="dxa"/>
            <w:tcBorders>
              <w:top w:val="single" w:sz="4" w:space="0" w:color="auto"/>
              <w:left w:val="nil"/>
              <w:bottom w:val="single" w:sz="4" w:space="0" w:color="auto"/>
              <w:right w:val="nil"/>
            </w:tcBorders>
            <w:vAlign w:val="center"/>
          </w:tcPr>
          <w:p w14:paraId="0DE32C73"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1.7</w:t>
            </w:r>
          </w:p>
        </w:tc>
        <w:tc>
          <w:tcPr>
            <w:tcW w:w="1705" w:type="dxa"/>
            <w:tcBorders>
              <w:top w:val="single" w:sz="4" w:space="0" w:color="auto"/>
              <w:left w:val="nil"/>
              <w:bottom w:val="single" w:sz="4" w:space="0" w:color="auto"/>
              <w:right w:val="nil"/>
            </w:tcBorders>
            <w:tcMar>
              <w:left w:w="58" w:type="dxa"/>
              <w:right w:w="58" w:type="dxa"/>
            </w:tcMar>
            <w:vAlign w:val="center"/>
            <w:hideMark/>
          </w:tcPr>
          <w:p w14:paraId="5F2CE09D" w14:textId="77777777" w:rsidR="00F60DF8" w:rsidRPr="00F60DF8" w:rsidRDefault="00F60DF8" w:rsidP="005647F0">
            <w:pPr>
              <w:spacing w:after="0" w:line="240" w:lineRule="auto"/>
              <w:rPr>
                <w:rFonts w:cs="Times New Roman"/>
                <w:bCs/>
                <w:sz w:val="22"/>
              </w:rPr>
            </w:pPr>
            <w:proofErr w:type="spellStart"/>
            <w:r w:rsidRPr="00F60DF8">
              <w:rPr>
                <w:rFonts w:cs="Times New Roman"/>
                <w:bCs/>
                <w:sz w:val="22"/>
              </w:rPr>
              <w:t>Irgarol</w:t>
            </w:r>
            <w:proofErr w:type="spellEnd"/>
          </w:p>
        </w:tc>
        <w:tc>
          <w:tcPr>
            <w:tcW w:w="905" w:type="dxa"/>
            <w:tcBorders>
              <w:top w:val="single" w:sz="4" w:space="0" w:color="auto"/>
              <w:left w:val="nil"/>
              <w:bottom w:val="single" w:sz="4" w:space="0" w:color="auto"/>
              <w:right w:val="nil"/>
            </w:tcBorders>
            <w:tcMar>
              <w:left w:w="58" w:type="dxa"/>
              <w:right w:w="58" w:type="dxa"/>
            </w:tcMar>
            <w:vAlign w:val="center"/>
            <w:hideMark/>
          </w:tcPr>
          <w:p w14:paraId="57B1C0A6" w14:textId="77777777" w:rsidR="00F60DF8" w:rsidRPr="00F60DF8" w:rsidRDefault="00F60DF8" w:rsidP="005647F0">
            <w:pPr>
              <w:spacing w:after="0" w:line="240" w:lineRule="auto"/>
              <w:jc w:val="center"/>
              <w:rPr>
                <w:rFonts w:cs="Times New Roman"/>
                <w:sz w:val="22"/>
              </w:rPr>
            </w:pPr>
            <w:r w:rsidRPr="00F60DF8">
              <w:rPr>
                <w:rFonts w:cs="Times New Roman"/>
                <w:sz w:val="22"/>
              </w:rPr>
              <w:t>2</w:t>
            </w:r>
          </w:p>
        </w:tc>
        <w:tc>
          <w:tcPr>
            <w:tcW w:w="814" w:type="dxa"/>
            <w:tcBorders>
              <w:top w:val="single" w:sz="4" w:space="0" w:color="auto"/>
              <w:left w:val="nil"/>
              <w:bottom w:val="single" w:sz="4" w:space="0" w:color="auto"/>
              <w:right w:val="nil"/>
            </w:tcBorders>
            <w:tcMar>
              <w:left w:w="58" w:type="dxa"/>
              <w:right w:w="58" w:type="dxa"/>
            </w:tcMar>
            <w:vAlign w:val="center"/>
            <w:hideMark/>
          </w:tcPr>
          <w:p w14:paraId="5938836F"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10</w:t>
            </w:r>
          </w:p>
        </w:tc>
        <w:tc>
          <w:tcPr>
            <w:tcW w:w="1526" w:type="dxa"/>
            <w:tcBorders>
              <w:top w:val="single" w:sz="4" w:space="0" w:color="auto"/>
              <w:left w:val="nil"/>
              <w:bottom w:val="single" w:sz="4" w:space="0" w:color="auto"/>
              <w:right w:val="nil"/>
            </w:tcBorders>
            <w:tcMar>
              <w:left w:w="58" w:type="dxa"/>
              <w:right w:w="58" w:type="dxa"/>
            </w:tcMar>
            <w:vAlign w:val="center"/>
            <w:hideMark/>
          </w:tcPr>
          <w:p w14:paraId="68171F13" w14:textId="40B37B73" w:rsidR="00F60DF8" w:rsidRPr="00F60DF8" w:rsidRDefault="00F60DF8" w:rsidP="005647F0">
            <w:pPr>
              <w:spacing w:after="0" w:line="240" w:lineRule="auto"/>
              <w:jc w:val="center"/>
              <w:rPr>
                <w:rFonts w:cs="Times New Roman"/>
                <w:bCs/>
                <w:sz w:val="22"/>
              </w:rPr>
            </w:pPr>
            <w:r w:rsidRPr="00F60DF8">
              <w:rPr>
                <w:rFonts w:cs="Times New Roman"/>
                <w:bCs/>
                <w:sz w:val="22"/>
              </w:rPr>
              <w:t>~100</w:t>
            </w:r>
            <w:r w:rsidR="004A59CA" w:rsidRPr="00494F78">
              <w:rPr>
                <w:rFonts w:cs="Times New Roman"/>
                <w:bCs/>
                <w:sz w:val="22"/>
                <w:vertAlign w:val="superscript"/>
              </w:rPr>
              <w:t xml:space="preserve"> c</w:t>
            </w:r>
          </w:p>
        </w:tc>
        <w:tc>
          <w:tcPr>
            <w:tcW w:w="2250" w:type="dxa"/>
            <w:tcBorders>
              <w:top w:val="single" w:sz="4" w:space="0" w:color="auto"/>
              <w:left w:val="nil"/>
              <w:bottom w:val="single" w:sz="4" w:space="0" w:color="auto"/>
              <w:right w:val="nil"/>
            </w:tcBorders>
            <w:tcMar>
              <w:left w:w="58" w:type="dxa"/>
              <w:right w:w="58" w:type="dxa"/>
            </w:tcMar>
            <w:vAlign w:val="center"/>
            <w:hideMark/>
          </w:tcPr>
          <w:p w14:paraId="5A100F5E"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fldChar w:fldCharType="begin" w:fldLock="1"/>
            </w:r>
            <w:r w:rsidRPr="00F60DF8">
              <w:rPr>
                <w:rFonts w:cs="Times New Roman"/>
                <w:bCs/>
                <w:sz w:val="22"/>
              </w:rPr>
              <w:instrText>ADDIN CSL_CITATION {"citationItems":[{"id":"ITEM-1","itemData":{"DOI":"10.1016/j.jhazmat.2019.121829","ISSN":"03043894","PMID":"31836369","abstract":"The abatement of several emerging contaminants (ECs) in groundwater by conventional ozonation and three ozone-based advanced oxidation processes (AOPs) - catalytic ozonation with manganese dioxide (MnO2), conventional peroxone (O3/H2O2), and electro-peroxone (EP) - was compared in this study. The addition of MnO2, H2O2, or electro-generation of H2O2 during ozonation enhanced ozone transformation to hydroxyl radicals to different extent. These changes did not considerably influence the abatement of ECs with moderate to high ozone reactivities (kO3≥500 M-1s-1), whose abatements were similar with &gt;90 % during all four processes. In comparison, the abatements of ozone-refractory ECs (kO3&lt; 15 M-1s-1) were lower during conventional ozonation (</w:instrText>
            </w:r>
            <w:r w:rsidRPr="00F60DF8">
              <w:rPr>
                <w:rFonts w:ascii="Cambria Math" w:hAnsi="Cambria Math" w:cs="Cambria Math"/>
                <w:bCs/>
                <w:sz w:val="22"/>
              </w:rPr>
              <w:instrText>∼</w:instrText>
            </w:r>
            <w:r w:rsidRPr="00F60DF8">
              <w:rPr>
                <w:rFonts w:cs="Times New Roman"/>
                <w:bCs/>
                <w:sz w:val="22"/>
              </w:rPr>
              <w:instrText xml:space="preserve">40–85 % abatement), but could be enhanced by </w:instrText>
            </w:r>
            <w:r w:rsidRPr="00F60DF8">
              <w:rPr>
                <w:rFonts w:ascii="Cambria Math" w:hAnsi="Cambria Math" w:cs="Cambria Math"/>
                <w:bCs/>
                <w:sz w:val="22"/>
              </w:rPr>
              <w:instrText>∼</w:instrText>
            </w:r>
            <w:r w:rsidRPr="00F60DF8">
              <w:rPr>
                <w:rFonts w:cs="Times New Roman"/>
                <w:bCs/>
                <w:sz w:val="22"/>
              </w:rPr>
              <w:instrText>10–40 % during the three ozone-based AOPs. Besides enhancing ozone-refractory EC abatement, the three AOPs, especially the O3/H2O2 and EP processes, reduced considerably bromate formation compared to conventional ozonation. These results demonstrate that the EP process performs similarly as catalytic ozonation and O3/H2O2 processes in terms of EC abatement and bromate control. Considering its more convenient, flexible, and safer way of operation, the EP process may provide an attractive alternative to the two more traditional AOPs for water treatment.","author":[{"dropping-particle":"","family":"Guo","given":"Yang","non-dropping-particle":"","parse-names":false,"suffix":""},{"dropping-particle":"","family":"Zhao","given":"Erzhuo","non-dropping-particle":"","parse-names":false,"suffix":""},{"dropping-particle":"","family":"Wang","given":"Jun","non-dropping-particle":"","parse-names":false,"suffix":""},{"dropping-particle":"","family":"Zhang","given":"Xiaoyuan","non-dropping-particle":"","parse-names":false,"suffix":""},{"dropping-particle":"","family":"Huang","given":"Haiou","non-dropping-particle":"","parse-names":false,"suffix":""},{"dropping-particle":"","family":"Yu","given":"Gang","non-dropping-particle":"","parse-names":false,"suffix":""},{"dropping-particle":"","family":"Wang","given":"Yujue","non-dropping-particle":"","parse-names":false,"suffix":""}],"container-title":"Journal of Hazardous Materials","id":"ITEM-1","issued":{"date-parts":[["2020","5"]]},"page":"121829","title":"Comparison of emerging contaminant abatement by conventional ozonation, catalytic ozonation, O3/H2O2 and electro-peroxone processes","type":"article-journal","volume":"389"},"uris":["http://www.mendeley.com/documents/?uuid=6ab55ef1-35ce-4409-8999-64cca6a17e67"]}],"mendeley":{"formattedCitation":"(Guo et al., 2020)","plainTextFormattedCitation":"(Guo et al., 2020)","previouslyFormattedCitation":"(Guo et al., 2020)"},"properties":{"noteIndex":0},"schema":"https://github.com/citation-style-language/schema/raw/master/csl-citation.json"}</w:instrText>
            </w:r>
            <w:r w:rsidRPr="00F60DF8">
              <w:rPr>
                <w:rFonts w:cs="Times New Roman"/>
                <w:bCs/>
                <w:sz w:val="22"/>
              </w:rPr>
              <w:fldChar w:fldCharType="separate"/>
            </w:r>
            <w:r w:rsidRPr="00F60DF8">
              <w:rPr>
                <w:rFonts w:cs="Times New Roman"/>
                <w:bCs/>
                <w:noProof/>
                <w:sz w:val="22"/>
              </w:rPr>
              <w:t>(Guo et al., 2020)</w:t>
            </w:r>
            <w:r w:rsidRPr="00F60DF8">
              <w:rPr>
                <w:rFonts w:cs="Times New Roman"/>
                <w:bCs/>
                <w:sz w:val="22"/>
              </w:rPr>
              <w:fldChar w:fldCharType="end"/>
            </w:r>
          </w:p>
        </w:tc>
      </w:tr>
      <w:tr w:rsidR="00F60DF8" w:rsidRPr="00F60DF8" w14:paraId="5427C4AC" w14:textId="77777777" w:rsidTr="0001742A">
        <w:trPr>
          <w:trHeight w:val="94"/>
        </w:trPr>
        <w:tc>
          <w:tcPr>
            <w:tcW w:w="1530" w:type="dxa"/>
            <w:vMerge/>
            <w:tcBorders>
              <w:left w:val="nil"/>
              <w:right w:val="nil"/>
            </w:tcBorders>
            <w:tcMar>
              <w:left w:w="58" w:type="dxa"/>
              <w:right w:w="58" w:type="dxa"/>
            </w:tcMar>
            <w:vAlign w:val="center"/>
            <w:hideMark/>
          </w:tcPr>
          <w:p w14:paraId="359D3BA9" w14:textId="77777777" w:rsidR="00F60DF8" w:rsidRPr="00F60DF8" w:rsidRDefault="00F60DF8" w:rsidP="005647F0">
            <w:pPr>
              <w:spacing w:after="0" w:line="240" w:lineRule="auto"/>
              <w:rPr>
                <w:rFonts w:cs="Times New Roman"/>
                <w:bCs/>
                <w:sz w:val="22"/>
              </w:rPr>
            </w:pPr>
          </w:p>
        </w:tc>
        <w:tc>
          <w:tcPr>
            <w:tcW w:w="1425" w:type="dxa"/>
            <w:tcBorders>
              <w:top w:val="single" w:sz="4" w:space="0" w:color="auto"/>
              <w:left w:val="nil"/>
              <w:bottom w:val="single" w:sz="4" w:space="0" w:color="auto"/>
              <w:right w:val="nil"/>
            </w:tcBorders>
            <w:vAlign w:val="center"/>
          </w:tcPr>
          <w:p w14:paraId="6C069DA8"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Co</w:t>
            </w:r>
            <w:r w:rsidRPr="00F60DF8">
              <w:rPr>
                <w:rFonts w:cs="Times New Roman"/>
                <w:bCs/>
                <w:sz w:val="22"/>
                <w:vertAlign w:val="subscript"/>
              </w:rPr>
              <w:t>3</w:t>
            </w:r>
            <w:r w:rsidRPr="00F60DF8">
              <w:rPr>
                <w:rFonts w:cs="Times New Roman"/>
                <w:bCs/>
                <w:sz w:val="22"/>
              </w:rPr>
              <w:t>O</w:t>
            </w:r>
            <w:r w:rsidRPr="00F60DF8">
              <w:rPr>
                <w:rFonts w:cs="Times New Roman"/>
                <w:bCs/>
                <w:sz w:val="22"/>
                <w:vertAlign w:val="subscript"/>
              </w:rPr>
              <w:t>4</w:t>
            </w:r>
            <w:r w:rsidRPr="00F60DF8">
              <w:rPr>
                <w:rFonts w:cs="Times New Roman"/>
                <w:bCs/>
                <w:sz w:val="22"/>
              </w:rPr>
              <w:t>/C</w:t>
            </w:r>
          </w:p>
        </w:tc>
        <w:tc>
          <w:tcPr>
            <w:tcW w:w="1545" w:type="dxa"/>
            <w:tcBorders>
              <w:top w:val="single" w:sz="4" w:space="0" w:color="auto"/>
              <w:left w:val="nil"/>
              <w:bottom w:val="single" w:sz="4" w:space="0" w:color="auto"/>
              <w:right w:val="nil"/>
            </w:tcBorders>
            <w:vAlign w:val="center"/>
          </w:tcPr>
          <w:p w14:paraId="54DB1903"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50</w:t>
            </w:r>
          </w:p>
        </w:tc>
        <w:tc>
          <w:tcPr>
            <w:tcW w:w="1440" w:type="dxa"/>
            <w:tcBorders>
              <w:top w:val="single" w:sz="4" w:space="0" w:color="auto"/>
              <w:left w:val="nil"/>
              <w:bottom w:val="single" w:sz="4" w:space="0" w:color="auto"/>
              <w:right w:val="nil"/>
            </w:tcBorders>
            <w:vAlign w:val="center"/>
          </w:tcPr>
          <w:p w14:paraId="745B5FFA"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15</w:t>
            </w:r>
          </w:p>
        </w:tc>
        <w:tc>
          <w:tcPr>
            <w:tcW w:w="1705" w:type="dxa"/>
            <w:tcBorders>
              <w:top w:val="single" w:sz="4" w:space="0" w:color="auto"/>
              <w:left w:val="nil"/>
              <w:bottom w:val="single" w:sz="4" w:space="0" w:color="auto"/>
              <w:right w:val="nil"/>
            </w:tcBorders>
            <w:tcMar>
              <w:left w:w="58" w:type="dxa"/>
              <w:right w:w="58" w:type="dxa"/>
            </w:tcMar>
            <w:vAlign w:val="center"/>
            <w:hideMark/>
          </w:tcPr>
          <w:p w14:paraId="707DFC7E" w14:textId="77777777" w:rsidR="00F60DF8" w:rsidRPr="00F60DF8" w:rsidRDefault="00F60DF8" w:rsidP="005647F0">
            <w:pPr>
              <w:spacing w:after="0" w:line="240" w:lineRule="auto"/>
              <w:rPr>
                <w:rFonts w:cs="Times New Roman"/>
                <w:bCs/>
                <w:sz w:val="22"/>
              </w:rPr>
            </w:pPr>
            <w:r w:rsidRPr="00F60DF8">
              <w:rPr>
                <w:rFonts w:cs="Times New Roman"/>
                <w:bCs/>
                <w:sz w:val="22"/>
              </w:rPr>
              <w:t>Norfloxacin</w:t>
            </w:r>
          </w:p>
        </w:tc>
        <w:tc>
          <w:tcPr>
            <w:tcW w:w="905" w:type="dxa"/>
            <w:tcBorders>
              <w:top w:val="single" w:sz="4" w:space="0" w:color="auto"/>
              <w:left w:val="nil"/>
              <w:bottom w:val="single" w:sz="4" w:space="0" w:color="auto"/>
              <w:right w:val="nil"/>
            </w:tcBorders>
            <w:tcMar>
              <w:left w:w="58" w:type="dxa"/>
              <w:right w:w="58" w:type="dxa"/>
            </w:tcMar>
            <w:vAlign w:val="center"/>
            <w:hideMark/>
          </w:tcPr>
          <w:p w14:paraId="2C4C6596" w14:textId="77777777" w:rsidR="00F60DF8" w:rsidRPr="00F60DF8" w:rsidRDefault="00F60DF8" w:rsidP="005647F0">
            <w:pPr>
              <w:spacing w:after="0" w:line="240" w:lineRule="auto"/>
              <w:jc w:val="center"/>
              <w:rPr>
                <w:rFonts w:cs="Times New Roman"/>
                <w:bCs/>
                <w:iCs/>
                <w:sz w:val="22"/>
              </w:rPr>
            </w:pPr>
            <w:r w:rsidRPr="00F60DF8">
              <w:rPr>
                <w:rFonts w:cs="Times New Roman"/>
                <w:bCs/>
                <w:iCs/>
                <w:sz w:val="22"/>
              </w:rPr>
              <w:t>20</w:t>
            </w:r>
          </w:p>
        </w:tc>
        <w:tc>
          <w:tcPr>
            <w:tcW w:w="814" w:type="dxa"/>
            <w:tcBorders>
              <w:top w:val="single" w:sz="4" w:space="0" w:color="auto"/>
              <w:left w:val="nil"/>
              <w:bottom w:val="single" w:sz="4" w:space="0" w:color="auto"/>
              <w:right w:val="nil"/>
            </w:tcBorders>
            <w:tcMar>
              <w:left w:w="58" w:type="dxa"/>
              <w:right w:w="58" w:type="dxa"/>
            </w:tcMar>
            <w:vAlign w:val="center"/>
            <w:hideMark/>
          </w:tcPr>
          <w:p w14:paraId="09E1F00E"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10</w:t>
            </w:r>
          </w:p>
        </w:tc>
        <w:tc>
          <w:tcPr>
            <w:tcW w:w="1526" w:type="dxa"/>
            <w:tcBorders>
              <w:top w:val="single" w:sz="4" w:space="0" w:color="auto"/>
              <w:left w:val="nil"/>
              <w:bottom w:val="single" w:sz="4" w:space="0" w:color="auto"/>
              <w:right w:val="nil"/>
            </w:tcBorders>
            <w:tcMar>
              <w:left w:w="58" w:type="dxa"/>
              <w:right w:w="58" w:type="dxa"/>
            </w:tcMar>
            <w:vAlign w:val="center"/>
            <w:hideMark/>
          </w:tcPr>
          <w:p w14:paraId="3BC30448" w14:textId="3BA056DA" w:rsidR="00F60DF8" w:rsidRPr="00F60DF8" w:rsidRDefault="00F60DF8" w:rsidP="005647F0">
            <w:pPr>
              <w:spacing w:after="0" w:line="240" w:lineRule="auto"/>
              <w:jc w:val="center"/>
              <w:rPr>
                <w:rFonts w:cs="Times New Roman"/>
                <w:bCs/>
                <w:sz w:val="22"/>
              </w:rPr>
            </w:pPr>
            <w:r w:rsidRPr="00F60DF8">
              <w:rPr>
                <w:rFonts w:cs="Times New Roman"/>
                <w:bCs/>
                <w:sz w:val="22"/>
              </w:rPr>
              <w:t>~100</w:t>
            </w:r>
            <w:r w:rsidR="004A59CA" w:rsidRPr="00494F78">
              <w:rPr>
                <w:rFonts w:cs="Times New Roman"/>
                <w:bCs/>
                <w:sz w:val="22"/>
                <w:vertAlign w:val="superscript"/>
              </w:rPr>
              <w:t xml:space="preserve"> c</w:t>
            </w:r>
          </w:p>
        </w:tc>
        <w:tc>
          <w:tcPr>
            <w:tcW w:w="2250" w:type="dxa"/>
            <w:tcBorders>
              <w:top w:val="single" w:sz="4" w:space="0" w:color="auto"/>
              <w:left w:val="nil"/>
              <w:bottom w:val="single" w:sz="4" w:space="0" w:color="auto"/>
              <w:right w:val="nil"/>
            </w:tcBorders>
            <w:tcMar>
              <w:left w:w="58" w:type="dxa"/>
              <w:right w:w="58" w:type="dxa"/>
            </w:tcMar>
            <w:vAlign w:val="center"/>
            <w:hideMark/>
          </w:tcPr>
          <w:p w14:paraId="438804AA"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fldChar w:fldCharType="begin" w:fldLock="1"/>
            </w:r>
            <w:r w:rsidRPr="00F60DF8">
              <w:rPr>
                <w:rFonts w:cs="Times New Roman"/>
                <w:bCs/>
                <w:sz w:val="22"/>
              </w:rPr>
              <w:instrText>ADDIN CSL_CITATION {"citationItems":[{"id":"ITEM-1","itemData":{"DOI":"10.1016/j.chemosphere.2020.129047","ISSN":"18791298","PMID":"33243577","abstract":"In this study, Co3O4-carbon composite was synthesized by calcined metal organic framework (MOF) ZIF-67 and used as efficient catalysts for ozonation of norfloxacin (NOF). The MOF-derived Co3O4–C composite remained similar polyhedrons structure of ZIF-67, suggesting that Co3O4 was well-dispersed in Co3O4–C composite. Furthermore, a larger amount of surface carbon-oxygen functional groups were distributed on Co3O4–C composite, which resulted in the diversification of active sites for catalytic ozonation reaction. NOF degradation and mineralization could be effectively enhanced in Co3O4–C/O3 process. Moreover, NOF mineralization by catalytic ozonation strongly depended on the solution pH, while other operational conditions, such as O3 concentration and catalyst dosage had not obvious influence on it. Co3O4–C composite could significantly accelerate O3 decomposition to produce active free radicals (such as •OH), which enhanced the mineralization of NOF. The possible catalytic mechanism of Co3O4–C composite was proposed. Additionally, after five consecutive use of Co3O4–C composite in catalytic ozonation process, there was no obvious decrease in TOC removal efficiency, indicating a stable performance of Co3O4–C composite, which was suitable for the catalytic ozonation for wastewater treatment.","author":[{"dropping-particle":"","family":"Chen","given":"Hai","non-dropping-particle":"","parse-names":false,"suffix":""},{"dropping-particle":"","family":"Zhang","given":"Zhonglei","non-dropping-particle":"","parse-names":false,"suffix":""},{"dropping-particle":"","family":"Hu","given":"Dongming","non-dropping-particle":"","parse-names":false,"suffix":""},{"dropping-particle":"","family":"Chen","given":"Chuanhong","non-dropping-particle":"","parse-names":false,"suffix":""},{"dropping-particle":"","family":"Zhang","given":"Youxue","non-dropping-particle":"","parse-names":false,"suffix":""},{"dropping-particle":"","family":"He","given":"Shijun","non-dropping-particle":"","parse-names":false,"suffix":""},{"dropping-particle":"","family":"Wang","given":"Jianlong","non-dropping-particle":"","parse-names":false,"suffix":""}],"container-title":"Chemosphere","id":"ITEM-1","issued":{"date-parts":[["2021"]]},"title":"Catalytic ozonation of norfloxacin using Co3O4/C composite derived from ZIF-67 as catalyst","type":"article-journal","volume":"265"},"uris":["http://www.mendeley.com/documents/?uuid=f669d787-fb17-410f-843c-5c0e79b692dc"]}],"mendeley":{"formattedCitation":"(Chen et al., 2021)","plainTextFormattedCitation":"(Chen et al., 2021)","previouslyFormattedCitation":"(Chen et al., 2021)"},"properties":{"noteIndex":0},"schema":"https://github.com/citation-style-language/schema/raw/master/csl-citation.json"}</w:instrText>
            </w:r>
            <w:r w:rsidRPr="00F60DF8">
              <w:rPr>
                <w:rFonts w:cs="Times New Roman"/>
                <w:bCs/>
                <w:sz w:val="22"/>
              </w:rPr>
              <w:fldChar w:fldCharType="separate"/>
            </w:r>
            <w:r w:rsidRPr="00F60DF8">
              <w:rPr>
                <w:rFonts w:cs="Times New Roman"/>
                <w:bCs/>
                <w:noProof/>
                <w:sz w:val="22"/>
              </w:rPr>
              <w:t>(Chen et al., 2021)</w:t>
            </w:r>
            <w:r w:rsidRPr="00F60DF8">
              <w:rPr>
                <w:rFonts w:cs="Times New Roman"/>
                <w:bCs/>
                <w:sz w:val="22"/>
              </w:rPr>
              <w:fldChar w:fldCharType="end"/>
            </w:r>
          </w:p>
        </w:tc>
      </w:tr>
      <w:tr w:rsidR="00F60DF8" w:rsidRPr="00F60DF8" w14:paraId="165CFBED" w14:textId="77777777" w:rsidTr="0001742A">
        <w:trPr>
          <w:trHeight w:val="94"/>
        </w:trPr>
        <w:tc>
          <w:tcPr>
            <w:tcW w:w="1530" w:type="dxa"/>
            <w:vMerge/>
            <w:tcBorders>
              <w:left w:val="nil"/>
              <w:right w:val="nil"/>
            </w:tcBorders>
            <w:tcMar>
              <w:left w:w="58" w:type="dxa"/>
              <w:right w:w="58" w:type="dxa"/>
            </w:tcMar>
            <w:vAlign w:val="center"/>
          </w:tcPr>
          <w:p w14:paraId="14B0EF4D" w14:textId="77777777" w:rsidR="00F60DF8" w:rsidRPr="00F60DF8" w:rsidRDefault="00F60DF8" w:rsidP="005647F0">
            <w:pPr>
              <w:spacing w:after="0" w:line="240" w:lineRule="auto"/>
              <w:rPr>
                <w:rFonts w:cs="Times New Roman"/>
                <w:bCs/>
                <w:sz w:val="22"/>
              </w:rPr>
            </w:pPr>
          </w:p>
        </w:tc>
        <w:tc>
          <w:tcPr>
            <w:tcW w:w="1425" w:type="dxa"/>
            <w:tcBorders>
              <w:top w:val="single" w:sz="4" w:space="0" w:color="auto"/>
              <w:left w:val="nil"/>
              <w:bottom w:val="single" w:sz="4" w:space="0" w:color="auto"/>
              <w:right w:val="nil"/>
            </w:tcBorders>
            <w:vAlign w:val="center"/>
          </w:tcPr>
          <w:p w14:paraId="62D91744"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CoFe</w:t>
            </w:r>
            <w:r w:rsidRPr="00F60DF8">
              <w:rPr>
                <w:rFonts w:cs="Times New Roman"/>
                <w:bCs/>
                <w:sz w:val="22"/>
                <w:vertAlign w:val="subscript"/>
              </w:rPr>
              <w:t>2</w:t>
            </w:r>
            <w:r w:rsidRPr="00F60DF8">
              <w:rPr>
                <w:rFonts w:cs="Times New Roman"/>
                <w:bCs/>
                <w:sz w:val="22"/>
              </w:rPr>
              <w:t>O</w:t>
            </w:r>
            <w:r w:rsidRPr="00F60DF8">
              <w:rPr>
                <w:rFonts w:cs="Times New Roman"/>
                <w:bCs/>
                <w:sz w:val="22"/>
                <w:vertAlign w:val="subscript"/>
              </w:rPr>
              <w:t>4</w:t>
            </w:r>
          </w:p>
        </w:tc>
        <w:tc>
          <w:tcPr>
            <w:tcW w:w="1545" w:type="dxa"/>
            <w:tcBorders>
              <w:top w:val="single" w:sz="4" w:space="0" w:color="auto"/>
              <w:left w:val="nil"/>
              <w:bottom w:val="single" w:sz="4" w:space="0" w:color="auto"/>
              <w:right w:val="nil"/>
            </w:tcBorders>
            <w:vAlign w:val="center"/>
          </w:tcPr>
          <w:p w14:paraId="3D5E71AE"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200</w:t>
            </w:r>
          </w:p>
        </w:tc>
        <w:tc>
          <w:tcPr>
            <w:tcW w:w="1440" w:type="dxa"/>
            <w:tcBorders>
              <w:top w:val="single" w:sz="4" w:space="0" w:color="auto"/>
              <w:left w:val="nil"/>
              <w:bottom w:val="single" w:sz="4" w:space="0" w:color="auto"/>
              <w:right w:val="nil"/>
            </w:tcBorders>
            <w:vAlign w:val="center"/>
          </w:tcPr>
          <w:p w14:paraId="6B3C0237"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5.1</w:t>
            </w:r>
          </w:p>
        </w:tc>
        <w:tc>
          <w:tcPr>
            <w:tcW w:w="1705" w:type="dxa"/>
            <w:tcBorders>
              <w:top w:val="single" w:sz="4" w:space="0" w:color="auto"/>
              <w:left w:val="nil"/>
              <w:bottom w:val="single" w:sz="4" w:space="0" w:color="auto"/>
              <w:right w:val="nil"/>
            </w:tcBorders>
            <w:tcMar>
              <w:left w:w="58" w:type="dxa"/>
              <w:right w:w="58" w:type="dxa"/>
            </w:tcMar>
            <w:vAlign w:val="center"/>
          </w:tcPr>
          <w:p w14:paraId="782DE84B" w14:textId="77777777" w:rsidR="00F60DF8" w:rsidRPr="00F60DF8" w:rsidRDefault="00F60DF8" w:rsidP="005647F0">
            <w:pPr>
              <w:spacing w:after="0" w:line="240" w:lineRule="auto"/>
              <w:rPr>
                <w:rFonts w:cs="Times New Roman"/>
                <w:bCs/>
                <w:sz w:val="22"/>
              </w:rPr>
            </w:pPr>
            <w:proofErr w:type="spellStart"/>
            <w:r w:rsidRPr="00F60DF8">
              <w:rPr>
                <w:rFonts w:cs="Times New Roman"/>
                <w:bCs/>
                <w:sz w:val="22"/>
              </w:rPr>
              <w:t>Clofibric</w:t>
            </w:r>
            <w:proofErr w:type="spellEnd"/>
            <w:r w:rsidRPr="00F60DF8">
              <w:rPr>
                <w:rFonts w:cs="Times New Roman"/>
                <w:bCs/>
                <w:sz w:val="22"/>
              </w:rPr>
              <w:t xml:space="preserve"> acid</w:t>
            </w:r>
          </w:p>
        </w:tc>
        <w:tc>
          <w:tcPr>
            <w:tcW w:w="905" w:type="dxa"/>
            <w:tcBorders>
              <w:top w:val="single" w:sz="4" w:space="0" w:color="auto"/>
              <w:left w:val="nil"/>
              <w:bottom w:val="single" w:sz="4" w:space="0" w:color="auto"/>
              <w:right w:val="nil"/>
            </w:tcBorders>
            <w:tcMar>
              <w:left w:w="58" w:type="dxa"/>
              <w:right w:w="58" w:type="dxa"/>
            </w:tcMar>
            <w:vAlign w:val="center"/>
          </w:tcPr>
          <w:p w14:paraId="1435903E" w14:textId="77777777" w:rsidR="00F60DF8" w:rsidRPr="00F60DF8" w:rsidRDefault="00F60DF8" w:rsidP="005647F0">
            <w:pPr>
              <w:spacing w:after="0" w:line="240" w:lineRule="auto"/>
              <w:jc w:val="center"/>
              <w:rPr>
                <w:rFonts w:cs="Times New Roman"/>
                <w:bCs/>
                <w:iCs/>
                <w:sz w:val="22"/>
              </w:rPr>
            </w:pPr>
            <w:r w:rsidRPr="00F60DF8">
              <w:rPr>
                <w:rFonts w:cs="Times New Roman"/>
                <w:bCs/>
                <w:iCs/>
                <w:sz w:val="22"/>
              </w:rPr>
              <w:t>20</w:t>
            </w:r>
          </w:p>
        </w:tc>
        <w:tc>
          <w:tcPr>
            <w:tcW w:w="814" w:type="dxa"/>
            <w:tcBorders>
              <w:top w:val="single" w:sz="4" w:space="0" w:color="auto"/>
              <w:left w:val="nil"/>
              <w:bottom w:val="single" w:sz="4" w:space="0" w:color="auto"/>
              <w:right w:val="nil"/>
            </w:tcBorders>
            <w:tcMar>
              <w:left w:w="58" w:type="dxa"/>
              <w:right w:w="58" w:type="dxa"/>
            </w:tcMar>
            <w:vAlign w:val="center"/>
          </w:tcPr>
          <w:p w14:paraId="65EB4BE6"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30</w:t>
            </w:r>
          </w:p>
        </w:tc>
        <w:tc>
          <w:tcPr>
            <w:tcW w:w="1526" w:type="dxa"/>
            <w:tcBorders>
              <w:top w:val="single" w:sz="4" w:space="0" w:color="auto"/>
              <w:left w:val="nil"/>
              <w:bottom w:val="single" w:sz="4" w:space="0" w:color="auto"/>
              <w:right w:val="nil"/>
            </w:tcBorders>
            <w:tcMar>
              <w:left w:w="58" w:type="dxa"/>
              <w:right w:w="58" w:type="dxa"/>
            </w:tcMar>
            <w:vAlign w:val="center"/>
          </w:tcPr>
          <w:p w14:paraId="0ECBAB4C" w14:textId="0B45BEC2" w:rsidR="00F60DF8" w:rsidRPr="00F60DF8" w:rsidRDefault="00F60DF8" w:rsidP="005647F0">
            <w:pPr>
              <w:spacing w:after="0" w:line="240" w:lineRule="auto"/>
              <w:jc w:val="center"/>
              <w:rPr>
                <w:rFonts w:cs="Times New Roman"/>
                <w:bCs/>
                <w:sz w:val="22"/>
              </w:rPr>
            </w:pPr>
            <w:r w:rsidRPr="00F60DF8">
              <w:rPr>
                <w:rFonts w:cs="Times New Roman"/>
                <w:bCs/>
                <w:sz w:val="22"/>
              </w:rPr>
              <w:t>98.7</w:t>
            </w:r>
            <w:r w:rsidR="004A59CA" w:rsidRPr="00494F78">
              <w:rPr>
                <w:rFonts w:cs="Times New Roman"/>
                <w:bCs/>
                <w:sz w:val="22"/>
                <w:vertAlign w:val="superscript"/>
              </w:rPr>
              <w:t xml:space="preserve"> c</w:t>
            </w:r>
          </w:p>
        </w:tc>
        <w:tc>
          <w:tcPr>
            <w:tcW w:w="2250" w:type="dxa"/>
            <w:tcBorders>
              <w:top w:val="single" w:sz="4" w:space="0" w:color="auto"/>
              <w:left w:val="nil"/>
              <w:bottom w:val="single" w:sz="4" w:space="0" w:color="auto"/>
              <w:right w:val="nil"/>
            </w:tcBorders>
            <w:tcMar>
              <w:left w:w="58" w:type="dxa"/>
              <w:right w:w="58" w:type="dxa"/>
            </w:tcMar>
            <w:vAlign w:val="center"/>
          </w:tcPr>
          <w:p w14:paraId="367735F0"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fldChar w:fldCharType="begin" w:fldLock="1"/>
            </w:r>
            <w:r w:rsidRPr="00F60DF8">
              <w:rPr>
                <w:rFonts w:cs="Times New Roman"/>
                <w:bCs/>
                <w:sz w:val="22"/>
              </w:rPr>
              <w:instrText>ADDIN CSL_CITATION {"citationItems":[{"id":"ITEM-1","itemData":{"DOI":"10.1016/j.jhazmat.2020.124604","ISSN":"03043894","PMID":"33277078","abstract":"CoFe2O4 (Cobalt ferrite, CF) nanoparticles were prepared, well characterized and applied as efficient solid catalyst in catalytic ozonation, named CF/O3 process, for the removal of emerging organic contaminants (EOCs). The degradation and mineralization of clofibric acid (CA) in CF/O3 process were dramatically enhanced in comparison with those under the O3 system. Surface hydroxyl groups (HGs) were considered as an important factor for ozone decomposition and the reactive oxygen species (ROS) on the catalyst surface were mainly responsible for CA elimination. The contribution and formation of ROS, including hydroxyl radicals (•OH), especially superoxide radicals (O2•−), singlet oxygen (1O2), and hydrogen peroxide (H2O2) were evaluated, and a rational mechanism was elucidated accordingly. Probable degradation pathway of CA was proposed according to the organic intermediates identified. The acute toxicity of the treated solution increased during the first 15 min and then declined rapidly and nearly disappeared as the reaction proceeded. In addition, acceptable catalytic performance of CF/O3 can be obtained for the treatment of other EOCs and the treatment of natural surface water spiked with CA. This work presents an efficient and promising catalytic ozonation technique for the elimination of EOCs in complex water matrices.","author":[{"dropping-particle":"","family":"Cai","given":"Chun","non-dropping-particle":"","parse-names":false,"suffix":""},{"dropping-particle":"","family":"Duan","given":"Xiaodi","non-dropping-particle":"","parse-names":false,"suffix":""},{"dropping-particle":"","family":"Xie","given":"Xianjun","non-dropping-particle":"","parse-names":false,"suffix":""},{"dropping-particle":"","family":"Kang","given":"Shuping","non-dropping-particle":"","parse-names":false,"suffix":""},{"dropping-particle":"","family":"Liao","given":"Chanjuan","non-dropping-particle":"","parse-names":false,"suffix":""},{"dropping-particle":"","family":"Dong","given":"Jiaming","non-dropping-particle":"","parse-names":false,"suffix":""},{"dropping-particle":"","family":"Liu","given":"Yangfan","non-dropping-particle":"","parse-names":false,"suffix":""},{"dropping-particle":"","family":"Xiang","given":"Shaofeng","non-dropping-particle":"","parse-names":false,"suffix":""},{"dropping-particle":"","family":"Dionysiou","given":"Dionysios D.","non-dropping-particle":"","parse-names":false,"suffix":""}],"container-title":"Journal of Hazardous Materials","id":"ITEM-1","issued":{"date-parts":[["2021","5"]]},"page":"124604","title":"Efficient degradation of clofibric acid by heterogeneous catalytic ozonation using CoFe2O4 catalyst in water","type":"article-journal","volume":"410"},"uris":["http://www.mendeley.com/documents/?uuid=da4f628b-7920-437c-bbcb-0891fea0c3b3"]}],"mendeley":{"formattedCitation":"(Cai et al., 2021)","plainTextFormattedCitation":"(Cai et al., 2021)","previouslyFormattedCitation":"(Cai et al., 2021)"},"properties":{"noteIndex":0},"schema":"https://github.com/citation-style-language/schema/raw/master/csl-citation.json"}</w:instrText>
            </w:r>
            <w:r w:rsidRPr="00F60DF8">
              <w:rPr>
                <w:rFonts w:cs="Times New Roman"/>
                <w:bCs/>
                <w:sz w:val="22"/>
              </w:rPr>
              <w:fldChar w:fldCharType="separate"/>
            </w:r>
            <w:r w:rsidRPr="00F60DF8">
              <w:rPr>
                <w:rFonts w:cs="Times New Roman"/>
                <w:bCs/>
                <w:noProof/>
                <w:sz w:val="22"/>
              </w:rPr>
              <w:t>(Cai et al., 2021)</w:t>
            </w:r>
            <w:r w:rsidRPr="00F60DF8">
              <w:rPr>
                <w:rFonts w:cs="Times New Roman"/>
                <w:bCs/>
                <w:sz w:val="22"/>
              </w:rPr>
              <w:fldChar w:fldCharType="end"/>
            </w:r>
          </w:p>
        </w:tc>
      </w:tr>
      <w:tr w:rsidR="00F60DF8" w:rsidRPr="00F60DF8" w14:paraId="69E8C3E5" w14:textId="77777777" w:rsidTr="0001742A">
        <w:trPr>
          <w:trHeight w:val="94"/>
        </w:trPr>
        <w:tc>
          <w:tcPr>
            <w:tcW w:w="1530" w:type="dxa"/>
            <w:vMerge/>
            <w:tcBorders>
              <w:left w:val="nil"/>
              <w:right w:val="nil"/>
            </w:tcBorders>
            <w:tcMar>
              <w:left w:w="58" w:type="dxa"/>
              <w:right w:w="58" w:type="dxa"/>
            </w:tcMar>
            <w:vAlign w:val="center"/>
          </w:tcPr>
          <w:p w14:paraId="08396E5F" w14:textId="77777777" w:rsidR="00F60DF8" w:rsidRPr="00F60DF8" w:rsidRDefault="00F60DF8" w:rsidP="005647F0">
            <w:pPr>
              <w:spacing w:after="0" w:line="240" w:lineRule="auto"/>
              <w:rPr>
                <w:rFonts w:cs="Times New Roman"/>
                <w:bCs/>
                <w:sz w:val="22"/>
              </w:rPr>
            </w:pPr>
          </w:p>
        </w:tc>
        <w:tc>
          <w:tcPr>
            <w:tcW w:w="1425" w:type="dxa"/>
            <w:tcBorders>
              <w:top w:val="single" w:sz="4" w:space="0" w:color="auto"/>
              <w:left w:val="nil"/>
              <w:bottom w:val="single" w:sz="4" w:space="0" w:color="auto"/>
              <w:right w:val="nil"/>
            </w:tcBorders>
            <w:vAlign w:val="center"/>
          </w:tcPr>
          <w:p w14:paraId="1E4BD9A0"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Nano-MgO</w:t>
            </w:r>
          </w:p>
        </w:tc>
        <w:tc>
          <w:tcPr>
            <w:tcW w:w="1545" w:type="dxa"/>
            <w:tcBorders>
              <w:top w:val="single" w:sz="4" w:space="0" w:color="auto"/>
              <w:left w:val="nil"/>
              <w:bottom w:val="single" w:sz="4" w:space="0" w:color="auto"/>
              <w:right w:val="nil"/>
            </w:tcBorders>
            <w:vAlign w:val="center"/>
          </w:tcPr>
          <w:p w14:paraId="5EE8A1EB"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200</w:t>
            </w:r>
          </w:p>
        </w:tc>
        <w:tc>
          <w:tcPr>
            <w:tcW w:w="1440" w:type="dxa"/>
            <w:tcBorders>
              <w:top w:val="single" w:sz="4" w:space="0" w:color="auto"/>
              <w:left w:val="nil"/>
              <w:bottom w:val="single" w:sz="4" w:space="0" w:color="auto"/>
              <w:right w:val="nil"/>
            </w:tcBorders>
            <w:vAlign w:val="center"/>
          </w:tcPr>
          <w:p w14:paraId="1D98A990"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2</w:t>
            </w:r>
          </w:p>
        </w:tc>
        <w:tc>
          <w:tcPr>
            <w:tcW w:w="1705" w:type="dxa"/>
            <w:tcBorders>
              <w:top w:val="single" w:sz="4" w:space="0" w:color="auto"/>
              <w:left w:val="nil"/>
              <w:bottom w:val="single" w:sz="4" w:space="0" w:color="auto"/>
              <w:right w:val="nil"/>
            </w:tcBorders>
            <w:tcMar>
              <w:left w:w="58" w:type="dxa"/>
              <w:right w:w="58" w:type="dxa"/>
            </w:tcMar>
            <w:vAlign w:val="center"/>
          </w:tcPr>
          <w:p w14:paraId="04ADB017" w14:textId="77777777" w:rsidR="00F60DF8" w:rsidRPr="00F60DF8" w:rsidRDefault="00F60DF8" w:rsidP="005647F0">
            <w:pPr>
              <w:spacing w:after="0" w:line="240" w:lineRule="auto"/>
              <w:rPr>
                <w:rFonts w:cs="Times New Roman"/>
                <w:bCs/>
                <w:sz w:val="22"/>
              </w:rPr>
            </w:pPr>
            <w:r w:rsidRPr="00F60DF8">
              <w:rPr>
                <w:rFonts w:cs="Times New Roman"/>
                <w:bCs/>
                <w:sz w:val="22"/>
              </w:rPr>
              <w:t>Quinoline</w:t>
            </w:r>
          </w:p>
        </w:tc>
        <w:tc>
          <w:tcPr>
            <w:tcW w:w="905" w:type="dxa"/>
            <w:tcBorders>
              <w:top w:val="single" w:sz="4" w:space="0" w:color="auto"/>
              <w:left w:val="nil"/>
              <w:bottom w:val="single" w:sz="4" w:space="0" w:color="auto"/>
              <w:right w:val="nil"/>
            </w:tcBorders>
            <w:tcMar>
              <w:left w:w="58" w:type="dxa"/>
              <w:right w:w="58" w:type="dxa"/>
            </w:tcMar>
            <w:vAlign w:val="center"/>
          </w:tcPr>
          <w:p w14:paraId="16490D5E" w14:textId="77777777" w:rsidR="00F60DF8" w:rsidRPr="00F60DF8" w:rsidRDefault="00F60DF8" w:rsidP="005647F0">
            <w:pPr>
              <w:spacing w:after="0" w:line="240" w:lineRule="auto"/>
              <w:jc w:val="center"/>
              <w:rPr>
                <w:rFonts w:cs="Times New Roman"/>
                <w:bCs/>
                <w:iCs/>
                <w:sz w:val="22"/>
              </w:rPr>
            </w:pPr>
            <w:r w:rsidRPr="00F60DF8">
              <w:rPr>
                <w:rFonts w:cs="Times New Roman"/>
                <w:bCs/>
                <w:iCs/>
                <w:sz w:val="22"/>
              </w:rPr>
              <w:t>20</w:t>
            </w:r>
          </w:p>
        </w:tc>
        <w:tc>
          <w:tcPr>
            <w:tcW w:w="814" w:type="dxa"/>
            <w:tcBorders>
              <w:top w:val="single" w:sz="4" w:space="0" w:color="auto"/>
              <w:left w:val="nil"/>
              <w:bottom w:val="single" w:sz="4" w:space="0" w:color="auto"/>
              <w:right w:val="nil"/>
            </w:tcBorders>
            <w:tcMar>
              <w:left w:w="58" w:type="dxa"/>
              <w:right w:w="58" w:type="dxa"/>
            </w:tcMar>
            <w:vAlign w:val="center"/>
          </w:tcPr>
          <w:p w14:paraId="0B928CAB"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15</w:t>
            </w:r>
          </w:p>
        </w:tc>
        <w:tc>
          <w:tcPr>
            <w:tcW w:w="1526" w:type="dxa"/>
            <w:tcBorders>
              <w:top w:val="single" w:sz="4" w:space="0" w:color="auto"/>
              <w:left w:val="nil"/>
              <w:bottom w:val="single" w:sz="4" w:space="0" w:color="auto"/>
              <w:right w:val="nil"/>
            </w:tcBorders>
            <w:tcMar>
              <w:left w:w="58" w:type="dxa"/>
              <w:right w:w="58" w:type="dxa"/>
            </w:tcMar>
            <w:vAlign w:val="center"/>
          </w:tcPr>
          <w:p w14:paraId="102B3478" w14:textId="7C7AC8B1" w:rsidR="00F60DF8" w:rsidRPr="00F60DF8" w:rsidRDefault="00F60DF8" w:rsidP="005647F0">
            <w:pPr>
              <w:spacing w:after="0" w:line="240" w:lineRule="auto"/>
              <w:jc w:val="center"/>
              <w:rPr>
                <w:rFonts w:cs="Times New Roman"/>
                <w:bCs/>
                <w:sz w:val="22"/>
              </w:rPr>
            </w:pPr>
            <w:r w:rsidRPr="00F60DF8">
              <w:rPr>
                <w:rFonts w:cs="Times New Roman"/>
                <w:bCs/>
                <w:sz w:val="22"/>
              </w:rPr>
              <w:t>90.7</w:t>
            </w:r>
            <w:r w:rsidR="004A59CA" w:rsidRPr="00494F78">
              <w:rPr>
                <w:rFonts w:cs="Times New Roman"/>
                <w:bCs/>
                <w:sz w:val="22"/>
                <w:vertAlign w:val="superscript"/>
              </w:rPr>
              <w:t xml:space="preserve"> c</w:t>
            </w:r>
          </w:p>
        </w:tc>
        <w:tc>
          <w:tcPr>
            <w:tcW w:w="2250" w:type="dxa"/>
            <w:tcBorders>
              <w:top w:val="single" w:sz="4" w:space="0" w:color="auto"/>
              <w:left w:val="nil"/>
              <w:bottom w:val="single" w:sz="4" w:space="0" w:color="auto"/>
              <w:right w:val="nil"/>
            </w:tcBorders>
            <w:tcMar>
              <w:left w:w="58" w:type="dxa"/>
              <w:right w:w="58" w:type="dxa"/>
            </w:tcMar>
            <w:vAlign w:val="center"/>
          </w:tcPr>
          <w:p w14:paraId="6488A9D9"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fldChar w:fldCharType="begin" w:fldLock="1"/>
            </w:r>
            <w:r w:rsidRPr="00F60DF8">
              <w:rPr>
                <w:rFonts w:cs="Times New Roman"/>
                <w:bCs/>
                <w:sz w:val="22"/>
              </w:rPr>
              <w:instrText>ADDIN CSL_CITATION {"citationItems":[{"id":"ITEM-1","itemData":{"DOI":"10.1016/j.cej.2017.06.025","ISSN":"13858947","abstract":"Nano-MgO was prepared by homogeneous precipitation method and applied for the degradation of quinoline. The characterization of the catalyst was determined by X-ray diffraction (XRD), Fourier Transform infrared spectroscopy (FTIR), Brunauer-Emmett-Teller (BET), Transmission Electron Microscope (TEM) and Energy Dispersive Spectrometer (EDS). The results showed that the presence of nano-MgO significantly improved the degradation and mineralization of quinoline. Nine intermediates were identified by liquid chromatograph–tandem mass spectrometer (LC–MS/MS), gas chromatograph and mass spectrometry (GC–MS) and ion chromatograph (IC) analysis. And a possible degradation pathway of quinoline in catalytic ozonation was proposed. The change of dissolved ozone concentration and the effect of tert butyl alcohol (TBA) and phosphate indicated that the prepared catalyst could enhance ozone decomposition into hydroxyl radicals, which was considered to be mainly responsible for the pollutants removal. In addition, catalytic ozonation pretreatment was applied for the treatment of biologically pretreated coal gasification wastewater. The results demonstrated that catalytic ozonation pre-treatment improved the biodegradability of wastewater containing quinoline in terms of BOD5/COD (B/C), toxicity and resazurin dehydrogenase activity (DHA), indicating the potential of catalytic ozonation integrated with biosystem for this type of wastewater. This study would assist in obtaining a better understanding of the application of catalytic ozonation pre-treatment in biologically pretreated coal gasification wastewater.","author":[{"dropping-particle":"","family":"Zhu","given":"Hao","non-dropping-particle":"","parse-names":false,"suffix":""},{"dropping-particle":"","family":"Ma","given":"Wencheng","non-dropping-particle":"","parse-names":false,"suffix":""},{"dropping-particle":"","family":"Han","given":"Hongjun","non-dropping-particle":"","parse-names":false,"suffix":""},{"dropping-particle":"","family":"Han","given":"Yuxing","non-dropping-particle":"","parse-names":false,"suffix":""},{"dropping-particle":"","family":"Ma","given":"Weiwei","non-dropping-particle":"","parse-names":false,"suffix":""}],"container-title":"Chemical Engineering Journal","id":"ITEM-1","issued":{"date-parts":[["2017","11"]]},"page":"91-99","title":"Catalytic ozonation of quinoline using nano-MgO: Efficacy, pathways, mechanisms and its application to real biologically pretreated coal gasification wastewater","type":"article-journal","volume":"327"},"uris":["http://www.mendeley.com/documents/?uuid=68a697f7-fbb2-478a-90ab-7853f2db7e04"]}],"mendeley":{"formattedCitation":"(Zhu et al., 2017)","plainTextFormattedCitation":"(Zhu et al., 2017)","previouslyFormattedCitation":"(Zhu et al., 2017)"},"properties":{"noteIndex":0},"schema":"https://github.com/citation-style-language/schema/raw/master/csl-citation.json"}</w:instrText>
            </w:r>
            <w:r w:rsidRPr="00F60DF8">
              <w:rPr>
                <w:rFonts w:cs="Times New Roman"/>
                <w:bCs/>
                <w:sz w:val="22"/>
              </w:rPr>
              <w:fldChar w:fldCharType="separate"/>
            </w:r>
            <w:r w:rsidRPr="00F60DF8">
              <w:rPr>
                <w:rFonts w:cs="Times New Roman"/>
                <w:bCs/>
                <w:noProof/>
                <w:sz w:val="22"/>
              </w:rPr>
              <w:t>(Zhu et al., 2017)</w:t>
            </w:r>
            <w:r w:rsidRPr="00F60DF8">
              <w:rPr>
                <w:rFonts w:cs="Times New Roman"/>
                <w:bCs/>
                <w:sz w:val="22"/>
              </w:rPr>
              <w:fldChar w:fldCharType="end"/>
            </w:r>
          </w:p>
        </w:tc>
      </w:tr>
      <w:tr w:rsidR="00F60DF8" w:rsidRPr="00F60DF8" w14:paraId="51A69B8E" w14:textId="77777777" w:rsidTr="0001742A">
        <w:trPr>
          <w:trHeight w:val="94"/>
        </w:trPr>
        <w:tc>
          <w:tcPr>
            <w:tcW w:w="1530" w:type="dxa"/>
            <w:vMerge/>
            <w:tcBorders>
              <w:left w:val="nil"/>
              <w:bottom w:val="single" w:sz="4" w:space="0" w:color="auto"/>
              <w:right w:val="nil"/>
            </w:tcBorders>
            <w:tcMar>
              <w:left w:w="58" w:type="dxa"/>
              <w:right w:w="58" w:type="dxa"/>
            </w:tcMar>
            <w:vAlign w:val="center"/>
          </w:tcPr>
          <w:p w14:paraId="21B00EC5" w14:textId="77777777" w:rsidR="00F60DF8" w:rsidRPr="00F60DF8" w:rsidRDefault="00F60DF8" w:rsidP="005647F0">
            <w:pPr>
              <w:spacing w:after="0" w:line="240" w:lineRule="auto"/>
              <w:rPr>
                <w:rFonts w:cs="Times New Roman"/>
                <w:bCs/>
                <w:sz w:val="22"/>
              </w:rPr>
            </w:pPr>
          </w:p>
        </w:tc>
        <w:tc>
          <w:tcPr>
            <w:tcW w:w="1425" w:type="dxa"/>
            <w:tcBorders>
              <w:top w:val="single" w:sz="4" w:space="0" w:color="auto"/>
              <w:left w:val="nil"/>
              <w:bottom w:val="single" w:sz="4" w:space="0" w:color="auto"/>
              <w:right w:val="nil"/>
            </w:tcBorders>
            <w:vAlign w:val="center"/>
          </w:tcPr>
          <w:p w14:paraId="7A336897"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Alumina</w:t>
            </w:r>
          </w:p>
        </w:tc>
        <w:tc>
          <w:tcPr>
            <w:tcW w:w="1545" w:type="dxa"/>
            <w:tcBorders>
              <w:top w:val="single" w:sz="4" w:space="0" w:color="auto"/>
              <w:left w:val="nil"/>
              <w:bottom w:val="single" w:sz="4" w:space="0" w:color="auto"/>
              <w:right w:val="nil"/>
            </w:tcBorders>
            <w:vAlign w:val="center"/>
          </w:tcPr>
          <w:p w14:paraId="21405E92"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1000</w:t>
            </w:r>
          </w:p>
        </w:tc>
        <w:tc>
          <w:tcPr>
            <w:tcW w:w="1440" w:type="dxa"/>
            <w:tcBorders>
              <w:top w:val="single" w:sz="4" w:space="0" w:color="auto"/>
              <w:left w:val="nil"/>
              <w:bottom w:val="single" w:sz="4" w:space="0" w:color="auto"/>
              <w:right w:val="nil"/>
            </w:tcBorders>
            <w:vAlign w:val="center"/>
          </w:tcPr>
          <w:p w14:paraId="3D78C84D"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4.5</w:t>
            </w:r>
          </w:p>
        </w:tc>
        <w:tc>
          <w:tcPr>
            <w:tcW w:w="1705" w:type="dxa"/>
            <w:tcBorders>
              <w:top w:val="single" w:sz="4" w:space="0" w:color="auto"/>
              <w:left w:val="nil"/>
              <w:bottom w:val="single" w:sz="4" w:space="0" w:color="auto"/>
              <w:right w:val="nil"/>
            </w:tcBorders>
            <w:tcMar>
              <w:left w:w="58" w:type="dxa"/>
              <w:right w:w="58" w:type="dxa"/>
            </w:tcMar>
            <w:vAlign w:val="center"/>
          </w:tcPr>
          <w:p w14:paraId="5DA913D4" w14:textId="77777777" w:rsidR="00F60DF8" w:rsidRPr="00F60DF8" w:rsidRDefault="00F60DF8" w:rsidP="005647F0">
            <w:pPr>
              <w:spacing w:after="0" w:line="240" w:lineRule="auto"/>
              <w:rPr>
                <w:rFonts w:cs="Times New Roman"/>
                <w:bCs/>
                <w:sz w:val="22"/>
              </w:rPr>
            </w:pPr>
            <w:r w:rsidRPr="00F60DF8">
              <w:rPr>
                <w:rFonts w:cs="Times New Roman"/>
                <w:bCs/>
                <w:sz w:val="22"/>
              </w:rPr>
              <w:t>Bisphenol A</w:t>
            </w:r>
          </w:p>
        </w:tc>
        <w:tc>
          <w:tcPr>
            <w:tcW w:w="905" w:type="dxa"/>
            <w:tcBorders>
              <w:top w:val="single" w:sz="4" w:space="0" w:color="auto"/>
              <w:left w:val="nil"/>
              <w:bottom w:val="single" w:sz="4" w:space="0" w:color="auto"/>
              <w:right w:val="nil"/>
            </w:tcBorders>
            <w:tcMar>
              <w:left w:w="58" w:type="dxa"/>
              <w:right w:w="58" w:type="dxa"/>
            </w:tcMar>
            <w:vAlign w:val="center"/>
          </w:tcPr>
          <w:p w14:paraId="3A6A8E66" w14:textId="77777777" w:rsidR="00F60DF8" w:rsidRPr="00F60DF8" w:rsidRDefault="00F60DF8" w:rsidP="005647F0">
            <w:pPr>
              <w:spacing w:after="0" w:line="240" w:lineRule="auto"/>
              <w:jc w:val="center"/>
              <w:rPr>
                <w:rFonts w:cs="Times New Roman"/>
                <w:bCs/>
                <w:iCs/>
                <w:sz w:val="22"/>
              </w:rPr>
            </w:pPr>
            <w:r w:rsidRPr="00F60DF8">
              <w:rPr>
                <w:rFonts w:cs="Times New Roman"/>
                <w:bCs/>
                <w:iCs/>
                <w:sz w:val="22"/>
              </w:rPr>
              <w:t>10</w:t>
            </w:r>
          </w:p>
        </w:tc>
        <w:tc>
          <w:tcPr>
            <w:tcW w:w="814" w:type="dxa"/>
            <w:tcBorders>
              <w:top w:val="single" w:sz="4" w:space="0" w:color="auto"/>
              <w:left w:val="nil"/>
              <w:bottom w:val="single" w:sz="4" w:space="0" w:color="auto"/>
              <w:right w:val="nil"/>
            </w:tcBorders>
            <w:tcMar>
              <w:left w:w="58" w:type="dxa"/>
              <w:right w:w="58" w:type="dxa"/>
            </w:tcMar>
            <w:vAlign w:val="center"/>
          </w:tcPr>
          <w:p w14:paraId="24E5A57D"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t>60</w:t>
            </w:r>
          </w:p>
        </w:tc>
        <w:tc>
          <w:tcPr>
            <w:tcW w:w="1526" w:type="dxa"/>
            <w:tcBorders>
              <w:top w:val="single" w:sz="4" w:space="0" w:color="auto"/>
              <w:left w:val="nil"/>
              <w:bottom w:val="single" w:sz="4" w:space="0" w:color="auto"/>
              <w:right w:val="nil"/>
            </w:tcBorders>
            <w:tcMar>
              <w:left w:w="58" w:type="dxa"/>
              <w:right w:w="58" w:type="dxa"/>
            </w:tcMar>
            <w:vAlign w:val="center"/>
          </w:tcPr>
          <w:p w14:paraId="190A7C5D" w14:textId="0C780156" w:rsidR="00F60DF8" w:rsidRPr="00F60DF8" w:rsidRDefault="00F60DF8" w:rsidP="005647F0">
            <w:pPr>
              <w:spacing w:after="0" w:line="240" w:lineRule="auto"/>
              <w:jc w:val="center"/>
              <w:rPr>
                <w:rFonts w:cs="Times New Roman"/>
                <w:bCs/>
                <w:sz w:val="22"/>
              </w:rPr>
            </w:pPr>
            <w:r w:rsidRPr="00F60DF8">
              <w:rPr>
                <w:rFonts w:cs="Times New Roman"/>
                <w:bCs/>
                <w:sz w:val="22"/>
              </w:rPr>
              <w:t>90</w:t>
            </w:r>
            <w:r w:rsidR="004A59CA" w:rsidRPr="00494F78">
              <w:rPr>
                <w:rFonts w:cs="Times New Roman"/>
                <w:bCs/>
                <w:sz w:val="22"/>
                <w:vertAlign w:val="superscript"/>
              </w:rPr>
              <w:t xml:space="preserve"> c</w:t>
            </w:r>
          </w:p>
        </w:tc>
        <w:tc>
          <w:tcPr>
            <w:tcW w:w="2250" w:type="dxa"/>
            <w:tcBorders>
              <w:top w:val="single" w:sz="4" w:space="0" w:color="auto"/>
              <w:left w:val="nil"/>
              <w:bottom w:val="single" w:sz="4" w:space="0" w:color="auto"/>
              <w:right w:val="nil"/>
            </w:tcBorders>
            <w:tcMar>
              <w:left w:w="58" w:type="dxa"/>
              <w:right w:w="58" w:type="dxa"/>
            </w:tcMar>
            <w:vAlign w:val="center"/>
          </w:tcPr>
          <w:p w14:paraId="4251A7FE" w14:textId="77777777" w:rsidR="00F60DF8" w:rsidRPr="00F60DF8" w:rsidRDefault="00F60DF8" w:rsidP="005647F0">
            <w:pPr>
              <w:spacing w:after="0" w:line="240" w:lineRule="auto"/>
              <w:jc w:val="center"/>
              <w:rPr>
                <w:rFonts w:cs="Times New Roman"/>
                <w:bCs/>
                <w:sz w:val="22"/>
              </w:rPr>
            </w:pPr>
            <w:r w:rsidRPr="00F60DF8">
              <w:rPr>
                <w:rFonts w:cs="Times New Roman"/>
                <w:bCs/>
                <w:sz w:val="22"/>
              </w:rPr>
              <w:fldChar w:fldCharType="begin" w:fldLock="1"/>
            </w:r>
            <w:r w:rsidRPr="00F60DF8">
              <w:rPr>
                <w:rFonts w:cs="Times New Roman"/>
                <w:bCs/>
                <w:sz w:val="22"/>
              </w:rPr>
              <w:instrText>ADDIN CSL_CITATION {"citationItems":[{"id":"ITEM-1","itemData":{"DOI":"10.1016/j.seppur.2013.01.050","ISSN":"13835866","abstract":"Total mineralization of bisphenol A (BPA) has been investigated through non-catalytic and catalytic ozonation treatments in a semi-batch reactor. Non-catalytic ozonation led to complete degradation of BPA in less than 4 min, but did not convert the by-products of BPA ozonation completely. In sole ozonation systems only 35% conversion of the total organic carbon (TOC) was achieved in 60 min. Using 1 g/L alumina catalyst increased the TOC removal to 90%. Study of the effect of catalyst particles showed that by reducing the particle size from pellets to powder, TOC removal increased significantly from 44% to 90% under particular reaction conditions. However, increasing the amount of alumina catalyst from 0.5 g/L to 4 g/L did not show a strong effect on the TOC removal. Catalyst reusability and deactivation studies indicated that catalyst showed stable activity after three consecutive cycles of catalytic ozonation. A two-stage kinetic regime was used to express rate of TOC removal for both non-catalytic and catalytic ozonation of BPA. © 2013 Published by Elsevier B.V.","author":[{"dropping-particle":"","family":"Keykavoos","given":"R.","non-dropping-particle":"","parse-names":false,"suffix":""},{"dropping-particle":"","family":"Mankidy","given":"R.","non-dropping-particle":"","parse-names":false,"suffix":""},{"dropping-particle":"","family":"Ma","given":"H.","non-dropping-particle":"","parse-names":false,"suffix":""},{"dropping-particle":"","family":"Jones","given":"P.","non-dropping-particle":"","parse-names":false,"suffix":""},{"dropping-particle":"","family":"Soltan","given":"J.","non-dropping-particle":"","parse-names":false,"suffix":""}],"container-title":"Separation and Purification Technology","id":"ITEM-1","issued":{"date-parts":[["2013","4"]]},"page":"310-317","title":"Mineralization of bisphenol A by catalytic ozonation over alumina","type":"article-journal","volume":"107"},"uris":["http://www.mendeley.com/documents/?uuid=ac3fc89f-ccf3-4a72-957f-aab3317415d3"]}],"mendeley":{"formattedCitation":"(Keykavoos et al., 2013)","plainTextFormattedCitation":"(Keykavoos et al., 2013)","previouslyFormattedCitation":"(Keykavoos et al., 2013)"},"properties":{"noteIndex":0},"schema":"https://github.com/citation-style-language/schema/raw/master/csl-citation.json"}</w:instrText>
            </w:r>
            <w:r w:rsidRPr="00F60DF8">
              <w:rPr>
                <w:rFonts w:cs="Times New Roman"/>
                <w:bCs/>
                <w:sz w:val="22"/>
              </w:rPr>
              <w:fldChar w:fldCharType="separate"/>
            </w:r>
            <w:r w:rsidRPr="00F60DF8">
              <w:rPr>
                <w:rFonts w:cs="Times New Roman"/>
                <w:bCs/>
                <w:noProof/>
                <w:sz w:val="22"/>
              </w:rPr>
              <w:t>(Keykavoos et al., 2013)</w:t>
            </w:r>
            <w:r w:rsidRPr="00F60DF8">
              <w:rPr>
                <w:rFonts w:cs="Times New Roman"/>
                <w:bCs/>
                <w:sz w:val="22"/>
              </w:rPr>
              <w:fldChar w:fldCharType="end"/>
            </w:r>
          </w:p>
        </w:tc>
      </w:tr>
    </w:tbl>
    <w:p w14:paraId="7FAA8015" w14:textId="77777777" w:rsidR="00F60DF8" w:rsidRPr="00F60DF8" w:rsidRDefault="00F60DF8" w:rsidP="00F60DF8">
      <w:pPr>
        <w:spacing w:after="0" w:line="240" w:lineRule="auto"/>
        <w:rPr>
          <w:rFonts w:cs="Times New Roman"/>
          <w:color w:val="000000"/>
          <w:sz w:val="22"/>
        </w:rPr>
      </w:pPr>
      <w:r w:rsidRPr="00F60DF8">
        <w:rPr>
          <w:rFonts w:cs="Times New Roman"/>
          <w:color w:val="000000"/>
          <w:sz w:val="22"/>
        </w:rPr>
        <w:t>a: as chemical oxygen demand</w:t>
      </w:r>
    </w:p>
    <w:p w14:paraId="00D28F50" w14:textId="77777777" w:rsidR="00F60DF8" w:rsidRDefault="00F60DF8" w:rsidP="00F60DF8">
      <w:pPr>
        <w:spacing w:after="0" w:line="240" w:lineRule="auto"/>
        <w:rPr>
          <w:rFonts w:cs="Times New Roman"/>
          <w:color w:val="000000"/>
          <w:sz w:val="22"/>
        </w:rPr>
      </w:pPr>
      <w:r w:rsidRPr="00F60DF8">
        <w:rPr>
          <w:rFonts w:cs="Times New Roman"/>
          <w:color w:val="000000"/>
          <w:sz w:val="22"/>
        </w:rPr>
        <w:t>b: as total organic carbon</w:t>
      </w:r>
    </w:p>
    <w:p w14:paraId="4B009C3D" w14:textId="53DB86F1" w:rsidR="00C7122D" w:rsidRPr="00EF4DDC" w:rsidRDefault="00C7122D" w:rsidP="00F60DF8">
      <w:pPr>
        <w:spacing w:after="0" w:line="240" w:lineRule="auto"/>
        <w:rPr>
          <w:rFonts w:cs="Times New Roman"/>
          <w:color w:val="000000" w:themeColor="text1"/>
          <w:sz w:val="22"/>
        </w:rPr>
        <w:sectPr w:rsidR="00C7122D" w:rsidRPr="00EF4DDC" w:rsidSect="005647F0">
          <w:type w:val="continuous"/>
          <w:pgSz w:w="15840" w:h="12240" w:orient="landscape"/>
          <w:pgMar w:top="1440" w:right="1440" w:bottom="1327" w:left="1440" w:header="720" w:footer="720" w:gutter="0"/>
          <w:cols w:space="720"/>
          <w:docGrid w:linePitch="360"/>
        </w:sectPr>
      </w:pPr>
      <w:r w:rsidRPr="00EF4DDC">
        <w:rPr>
          <w:rFonts w:cs="Times New Roman"/>
          <w:color w:val="000000" w:themeColor="text1"/>
          <w:sz w:val="22"/>
        </w:rPr>
        <w:t xml:space="preserve">c: as contaminant </w:t>
      </w:r>
      <w:r w:rsidR="004A59CA" w:rsidRPr="00EF4DDC">
        <w:rPr>
          <w:rFonts w:cs="Times New Roman"/>
          <w:color w:val="000000" w:themeColor="text1"/>
          <w:sz w:val="22"/>
        </w:rPr>
        <w:t>removal</w:t>
      </w:r>
    </w:p>
    <w:p w14:paraId="51F6A91C" w14:textId="77777777" w:rsidR="00F60DF8" w:rsidRPr="00EF4DDC" w:rsidRDefault="00F60DF8" w:rsidP="00F60DF8">
      <w:pPr>
        <w:spacing w:after="0" w:line="480" w:lineRule="auto"/>
        <w:rPr>
          <w:bCs/>
          <w:color w:val="000000" w:themeColor="text1"/>
        </w:rPr>
      </w:pPr>
    </w:p>
    <w:p w14:paraId="7D971372" w14:textId="77777777" w:rsidR="00276587" w:rsidRDefault="00276587" w:rsidP="0090400A">
      <w:pPr>
        <w:pStyle w:val="Heading1"/>
        <w:rPr>
          <w:b/>
          <w:bCs/>
        </w:rPr>
        <w:sectPr w:rsidR="00276587" w:rsidSect="00276587">
          <w:type w:val="continuous"/>
          <w:pgSz w:w="15840" w:h="12240" w:orient="landscape"/>
          <w:pgMar w:top="1440" w:right="1440" w:bottom="1325" w:left="1440" w:header="720" w:footer="720" w:gutter="0"/>
          <w:cols w:space="720"/>
          <w:docGrid w:linePitch="360"/>
        </w:sectPr>
      </w:pPr>
    </w:p>
    <w:p w14:paraId="1CADC464" w14:textId="633EBF12" w:rsidR="0090400A" w:rsidRPr="0090400A" w:rsidRDefault="0090400A" w:rsidP="0090400A">
      <w:pPr>
        <w:pStyle w:val="Heading1"/>
        <w:rPr>
          <w:b/>
          <w:bCs/>
        </w:rPr>
      </w:pPr>
      <w:bookmarkStart w:id="10" w:name="_Toc102395638"/>
      <w:r w:rsidRPr="0090400A">
        <w:rPr>
          <w:b/>
          <w:bCs/>
        </w:rPr>
        <w:lastRenderedPageBreak/>
        <w:t>Supplementary S</w:t>
      </w:r>
      <w:r w:rsidR="00482734">
        <w:rPr>
          <w:b/>
          <w:bCs/>
        </w:rPr>
        <w:t>3</w:t>
      </w:r>
      <w:bookmarkEnd w:id="10"/>
    </w:p>
    <w:p w14:paraId="33C387B4" w14:textId="77777777" w:rsidR="0090400A" w:rsidRPr="0090400A" w:rsidRDefault="0090400A" w:rsidP="0090400A">
      <w:pPr>
        <w:pStyle w:val="Heading1"/>
        <w:spacing w:after="240"/>
        <w:rPr>
          <w:b/>
          <w:bCs/>
        </w:rPr>
      </w:pPr>
      <w:bookmarkStart w:id="11" w:name="_Toc102395639"/>
      <w:r w:rsidRPr="0090400A">
        <w:rPr>
          <w:b/>
          <w:bCs/>
        </w:rPr>
        <w:t>Cavitation</w:t>
      </w:r>
      <w:bookmarkEnd w:id="11"/>
    </w:p>
    <w:p w14:paraId="6F39DEAD" w14:textId="645FD7B1" w:rsidR="0090400A" w:rsidRPr="00104761" w:rsidRDefault="0090400A" w:rsidP="0090400A">
      <w:pPr>
        <w:spacing w:after="0" w:line="480" w:lineRule="auto"/>
        <w:rPr>
          <w:rFonts w:cs="Times New Roman"/>
          <w:bCs/>
          <w:color w:val="000000"/>
          <w:szCs w:val="24"/>
          <w:lang w:val="en-IN"/>
        </w:rPr>
      </w:pPr>
      <w:r w:rsidRPr="0038343B">
        <w:t xml:space="preserve">Cavitation is a phenomenon of rapid formation, growth and collapse of microbubbles or cavities in the aqueous medium. However, the collapse of cavities releases large magnitudes of energy within a very small location </w:t>
      </w:r>
      <w:r w:rsidRPr="0038343B">
        <w:fldChar w:fldCharType="begin" w:fldLock="1"/>
      </w:r>
      <w:r w:rsidR="008666F9">
        <w:instrText>ADDIN CSL_CITATION {"citationItems":[{"id":"ITEM-1","itemData":{"DOI":"10.1080/19443994.2013.846234","ISSN":"19443986","abstract":"The combination of H2O2 and hydrodynamic cavitation has been used to degrade phenol in water. The effects of parameters including inlet pressure (P1), orifice geometries of hydrodynamic reactor, initial concentration of H2O2, the presence of dissolved gases and catalysts (CuO, Fe, and TiO2) have been discussed. It revealed that increased P1, more number of holes on plates, optimum initial H2O2 concentration, the higher flow rate of oxygen, and the presence of Fe or CuO are more favorable in phenol degradation. Nitrogen has different effect on cavitation from oxygen. Furthermore, the identification of primary intermediates of the reaction (hydroquinone, catechol, benzoquinone, and resorcin) indicated that hydroxyl radicals are involved in phenol degradation mechanisms.","author":[{"dropping-particle":"","family":"Wu","given":"C. D.","non-dropping-particle":"","parse-names":false,"suffix":""},{"dropping-particle":"","family":"Zhang","given":"Z. L.","non-dropping-particle":"","parse-names":false,"suffix":""},{"dropping-particle":"","family":"Wu","given":"Y.","non-dropping-particle":"","parse-names":false,"suffix":""},{"dropping-particle":"","family":"Wang","given":"L.","non-dropping-particle":"","parse-names":false,"suffix":""},{"dropping-particle":"","family":"Chen","given":"L. J.","non-dropping-particle":"","parse-names":false,"suffix":""}],"container-title":"Desalination and Water Treatment","id":"ITEM-1","issue":"2","issued":{"date-parts":[["2015"]]},"page":"462-468","title":"Effects of operating parameters and additives on degradation of phenol in water by the combination of H2O2 and hydrodynamic cavitation","type":"article-journal","volume":"53"},"uris":["http://www.mendeley.com/documents/?uuid=fe7cea64-f119-43ca-8940-9ddecaf10579","http://www.mendeley.com/documents/?uuid=23a7b379-23df-4b30-9a07-a10f5b1a9696"]}],"mendeley":{"formattedCitation":"(Wu et al., 2015)","plainTextFormattedCitation":"(Wu et al., 2015)","previouslyFormattedCitation":"(Wu et al., 2015)"},"properties":{"noteIndex":0},"schema":"https://github.com/citation-style-language/schema/raw/master/csl-citation.json"}</w:instrText>
      </w:r>
      <w:r w:rsidRPr="0038343B">
        <w:fldChar w:fldCharType="separate"/>
      </w:r>
      <w:r w:rsidRPr="00FB6D8C">
        <w:rPr>
          <w:noProof/>
        </w:rPr>
        <w:t>(Wu et al., 2015)</w:t>
      </w:r>
      <w:r w:rsidRPr="0038343B">
        <w:fldChar w:fldCharType="end"/>
      </w:r>
      <w:r w:rsidRPr="0038343B">
        <w:t>. The energy release</w:t>
      </w:r>
      <w:r w:rsidR="00624FB7">
        <w:t>d</w:t>
      </w:r>
      <w:r w:rsidRPr="0038343B">
        <w:t xml:space="preserve"> during rapid collapse of microbubbles in the cavitation systems result in the formation of extremely reactive radicals, which can enhance the complete mineralization of organic pollutants present in the wastewater </w:t>
      </w:r>
      <w:r w:rsidRPr="0038343B">
        <w:fldChar w:fldCharType="begin" w:fldLock="1"/>
      </w:r>
      <w:r w:rsidR="008666F9">
        <w:instrText>ADDIN CSL_CITATION {"citationItems":[{"id":"ITEM-1","itemData":{"DOI":"10.1126/science.247.4949.1439","ISSN":"0036-8075","PMID":"17791211","abstract":"Ultrasound causes high-energy chemistry. It does so through the process of acoustic cavitation: the formation, growth and implosive collapse of bubbles in a liquid. During cavitational collapse, intense heating of the bubbles occurs. These localized hot spots have temperatures of roughly 5000°C, pressures of about 500 atmospheres, and lifetimes of a few microseconds. Shock waves from cavitation in liquid-solid slurries produce high-velocity interparticle collisions, the impact of which is sufficient to melt most metals. Applications to chemical reactions exist in both homogeneous liquids and in liquid-solid systems. Of special synthetic use is the ability of ultrasound to create clean, highly reactive surfaces on metals. Ultrasound has also found important uses for initiation or enhancement of catalytic reactions, in both homogeneous and heterogeneous cases.","author":[{"dropping-particle":"","family":"Suslick","given":"Kenneth S.","non-dropping-particle":"","parse-names":false,"suffix":""}],"container-title":"Science","id":"ITEM-1","issue":"4949","issued":{"date-parts":[["1990","3","23"]]},"page":"1439-1445","title":"Sonochemistry","type":"article-journal","volume":"247"},"uris":["http://www.mendeley.com/documents/?uuid=75420275-be84-46f8-902e-23982538bb93","http://www.mendeley.com/documents/?uuid=8354b753-2c6a-4471-91fc-38b02b407dce"]}],"mendeley":{"formattedCitation":"(Suslick, 1990)","plainTextFormattedCitation":"(Suslick, 1990)","previouslyFormattedCitation":"(Suslick, 1990)"},"properties":{"noteIndex":0},"schema":"https://github.com/citation-style-language/schema/raw/master/csl-citation.json"}</w:instrText>
      </w:r>
      <w:r w:rsidRPr="0038343B">
        <w:fldChar w:fldCharType="separate"/>
      </w:r>
      <w:r w:rsidRPr="00FB6D8C">
        <w:rPr>
          <w:noProof/>
        </w:rPr>
        <w:t>(Suslick, 1990)</w:t>
      </w:r>
      <w:r w:rsidRPr="0038343B">
        <w:fldChar w:fldCharType="end"/>
      </w:r>
      <w:r w:rsidRPr="0038343B">
        <w:t xml:space="preserve">. The formation of microbubbles or cavities depends upon the temperature and static as well as dynamic pressure of the water </w:t>
      </w:r>
      <w:r w:rsidRPr="0038343B">
        <w:fldChar w:fldCharType="begin" w:fldLock="1"/>
      </w:r>
      <w:r w:rsidR="008666F9">
        <w:instrText>ADDIN CSL_CITATION {"citationItems":[{"id":"ITEM-1","itemData":{"DOI":"10.1016/S0009-2509(99)00435-2","ISSN":"00092509","abstract":"The classical ultrasonically induced reaction of the decomposition of aqueous KI Solution has been studied on a 501 hydrodynamic cavitation set-up. This reaction, which has been previously studied using acoustic cavitation, has been shown to be influenced by hydrodynamic cavitation as well. Methodology has been suggested to enhance the reaction rates, when using hydrodynamic cavitation set-up. Manipulation of the throttling device (orifice plates) and the operating conditions have increased the iodine liberation rates, three times more than acoustic cavitation at equivalent power dissipation rates. The scale-up possibilities of hydrodynamic cavitation as a means of an alternative to acoustic cavitation have been discussed.© 2000 Elsevier Science Ltd.","author":[{"dropping-particle":"","family":"Senthil Kumar","given":"P.","non-dropping-particle":"","parse-names":false,"suffix":""},{"dropping-particle":"","family":"Siva Kumar","given":"M.","non-dropping-particle":"","parse-names":false,"suffix":""},{"dropping-particle":"","family":"Pandit","given":"A.B","non-dropping-particle":"","parse-names":false,"suffix":""}],"container-title":"Chemical Engineering Science","id":"ITEM-1","issue":"9","issued":{"date-parts":[["2000","5"]]},"page":"1633-1639","title":"Experimental quantification of chemical effects of hydrodynamic cavitation","type":"article-journal","volume":"55"},"uris":["http://www.mendeley.com/documents/?uuid=33edef54-8ac7-4a16-8975-3b5f7e8e0d6a","http://www.mendeley.com/documents/?uuid=159f8f84-ddd9-47da-9093-ab6f3f29c15c"]}],"mendeley":{"formattedCitation":"(Senthil Kumar et al., 2000)","plainTextFormattedCitation":"(Senthil Kumar et al., 2000)","previouslyFormattedCitation":"(Senthil Kumar et al., 2000)"},"properties":{"noteIndex":0},"schema":"https://github.com/citation-style-language/schema/raw/master/csl-citation.json"}</w:instrText>
      </w:r>
      <w:r w:rsidRPr="0038343B">
        <w:fldChar w:fldCharType="separate"/>
      </w:r>
      <w:r w:rsidRPr="00FB6D8C">
        <w:rPr>
          <w:noProof/>
        </w:rPr>
        <w:t>(Senthil Kumar et al., 2000)</w:t>
      </w:r>
      <w:r w:rsidRPr="0038343B">
        <w:fldChar w:fldCharType="end"/>
      </w:r>
      <w:r w:rsidRPr="0038343B">
        <w:t>.</w:t>
      </w:r>
      <w:r w:rsidR="00C071A7" w:rsidRPr="00C071A7">
        <w:rPr>
          <w:rFonts w:cs="Times New Roman"/>
          <w:bCs/>
          <w:color w:val="000000"/>
          <w:szCs w:val="24"/>
          <w:lang w:val="en-IN"/>
        </w:rPr>
        <w:t xml:space="preserve"> </w:t>
      </w:r>
    </w:p>
    <w:p w14:paraId="2C294A52" w14:textId="77777777" w:rsidR="00276587" w:rsidRDefault="00276587" w:rsidP="002B368F">
      <w:pPr>
        <w:spacing w:after="0" w:line="480" w:lineRule="auto"/>
        <w:jc w:val="left"/>
        <w:rPr>
          <w:rFonts w:eastAsia="Times New Roman" w:cs="Times New Roman"/>
          <w:b/>
          <w:bCs/>
          <w:color w:val="000000"/>
          <w:szCs w:val="32"/>
          <w:lang w:val="en-IN"/>
        </w:rPr>
      </w:pPr>
    </w:p>
    <w:p w14:paraId="27D20922" w14:textId="77777777" w:rsidR="00276587" w:rsidRDefault="00276587" w:rsidP="002B368F">
      <w:pPr>
        <w:spacing w:after="0" w:line="480" w:lineRule="auto"/>
        <w:jc w:val="left"/>
        <w:rPr>
          <w:rFonts w:eastAsia="Times New Roman" w:cs="Times New Roman"/>
          <w:b/>
          <w:bCs/>
          <w:color w:val="000000"/>
          <w:szCs w:val="32"/>
          <w:lang w:val="en-IN"/>
        </w:rPr>
        <w:sectPr w:rsidR="00276587" w:rsidSect="00276587">
          <w:type w:val="continuous"/>
          <w:pgSz w:w="12240" w:h="15840"/>
          <w:pgMar w:top="1440" w:right="1327" w:bottom="1440" w:left="1440" w:header="720" w:footer="720" w:gutter="0"/>
          <w:cols w:space="720"/>
          <w:docGrid w:linePitch="360"/>
        </w:sectPr>
      </w:pPr>
    </w:p>
    <w:p w14:paraId="5F8923FF" w14:textId="0B55D9A6" w:rsidR="002B368F" w:rsidRPr="002B368F" w:rsidRDefault="002B368F" w:rsidP="00276587">
      <w:pPr>
        <w:pStyle w:val="Heading1"/>
        <w:rPr>
          <w:rFonts w:eastAsia="Times New Roman"/>
        </w:rPr>
      </w:pPr>
      <w:bookmarkStart w:id="12" w:name="_Toc102395640"/>
      <w:r w:rsidRPr="002B368F">
        <w:rPr>
          <w:rFonts w:eastAsia="Times New Roman"/>
          <w:b/>
          <w:bCs/>
          <w:lang w:val="en-IN"/>
        </w:rPr>
        <w:lastRenderedPageBreak/>
        <w:t xml:space="preserve">Table </w:t>
      </w:r>
      <w:r w:rsidR="00691B87">
        <w:rPr>
          <w:rFonts w:eastAsia="Times New Roman"/>
          <w:b/>
          <w:bCs/>
          <w:lang w:val="en-IN"/>
        </w:rPr>
        <w:t>S</w:t>
      </w:r>
      <w:r w:rsidR="00E1569B">
        <w:rPr>
          <w:rFonts w:eastAsia="Times New Roman"/>
          <w:b/>
          <w:bCs/>
          <w:lang w:val="en-IN"/>
        </w:rPr>
        <w:t>3</w:t>
      </w:r>
      <w:r w:rsidRPr="002B368F">
        <w:rPr>
          <w:rFonts w:eastAsia="Times New Roman"/>
          <w:b/>
          <w:bCs/>
          <w:lang w:val="en-IN"/>
        </w:rPr>
        <w:t xml:space="preserve">. </w:t>
      </w:r>
      <w:r w:rsidRPr="002B368F">
        <w:rPr>
          <w:rFonts w:eastAsia="Times New Roman"/>
          <w:lang w:val="en-IN"/>
        </w:rPr>
        <w:t>Degradation of</w:t>
      </w:r>
      <w:r w:rsidRPr="002B368F">
        <w:rPr>
          <w:rFonts w:eastAsia="Times New Roman"/>
          <w:b/>
          <w:bCs/>
          <w:lang w:val="en-IN"/>
        </w:rPr>
        <w:t xml:space="preserve"> </w:t>
      </w:r>
      <w:r w:rsidRPr="002B368F">
        <w:rPr>
          <w:rFonts w:eastAsia="Times New Roman"/>
          <w:lang w:val="en-IN"/>
        </w:rPr>
        <w:t>contaminants of emerging concern by</w:t>
      </w:r>
      <w:r w:rsidRPr="002B368F">
        <w:rPr>
          <w:rFonts w:eastAsia="Times New Roman"/>
        </w:rPr>
        <w:t xml:space="preserve"> acoustic cavitation processes.</w:t>
      </w:r>
      <w:bookmarkEnd w:id="12"/>
    </w:p>
    <w:tbl>
      <w:tblPr>
        <w:tblStyle w:val="TableGrid1"/>
        <w:tblW w:w="1350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44"/>
        <w:gridCol w:w="2003"/>
        <w:gridCol w:w="1050"/>
        <w:gridCol w:w="2683"/>
        <w:gridCol w:w="697"/>
        <w:gridCol w:w="1463"/>
        <w:gridCol w:w="3060"/>
      </w:tblGrid>
      <w:tr w:rsidR="002B368F" w:rsidRPr="002B368F" w14:paraId="5CC405C3"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hideMark/>
          </w:tcPr>
          <w:p w14:paraId="2B36CC46"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
                <w:bCs/>
                <w:sz w:val="22"/>
                <w:lang w:val="en-IN"/>
              </w:rPr>
              <w:t>System</w:t>
            </w:r>
          </w:p>
        </w:tc>
        <w:tc>
          <w:tcPr>
            <w:tcW w:w="2003" w:type="dxa"/>
            <w:tcBorders>
              <w:top w:val="single" w:sz="4" w:space="0" w:color="auto"/>
              <w:bottom w:val="single" w:sz="4" w:space="0" w:color="auto"/>
            </w:tcBorders>
            <w:tcMar>
              <w:left w:w="58" w:type="dxa"/>
              <w:right w:w="58" w:type="dxa"/>
            </w:tcMar>
            <w:vAlign w:val="center"/>
            <w:hideMark/>
          </w:tcPr>
          <w:p w14:paraId="70475CB6"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
                <w:bCs/>
                <w:sz w:val="22"/>
              </w:rPr>
              <w:t>Contaminant</w:t>
            </w:r>
          </w:p>
        </w:tc>
        <w:tc>
          <w:tcPr>
            <w:tcW w:w="1050" w:type="dxa"/>
            <w:tcBorders>
              <w:top w:val="single" w:sz="4" w:space="0" w:color="auto"/>
              <w:bottom w:val="single" w:sz="4" w:space="0" w:color="auto"/>
            </w:tcBorders>
            <w:tcMar>
              <w:left w:w="58" w:type="dxa"/>
              <w:right w:w="58" w:type="dxa"/>
            </w:tcMar>
            <w:vAlign w:val="center"/>
            <w:hideMark/>
          </w:tcPr>
          <w:p w14:paraId="7CBCB6A9" w14:textId="77777777" w:rsidR="002B368F" w:rsidRPr="002B368F" w:rsidRDefault="002B368F" w:rsidP="002B368F">
            <w:pPr>
              <w:widowControl w:val="0"/>
              <w:spacing w:after="0" w:line="240" w:lineRule="auto"/>
              <w:jc w:val="center"/>
              <w:rPr>
                <w:rFonts w:cs="Times New Roman"/>
                <w:b/>
                <w:bCs/>
                <w:sz w:val="22"/>
              </w:rPr>
            </w:pPr>
            <w:r w:rsidRPr="002B368F">
              <w:rPr>
                <w:rFonts w:cs="Times New Roman"/>
                <w:b/>
                <w:bCs/>
                <w:sz w:val="22"/>
              </w:rPr>
              <w:t>C</w:t>
            </w:r>
            <w:r w:rsidRPr="002B368F">
              <w:rPr>
                <w:rFonts w:cs="Times New Roman"/>
                <w:b/>
                <w:bCs/>
                <w:sz w:val="22"/>
                <w:vertAlign w:val="subscript"/>
              </w:rPr>
              <w:t>0</w:t>
            </w:r>
          </w:p>
          <w:p w14:paraId="6EB87E08" w14:textId="756EF4B3" w:rsidR="002B368F" w:rsidRPr="002B368F" w:rsidRDefault="002B368F" w:rsidP="002B368F">
            <w:pPr>
              <w:widowControl w:val="0"/>
              <w:spacing w:after="0" w:line="240" w:lineRule="auto"/>
              <w:ind w:right="-110"/>
              <w:jc w:val="center"/>
              <w:rPr>
                <w:rFonts w:cs="Times New Roman"/>
                <w:b/>
                <w:bCs/>
                <w:iCs/>
                <w:sz w:val="22"/>
              </w:rPr>
            </w:pPr>
            <w:r w:rsidRPr="002B368F">
              <w:rPr>
                <w:rFonts w:cs="Times New Roman"/>
                <w:b/>
                <w:bCs/>
                <w:iCs/>
                <w:sz w:val="22"/>
              </w:rPr>
              <w:t>(mg L</w:t>
            </w:r>
            <w:r w:rsidR="00AA0DD6">
              <w:rPr>
                <w:rFonts w:cs="Times New Roman"/>
                <w:bCs/>
                <w:color w:val="000000" w:themeColor="text1"/>
                <w:szCs w:val="24"/>
                <w:vertAlign w:val="superscript"/>
                <w:lang w:val="en-IN"/>
              </w:rPr>
              <w:t>‒</w:t>
            </w:r>
            <w:r w:rsidRPr="002B368F">
              <w:rPr>
                <w:rFonts w:cs="Times New Roman"/>
                <w:b/>
                <w:bCs/>
                <w:iCs/>
                <w:sz w:val="22"/>
                <w:vertAlign w:val="superscript"/>
              </w:rPr>
              <w:t>1</w:t>
            </w:r>
            <w:r w:rsidRPr="002B368F">
              <w:rPr>
                <w:rFonts w:cs="Times New Roman"/>
                <w:b/>
                <w:bCs/>
                <w:iCs/>
                <w:sz w:val="22"/>
              </w:rPr>
              <w:t>)</w:t>
            </w:r>
          </w:p>
        </w:tc>
        <w:tc>
          <w:tcPr>
            <w:tcW w:w="2683" w:type="dxa"/>
            <w:tcBorders>
              <w:top w:val="single" w:sz="4" w:space="0" w:color="auto"/>
              <w:bottom w:val="single" w:sz="4" w:space="0" w:color="auto"/>
            </w:tcBorders>
            <w:tcMar>
              <w:left w:w="58" w:type="dxa"/>
              <w:right w:w="58" w:type="dxa"/>
            </w:tcMar>
            <w:vAlign w:val="center"/>
            <w:hideMark/>
          </w:tcPr>
          <w:p w14:paraId="36C7F6DD" w14:textId="77777777" w:rsidR="002B368F" w:rsidRPr="002B368F" w:rsidRDefault="002B368F" w:rsidP="002B368F">
            <w:pPr>
              <w:widowControl w:val="0"/>
              <w:spacing w:after="0" w:line="240" w:lineRule="auto"/>
              <w:jc w:val="left"/>
              <w:rPr>
                <w:rFonts w:cs="Times New Roman"/>
                <w:b/>
                <w:bCs/>
                <w:sz w:val="22"/>
                <w:lang w:val="en-IN"/>
              </w:rPr>
            </w:pPr>
            <w:r w:rsidRPr="002B368F">
              <w:rPr>
                <w:rFonts w:cs="Times New Roman"/>
                <w:b/>
                <w:bCs/>
                <w:sz w:val="22"/>
                <w:lang w:val="en-IN"/>
              </w:rPr>
              <w:t>Experimental conditions</w:t>
            </w:r>
          </w:p>
        </w:tc>
        <w:tc>
          <w:tcPr>
            <w:tcW w:w="697" w:type="dxa"/>
            <w:tcBorders>
              <w:top w:val="single" w:sz="4" w:space="0" w:color="auto"/>
              <w:bottom w:val="single" w:sz="4" w:space="0" w:color="auto"/>
            </w:tcBorders>
            <w:tcMar>
              <w:left w:w="58" w:type="dxa"/>
              <w:right w:w="58" w:type="dxa"/>
            </w:tcMar>
            <w:vAlign w:val="center"/>
            <w:hideMark/>
          </w:tcPr>
          <w:p w14:paraId="30563CCD"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
                <w:bCs/>
                <w:sz w:val="22"/>
                <w:lang w:val="en-IN"/>
              </w:rPr>
              <w:t>Time (min)</w:t>
            </w:r>
          </w:p>
        </w:tc>
        <w:tc>
          <w:tcPr>
            <w:tcW w:w="1463" w:type="dxa"/>
            <w:tcBorders>
              <w:top w:val="single" w:sz="4" w:space="0" w:color="auto"/>
              <w:bottom w:val="single" w:sz="4" w:space="0" w:color="auto"/>
            </w:tcBorders>
            <w:tcMar>
              <w:left w:w="58" w:type="dxa"/>
              <w:right w:w="58" w:type="dxa"/>
            </w:tcMar>
            <w:vAlign w:val="center"/>
            <w:hideMark/>
          </w:tcPr>
          <w:p w14:paraId="77674702"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
                <w:bCs/>
                <w:sz w:val="22"/>
                <w:lang w:val="en-IN"/>
              </w:rPr>
              <w:t>Removal efficiency (%)</w:t>
            </w:r>
          </w:p>
        </w:tc>
        <w:tc>
          <w:tcPr>
            <w:tcW w:w="3060" w:type="dxa"/>
            <w:tcBorders>
              <w:top w:val="single" w:sz="4" w:space="0" w:color="auto"/>
              <w:bottom w:val="single" w:sz="4" w:space="0" w:color="auto"/>
            </w:tcBorders>
            <w:tcMar>
              <w:left w:w="58" w:type="dxa"/>
              <w:right w:w="58" w:type="dxa"/>
            </w:tcMar>
            <w:vAlign w:val="center"/>
            <w:hideMark/>
          </w:tcPr>
          <w:p w14:paraId="501BFCF4"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
                <w:bCs/>
                <w:sz w:val="22"/>
                <w:lang w:val="en-IN"/>
              </w:rPr>
              <w:t>References</w:t>
            </w:r>
          </w:p>
        </w:tc>
      </w:tr>
      <w:tr w:rsidR="002B368F" w:rsidRPr="002B368F" w14:paraId="1D0AAE8A"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tcPr>
          <w:p w14:paraId="671E03F9"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Cs/>
                <w:sz w:val="22"/>
                <w:lang w:val="en-IN"/>
              </w:rPr>
              <w:t>US</w:t>
            </w:r>
          </w:p>
        </w:tc>
        <w:tc>
          <w:tcPr>
            <w:tcW w:w="2003" w:type="dxa"/>
            <w:tcBorders>
              <w:top w:val="single" w:sz="4" w:space="0" w:color="auto"/>
              <w:bottom w:val="single" w:sz="4" w:space="0" w:color="auto"/>
            </w:tcBorders>
            <w:tcMar>
              <w:left w:w="58" w:type="dxa"/>
              <w:right w:w="58" w:type="dxa"/>
            </w:tcMar>
            <w:vAlign w:val="center"/>
          </w:tcPr>
          <w:p w14:paraId="058B4426" w14:textId="77777777" w:rsidR="002B368F" w:rsidRPr="002B368F" w:rsidRDefault="002B368F" w:rsidP="002B368F">
            <w:pPr>
              <w:widowControl w:val="0"/>
              <w:spacing w:after="0" w:line="240" w:lineRule="auto"/>
              <w:jc w:val="center"/>
              <w:rPr>
                <w:rFonts w:cs="Times New Roman"/>
                <w:b/>
                <w:bCs/>
                <w:sz w:val="22"/>
              </w:rPr>
            </w:pPr>
            <w:r w:rsidRPr="002B368F">
              <w:rPr>
                <w:rFonts w:cs="Times New Roman"/>
                <w:bCs/>
                <w:sz w:val="22"/>
                <w:lang w:val="en-IN"/>
              </w:rPr>
              <w:t>Trimethoprim</w:t>
            </w:r>
          </w:p>
        </w:tc>
        <w:tc>
          <w:tcPr>
            <w:tcW w:w="1050" w:type="dxa"/>
            <w:tcBorders>
              <w:top w:val="single" w:sz="4" w:space="0" w:color="auto"/>
              <w:bottom w:val="single" w:sz="4" w:space="0" w:color="auto"/>
            </w:tcBorders>
            <w:tcMar>
              <w:left w:w="58" w:type="dxa"/>
              <w:right w:w="58" w:type="dxa"/>
            </w:tcMar>
            <w:vAlign w:val="center"/>
          </w:tcPr>
          <w:p w14:paraId="4AC20D5E" w14:textId="77777777" w:rsidR="002B368F" w:rsidRPr="002B368F" w:rsidRDefault="002B368F" w:rsidP="002B368F">
            <w:pPr>
              <w:widowControl w:val="0"/>
              <w:spacing w:after="0" w:line="240" w:lineRule="auto"/>
              <w:jc w:val="center"/>
              <w:rPr>
                <w:rFonts w:cs="Times New Roman"/>
                <w:b/>
                <w:bCs/>
                <w:sz w:val="22"/>
              </w:rPr>
            </w:pPr>
            <w:r w:rsidRPr="002B368F">
              <w:rPr>
                <w:rFonts w:cs="Times New Roman"/>
                <w:bCs/>
                <w:sz w:val="22"/>
                <w:lang w:val="en-IN"/>
              </w:rPr>
              <w:t>0.5</w:t>
            </w:r>
          </w:p>
        </w:tc>
        <w:tc>
          <w:tcPr>
            <w:tcW w:w="2683" w:type="dxa"/>
            <w:tcBorders>
              <w:top w:val="single" w:sz="4" w:space="0" w:color="auto"/>
              <w:bottom w:val="single" w:sz="4" w:space="0" w:color="auto"/>
            </w:tcBorders>
            <w:tcMar>
              <w:left w:w="58" w:type="dxa"/>
              <w:right w:w="58" w:type="dxa"/>
            </w:tcMar>
            <w:vAlign w:val="center"/>
          </w:tcPr>
          <w:p w14:paraId="1187A565" w14:textId="77777777" w:rsidR="002B368F" w:rsidRPr="002B368F" w:rsidRDefault="002B368F" w:rsidP="002B368F">
            <w:pPr>
              <w:widowControl w:val="0"/>
              <w:spacing w:after="0" w:line="240" w:lineRule="auto"/>
              <w:jc w:val="left"/>
              <w:rPr>
                <w:rFonts w:cs="Times New Roman"/>
                <w:b/>
                <w:bCs/>
                <w:sz w:val="22"/>
                <w:lang w:val="en-IN"/>
              </w:rPr>
            </w:pPr>
            <w:r w:rsidRPr="002B368F">
              <w:rPr>
                <w:rFonts w:cs="Times New Roman"/>
                <w:bCs/>
                <w:sz w:val="22"/>
                <w:lang w:val="en-IN"/>
              </w:rPr>
              <w:t>US frequency = 20 kHz</w:t>
            </w:r>
          </w:p>
        </w:tc>
        <w:tc>
          <w:tcPr>
            <w:tcW w:w="697" w:type="dxa"/>
            <w:tcBorders>
              <w:top w:val="single" w:sz="4" w:space="0" w:color="auto"/>
              <w:bottom w:val="single" w:sz="4" w:space="0" w:color="auto"/>
            </w:tcBorders>
            <w:tcMar>
              <w:left w:w="58" w:type="dxa"/>
              <w:right w:w="58" w:type="dxa"/>
            </w:tcMar>
            <w:vAlign w:val="center"/>
          </w:tcPr>
          <w:p w14:paraId="1BE0C9CB"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Cs/>
                <w:sz w:val="22"/>
                <w:lang w:val="en-IN"/>
              </w:rPr>
              <w:t>90</w:t>
            </w:r>
          </w:p>
        </w:tc>
        <w:tc>
          <w:tcPr>
            <w:tcW w:w="1463" w:type="dxa"/>
            <w:tcBorders>
              <w:top w:val="single" w:sz="4" w:space="0" w:color="auto"/>
              <w:bottom w:val="single" w:sz="4" w:space="0" w:color="auto"/>
            </w:tcBorders>
            <w:tcMar>
              <w:left w:w="58" w:type="dxa"/>
              <w:right w:w="58" w:type="dxa"/>
            </w:tcMar>
            <w:vAlign w:val="center"/>
          </w:tcPr>
          <w:p w14:paraId="19AA29C5"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Cs/>
                <w:sz w:val="22"/>
                <w:lang w:val="en-IN"/>
              </w:rPr>
              <w:t>90</w:t>
            </w:r>
          </w:p>
        </w:tc>
        <w:tc>
          <w:tcPr>
            <w:tcW w:w="3060" w:type="dxa"/>
            <w:tcBorders>
              <w:top w:val="single" w:sz="4" w:space="0" w:color="auto"/>
              <w:bottom w:val="single" w:sz="4" w:space="0" w:color="auto"/>
            </w:tcBorders>
            <w:tcMar>
              <w:left w:w="58" w:type="dxa"/>
              <w:right w:w="58" w:type="dxa"/>
            </w:tcMar>
            <w:vAlign w:val="center"/>
          </w:tcPr>
          <w:p w14:paraId="301126CF"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Cs/>
                <w:sz w:val="22"/>
                <w:lang w:val="en-IN"/>
              </w:rPr>
              <w:fldChar w:fldCharType="begin" w:fldLock="1"/>
            </w:r>
            <w:r w:rsidRPr="002B368F">
              <w:rPr>
                <w:rFonts w:cs="Times New Roman"/>
                <w:bCs/>
                <w:sz w:val="22"/>
                <w:lang w:val="en-IN"/>
              </w:rPr>
              <w:instrText>ADDIN CSL_CITATION {"citationItems":[{"id":"ITEM-1","itemData":{"DOI":"10.1016/j.ultsonch.2020.105139","ISSN":"13504177","PMID":"32348950","abstract":"The sonochemical degradation of trimethoprim (TMP), a widely used antibiotic, in various water matrices was investigated. The effect of several parameters, such as initial TMP concentration (0.5–3 mg/L), actual power density (20–60 W/L), initial solution pH (3–10), inorganic ions, humic acid and water matrix on degradation kinetics was examined. The pseudo-first order degradation rate of TMP was found to increase with increasing power density and decreasing pH, water complexity (ultrapure water &gt; bottled water &gt; secondary wastewater) and initial TMP concentration. TMP degradation is accompanied by the formation of several transformation products (TPs) as evidenced by LC-QToF-MS analysis. Nine such TPs were successfully identified and their time-trend profiles during degradation were followed. An in silico toxicity evaluation was performed showing that several TPs could potentially be more toxic than the parent compound towards Daphnia magna, Pimephales promelas and Pseudokirchneriella subcapitata.","author":[{"dropping-particle":"","family":"Arvaniti","given":"Olga S.","non-dropping-particle":"","parse-names":false,"suffix":""},{"dropping-particle":"","family":"Frontistis","given":"Zacharias","non-dropping-particle":"","parse-names":false,"suffix":""},{"dropping-particle":"","family":"Nika","given":"Maria Christina","non-dropping-particle":"","parse-names":false,"suffix":""},{"dropping-particle":"","family":"Aalizadeh","given":"Reza","non-dropping-particle":"","parse-names":false,"suffix":""},{"dropping-particle":"","family":"Thomaidis","given":"Nikolaos S.","non-dropping-particle":"","parse-names":false,"suffix":""},{"dropping-particle":"","family":"Mantzavinos","given":"Dionissios","non-dropping-particle":"","parse-names":false,"suffix":""}],"container-title":"Ultrasonics Sonochemistry","id":"ITEM-1","issued":{"date-parts":[["2020","10"]]},"page":"105139","title":"Sonochemical degradation of trimethoprim in water matrices: Effect of operating conditions, identification of transformation products and toxicity assessment","type":"article-journal","volume":"67"},"uris":["http://www.mendeley.com/documents/?uuid=3e6cb447-c3c4-4204-b8cd-6e5f52a63a39","http://www.mendeley.com/documents/?uuid=5127c771-a204-4c33-9c3f-e220e61e243b"]}],"mendeley":{"formattedCitation":"(Arvaniti et al., 2020)","plainTextFormattedCitation":"(Arvaniti et al., 2020)","previouslyFormattedCitation":"(Arvaniti et al., 2020)"},"properties":{"noteIndex":0},"schema":"https://github.com/citation-style-language/schema/raw/master/csl-citation.json"}</w:instrText>
            </w:r>
            <w:r w:rsidRPr="002B368F">
              <w:rPr>
                <w:rFonts w:cs="Times New Roman"/>
                <w:bCs/>
                <w:sz w:val="22"/>
                <w:lang w:val="en-IN"/>
              </w:rPr>
              <w:fldChar w:fldCharType="separate"/>
            </w:r>
            <w:r w:rsidRPr="002B368F">
              <w:rPr>
                <w:rFonts w:cs="Times New Roman"/>
                <w:bCs/>
                <w:noProof/>
                <w:sz w:val="22"/>
                <w:lang w:val="en-IN"/>
              </w:rPr>
              <w:t>(Arvaniti et al., 2020)</w:t>
            </w:r>
            <w:r w:rsidRPr="002B368F">
              <w:rPr>
                <w:rFonts w:cs="Times New Roman"/>
                <w:bCs/>
                <w:sz w:val="22"/>
                <w:lang w:val="en-IN"/>
              </w:rPr>
              <w:fldChar w:fldCharType="end"/>
            </w:r>
          </w:p>
        </w:tc>
      </w:tr>
      <w:tr w:rsidR="002B368F" w:rsidRPr="002B368F" w14:paraId="797DFBAB"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tcPr>
          <w:p w14:paraId="3DD6A7B8"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Cs/>
                <w:sz w:val="22"/>
                <w:lang w:val="en-IN"/>
              </w:rPr>
              <w:t>US</w:t>
            </w:r>
          </w:p>
        </w:tc>
        <w:tc>
          <w:tcPr>
            <w:tcW w:w="2003" w:type="dxa"/>
            <w:tcBorders>
              <w:top w:val="single" w:sz="4" w:space="0" w:color="auto"/>
              <w:bottom w:val="single" w:sz="4" w:space="0" w:color="auto"/>
            </w:tcBorders>
            <w:tcMar>
              <w:left w:w="58" w:type="dxa"/>
              <w:right w:w="58" w:type="dxa"/>
            </w:tcMar>
            <w:vAlign w:val="center"/>
          </w:tcPr>
          <w:p w14:paraId="6EED1189" w14:textId="77777777" w:rsidR="002B368F" w:rsidRPr="002B368F" w:rsidRDefault="002B368F" w:rsidP="002B368F">
            <w:pPr>
              <w:widowControl w:val="0"/>
              <w:spacing w:after="0" w:line="240" w:lineRule="auto"/>
              <w:jc w:val="center"/>
              <w:rPr>
                <w:rFonts w:cs="Times New Roman"/>
                <w:b/>
                <w:bCs/>
                <w:sz w:val="22"/>
              </w:rPr>
            </w:pPr>
            <w:r w:rsidRPr="002B368F">
              <w:rPr>
                <w:rFonts w:cs="Times New Roman"/>
                <w:bCs/>
                <w:sz w:val="22"/>
                <w:lang w:val="en-IN"/>
              </w:rPr>
              <w:t>Benzenesulfonic acid</w:t>
            </w:r>
          </w:p>
        </w:tc>
        <w:tc>
          <w:tcPr>
            <w:tcW w:w="1050" w:type="dxa"/>
            <w:tcBorders>
              <w:top w:val="single" w:sz="4" w:space="0" w:color="auto"/>
              <w:bottom w:val="single" w:sz="4" w:space="0" w:color="auto"/>
            </w:tcBorders>
            <w:tcMar>
              <w:left w:w="58" w:type="dxa"/>
              <w:right w:w="58" w:type="dxa"/>
            </w:tcMar>
            <w:vAlign w:val="center"/>
          </w:tcPr>
          <w:p w14:paraId="17C6B0DB" w14:textId="77777777" w:rsidR="002B368F" w:rsidRPr="002B368F" w:rsidRDefault="002B368F" w:rsidP="002B368F">
            <w:pPr>
              <w:widowControl w:val="0"/>
              <w:spacing w:after="0" w:line="240" w:lineRule="auto"/>
              <w:jc w:val="center"/>
              <w:rPr>
                <w:rFonts w:cs="Times New Roman"/>
                <w:b/>
                <w:bCs/>
                <w:sz w:val="22"/>
              </w:rPr>
            </w:pPr>
            <w:r w:rsidRPr="002B368F">
              <w:rPr>
                <w:rFonts w:cs="Times New Roman"/>
                <w:bCs/>
                <w:sz w:val="22"/>
                <w:lang w:val="en-IN"/>
              </w:rPr>
              <w:t>15.8</w:t>
            </w:r>
          </w:p>
        </w:tc>
        <w:tc>
          <w:tcPr>
            <w:tcW w:w="2683" w:type="dxa"/>
            <w:tcBorders>
              <w:top w:val="single" w:sz="4" w:space="0" w:color="auto"/>
              <w:bottom w:val="single" w:sz="4" w:space="0" w:color="auto"/>
            </w:tcBorders>
            <w:tcMar>
              <w:left w:w="58" w:type="dxa"/>
              <w:right w:w="58" w:type="dxa"/>
            </w:tcMar>
            <w:vAlign w:val="center"/>
          </w:tcPr>
          <w:p w14:paraId="3C7B6D3E" w14:textId="77777777" w:rsidR="002B368F" w:rsidRPr="002B368F" w:rsidRDefault="002B368F" w:rsidP="002B368F">
            <w:pPr>
              <w:widowControl w:val="0"/>
              <w:spacing w:after="0" w:line="240" w:lineRule="auto"/>
              <w:jc w:val="left"/>
              <w:rPr>
                <w:rFonts w:cs="Times New Roman"/>
                <w:b/>
                <w:bCs/>
                <w:sz w:val="22"/>
                <w:lang w:val="en-IN"/>
              </w:rPr>
            </w:pPr>
            <w:r w:rsidRPr="002B368F">
              <w:rPr>
                <w:rFonts w:cs="Times New Roman"/>
                <w:bCs/>
                <w:sz w:val="22"/>
                <w:lang w:val="en-IN"/>
              </w:rPr>
              <w:t>US frequency = 350 kHz</w:t>
            </w:r>
          </w:p>
        </w:tc>
        <w:tc>
          <w:tcPr>
            <w:tcW w:w="697" w:type="dxa"/>
            <w:tcBorders>
              <w:top w:val="single" w:sz="4" w:space="0" w:color="auto"/>
              <w:bottom w:val="single" w:sz="4" w:space="0" w:color="auto"/>
            </w:tcBorders>
            <w:tcMar>
              <w:left w:w="58" w:type="dxa"/>
              <w:right w:w="58" w:type="dxa"/>
            </w:tcMar>
            <w:vAlign w:val="center"/>
          </w:tcPr>
          <w:p w14:paraId="661AB964"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Cs/>
                <w:sz w:val="22"/>
                <w:lang w:val="en-IN"/>
              </w:rPr>
              <w:t>275</w:t>
            </w:r>
          </w:p>
        </w:tc>
        <w:tc>
          <w:tcPr>
            <w:tcW w:w="1463" w:type="dxa"/>
            <w:tcBorders>
              <w:top w:val="single" w:sz="4" w:space="0" w:color="auto"/>
              <w:bottom w:val="single" w:sz="4" w:space="0" w:color="auto"/>
            </w:tcBorders>
            <w:tcMar>
              <w:left w:w="58" w:type="dxa"/>
              <w:right w:w="58" w:type="dxa"/>
            </w:tcMar>
            <w:vAlign w:val="center"/>
          </w:tcPr>
          <w:p w14:paraId="2A471150"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Cs/>
                <w:sz w:val="22"/>
                <w:lang w:val="en-IN"/>
              </w:rPr>
              <w:t>50</w:t>
            </w:r>
          </w:p>
        </w:tc>
        <w:tc>
          <w:tcPr>
            <w:tcW w:w="3060" w:type="dxa"/>
            <w:tcBorders>
              <w:top w:val="single" w:sz="4" w:space="0" w:color="auto"/>
              <w:bottom w:val="single" w:sz="4" w:space="0" w:color="auto"/>
            </w:tcBorders>
            <w:tcMar>
              <w:left w:w="58" w:type="dxa"/>
              <w:right w:w="58" w:type="dxa"/>
            </w:tcMar>
            <w:vAlign w:val="center"/>
          </w:tcPr>
          <w:p w14:paraId="036FF7B1" w14:textId="77777777" w:rsidR="002B368F" w:rsidRPr="002B368F" w:rsidRDefault="002B368F" w:rsidP="002B368F">
            <w:pPr>
              <w:widowControl w:val="0"/>
              <w:spacing w:after="0" w:line="240" w:lineRule="auto"/>
              <w:jc w:val="center"/>
              <w:rPr>
                <w:rFonts w:cs="Times New Roman"/>
                <w:b/>
                <w:bCs/>
                <w:sz w:val="22"/>
                <w:lang w:val="en-IN"/>
              </w:rPr>
            </w:pPr>
            <w:r w:rsidRPr="002B368F">
              <w:rPr>
                <w:rFonts w:cs="Times New Roman"/>
                <w:bCs/>
                <w:sz w:val="22"/>
                <w:lang w:val="en-IN"/>
              </w:rPr>
              <w:fldChar w:fldCharType="begin" w:fldLock="1"/>
            </w:r>
            <w:r w:rsidRPr="002B368F">
              <w:rPr>
                <w:rFonts w:cs="Times New Roman"/>
                <w:bCs/>
                <w:sz w:val="22"/>
                <w:lang w:val="en-IN"/>
              </w:rPr>
              <w:instrText>ADDIN CSL_CITATION {"citationItems":[{"id":"ITEM-1","itemData":{"DOI":"10.1016/j.chemosphere.2020.126485","ISSN":"00456535","PMID":"32222516","abstract":"Degradation of benzenesulfonic acid (BSA), the simplest aromatic sulfonic acid with extreme industrial importantance, by sonochemically generated hydroxyl radical ([rad]OH) have been thoroughly investigated. A reasonable reduction (</w:instrText>
            </w:r>
            <w:r w:rsidRPr="002B368F">
              <w:rPr>
                <w:rFonts w:ascii="Cambria Math" w:hAnsi="Cambria Math" w:cs="Cambria Math"/>
                <w:bCs/>
                <w:sz w:val="22"/>
                <w:lang w:val="en-IN"/>
              </w:rPr>
              <w:instrText>∼</w:instrText>
            </w:r>
            <w:r w:rsidRPr="002B368F">
              <w:rPr>
                <w:rFonts w:cs="Times New Roman"/>
                <w:bCs/>
                <w:sz w:val="22"/>
                <w:lang w:val="en-IN"/>
              </w:rPr>
              <w:instrText>50%) in the total organic carbon (TOC) was achieved only after prolonged irradiation (</w:instrText>
            </w:r>
            <w:r w:rsidRPr="002B368F">
              <w:rPr>
                <w:rFonts w:ascii="Cambria Math" w:hAnsi="Cambria Math" w:cs="Cambria Math"/>
                <w:bCs/>
                <w:sz w:val="22"/>
                <w:lang w:val="en-IN"/>
              </w:rPr>
              <w:instrText>∼</w:instrText>
            </w:r>
            <w:r w:rsidRPr="002B368F">
              <w:rPr>
                <w:rFonts w:cs="Times New Roman"/>
                <w:bCs/>
                <w:sz w:val="22"/>
                <w:lang w:val="en-IN"/>
              </w:rPr>
              <w:instrText>275 min, 350 kHz) of ultrasound, although a short irradiation of less than an hour is enough to degrade significant amount of BSA. The degradation efficiency of ultrasound has been reduced in lower and extremely higher frequencies, and upon increasing the pH. An irregular, but continuous, release of sulfate ions was also observed. Further, the release of protons upon the oxidation of BSA consistently reduces the experimental pH to nearly 2. High resolution mass spectrometric (HRMS) analyses reveals the formation of a number of aromatic intermediates, including three mono (Ia-c) and two di (IIa&amp;b) hydroxylated BSA derivatives as the key products in the initial stages of the reaction. Pulse radiolysis studies revealed the generation of hydroxycyclohexadienyl–type radicals, characterized by absorption bands at 320 nm (k2 = (7.16 ± 0.04) × 109 M−1 s−1) and 380 nm, as the immediate intermediates of the reaction. The mechanism(s) leading to the degradation of BSA under sonolytic irradiation conditions along with the effect of various factors, such as the ultrasound frequency and reaction pH, have been explained in detail. The valuable mechanistic aspects obtained from our pulse radiolysis and HRMS studies are essential for the proper implementation of sonochemical techniques into real water purification process and, thus, receives extreme environmental relevance.","author":[{"dropping-particle":"","family":"Thomas","given":"Shoniya","non-dropping-particle":"","parse-names":false,"suffix":""},{"dropping-particle":"","family":"Rayaroth","given":"Manoj P.","non-dropping-particle":"","parse-names":false,"suffix":""},{"dropping-particle":"","family":"Menacherry","given":"Sunil Paul M.","non-dropping-particle":"","parse-names":false,"suffix":""},{"dropping-particle":"","family":"Aravind","given":"Usha K.","non-dropping-particle":"","parse-names":false,"suffix":""},{"dropping-particle":"","family":"Aravindakumar","given":"Charuvila T.","non-dropping-particle":"","parse-names":false,"suffix":""}],"container-title":"Chemosphere","id":"ITEM-1","issued":{"date-parts":[["2020","8"]]},"page":"126485","title":"Sonochemical degradation of benzenesulfonic acid in aqueous medium","type":"article-journal","volume":"252"},"uris":["http://www.mendeley.com/documents/?uuid=72fc3e7f-e434-4861-88a0-7f9294a9bb27","http://www.mendeley.com/documents/?uuid=b2f77ebe-352b-48b9-bb82-aa185643f0db"]}],"mendeley":{"formattedCitation":"(Thomas et al., 2020)","plainTextFormattedCitation":"(Thomas et al., 2020)","previouslyFormattedCitation":"(Thomas et al., 2020)"},"properties":{"noteIndex":0},"schema":"https://github.com/citation-style-language/schema/raw/master/csl-citation.json"}</w:instrText>
            </w:r>
            <w:r w:rsidRPr="002B368F">
              <w:rPr>
                <w:rFonts w:cs="Times New Roman"/>
                <w:bCs/>
                <w:sz w:val="22"/>
                <w:lang w:val="en-IN"/>
              </w:rPr>
              <w:fldChar w:fldCharType="separate"/>
            </w:r>
            <w:r w:rsidRPr="002B368F">
              <w:rPr>
                <w:rFonts w:cs="Times New Roman"/>
                <w:bCs/>
                <w:noProof/>
                <w:sz w:val="22"/>
                <w:lang w:val="en-IN"/>
              </w:rPr>
              <w:t>(Thomas et al., 2020)</w:t>
            </w:r>
            <w:r w:rsidRPr="002B368F">
              <w:rPr>
                <w:rFonts w:cs="Times New Roman"/>
                <w:bCs/>
                <w:sz w:val="22"/>
                <w:lang w:val="en-IN"/>
              </w:rPr>
              <w:fldChar w:fldCharType="end"/>
            </w:r>
          </w:p>
        </w:tc>
      </w:tr>
      <w:tr w:rsidR="002B368F" w:rsidRPr="002B368F" w14:paraId="26F67774"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tcPr>
          <w:p w14:paraId="712CBC10"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US/H</w:t>
            </w:r>
            <w:r w:rsidRPr="002B368F">
              <w:rPr>
                <w:rFonts w:cs="Times New Roman"/>
                <w:bCs/>
                <w:sz w:val="22"/>
                <w:vertAlign w:val="subscript"/>
                <w:lang w:val="en-IN"/>
              </w:rPr>
              <w:t>2</w:t>
            </w:r>
            <w:r w:rsidRPr="002B368F">
              <w:rPr>
                <w:rFonts w:cs="Times New Roman"/>
                <w:bCs/>
                <w:sz w:val="22"/>
                <w:lang w:val="en-IN"/>
              </w:rPr>
              <w:t>O</w:t>
            </w:r>
            <w:r w:rsidRPr="002B368F">
              <w:rPr>
                <w:rFonts w:cs="Times New Roman"/>
                <w:bCs/>
                <w:sz w:val="22"/>
                <w:vertAlign w:val="subscript"/>
                <w:lang w:val="en-IN"/>
              </w:rPr>
              <w:t>2</w:t>
            </w:r>
          </w:p>
        </w:tc>
        <w:tc>
          <w:tcPr>
            <w:tcW w:w="2003" w:type="dxa"/>
            <w:tcBorders>
              <w:top w:val="single" w:sz="4" w:space="0" w:color="auto"/>
              <w:bottom w:val="single" w:sz="4" w:space="0" w:color="auto"/>
            </w:tcBorders>
            <w:tcMar>
              <w:left w:w="58" w:type="dxa"/>
              <w:right w:w="58" w:type="dxa"/>
            </w:tcMar>
            <w:vAlign w:val="center"/>
          </w:tcPr>
          <w:p w14:paraId="5C37B636" w14:textId="77777777" w:rsidR="002B368F" w:rsidRPr="002B368F" w:rsidRDefault="002B368F" w:rsidP="002B368F">
            <w:pPr>
              <w:widowControl w:val="0"/>
              <w:spacing w:after="0" w:line="240" w:lineRule="auto"/>
              <w:jc w:val="center"/>
              <w:rPr>
                <w:rFonts w:cs="Times New Roman"/>
                <w:bCs/>
                <w:sz w:val="22"/>
                <w:lang w:val="en-IN"/>
              </w:rPr>
            </w:pPr>
            <w:proofErr w:type="spellStart"/>
            <w:r w:rsidRPr="002B368F">
              <w:rPr>
                <w:rFonts w:cs="Times New Roman"/>
                <w:color w:val="000000"/>
                <w:sz w:val="22"/>
              </w:rPr>
              <w:t>Hexabromocyclo</w:t>
            </w:r>
            <w:proofErr w:type="spellEnd"/>
            <w:r w:rsidRPr="002B368F">
              <w:rPr>
                <w:rFonts w:cs="Times New Roman"/>
                <w:color w:val="000000"/>
                <w:sz w:val="22"/>
              </w:rPr>
              <w:t>-dodecane</w:t>
            </w:r>
          </w:p>
        </w:tc>
        <w:tc>
          <w:tcPr>
            <w:tcW w:w="1050" w:type="dxa"/>
            <w:tcBorders>
              <w:top w:val="single" w:sz="4" w:space="0" w:color="auto"/>
              <w:bottom w:val="single" w:sz="4" w:space="0" w:color="auto"/>
            </w:tcBorders>
            <w:tcMar>
              <w:left w:w="58" w:type="dxa"/>
              <w:right w:w="58" w:type="dxa"/>
            </w:tcMar>
            <w:vAlign w:val="center"/>
          </w:tcPr>
          <w:p w14:paraId="60560DF5"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12.8</w:t>
            </w:r>
          </w:p>
        </w:tc>
        <w:tc>
          <w:tcPr>
            <w:tcW w:w="2683" w:type="dxa"/>
            <w:tcBorders>
              <w:top w:val="single" w:sz="4" w:space="0" w:color="auto"/>
              <w:bottom w:val="single" w:sz="4" w:space="0" w:color="auto"/>
            </w:tcBorders>
            <w:tcMar>
              <w:left w:w="58" w:type="dxa"/>
              <w:right w:w="58" w:type="dxa"/>
            </w:tcMar>
            <w:vAlign w:val="center"/>
          </w:tcPr>
          <w:p w14:paraId="60624FC3"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 xml:space="preserve">US frequency = 20 kHz </w:t>
            </w:r>
          </w:p>
          <w:p w14:paraId="369ACAED" w14:textId="3CAE6DCA"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H</w:t>
            </w:r>
            <w:r w:rsidRPr="002B368F">
              <w:rPr>
                <w:rFonts w:cs="Times New Roman"/>
                <w:bCs/>
                <w:sz w:val="22"/>
                <w:vertAlign w:val="subscript"/>
                <w:lang w:val="en-IN"/>
              </w:rPr>
              <w:t>2</w:t>
            </w:r>
            <w:r w:rsidRPr="002B368F">
              <w:rPr>
                <w:rFonts w:cs="Times New Roman"/>
                <w:bCs/>
                <w:sz w:val="22"/>
                <w:lang w:val="en-IN"/>
              </w:rPr>
              <w:t>O</w:t>
            </w:r>
            <w:r w:rsidRPr="002B368F">
              <w:rPr>
                <w:rFonts w:cs="Times New Roman"/>
                <w:bCs/>
                <w:sz w:val="22"/>
                <w:vertAlign w:val="subscript"/>
                <w:lang w:val="en-IN"/>
              </w:rPr>
              <w:t>2</w:t>
            </w:r>
            <w:r w:rsidRPr="002B368F">
              <w:rPr>
                <w:rFonts w:cs="Times New Roman"/>
                <w:bCs/>
                <w:sz w:val="22"/>
                <w:lang w:val="en-IN"/>
              </w:rPr>
              <w:t xml:space="preserve"> = 20 mg L</w:t>
            </w:r>
            <w:r w:rsidR="00AA0DD6">
              <w:rPr>
                <w:rFonts w:cs="Times New Roman"/>
                <w:bCs/>
                <w:color w:val="000000" w:themeColor="text1"/>
                <w:szCs w:val="24"/>
                <w:vertAlign w:val="superscript"/>
                <w:lang w:val="en-IN"/>
              </w:rPr>
              <w:t>‒</w:t>
            </w:r>
            <w:r w:rsidRPr="002B368F">
              <w:rPr>
                <w:rFonts w:cs="Times New Roman"/>
                <w:bCs/>
                <w:sz w:val="22"/>
                <w:vertAlign w:val="superscript"/>
                <w:lang w:val="en-IN"/>
              </w:rPr>
              <w:t>1</w:t>
            </w:r>
          </w:p>
        </w:tc>
        <w:tc>
          <w:tcPr>
            <w:tcW w:w="697" w:type="dxa"/>
            <w:tcBorders>
              <w:top w:val="single" w:sz="4" w:space="0" w:color="auto"/>
              <w:bottom w:val="single" w:sz="4" w:space="0" w:color="auto"/>
            </w:tcBorders>
            <w:tcMar>
              <w:left w:w="58" w:type="dxa"/>
              <w:right w:w="58" w:type="dxa"/>
            </w:tcMar>
            <w:vAlign w:val="center"/>
          </w:tcPr>
          <w:p w14:paraId="6B67ACD4"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40</w:t>
            </w:r>
          </w:p>
        </w:tc>
        <w:tc>
          <w:tcPr>
            <w:tcW w:w="1463" w:type="dxa"/>
            <w:tcBorders>
              <w:top w:val="single" w:sz="4" w:space="0" w:color="auto"/>
              <w:bottom w:val="single" w:sz="4" w:space="0" w:color="auto"/>
            </w:tcBorders>
            <w:tcMar>
              <w:left w:w="58" w:type="dxa"/>
              <w:right w:w="58" w:type="dxa"/>
            </w:tcMar>
            <w:vAlign w:val="center"/>
          </w:tcPr>
          <w:p w14:paraId="035E2CD7"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~100</w:t>
            </w:r>
          </w:p>
        </w:tc>
        <w:tc>
          <w:tcPr>
            <w:tcW w:w="3060" w:type="dxa"/>
            <w:tcBorders>
              <w:top w:val="single" w:sz="4" w:space="0" w:color="auto"/>
              <w:bottom w:val="single" w:sz="4" w:space="0" w:color="auto"/>
            </w:tcBorders>
            <w:tcMar>
              <w:left w:w="58" w:type="dxa"/>
              <w:right w:w="58" w:type="dxa"/>
            </w:tcMar>
            <w:vAlign w:val="center"/>
          </w:tcPr>
          <w:p w14:paraId="4EEAF644"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color w:val="000000"/>
                <w:sz w:val="22"/>
                <w:lang w:val="en-IN"/>
              </w:rPr>
              <w:fldChar w:fldCharType="begin" w:fldLock="1"/>
            </w:r>
            <w:r w:rsidRPr="002B368F">
              <w:rPr>
                <w:rFonts w:cs="Times New Roman"/>
                <w:bCs/>
                <w:color w:val="000000"/>
                <w:sz w:val="22"/>
                <w:lang w:val="en-IN"/>
              </w:rPr>
              <w:instrText>ADDIN CSL_CITATION {"citationItems":[{"id":"ITEM-1","itemData":{"DOI":"10.1016/j.eti.2020.100605","ISSN":"23521864","abstract":"In search of a sustainable water treatment process, this work evaluated the effectiveness of an ultrasound-based advanced oxidation process in the elimination of Hexabromocyclododecane (HBCD), a brominated flame retardant known for its toxic effects. Treatments were conducted using a probe-type sonicator of 20 kHz frequency, and the role of reaction parameters was studied subsequently. Under optimum reaction parameters of HBCD initial concentration (200 μM), ultrasound power level (375 W), H2O2 addition (20 ppm), solution temperature (30 °C), as well as pH (3), the highest possible pseudo-first-order degradation rate of k: 0.118 min−1, was obtained. The high-performance liquid chromatography analysis revealed the complete disappearance of HBCD within just 40 min of treatment. HBCD degraded products were detected via gas chromatography-mass spectroscopy analysis, whereas the extent of mineralization was examined by total organic carbon (TOC) analysis, which demonstrated high mineralization efficiency (72% TOC reduction). Moreover, Daphnia Magna bioassay was performed to evaluate the ecotoxicity of HBCD and its degraded products. The outcomes of this study indicated the degradation mechanism of HBCD to be dependent on thermal decomposition at the bubble interfacial region as the dominant pathway along with free radical attack as the successive steps of transformation. Overall, the study has demonstrated the effectiveness of ultrasound-based treatment in the complete elimination of recalcitrant organic pollutants.","author":[{"dropping-particle":"","family":"Panda","given":"Debabrata","non-dropping-particle":"","parse-names":false,"suffix":""},{"dropping-particle":"","family":"Sethu","given":"Vasanthi","non-dropping-particle":"","parse-names":false,"suffix":""},{"dropping-particle":"","family":"Manickam","given":"Sivakumar","non-dropping-particle":"","parse-names":false,"suffix":""}],"container-title":"Environmental Technology &amp; Innovation","id":"ITEM-1","issued":{"date-parts":[["2020","2"]]},"page":"100605","title":"Removal of hexabromocyclododecane using ultrasound-based advanced oxidation process: Kinetics, pathways and influencing factors","type":"article-journal","volume":"17"},"uris":["http://www.mendeley.com/documents/?uuid=32a51715-41cf-4882-8cc3-63016374a4e8"]}],"mendeley":{"formattedCitation":"(Panda et al., 2020)","plainTextFormattedCitation":"(Panda et al., 2020)","previouslyFormattedCitation":"(Panda et al., 2020)"},"properties":{"noteIndex":0},"schema":"https://github.com/citation-style-language/schema/raw/master/csl-citation.json"}</w:instrText>
            </w:r>
            <w:r w:rsidRPr="002B368F">
              <w:rPr>
                <w:rFonts w:cs="Times New Roman"/>
                <w:bCs/>
                <w:color w:val="000000"/>
                <w:sz w:val="22"/>
                <w:lang w:val="en-IN"/>
              </w:rPr>
              <w:fldChar w:fldCharType="separate"/>
            </w:r>
            <w:r w:rsidRPr="002B368F">
              <w:rPr>
                <w:rFonts w:cs="Times New Roman"/>
                <w:bCs/>
                <w:noProof/>
                <w:color w:val="000000"/>
                <w:sz w:val="22"/>
                <w:lang w:val="en-IN"/>
              </w:rPr>
              <w:t>(Panda et al., 2020)</w:t>
            </w:r>
            <w:r w:rsidRPr="002B368F">
              <w:rPr>
                <w:rFonts w:cs="Times New Roman"/>
                <w:bCs/>
                <w:color w:val="000000"/>
                <w:sz w:val="22"/>
                <w:lang w:val="en-IN"/>
              </w:rPr>
              <w:fldChar w:fldCharType="end"/>
            </w:r>
            <w:r w:rsidRPr="002B368F">
              <w:rPr>
                <w:rFonts w:cs="Times New Roman"/>
                <w:bCs/>
                <w:color w:val="000000"/>
                <w:sz w:val="22"/>
              </w:rPr>
              <w:t>.</w:t>
            </w:r>
          </w:p>
        </w:tc>
      </w:tr>
      <w:tr w:rsidR="002B368F" w:rsidRPr="002B368F" w14:paraId="13AB96E9"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hideMark/>
          </w:tcPr>
          <w:p w14:paraId="5851746E" w14:textId="77777777" w:rsidR="002B368F" w:rsidRPr="002B368F" w:rsidRDefault="002B368F" w:rsidP="002B368F">
            <w:pPr>
              <w:widowControl w:val="0"/>
              <w:spacing w:after="0" w:line="240" w:lineRule="auto"/>
              <w:jc w:val="center"/>
              <w:rPr>
                <w:rFonts w:cs="Times New Roman"/>
                <w:bCs/>
                <w:sz w:val="22"/>
                <w:lang w:val="en-IN"/>
              </w:rPr>
            </w:pPr>
            <w:bookmarkStart w:id="13" w:name="_Hlk48253113"/>
            <w:r w:rsidRPr="002B368F">
              <w:rPr>
                <w:rFonts w:cs="Times New Roman"/>
                <w:bCs/>
                <w:sz w:val="22"/>
                <w:lang w:val="en-IN"/>
              </w:rPr>
              <w:t>US/UV/N/Ti</w:t>
            </w:r>
            <w:r w:rsidRPr="002B368F">
              <w:rPr>
                <w:rFonts w:cs="Times New Roman"/>
                <w:bCs/>
                <w:sz w:val="22"/>
                <w:vertAlign w:val="superscript"/>
                <w:lang w:val="en-IN"/>
              </w:rPr>
              <w:t>3+</w:t>
            </w:r>
            <w:r w:rsidRPr="002B368F">
              <w:rPr>
                <w:rFonts w:cs="Times New Roman"/>
                <w:bCs/>
                <w:sz w:val="22"/>
                <w:lang w:val="en-IN"/>
              </w:rPr>
              <w:t> co-doping biphasic TiO</w:t>
            </w:r>
            <w:r w:rsidRPr="002B368F">
              <w:rPr>
                <w:rFonts w:cs="Times New Roman"/>
                <w:bCs/>
                <w:sz w:val="22"/>
                <w:vertAlign w:val="subscript"/>
                <w:lang w:val="en-IN"/>
              </w:rPr>
              <w:t>2</w:t>
            </w:r>
            <w:r w:rsidRPr="002B368F">
              <w:rPr>
                <w:rFonts w:cs="Times New Roman"/>
                <w:bCs/>
                <w:sz w:val="22"/>
                <w:lang w:val="en-IN"/>
              </w:rPr>
              <w:t>/Bi</w:t>
            </w:r>
            <w:r w:rsidRPr="002B368F">
              <w:rPr>
                <w:rFonts w:cs="Times New Roman"/>
                <w:bCs/>
                <w:sz w:val="22"/>
                <w:vertAlign w:val="subscript"/>
                <w:lang w:val="en-IN"/>
              </w:rPr>
              <w:t>2</w:t>
            </w:r>
            <w:r w:rsidRPr="002B368F">
              <w:rPr>
                <w:rFonts w:cs="Times New Roman"/>
                <w:bCs/>
                <w:sz w:val="22"/>
                <w:lang w:val="en-IN"/>
              </w:rPr>
              <w:t>WO</w:t>
            </w:r>
            <w:r w:rsidRPr="002B368F">
              <w:rPr>
                <w:rFonts w:cs="Times New Roman"/>
                <w:bCs/>
                <w:sz w:val="22"/>
                <w:vertAlign w:val="subscript"/>
                <w:lang w:val="en-IN"/>
              </w:rPr>
              <w:t>6</w:t>
            </w:r>
          </w:p>
        </w:tc>
        <w:tc>
          <w:tcPr>
            <w:tcW w:w="2003" w:type="dxa"/>
            <w:tcBorders>
              <w:top w:val="single" w:sz="4" w:space="0" w:color="auto"/>
              <w:bottom w:val="single" w:sz="4" w:space="0" w:color="auto"/>
            </w:tcBorders>
            <w:tcMar>
              <w:left w:w="58" w:type="dxa"/>
              <w:right w:w="58" w:type="dxa"/>
            </w:tcMar>
            <w:vAlign w:val="center"/>
            <w:hideMark/>
          </w:tcPr>
          <w:p w14:paraId="47EC9141"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Methylene blue</w:t>
            </w:r>
          </w:p>
        </w:tc>
        <w:tc>
          <w:tcPr>
            <w:tcW w:w="1050" w:type="dxa"/>
            <w:tcBorders>
              <w:top w:val="single" w:sz="4" w:space="0" w:color="auto"/>
              <w:bottom w:val="single" w:sz="4" w:space="0" w:color="auto"/>
            </w:tcBorders>
            <w:tcMar>
              <w:left w:w="58" w:type="dxa"/>
              <w:right w:w="58" w:type="dxa"/>
            </w:tcMar>
            <w:vAlign w:val="center"/>
            <w:hideMark/>
          </w:tcPr>
          <w:p w14:paraId="598D36AA"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5</w:t>
            </w:r>
          </w:p>
        </w:tc>
        <w:tc>
          <w:tcPr>
            <w:tcW w:w="2683" w:type="dxa"/>
            <w:tcBorders>
              <w:top w:val="single" w:sz="4" w:space="0" w:color="auto"/>
              <w:bottom w:val="single" w:sz="4" w:space="0" w:color="auto"/>
            </w:tcBorders>
            <w:tcMar>
              <w:left w:w="58" w:type="dxa"/>
              <w:right w:w="58" w:type="dxa"/>
            </w:tcMar>
            <w:vAlign w:val="center"/>
            <w:hideMark/>
          </w:tcPr>
          <w:p w14:paraId="1976FF9C"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US frequency = 35 kHz</w:t>
            </w:r>
          </w:p>
          <w:p w14:paraId="0538D413" w14:textId="0AB6B47B"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 xml:space="preserve">UV fluence = 300 </w:t>
            </w:r>
            <w:proofErr w:type="spellStart"/>
            <w:r w:rsidRPr="002B368F">
              <w:rPr>
                <w:rFonts w:cs="Times New Roman"/>
                <w:color w:val="000000"/>
                <w:sz w:val="22"/>
              </w:rPr>
              <w:t>mJ</w:t>
            </w:r>
            <w:proofErr w:type="spellEnd"/>
            <w:r w:rsidRPr="002B368F">
              <w:rPr>
                <w:rFonts w:cs="Times New Roman"/>
                <w:color w:val="000000"/>
                <w:sz w:val="22"/>
              </w:rPr>
              <w:t xml:space="preserve"> cm</w:t>
            </w:r>
            <w:r w:rsidR="00AA0DD6">
              <w:rPr>
                <w:rFonts w:cs="Times New Roman"/>
                <w:bCs/>
                <w:color w:val="000000" w:themeColor="text1"/>
                <w:szCs w:val="24"/>
                <w:vertAlign w:val="superscript"/>
                <w:lang w:val="en-IN"/>
              </w:rPr>
              <w:t>‒</w:t>
            </w:r>
            <w:r w:rsidRPr="002B368F">
              <w:rPr>
                <w:rFonts w:cs="Times New Roman"/>
                <w:color w:val="000000"/>
                <w:sz w:val="22"/>
                <w:vertAlign w:val="superscript"/>
              </w:rPr>
              <w:t>2</w:t>
            </w:r>
          </w:p>
          <w:p w14:paraId="702C8C8E" w14:textId="1E367AD9"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Catalyst = 500 mg L</w:t>
            </w:r>
            <w:r w:rsidR="00AA0DD6">
              <w:rPr>
                <w:rFonts w:cs="Times New Roman"/>
                <w:bCs/>
                <w:color w:val="000000" w:themeColor="text1"/>
                <w:szCs w:val="24"/>
                <w:vertAlign w:val="superscript"/>
                <w:lang w:val="en-IN"/>
              </w:rPr>
              <w:t>‒</w:t>
            </w:r>
            <w:r w:rsidRPr="002B368F">
              <w:rPr>
                <w:rFonts w:cs="Times New Roman"/>
                <w:bCs/>
                <w:sz w:val="22"/>
                <w:vertAlign w:val="superscript"/>
                <w:lang w:val="en-IN"/>
              </w:rPr>
              <w:t>1</w:t>
            </w:r>
          </w:p>
        </w:tc>
        <w:tc>
          <w:tcPr>
            <w:tcW w:w="697" w:type="dxa"/>
            <w:tcBorders>
              <w:top w:val="single" w:sz="4" w:space="0" w:color="auto"/>
              <w:bottom w:val="single" w:sz="4" w:space="0" w:color="auto"/>
            </w:tcBorders>
            <w:tcMar>
              <w:left w:w="58" w:type="dxa"/>
              <w:right w:w="58" w:type="dxa"/>
            </w:tcMar>
            <w:vAlign w:val="center"/>
            <w:hideMark/>
          </w:tcPr>
          <w:p w14:paraId="78191181"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50</w:t>
            </w:r>
          </w:p>
        </w:tc>
        <w:tc>
          <w:tcPr>
            <w:tcW w:w="1463" w:type="dxa"/>
            <w:tcBorders>
              <w:top w:val="single" w:sz="4" w:space="0" w:color="auto"/>
              <w:bottom w:val="single" w:sz="4" w:space="0" w:color="auto"/>
            </w:tcBorders>
            <w:tcMar>
              <w:left w:w="58" w:type="dxa"/>
              <w:right w:w="58" w:type="dxa"/>
            </w:tcMar>
            <w:vAlign w:val="center"/>
            <w:hideMark/>
          </w:tcPr>
          <w:p w14:paraId="74C16DAF"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98</w:t>
            </w:r>
          </w:p>
        </w:tc>
        <w:tc>
          <w:tcPr>
            <w:tcW w:w="3060" w:type="dxa"/>
            <w:tcBorders>
              <w:top w:val="single" w:sz="4" w:space="0" w:color="auto"/>
              <w:bottom w:val="single" w:sz="4" w:space="0" w:color="auto"/>
            </w:tcBorders>
            <w:tcMar>
              <w:left w:w="58" w:type="dxa"/>
              <w:right w:w="58" w:type="dxa"/>
            </w:tcMar>
            <w:vAlign w:val="center"/>
            <w:hideMark/>
          </w:tcPr>
          <w:p w14:paraId="3B99BB1A" w14:textId="786BEAFC" w:rsidR="002B368F" w:rsidRPr="002B368F" w:rsidRDefault="002B368F" w:rsidP="002B368F">
            <w:pPr>
              <w:widowControl w:val="0"/>
              <w:spacing w:after="0" w:line="240" w:lineRule="auto"/>
              <w:jc w:val="center"/>
              <w:rPr>
                <w:rFonts w:cs="Times New Roman"/>
                <w:bCs/>
                <w:sz w:val="22"/>
                <w:lang w:val="en-IN"/>
              </w:rPr>
            </w:pPr>
            <w:r w:rsidRPr="002B368F">
              <w:rPr>
                <w:rFonts w:cs="Times New Roman"/>
                <w:sz w:val="22"/>
              </w:rPr>
              <w:fldChar w:fldCharType="begin" w:fldLock="1"/>
            </w:r>
            <w:r w:rsidR="00664E96">
              <w:rPr>
                <w:rFonts w:cs="Times New Roman"/>
                <w:bCs/>
                <w:sz w:val="22"/>
                <w:lang w:val="en-IN"/>
              </w:rPr>
              <w:instrText>ADDIN CSL_CITATION {"citationItems":[{"id":"ITEM-1","itemData":{"DOI":"10.1016/j.jallcom.2019.153172","ISSN":"09258388","abstract":"This study describes the one-step in situ hydrothermal construction of N/Ti3+ co-doping biphasic TiO2/Bi2WO6 heterojunctions (NT-TBWx) and investigates their sonophotocatalytic degradation of organic contaminants in water. The obtained samples are characterized in detail including X-ray photoelectron spectroscopy, X-ray diffraction, scanning electron microscopy, transmission electron microscopy, and Ultraviolet diffuse reflectance spectroscopy, etc. Their photocatalytic, sonocatalytic, and sonophotocatalytic performance are compared by the degradation of organic pollutants and found the degradation rate according to the order: photocatalysis &lt; sonocatalysis &lt; sonophotocatalysis. In addition, NT-TBWx samples present better sonophotocatalytic activity for the removal of methylene blue (MB), p-Nitrophenol, Rhodamine B, and levofloxacin compared with that of NT-TiO2 and pure TiO2. Especially, the highest sonophotocatalytic degradation rate is demonstrated for NT-TBW1. Additionally, the excellent stability of NT-TBWx samples is demonstrated by four cycles of sonophotocatalytic measurements with a tiny decline. Superoxide radical (·O2−) is found to dominate the sonophotocatalytic degradation process of MB. The synergic effect among the doping level, heterophase junction, and heterojunctions as well as between sonocatalysis and photocatalysis contribute to superior sonophotocatalytic activity. This work provides a new alternative architecture of TiO2-based nanomaterials and promotes their application in environmental issues.","author":[{"dropping-particle":"","family":"Sun","given":"Mingxuan","non-dropping-particle":"","parse-names":false,"suffix":""},{"dropping-particle":"","family":"Yao","given":"Yuan","non-dropping-particle":"","parse-names":false,"suffix":""},{"dropping-particle":"","family":"Ding","given":"Wen","non-dropping-particle":"","parse-names":false,"suffix":""},{"dropping-particle":"","family":"Anandan","given":"Sambandam","non-dropping-particle":"","parse-names":false,"suffix":""}],"container-title":"Journal of Alloys and Compounds","id":"ITEM-1","issued":{"date-parts":[["2020","4"]]},"page":"153172","title":"N/Ti3+ co-doping biphasic TiO2/Bi2WO6 heterojunctions: Hydrothermal fabrication and sonophotocatalytic degradation of organic pollutants","type":"article-journal","volume":"820"},"uris":["http://www.mendeley.com/documents/?uuid=58656d98-282a-4613-ac59-3bf6b8ac0a4e","http://www.mendeley.com/documents/?uuid=7a8a21be-5494-490b-8eb7-f20516e8cb97"]}],"mendeley":{"formattedCitation":"(Sun et al., 2020)","plainTextFormattedCitation":"(Sun et al., 2020)","previouslyFormattedCitation":"(Sun et al., 2020)"},"properties":{"noteIndex":0},"schema":"https://github.com/citation-style-language/schema/raw/master/csl-citation.json"}</w:instrText>
            </w:r>
            <w:r w:rsidRPr="002B368F">
              <w:rPr>
                <w:rFonts w:cs="Times New Roman"/>
                <w:sz w:val="22"/>
              </w:rPr>
              <w:fldChar w:fldCharType="separate"/>
            </w:r>
            <w:r w:rsidR="007C0B0C" w:rsidRPr="007C0B0C">
              <w:rPr>
                <w:rFonts w:cs="Times New Roman"/>
                <w:bCs/>
                <w:noProof/>
                <w:sz w:val="22"/>
                <w:lang w:val="en-IN"/>
              </w:rPr>
              <w:t>(Sun et al., 2020)</w:t>
            </w:r>
            <w:r w:rsidRPr="002B368F">
              <w:rPr>
                <w:rFonts w:cs="Times New Roman"/>
                <w:sz w:val="22"/>
              </w:rPr>
              <w:fldChar w:fldCharType="end"/>
            </w:r>
          </w:p>
        </w:tc>
        <w:bookmarkEnd w:id="13"/>
      </w:tr>
      <w:tr w:rsidR="002B368F" w:rsidRPr="002B368F" w14:paraId="55824699"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hideMark/>
          </w:tcPr>
          <w:p w14:paraId="38C9208B"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US/PS/ nanoscale zero-valent iron</w:t>
            </w:r>
          </w:p>
        </w:tc>
        <w:tc>
          <w:tcPr>
            <w:tcW w:w="2003" w:type="dxa"/>
            <w:tcBorders>
              <w:top w:val="single" w:sz="4" w:space="0" w:color="auto"/>
              <w:bottom w:val="single" w:sz="4" w:space="0" w:color="auto"/>
            </w:tcBorders>
            <w:tcMar>
              <w:left w:w="58" w:type="dxa"/>
              <w:right w:w="58" w:type="dxa"/>
            </w:tcMar>
            <w:vAlign w:val="center"/>
            <w:hideMark/>
          </w:tcPr>
          <w:p w14:paraId="16F23B4E"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Chloramphenicol</w:t>
            </w:r>
          </w:p>
        </w:tc>
        <w:tc>
          <w:tcPr>
            <w:tcW w:w="1050" w:type="dxa"/>
            <w:tcBorders>
              <w:top w:val="single" w:sz="4" w:space="0" w:color="auto"/>
              <w:bottom w:val="single" w:sz="4" w:space="0" w:color="auto"/>
            </w:tcBorders>
            <w:tcMar>
              <w:left w:w="58" w:type="dxa"/>
              <w:right w:w="58" w:type="dxa"/>
            </w:tcMar>
            <w:vAlign w:val="center"/>
            <w:hideMark/>
          </w:tcPr>
          <w:p w14:paraId="65D9EBC3"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5</w:t>
            </w:r>
          </w:p>
        </w:tc>
        <w:tc>
          <w:tcPr>
            <w:tcW w:w="2683" w:type="dxa"/>
            <w:tcBorders>
              <w:top w:val="single" w:sz="4" w:space="0" w:color="auto"/>
              <w:bottom w:val="single" w:sz="4" w:space="0" w:color="auto"/>
            </w:tcBorders>
            <w:tcMar>
              <w:left w:w="58" w:type="dxa"/>
              <w:right w:w="58" w:type="dxa"/>
            </w:tcMar>
            <w:vAlign w:val="center"/>
            <w:hideMark/>
          </w:tcPr>
          <w:p w14:paraId="74367C2A"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US frequency = 40 kHz</w:t>
            </w:r>
          </w:p>
          <w:p w14:paraId="69465FC6"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PS = 1 mM</w:t>
            </w:r>
          </w:p>
          <w:p w14:paraId="4BD52D55" w14:textId="2B139819"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Catalyst = 0.5 g L</w:t>
            </w:r>
            <w:r w:rsidR="00AA0DD6">
              <w:rPr>
                <w:rFonts w:cs="Times New Roman"/>
                <w:bCs/>
                <w:color w:val="000000" w:themeColor="text1"/>
                <w:szCs w:val="24"/>
                <w:vertAlign w:val="superscript"/>
                <w:lang w:val="en-IN"/>
              </w:rPr>
              <w:t>‒</w:t>
            </w:r>
            <w:r w:rsidRPr="002B368F">
              <w:rPr>
                <w:rFonts w:cs="Times New Roman"/>
                <w:bCs/>
                <w:sz w:val="22"/>
                <w:vertAlign w:val="superscript"/>
                <w:lang w:val="en-IN"/>
              </w:rPr>
              <w:t>1</w:t>
            </w:r>
          </w:p>
        </w:tc>
        <w:tc>
          <w:tcPr>
            <w:tcW w:w="697" w:type="dxa"/>
            <w:tcBorders>
              <w:top w:val="single" w:sz="4" w:space="0" w:color="auto"/>
              <w:bottom w:val="single" w:sz="4" w:space="0" w:color="auto"/>
            </w:tcBorders>
            <w:tcMar>
              <w:left w:w="58" w:type="dxa"/>
              <w:right w:w="58" w:type="dxa"/>
            </w:tcMar>
            <w:vAlign w:val="center"/>
            <w:hideMark/>
          </w:tcPr>
          <w:p w14:paraId="4C390020"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90</w:t>
            </w:r>
          </w:p>
        </w:tc>
        <w:tc>
          <w:tcPr>
            <w:tcW w:w="1463" w:type="dxa"/>
            <w:tcBorders>
              <w:top w:val="single" w:sz="4" w:space="0" w:color="auto"/>
              <w:bottom w:val="single" w:sz="4" w:space="0" w:color="auto"/>
            </w:tcBorders>
            <w:tcMar>
              <w:left w:w="58" w:type="dxa"/>
              <w:right w:w="58" w:type="dxa"/>
            </w:tcMar>
            <w:vAlign w:val="center"/>
            <w:hideMark/>
          </w:tcPr>
          <w:p w14:paraId="41C6BB32"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98.1</w:t>
            </w:r>
          </w:p>
        </w:tc>
        <w:bookmarkStart w:id="14" w:name="_Hlk48252946"/>
        <w:tc>
          <w:tcPr>
            <w:tcW w:w="3060" w:type="dxa"/>
            <w:tcBorders>
              <w:top w:val="single" w:sz="4" w:space="0" w:color="auto"/>
              <w:bottom w:val="single" w:sz="4" w:space="0" w:color="auto"/>
            </w:tcBorders>
            <w:tcMar>
              <w:left w:w="58" w:type="dxa"/>
              <w:right w:w="58" w:type="dxa"/>
            </w:tcMar>
            <w:vAlign w:val="center"/>
            <w:hideMark/>
          </w:tcPr>
          <w:p w14:paraId="00083267"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sz w:val="22"/>
              </w:rPr>
              <w:fldChar w:fldCharType="begin" w:fldLock="1"/>
            </w:r>
            <w:r w:rsidRPr="002B368F">
              <w:rPr>
                <w:rFonts w:cs="Times New Roman"/>
                <w:bCs/>
                <w:sz w:val="22"/>
                <w:lang w:val="en-IN"/>
              </w:rPr>
              <w:instrText>ADDIN CSL_CITATION {"citationItems":[{"id":"ITEM-1","itemData":{"DOI":"10.1016/j.seppur.2020.116575","ISSN":"13835866","abstract":"Ultrasonic (US) was used to activate persulfate (PS) in presence of nanoscale zero-valent iron (nZVI) to degrade chloramphenicol (CAP) in solution. Synergistic effects were observed of US and nZVI on PS activation (US-nZVI/PS) compared to US/PS, nZVI/PS, or US-nZVI alone, while replacement of nZVI with Fe(II) or Fe(III) ion was less efficient to degrade CAP. The US-nZVI/PS treatment exhibited a rapid and continuous oxidation of CAP in solution. Both OH and SO4− were considered to be primary reactive species responsible for CAP degradation, of which SO4− had a higher contribution than OH. Our results indicated that Fe2+ was continuously being recycled by reaction of nZVI and PS, accompanied by generation of SO4−. US accelerated the corrosion of nZVI and removed passive films on the nZVI surface. Under optimal conditions, 98.1% of CAP was degraded during 90 min. This was established in presence of 0.5 g/L nZVI and 1.0 mM PS, with an US intensity of 0.36 W/mL at 40 kHz and a pH of 7.0. When present, inorganic anions and natural organic matter partly inhibited CAP degradation, which was mainly attributed to their scavenging effects for SO4− and OH. The reusability of nZVI was examined in five consecutive cycles, showing a decrease in efficiency with each cycle. Seven major intermediate products were identified, and these indicated two degradation pathways. Finally, in-situ regeneration of CAP-saturated powdered activated carbon using US-nZVI/PS process was evaluated.","author":[{"dropping-particle":"","family":"Zhang","given":"Tingting","non-dropping-particle":"","parse-names":false,"suffix":""},{"dropping-particle":"","family":"Yang","given":"Yanling","non-dropping-particle":"","parse-names":false,"suffix":""},{"dropping-particle":"","family":"Gao","given":"Jingfeng","non-dropping-particle":"","parse-names":false,"suffix":""},{"dropping-particle":"","family":"Li","given":"Xing","non-dropping-particle":"","parse-names":false,"suffix":""},{"dropping-particle":"","family":"Yu","given":"Haikuan","non-dropping-particle":"","parse-names":false,"suffix":""},{"dropping-particle":"","family":"Wang","given":"Nan","non-dropping-particle":"","parse-names":false,"suffix":""},{"dropping-particle":"","family":"Du","given":"Peng","non-dropping-particle":"","parse-names":false,"suffix":""},{"dropping-particle":"","family":"Yu","given":"Rui","non-dropping-particle":"","parse-names":false,"suffix":""},{"dropping-particle":"","family":"Li","given":"Hang","non-dropping-particle":"","parse-names":false,"suffix":""},{"dropping-particle":"","family":"Fan","given":"Xiaoyan","non-dropping-particle":"","parse-names":false,"suffix":""},{"dropping-particle":"","family":"Zhou","given":"Zhiwei","non-dropping-particle":"","parse-names":false,"suffix":""}],"container-title":"Separation and Purification Technology","id":"ITEM-1","issued":{"date-parts":[["2020","6"]]},"page":"116575","title":"Synergistic degradation of chloramphenicol by ultrasound-enhanced nanoscale zero-valent iron/persulfate treatment","type":"article-journal","volume":"240"},"uris":["http://www.mendeley.com/documents/?uuid=1f969917-e294-4db0-a8e1-308f8773150d"]}],"mendeley":{"formattedCitation":"(Zhang et al., 2020)","plainTextFormattedCitation":"(Zhang et al., 2020)","previouslyFormattedCitation":"(Zhang et al., 2020)"},"properties":{"noteIndex":0},"schema":"https://github.com/citation-style-language/schema/raw/master/csl-citation.json"}</w:instrText>
            </w:r>
            <w:r w:rsidRPr="002B368F">
              <w:rPr>
                <w:rFonts w:cs="Times New Roman"/>
                <w:sz w:val="22"/>
              </w:rPr>
              <w:fldChar w:fldCharType="separate"/>
            </w:r>
            <w:r w:rsidRPr="002B368F">
              <w:rPr>
                <w:rFonts w:cs="Times New Roman"/>
                <w:bCs/>
                <w:noProof/>
                <w:sz w:val="22"/>
                <w:lang w:val="en-IN"/>
              </w:rPr>
              <w:t>(Zhang et al., 2020)</w:t>
            </w:r>
            <w:r w:rsidRPr="002B368F">
              <w:rPr>
                <w:rFonts w:cs="Times New Roman"/>
                <w:sz w:val="22"/>
              </w:rPr>
              <w:fldChar w:fldCharType="end"/>
            </w:r>
            <w:bookmarkEnd w:id="14"/>
          </w:p>
        </w:tc>
      </w:tr>
      <w:tr w:rsidR="002B368F" w:rsidRPr="002B368F" w14:paraId="081ECDE0"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hideMark/>
          </w:tcPr>
          <w:p w14:paraId="01DB49BB"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rPr>
              <w:t>US/UV/TiO</w:t>
            </w:r>
            <w:r w:rsidRPr="002B368F">
              <w:rPr>
                <w:rFonts w:cs="Times New Roman"/>
                <w:bCs/>
                <w:sz w:val="22"/>
                <w:vertAlign w:val="subscript"/>
              </w:rPr>
              <w:t>2</w:t>
            </w:r>
          </w:p>
        </w:tc>
        <w:tc>
          <w:tcPr>
            <w:tcW w:w="2003" w:type="dxa"/>
            <w:tcBorders>
              <w:top w:val="single" w:sz="4" w:space="0" w:color="auto"/>
              <w:bottom w:val="single" w:sz="4" w:space="0" w:color="auto"/>
            </w:tcBorders>
            <w:tcMar>
              <w:left w:w="58" w:type="dxa"/>
              <w:right w:w="58" w:type="dxa"/>
            </w:tcMar>
            <w:vAlign w:val="center"/>
            <w:hideMark/>
          </w:tcPr>
          <w:p w14:paraId="54A84C7F"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Diclofenac</w:t>
            </w:r>
          </w:p>
        </w:tc>
        <w:tc>
          <w:tcPr>
            <w:tcW w:w="1050" w:type="dxa"/>
            <w:tcBorders>
              <w:top w:val="single" w:sz="4" w:space="0" w:color="auto"/>
              <w:bottom w:val="single" w:sz="4" w:space="0" w:color="auto"/>
            </w:tcBorders>
            <w:tcMar>
              <w:left w:w="58" w:type="dxa"/>
              <w:right w:w="58" w:type="dxa"/>
            </w:tcMar>
            <w:vAlign w:val="center"/>
            <w:hideMark/>
          </w:tcPr>
          <w:p w14:paraId="578B7B81"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25</w:t>
            </w:r>
          </w:p>
        </w:tc>
        <w:tc>
          <w:tcPr>
            <w:tcW w:w="2683" w:type="dxa"/>
            <w:tcBorders>
              <w:top w:val="single" w:sz="4" w:space="0" w:color="auto"/>
              <w:bottom w:val="single" w:sz="4" w:space="0" w:color="auto"/>
            </w:tcBorders>
            <w:tcMar>
              <w:left w:w="58" w:type="dxa"/>
              <w:right w:w="58" w:type="dxa"/>
            </w:tcMar>
            <w:vAlign w:val="center"/>
            <w:hideMark/>
          </w:tcPr>
          <w:p w14:paraId="1D0DECC4"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US frequency = 20 kHz</w:t>
            </w:r>
          </w:p>
          <w:p w14:paraId="3A40DA12" w14:textId="29BEB294"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Catalyst = 0.1 g L</w:t>
            </w:r>
            <w:r w:rsidR="00AA0DD6">
              <w:rPr>
                <w:rFonts w:cs="Times New Roman"/>
                <w:bCs/>
                <w:color w:val="000000" w:themeColor="text1"/>
                <w:szCs w:val="24"/>
                <w:vertAlign w:val="superscript"/>
                <w:lang w:val="en-IN"/>
              </w:rPr>
              <w:t>‒</w:t>
            </w:r>
            <w:r w:rsidRPr="002B368F">
              <w:rPr>
                <w:rFonts w:cs="Times New Roman"/>
                <w:bCs/>
                <w:sz w:val="22"/>
                <w:vertAlign w:val="superscript"/>
                <w:lang w:val="en-IN"/>
              </w:rPr>
              <w:t>1</w:t>
            </w:r>
          </w:p>
          <w:p w14:paraId="64FAA739"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 xml:space="preserve">UV fluence = 16.8 </w:t>
            </w:r>
            <w:proofErr w:type="spellStart"/>
            <w:r w:rsidRPr="002B368F">
              <w:rPr>
                <w:rFonts w:cs="Times New Roman"/>
                <w:color w:val="000000"/>
                <w:sz w:val="22"/>
              </w:rPr>
              <w:t>mJ</w:t>
            </w:r>
            <w:proofErr w:type="spellEnd"/>
            <w:r w:rsidRPr="002B368F">
              <w:rPr>
                <w:rFonts w:cs="Times New Roman"/>
                <w:color w:val="000000"/>
                <w:sz w:val="22"/>
              </w:rPr>
              <w:t xml:space="preserve"> cm</w:t>
            </w:r>
            <w:r w:rsidRPr="002B368F">
              <w:rPr>
                <w:rFonts w:cs="Times New Roman"/>
                <w:color w:val="000000"/>
                <w:sz w:val="22"/>
                <w:vertAlign w:val="superscript"/>
              </w:rPr>
              <w:t>-2</w:t>
            </w:r>
          </w:p>
        </w:tc>
        <w:tc>
          <w:tcPr>
            <w:tcW w:w="697" w:type="dxa"/>
            <w:tcBorders>
              <w:top w:val="single" w:sz="4" w:space="0" w:color="auto"/>
              <w:bottom w:val="single" w:sz="4" w:space="0" w:color="auto"/>
            </w:tcBorders>
            <w:tcMar>
              <w:left w:w="58" w:type="dxa"/>
              <w:right w:w="58" w:type="dxa"/>
            </w:tcMar>
            <w:vAlign w:val="center"/>
            <w:hideMark/>
          </w:tcPr>
          <w:p w14:paraId="7EEE28DE"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80</w:t>
            </w:r>
          </w:p>
        </w:tc>
        <w:tc>
          <w:tcPr>
            <w:tcW w:w="1463" w:type="dxa"/>
            <w:tcBorders>
              <w:top w:val="single" w:sz="4" w:space="0" w:color="auto"/>
              <w:bottom w:val="single" w:sz="4" w:space="0" w:color="auto"/>
            </w:tcBorders>
            <w:tcMar>
              <w:left w:w="58" w:type="dxa"/>
              <w:right w:w="58" w:type="dxa"/>
            </w:tcMar>
            <w:vAlign w:val="center"/>
            <w:hideMark/>
          </w:tcPr>
          <w:p w14:paraId="11A2D3D2"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~100</w:t>
            </w:r>
          </w:p>
        </w:tc>
        <w:tc>
          <w:tcPr>
            <w:tcW w:w="3060" w:type="dxa"/>
            <w:tcBorders>
              <w:top w:val="single" w:sz="4" w:space="0" w:color="auto"/>
              <w:bottom w:val="single" w:sz="4" w:space="0" w:color="auto"/>
            </w:tcBorders>
            <w:tcMar>
              <w:left w:w="58" w:type="dxa"/>
              <w:right w:w="58" w:type="dxa"/>
            </w:tcMar>
            <w:vAlign w:val="center"/>
            <w:hideMark/>
          </w:tcPr>
          <w:p w14:paraId="2EA4ECD7"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fldChar w:fldCharType="begin" w:fldLock="1"/>
            </w:r>
            <w:r w:rsidRPr="002B368F">
              <w:rPr>
                <w:rFonts w:cs="Times New Roman"/>
                <w:bCs/>
                <w:sz w:val="22"/>
                <w:lang w:val="en-IN"/>
              </w:rPr>
              <w:instrText>ADDIN CSL_CITATION {"citationItems":[{"id":"ITEM-1","itemData":{"DOI":"10.1016/j.ultsonch.2020.105123","ISSN":"13504177","PMID":"32283492","abstract":"The nonsteroidal anti-inflammatory drug sodium diclofenac (DC) is an emerging water pollutant which resists conventional wastewater treatments. Here the sonophotocatalytic degradation of DC was carried out using micrometric TiO2 (both pristine and Ag-decorated), UV-A irradiation and 20 kHz pulsed ultrasound. Sonophotocatalytic tests were compared with photolysis, sonolysis, sonophotolysis, sonocatalysis and photocatalysis data performed in the same conditions. A synergy index of over 2 was determined for tests with pristine TiO2, while values close to 1.3 were observed for Ag-TiO2. Reaction intermediates were studied by HPLC–MS, showing degradation mechanisms activated by hydroxyl radicals. Similar pathways were identified for photocatalytic and sonophotocatalytic tests, although the latter led to more oxidized compounds. Different reactor configurations (static and dynamic set ups) were studied. Sequential and simultaneous application of UV light and ultrasound led to similar performance. The role of water matrix was investigated using ultrapure and drinking water, showing marked detrimental effects of electrolytes on the DC degradation. Overall, the combined treatment proved more efficient than photocatalysis alone especially in demanding working conditions, like in drinking water matrices.","author":[{"dropping-particle":"","family":"Meroni","given":"Daniela","non-dropping-particle":"","parse-names":false,"suffix":""},{"dropping-particle":"","family":"Jiménez-Salcedo","given":"Marta","non-dropping-particle":"","parse-names":false,"suffix":""},{"dropping-particle":"","family":"Falletta","given":"Ermelinda","non-dropping-particle":"","parse-names":false,"suffix":""},{"dropping-particle":"","family":"Bresolin","given":"Bianca M.","non-dropping-particle":"","parse-names":false,"suffix":""},{"dropping-particle":"","family":"Kait","given":"Chong Fai","non-dropping-particle":"","parse-names":false,"suffix":""},{"dropping-particle":"","family":"Boffito","given":"Daria C.","non-dropping-particle":"","parse-names":false,"suffix":""},{"dropping-particle":"","family":"Bianchi","given":"Claudia L.","non-dropping-particle":"","parse-names":false,"suffix":""},{"dropping-particle":"","family":"Pirola","given":"Carlo","non-dropping-particle":"","parse-names":false,"suffix":""}],"container-title":"Ultrasonics Sonochemistry","id":"ITEM-1","issued":{"date-parts":[["2020","10"]]},"page":"105123","title":"Sonophotocatalytic degradation of sodium diclofenac using low power ultrasound and micro sized TiO2","type":"article-journal","volume":"67"},"uris":["http://www.mendeley.com/documents/?uuid=470032d5-8c04-4874-a7f8-0d1b4bddea50","http://www.mendeley.com/documents/?uuid=ea16c2c6-a881-4905-bf3e-750898be1d62"]}],"mendeley":{"formattedCitation":"(Meroni et al., 2020)","plainTextFormattedCitation":"(Meroni et al., 2020)","previouslyFormattedCitation":"(Meroni et al., 2020)"},"properties":{"noteIndex":0},"schema":"https://github.com/citation-style-language/schema/raw/master/csl-citation.json"}</w:instrText>
            </w:r>
            <w:r w:rsidRPr="002B368F">
              <w:rPr>
                <w:rFonts w:cs="Times New Roman"/>
                <w:bCs/>
                <w:sz w:val="22"/>
                <w:lang w:val="en-IN"/>
              </w:rPr>
              <w:fldChar w:fldCharType="separate"/>
            </w:r>
            <w:r w:rsidRPr="002B368F">
              <w:rPr>
                <w:rFonts w:cs="Times New Roman"/>
                <w:bCs/>
                <w:noProof/>
                <w:sz w:val="22"/>
                <w:lang w:val="en-IN"/>
              </w:rPr>
              <w:t>(Meroni et al., 2020)</w:t>
            </w:r>
            <w:r w:rsidRPr="002B368F">
              <w:rPr>
                <w:rFonts w:cs="Times New Roman"/>
                <w:bCs/>
                <w:sz w:val="22"/>
                <w:lang w:val="en-IN"/>
              </w:rPr>
              <w:fldChar w:fldCharType="end"/>
            </w:r>
          </w:p>
        </w:tc>
      </w:tr>
      <w:tr w:rsidR="002B368F" w:rsidRPr="002B368F" w14:paraId="7C7AC783"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hideMark/>
          </w:tcPr>
          <w:p w14:paraId="20CCAEB8"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US/photo-Fenton</w:t>
            </w:r>
          </w:p>
        </w:tc>
        <w:tc>
          <w:tcPr>
            <w:tcW w:w="2003" w:type="dxa"/>
            <w:tcBorders>
              <w:top w:val="single" w:sz="4" w:space="0" w:color="auto"/>
              <w:bottom w:val="single" w:sz="4" w:space="0" w:color="auto"/>
            </w:tcBorders>
            <w:tcMar>
              <w:left w:w="58" w:type="dxa"/>
              <w:right w:w="58" w:type="dxa"/>
            </w:tcMar>
            <w:vAlign w:val="center"/>
            <w:hideMark/>
          </w:tcPr>
          <w:p w14:paraId="67577FFD"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Ampicillin</w:t>
            </w:r>
          </w:p>
        </w:tc>
        <w:tc>
          <w:tcPr>
            <w:tcW w:w="1050" w:type="dxa"/>
            <w:tcBorders>
              <w:top w:val="single" w:sz="4" w:space="0" w:color="auto"/>
              <w:bottom w:val="single" w:sz="4" w:space="0" w:color="auto"/>
            </w:tcBorders>
            <w:tcMar>
              <w:left w:w="58" w:type="dxa"/>
              <w:right w:w="58" w:type="dxa"/>
            </w:tcMar>
            <w:vAlign w:val="center"/>
            <w:hideMark/>
          </w:tcPr>
          <w:p w14:paraId="22D60120"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10.5</w:t>
            </w:r>
          </w:p>
        </w:tc>
        <w:tc>
          <w:tcPr>
            <w:tcW w:w="2683" w:type="dxa"/>
            <w:tcBorders>
              <w:top w:val="single" w:sz="4" w:space="0" w:color="auto"/>
              <w:bottom w:val="single" w:sz="4" w:space="0" w:color="auto"/>
            </w:tcBorders>
            <w:tcMar>
              <w:left w:w="58" w:type="dxa"/>
              <w:right w:w="58" w:type="dxa"/>
            </w:tcMar>
            <w:vAlign w:val="center"/>
            <w:hideMark/>
          </w:tcPr>
          <w:p w14:paraId="06F5F7E7"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US frequency = 375 kHz</w:t>
            </w:r>
          </w:p>
          <w:p w14:paraId="25341324"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 xml:space="preserve">Fe = </w:t>
            </w:r>
            <w:proofErr w:type="spellStart"/>
            <w:r w:rsidRPr="002B368F">
              <w:rPr>
                <w:rFonts w:cs="Times New Roman"/>
                <w:bCs/>
                <w:sz w:val="22"/>
                <w:lang w:val="en-IN"/>
              </w:rPr>
              <w:t>n.a.</w:t>
            </w:r>
            <w:proofErr w:type="spellEnd"/>
            <w:r w:rsidRPr="002B368F">
              <w:rPr>
                <w:rFonts w:cs="Times New Roman"/>
                <w:bCs/>
                <w:sz w:val="22"/>
                <w:vertAlign w:val="superscript"/>
                <w:lang w:val="en-IN"/>
              </w:rPr>
              <w:t xml:space="preserve"> a</w:t>
            </w:r>
          </w:p>
        </w:tc>
        <w:tc>
          <w:tcPr>
            <w:tcW w:w="697" w:type="dxa"/>
            <w:tcBorders>
              <w:top w:val="single" w:sz="4" w:space="0" w:color="auto"/>
              <w:bottom w:val="single" w:sz="4" w:space="0" w:color="auto"/>
            </w:tcBorders>
            <w:tcMar>
              <w:left w:w="58" w:type="dxa"/>
              <w:right w:w="58" w:type="dxa"/>
            </w:tcMar>
            <w:vAlign w:val="center"/>
            <w:hideMark/>
          </w:tcPr>
          <w:p w14:paraId="59CF04B9"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60</w:t>
            </w:r>
          </w:p>
        </w:tc>
        <w:tc>
          <w:tcPr>
            <w:tcW w:w="1463" w:type="dxa"/>
            <w:tcBorders>
              <w:top w:val="single" w:sz="4" w:space="0" w:color="auto"/>
              <w:bottom w:val="single" w:sz="4" w:space="0" w:color="auto"/>
            </w:tcBorders>
            <w:tcMar>
              <w:left w:w="58" w:type="dxa"/>
              <w:right w:w="58" w:type="dxa"/>
            </w:tcMar>
            <w:vAlign w:val="center"/>
            <w:hideMark/>
          </w:tcPr>
          <w:p w14:paraId="75F51355"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80</w:t>
            </w:r>
          </w:p>
        </w:tc>
        <w:tc>
          <w:tcPr>
            <w:tcW w:w="3060" w:type="dxa"/>
            <w:tcBorders>
              <w:top w:val="single" w:sz="4" w:space="0" w:color="auto"/>
              <w:bottom w:val="single" w:sz="4" w:space="0" w:color="auto"/>
            </w:tcBorders>
            <w:tcMar>
              <w:left w:w="58" w:type="dxa"/>
              <w:right w:w="58" w:type="dxa"/>
            </w:tcMar>
            <w:vAlign w:val="center"/>
            <w:hideMark/>
          </w:tcPr>
          <w:p w14:paraId="55F393D2"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fldChar w:fldCharType="begin" w:fldLock="1"/>
            </w:r>
            <w:r w:rsidRPr="002B368F">
              <w:rPr>
                <w:rFonts w:cs="Times New Roman"/>
                <w:bCs/>
                <w:sz w:val="22"/>
                <w:lang w:val="en-IN"/>
              </w:rPr>
              <w:instrText>ADDIN CSL_CITATION {"citationItems":[{"id":"ITEM-1","itemData":{"DOI":"10.1016/j.jenvman.2020.110224","ISSN":"03014797","author":[{"dropping-particle":"","family":"Montoya-Rodríguez","given":"Diana M.","non-dropping-particle":"","parse-names":false,"suffix":""},{"dropping-particle":"","family":"Serna-Galvis","given":"Efraim A.","non-dropping-particle":"","parse-names":false,"suffix":""},{"dropping-particle":"","family":"Ferraro","given":"Franklin","non-dropping-particle":"","parse-names":false,"suffix":""},{"dropping-particle":"","family":"Torres-Palma","given":"Ricardo A.","non-dropping-particle":"","parse-names":false,"suffix":""}],"container-title":"Journal of Environmental Management","id":"ITEM-1","issued":{"date-parts":[["2020","5"]]},"page":"110224","title":"Degradation of the emerging concern pollutant ampicillin in aqueous media by sonochemical advanced oxidation processes - Parameters effect, removal of antimicrobial activity and pollutant treatment in hydrolyzed urine","type":"article-journal","volume":"261"},"uris":["http://www.mendeley.com/documents/?uuid=6e656896-994b-4b2e-8cb5-1ed39aa843f9","http://www.mendeley.com/documents/?uuid=88084de6-51cf-40aa-892c-4e92dc3f5524"]}],"mendeley":{"formattedCitation":"(Montoya-Rodríguez et al., 2020)","plainTextFormattedCitation":"(Montoya-Rodríguez et al., 2020)","previouslyFormattedCitation":"(Montoya-Rodríguez et al., 2020)"},"properties":{"noteIndex":0},"schema":"https://github.com/citation-style-language/schema/raw/master/csl-citation.json"}</w:instrText>
            </w:r>
            <w:r w:rsidRPr="002B368F">
              <w:rPr>
                <w:rFonts w:cs="Times New Roman"/>
                <w:bCs/>
                <w:sz w:val="22"/>
                <w:lang w:val="en-IN"/>
              </w:rPr>
              <w:fldChar w:fldCharType="separate"/>
            </w:r>
            <w:r w:rsidRPr="002B368F">
              <w:rPr>
                <w:rFonts w:cs="Times New Roman"/>
                <w:bCs/>
                <w:noProof/>
                <w:sz w:val="22"/>
                <w:lang w:val="en-IN"/>
              </w:rPr>
              <w:t>(Montoya-Rodríguez et al., 2020)</w:t>
            </w:r>
            <w:r w:rsidRPr="002B368F">
              <w:rPr>
                <w:rFonts w:cs="Times New Roman"/>
                <w:bCs/>
                <w:sz w:val="22"/>
                <w:lang w:val="en-IN"/>
              </w:rPr>
              <w:fldChar w:fldCharType="end"/>
            </w:r>
          </w:p>
        </w:tc>
      </w:tr>
      <w:tr w:rsidR="002B368F" w:rsidRPr="002B368F" w14:paraId="751A06E9"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hideMark/>
          </w:tcPr>
          <w:p w14:paraId="0D44DFD5"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US/WS</w:t>
            </w:r>
            <w:r w:rsidRPr="002B368F">
              <w:rPr>
                <w:rFonts w:cs="Times New Roman"/>
                <w:bCs/>
                <w:sz w:val="22"/>
                <w:vertAlign w:val="subscript"/>
                <w:lang w:val="en-IN"/>
              </w:rPr>
              <w:t>2</w:t>
            </w:r>
            <w:r w:rsidRPr="002B368F">
              <w:rPr>
                <w:rFonts w:cs="Times New Roman"/>
                <w:bCs/>
                <w:sz w:val="22"/>
                <w:lang w:val="en-IN"/>
              </w:rPr>
              <w:t>@CeO</w:t>
            </w:r>
            <w:r w:rsidRPr="002B368F">
              <w:rPr>
                <w:rFonts w:cs="Times New Roman"/>
                <w:bCs/>
                <w:sz w:val="22"/>
                <w:vertAlign w:val="subscript"/>
                <w:lang w:val="en-IN"/>
              </w:rPr>
              <w:t>2</w:t>
            </w:r>
          </w:p>
        </w:tc>
        <w:tc>
          <w:tcPr>
            <w:tcW w:w="2003" w:type="dxa"/>
            <w:tcBorders>
              <w:top w:val="single" w:sz="4" w:space="0" w:color="auto"/>
              <w:bottom w:val="single" w:sz="4" w:space="0" w:color="auto"/>
            </w:tcBorders>
            <w:tcMar>
              <w:left w:w="58" w:type="dxa"/>
              <w:right w:w="58" w:type="dxa"/>
            </w:tcMar>
            <w:vAlign w:val="center"/>
            <w:hideMark/>
          </w:tcPr>
          <w:p w14:paraId="264BAFF1" w14:textId="77777777" w:rsidR="002B368F" w:rsidRPr="002B368F" w:rsidRDefault="002B368F" w:rsidP="002B368F">
            <w:pPr>
              <w:widowControl w:val="0"/>
              <w:spacing w:after="0" w:line="240" w:lineRule="auto"/>
              <w:jc w:val="center"/>
              <w:rPr>
                <w:rFonts w:cs="Times New Roman"/>
                <w:bCs/>
                <w:sz w:val="22"/>
                <w:lang w:val="en-IN"/>
              </w:rPr>
            </w:pPr>
            <w:proofErr w:type="spellStart"/>
            <w:r w:rsidRPr="002B368F">
              <w:rPr>
                <w:rFonts w:cs="Times New Roman"/>
                <w:bCs/>
                <w:sz w:val="22"/>
                <w:lang w:val="en-IN"/>
              </w:rPr>
              <w:t>Tylosin</w:t>
            </w:r>
            <w:proofErr w:type="spellEnd"/>
          </w:p>
        </w:tc>
        <w:tc>
          <w:tcPr>
            <w:tcW w:w="1050" w:type="dxa"/>
            <w:tcBorders>
              <w:top w:val="single" w:sz="4" w:space="0" w:color="auto"/>
              <w:bottom w:val="single" w:sz="4" w:space="0" w:color="auto"/>
            </w:tcBorders>
            <w:tcMar>
              <w:left w:w="58" w:type="dxa"/>
              <w:right w:w="58" w:type="dxa"/>
            </w:tcMar>
            <w:vAlign w:val="center"/>
            <w:hideMark/>
          </w:tcPr>
          <w:p w14:paraId="40A987EB"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10</w:t>
            </w:r>
          </w:p>
        </w:tc>
        <w:tc>
          <w:tcPr>
            <w:tcW w:w="2683" w:type="dxa"/>
            <w:tcBorders>
              <w:top w:val="single" w:sz="4" w:space="0" w:color="auto"/>
              <w:bottom w:val="single" w:sz="4" w:space="0" w:color="auto"/>
            </w:tcBorders>
            <w:tcMar>
              <w:left w:w="58" w:type="dxa"/>
              <w:right w:w="58" w:type="dxa"/>
            </w:tcMar>
            <w:vAlign w:val="center"/>
            <w:hideMark/>
          </w:tcPr>
          <w:p w14:paraId="42D01445"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US frequency = 40 kHz</w:t>
            </w:r>
          </w:p>
          <w:p w14:paraId="43A662FF" w14:textId="13D593C9"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Catalyst = 1 g L</w:t>
            </w:r>
            <w:r w:rsidR="00AA0DD6">
              <w:rPr>
                <w:rFonts w:cs="Times New Roman"/>
                <w:bCs/>
                <w:color w:val="000000" w:themeColor="text1"/>
                <w:szCs w:val="24"/>
                <w:vertAlign w:val="superscript"/>
                <w:lang w:val="en-IN"/>
              </w:rPr>
              <w:t>‒</w:t>
            </w:r>
            <w:r w:rsidRPr="002B368F">
              <w:rPr>
                <w:rFonts w:cs="Times New Roman"/>
                <w:bCs/>
                <w:sz w:val="22"/>
                <w:vertAlign w:val="superscript"/>
                <w:lang w:val="en-IN"/>
              </w:rPr>
              <w:t>1</w:t>
            </w:r>
          </w:p>
        </w:tc>
        <w:tc>
          <w:tcPr>
            <w:tcW w:w="697" w:type="dxa"/>
            <w:tcBorders>
              <w:top w:val="single" w:sz="4" w:space="0" w:color="auto"/>
              <w:bottom w:val="single" w:sz="4" w:space="0" w:color="auto"/>
            </w:tcBorders>
            <w:tcMar>
              <w:left w:w="58" w:type="dxa"/>
              <w:right w:w="58" w:type="dxa"/>
            </w:tcMar>
            <w:vAlign w:val="center"/>
            <w:hideMark/>
          </w:tcPr>
          <w:p w14:paraId="6130B8DC"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40</w:t>
            </w:r>
          </w:p>
        </w:tc>
        <w:tc>
          <w:tcPr>
            <w:tcW w:w="1463" w:type="dxa"/>
            <w:tcBorders>
              <w:top w:val="single" w:sz="4" w:space="0" w:color="auto"/>
              <w:bottom w:val="single" w:sz="4" w:space="0" w:color="auto"/>
            </w:tcBorders>
            <w:tcMar>
              <w:left w:w="58" w:type="dxa"/>
              <w:right w:w="58" w:type="dxa"/>
            </w:tcMar>
            <w:vAlign w:val="center"/>
            <w:hideMark/>
          </w:tcPr>
          <w:p w14:paraId="2530C32A"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76.5</w:t>
            </w:r>
          </w:p>
        </w:tc>
        <w:tc>
          <w:tcPr>
            <w:tcW w:w="3060" w:type="dxa"/>
            <w:tcBorders>
              <w:top w:val="single" w:sz="4" w:space="0" w:color="auto"/>
              <w:bottom w:val="single" w:sz="4" w:space="0" w:color="auto"/>
            </w:tcBorders>
            <w:tcMar>
              <w:left w:w="58" w:type="dxa"/>
              <w:right w:w="58" w:type="dxa"/>
            </w:tcMar>
            <w:vAlign w:val="center"/>
            <w:hideMark/>
          </w:tcPr>
          <w:p w14:paraId="5ABBE3AB"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fldChar w:fldCharType="begin" w:fldLock="1"/>
            </w:r>
            <w:r w:rsidRPr="002B368F">
              <w:rPr>
                <w:rFonts w:cs="Times New Roman"/>
                <w:bCs/>
                <w:sz w:val="22"/>
                <w:lang w:val="en-IN"/>
              </w:rPr>
              <w:instrText>ADDIN CSL_CITATION {"citationItems":[{"id":"ITEM-1","itemData":{"DOI":"10.1016/j.ultsonch.2020.105114","ISSN":"13504177","PMID":"32278247","abstract":"The main aim of the present investigation was the intercalation of WS2 nanosheets in the structure of ceria (CeO2) to be used for the efficient catalytic destruction of tylosin (TYL) as a macrolide antibiotic in water. As-synthesized heterostructured catalyst was placed in a sono-reactor (40 kHz and 300 W) in order to degrade TYL through the sonocatalysis. 15 wt% WS2/CeO2 was chosen for performing the systematic experiments. Decreasing the concentration of TYL, along with increasing the WS2/CeO2 dosage led to reduced degradation efficiency. The water hardness was demonstrated to be a suppressive agent on the sonocatalysis of the target pollutant. As-generated holes, [rad]OH, and also O2[rad]− were responsible for the degradation of TYL. Increasing the ultrasound power and operating temperature enhanced the degradation efficiency. The degradation rate boosted up when the temperature was raised from 10 °C (0.0107 1/min) to 40 °C (0.0165 1/min). Moreover, the lowest activation energy (Ea) for sonocatalytic degradation was obtained as 10.81 kJ/mol. The sonocatalytic activity of WS2/CeO2 in the sono-reactor encountered insignificant change within five consecutive operational runs (~15% reduction). The mechanism and pathways of the sonocatalytic decomposition of TYL are also proposed.","author":[{"dropping-particle":"","family":"Yousef Tizhoosh","given":"Negar","non-dropping-particle":"","parse-names":false,"suffix":""},{"dropping-particle":"","family":"Khataee","given":"Alireza","non-dropping-particle":"","parse-names":false,"suffix":""},{"dropping-particle":"","family":"Hassandoost","given":"Ramin","non-dropping-particle":"","parse-names":false,"suffix":""},{"dropping-particle":"","family":"Darvishi Cheshmeh Soltani","given":"Reza","non-dropping-particle":"","parse-names":false,"suffix":""},{"dropping-particle":"","family":"Doustkhah","given":"Esmail","non-dropping-particle":"","parse-names":false,"suffix":""}],"container-title":"Ultrasonics Sonochemistry","id":"ITEM-1","issued":{"date-parts":[["2020","10"]]},"page":"105114","title":"Ultrasound-engineered synthesis of WS2@CeO2 heterostructure for sonocatalytic degradation of tylosin","type":"article-journal","volume":"67"},"uris":["http://www.mendeley.com/documents/?uuid=c7fa633e-ee49-4a20-9d88-711082c5c5af","http://www.mendeley.com/documents/?uuid=370b9ca0-4857-464d-9d8c-eb472d4dd921"]}],"mendeley":{"formattedCitation":"(Yousef Tizhoosh et al., 2020)","plainTextFormattedCitation":"(Yousef Tizhoosh et al., 2020)","previouslyFormattedCitation":"(Yousef Tizhoosh et al., 2020)"},"properties":{"noteIndex":0},"schema":"https://github.com/citation-style-language/schema/raw/master/csl-citation.json"}</w:instrText>
            </w:r>
            <w:r w:rsidRPr="002B368F">
              <w:rPr>
                <w:rFonts w:cs="Times New Roman"/>
                <w:bCs/>
                <w:sz w:val="22"/>
                <w:lang w:val="en-IN"/>
              </w:rPr>
              <w:fldChar w:fldCharType="separate"/>
            </w:r>
            <w:r w:rsidRPr="002B368F">
              <w:rPr>
                <w:rFonts w:cs="Times New Roman"/>
                <w:bCs/>
                <w:noProof/>
                <w:sz w:val="22"/>
                <w:lang w:val="en-IN"/>
              </w:rPr>
              <w:t>(Yousef Tizhoosh et al., 2020)</w:t>
            </w:r>
            <w:r w:rsidRPr="002B368F">
              <w:rPr>
                <w:rFonts w:cs="Times New Roman"/>
                <w:bCs/>
                <w:sz w:val="22"/>
                <w:lang w:val="en-IN"/>
              </w:rPr>
              <w:fldChar w:fldCharType="end"/>
            </w:r>
          </w:p>
        </w:tc>
      </w:tr>
      <w:tr w:rsidR="002B368F" w:rsidRPr="002B368F" w14:paraId="20BCD139" w14:textId="77777777" w:rsidTr="0001742A">
        <w:trPr>
          <w:trHeight w:val="12"/>
          <w:jc w:val="center"/>
        </w:trPr>
        <w:tc>
          <w:tcPr>
            <w:tcW w:w="2544" w:type="dxa"/>
            <w:tcBorders>
              <w:top w:val="single" w:sz="4" w:space="0" w:color="auto"/>
              <w:bottom w:val="single" w:sz="4" w:space="0" w:color="auto"/>
            </w:tcBorders>
            <w:tcMar>
              <w:left w:w="58" w:type="dxa"/>
              <w:right w:w="58" w:type="dxa"/>
            </w:tcMar>
            <w:vAlign w:val="center"/>
          </w:tcPr>
          <w:p w14:paraId="02881927"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US/UV/MgO/carbon nanotubes</w:t>
            </w:r>
          </w:p>
        </w:tc>
        <w:tc>
          <w:tcPr>
            <w:tcW w:w="2003" w:type="dxa"/>
            <w:tcBorders>
              <w:top w:val="single" w:sz="4" w:space="0" w:color="auto"/>
              <w:bottom w:val="single" w:sz="4" w:space="0" w:color="auto"/>
            </w:tcBorders>
            <w:tcMar>
              <w:left w:w="58" w:type="dxa"/>
              <w:right w:w="58" w:type="dxa"/>
            </w:tcMar>
            <w:vAlign w:val="center"/>
          </w:tcPr>
          <w:p w14:paraId="3A398E10"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Sulfadiazine</w:t>
            </w:r>
          </w:p>
        </w:tc>
        <w:tc>
          <w:tcPr>
            <w:tcW w:w="1050" w:type="dxa"/>
            <w:tcBorders>
              <w:top w:val="single" w:sz="4" w:space="0" w:color="auto"/>
              <w:bottom w:val="single" w:sz="4" w:space="0" w:color="auto"/>
            </w:tcBorders>
            <w:tcMar>
              <w:left w:w="58" w:type="dxa"/>
              <w:right w:w="58" w:type="dxa"/>
            </w:tcMar>
            <w:vAlign w:val="center"/>
          </w:tcPr>
          <w:p w14:paraId="4D0BCBB0"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45</w:t>
            </w:r>
          </w:p>
        </w:tc>
        <w:tc>
          <w:tcPr>
            <w:tcW w:w="2683" w:type="dxa"/>
            <w:tcBorders>
              <w:top w:val="single" w:sz="4" w:space="0" w:color="auto"/>
              <w:bottom w:val="single" w:sz="4" w:space="0" w:color="auto"/>
            </w:tcBorders>
            <w:tcMar>
              <w:left w:w="58" w:type="dxa"/>
              <w:right w:w="58" w:type="dxa"/>
            </w:tcMar>
            <w:vAlign w:val="center"/>
          </w:tcPr>
          <w:p w14:paraId="5892018B" w14:textId="77777777"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US frequency = 24 kHz</w:t>
            </w:r>
          </w:p>
          <w:p w14:paraId="74520CD5" w14:textId="03934C75" w:rsidR="002B368F" w:rsidRPr="002B368F" w:rsidRDefault="002B368F" w:rsidP="002B368F">
            <w:pPr>
              <w:widowControl w:val="0"/>
              <w:spacing w:after="0" w:line="240" w:lineRule="auto"/>
              <w:jc w:val="left"/>
              <w:rPr>
                <w:rFonts w:cs="Times New Roman"/>
                <w:bCs/>
                <w:sz w:val="22"/>
                <w:lang w:val="en-IN"/>
              </w:rPr>
            </w:pPr>
            <w:r w:rsidRPr="002B368F">
              <w:rPr>
                <w:rFonts w:cs="Times New Roman"/>
                <w:bCs/>
                <w:sz w:val="22"/>
                <w:lang w:val="en-IN"/>
              </w:rPr>
              <w:t>Catalyst = 0.9 g L</w:t>
            </w:r>
            <w:r w:rsidR="00AA0DD6">
              <w:rPr>
                <w:rFonts w:cs="Times New Roman"/>
                <w:bCs/>
                <w:color w:val="000000" w:themeColor="text1"/>
                <w:szCs w:val="24"/>
                <w:vertAlign w:val="superscript"/>
                <w:lang w:val="en-IN"/>
              </w:rPr>
              <w:t>‒</w:t>
            </w:r>
            <w:r w:rsidRPr="002B368F">
              <w:rPr>
                <w:rFonts w:cs="Times New Roman"/>
                <w:bCs/>
                <w:sz w:val="22"/>
                <w:vertAlign w:val="superscript"/>
                <w:lang w:val="en-IN"/>
              </w:rPr>
              <w:t>1</w:t>
            </w:r>
          </w:p>
        </w:tc>
        <w:tc>
          <w:tcPr>
            <w:tcW w:w="697" w:type="dxa"/>
            <w:tcBorders>
              <w:top w:val="single" w:sz="4" w:space="0" w:color="auto"/>
              <w:bottom w:val="single" w:sz="4" w:space="0" w:color="auto"/>
            </w:tcBorders>
            <w:tcMar>
              <w:left w:w="58" w:type="dxa"/>
              <w:right w:w="58" w:type="dxa"/>
            </w:tcMar>
            <w:vAlign w:val="center"/>
          </w:tcPr>
          <w:p w14:paraId="0AC33155"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80</w:t>
            </w:r>
          </w:p>
        </w:tc>
        <w:tc>
          <w:tcPr>
            <w:tcW w:w="1463" w:type="dxa"/>
            <w:tcBorders>
              <w:top w:val="single" w:sz="4" w:space="0" w:color="auto"/>
              <w:bottom w:val="single" w:sz="4" w:space="0" w:color="auto"/>
            </w:tcBorders>
            <w:tcMar>
              <w:left w:w="58" w:type="dxa"/>
              <w:right w:w="58" w:type="dxa"/>
            </w:tcMar>
            <w:vAlign w:val="center"/>
          </w:tcPr>
          <w:p w14:paraId="7D48375B"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sz w:val="22"/>
                <w:lang w:val="en-IN"/>
              </w:rPr>
              <w:t>~100</w:t>
            </w:r>
          </w:p>
        </w:tc>
        <w:tc>
          <w:tcPr>
            <w:tcW w:w="3060" w:type="dxa"/>
            <w:tcBorders>
              <w:top w:val="single" w:sz="4" w:space="0" w:color="auto"/>
              <w:bottom w:val="single" w:sz="4" w:space="0" w:color="auto"/>
            </w:tcBorders>
            <w:tcMar>
              <w:left w:w="58" w:type="dxa"/>
              <w:right w:w="58" w:type="dxa"/>
            </w:tcMar>
            <w:vAlign w:val="center"/>
          </w:tcPr>
          <w:p w14:paraId="5680A813" w14:textId="77777777" w:rsidR="002B368F" w:rsidRPr="002B368F" w:rsidRDefault="002B368F" w:rsidP="002B368F">
            <w:pPr>
              <w:widowControl w:val="0"/>
              <w:spacing w:after="0" w:line="240" w:lineRule="auto"/>
              <w:jc w:val="center"/>
              <w:rPr>
                <w:rFonts w:cs="Times New Roman"/>
                <w:bCs/>
                <w:sz w:val="22"/>
                <w:lang w:val="en-IN"/>
              </w:rPr>
            </w:pPr>
            <w:r w:rsidRPr="002B368F">
              <w:rPr>
                <w:rFonts w:cs="Times New Roman"/>
                <w:bCs/>
                <w:color w:val="000000"/>
                <w:sz w:val="22"/>
                <w:lang w:val="en-IN"/>
              </w:rPr>
              <w:fldChar w:fldCharType="begin" w:fldLock="1"/>
            </w:r>
            <w:r w:rsidRPr="002B368F">
              <w:rPr>
                <w:rFonts w:cs="Times New Roman"/>
                <w:bCs/>
                <w:color w:val="000000"/>
                <w:sz w:val="22"/>
                <w:lang w:val="en-IN"/>
              </w:rPr>
              <w:instrText>ADDIN CSL_CITATION {"citationItems":[{"id":"ITEM-1","itemData":{"DOI":"10.1016/j.cej.2019.122636","ISSN":"13858947","abstract":"Heterogeneous hybrid systems have emerged as effective approaches for decontamination of aqueous solutions containing non-biodegradable compounds. This is the first study employed hexagonal magnesium oxide (MgO) anchored on carbon nanotubes (CNTs), as heterogeneous catalyst, in coupling with UV and ultrasound (US) waves (marked as MCs/UV/US) for degradation of sulfadiazine (SDZ). MgO/CNT nanocomposites (MCs) were synthesized through an ultrasound-assisted hydrothermal method, and their properties were characterized via BET, FESEM, TEM, XRD, FTIR, EIS, TGA, UV–vis DRS, EDAX, and EDS techniques. The FESEM and TEM results indicated that CNTs were well-incorporated into the hexagonal MgO. The ability of MCs/UV/US system for SDZ decontamination was evaluated as a function of solution pH, catalyst loading, US power, UV intensity, initial SDZ concentration, scavenging agents and co-existing chemicals. As-prepared catalyst showed a significant synergistic effect in the presence of both UV and US irradiation for SDZ mineralization. During sono-photocatalytic process, the complete degradation of SDZ (45 mg/L) was achieved at pH: 11.0; MCs: 0.9 g/L; US power: 200 W; and UV intensity: 150 W within 80 min reaction. MCs exhibited high chemical stability and reusability after six consecutive cycles. However, the addition of co-existing anions, especially Cl−, gradually reduced the efficiency of SDZ degradation over MCs/UV/US system. Trapping studies indicated that hydroxyl radicals and holes were responsible for oxidation of organic chemicals during the reaction period. The plausible pathway and mechanism of sono-photocatalytic decomposition of SDZ were determined in details. Kinetic data confirmed that degradation process was fitted to a pseudo first-order kinetic model with a regression coefficient of 0.98. MCs/UV/US process effectively quenched 89% and 96% of TOC and COD in the pharmaceutical wastewater, respectively. The biodegradability and toxicity of the produced organic chemicals were considerably enhanced after the treatment.","author":[{"dropping-particle":"","family":"Hayati","given":"Farzan","non-dropping-particle":"","parse-names":false,"suffix":""},{"dropping-particle":"","family":"Isari","given":"Ali Akbar","non-dropping-particle":"","parse-names":false,"suffix":""},{"dropping-particle":"","family":"Anvaripour","given":"Bagher","non-dropping-particle":"","parse-names":false,"suffix":""},{"dropping-particle":"","family":"Fattahi","given":"Moslem","non-dropping-particle":"","parse-names":false,"suffix":""},{"dropping-particle":"","family":"Kakavandi","given":"Babak","non-dropping-particle":"","parse-names":false,"suffix":""}],"container-title":"Chemical Engineering Journal","id":"ITEM-1","issued":{"date-parts":[["2020","2"]]},"page":"122636","title":"Ultrasound-assisted photocatalytic degradation of sulfadiazine using MgO@CNT heterojunction composite: Effective factors, pathway and biodegradability studies","type":"article-journal","volume":"381"},"uris":["http://www.mendeley.com/documents/?uuid=f1497fa7-9924-417d-8b93-0689aad2a914","http://www.mendeley.com/documents/?uuid=8a09a35a-004e-4496-aca2-95e94f4ab320"]}],"mendeley":{"formattedCitation":"(Hayati et al., 2020)","plainTextFormattedCitation":"(Hayati et al., 2020)","previouslyFormattedCitation":"(Hayati et al., 2020)"},"properties":{"noteIndex":0},"schema":"https://github.com/citation-style-language/schema/raw/master/csl-citation.json"}</w:instrText>
            </w:r>
            <w:r w:rsidRPr="002B368F">
              <w:rPr>
                <w:rFonts w:cs="Times New Roman"/>
                <w:bCs/>
                <w:color w:val="000000"/>
                <w:sz w:val="22"/>
                <w:lang w:val="en-IN"/>
              </w:rPr>
              <w:fldChar w:fldCharType="separate"/>
            </w:r>
            <w:r w:rsidRPr="002B368F">
              <w:rPr>
                <w:rFonts w:cs="Times New Roman"/>
                <w:bCs/>
                <w:noProof/>
                <w:color w:val="000000"/>
                <w:sz w:val="22"/>
                <w:lang w:val="en-IN"/>
              </w:rPr>
              <w:t>(Hayati et al., 2020)</w:t>
            </w:r>
            <w:r w:rsidRPr="002B368F">
              <w:rPr>
                <w:rFonts w:cs="Times New Roman"/>
                <w:bCs/>
                <w:color w:val="000000"/>
                <w:sz w:val="22"/>
                <w:lang w:val="en-IN"/>
              </w:rPr>
              <w:fldChar w:fldCharType="end"/>
            </w:r>
          </w:p>
        </w:tc>
      </w:tr>
    </w:tbl>
    <w:p w14:paraId="06B335E7" w14:textId="7523194B" w:rsidR="002B368F" w:rsidRPr="002B368F" w:rsidRDefault="002B368F" w:rsidP="002B368F">
      <w:pPr>
        <w:spacing w:after="0" w:line="480" w:lineRule="auto"/>
        <w:rPr>
          <w:sz w:val="22"/>
        </w:rPr>
        <w:sectPr w:rsidR="002B368F" w:rsidRPr="002B368F" w:rsidSect="00276587">
          <w:pgSz w:w="15840" w:h="12240" w:orient="landscape"/>
          <w:pgMar w:top="1440" w:right="1440" w:bottom="1325" w:left="1440" w:header="720" w:footer="720" w:gutter="0"/>
          <w:cols w:space="720"/>
          <w:docGrid w:linePitch="360"/>
        </w:sectPr>
      </w:pPr>
      <w:r w:rsidRPr="002B368F">
        <w:rPr>
          <w:sz w:val="22"/>
        </w:rPr>
        <w:t xml:space="preserve">a: </w:t>
      </w:r>
      <w:proofErr w:type="spellStart"/>
      <w:r w:rsidRPr="002B368F">
        <w:rPr>
          <w:sz w:val="22"/>
        </w:rPr>
        <w:t>n.a.</w:t>
      </w:r>
      <w:proofErr w:type="spellEnd"/>
      <w:r w:rsidRPr="002B368F">
        <w:rPr>
          <w:sz w:val="22"/>
        </w:rPr>
        <w:t>, not availabl</w:t>
      </w:r>
      <w:r w:rsidR="004A59CA">
        <w:rPr>
          <w:sz w:val="22"/>
        </w:rPr>
        <w:t>e</w:t>
      </w:r>
    </w:p>
    <w:p w14:paraId="17416D82" w14:textId="3AB56D07" w:rsidR="00855FF1" w:rsidRPr="00855FF1" w:rsidRDefault="00855FF1" w:rsidP="00745632">
      <w:pPr>
        <w:pStyle w:val="Heading1"/>
        <w:rPr>
          <w:b/>
          <w:bCs/>
          <w:lang w:val="en-IN"/>
        </w:rPr>
      </w:pPr>
      <w:bookmarkStart w:id="15" w:name="_Toc63364575"/>
      <w:bookmarkStart w:id="16" w:name="_Toc102395641"/>
      <w:r w:rsidRPr="00855FF1">
        <w:rPr>
          <w:b/>
          <w:bCs/>
          <w:lang w:val="en-IN"/>
        </w:rPr>
        <w:lastRenderedPageBreak/>
        <w:t xml:space="preserve">Table </w:t>
      </w:r>
      <w:r>
        <w:rPr>
          <w:b/>
          <w:bCs/>
          <w:lang w:val="en-IN"/>
        </w:rPr>
        <w:t>S</w:t>
      </w:r>
      <w:r w:rsidR="00E1569B">
        <w:rPr>
          <w:b/>
          <w:bCs/>
          <w:lang w:val="en-IN"/>
        </w:rPr>
        <w:t>4</w:t>
      </w:r>
      <w:r w:rsidRPr="00855FF1">
        <w:rPr>
          <w:b/>
          <w:bCs/>
          <w:lang w:val="en-IN"/>
        </w:rPr>
        <w:t xml:space="preserve">. </w:t>
      </w:r>
      <w:r w:rsidRPr="00855FF1">
        <w:rPr>
          <w:lang w:val="en-IN"/>
        </w:rPr>
        <w:t>A variety of</w:t>
      </w:r>
      <w:r w:rsidRPr="00855FF1">
        <w:t xml:space="preserve"> </w:t>
      </w:r>
      <w:r w:rsidRPr="00855FF1">
        <w:rPr>
          <w:lang w:val="en-IN"/>
        </w:rPr>
        <w:t xml:space="preserve">hydrodynamic cavitation </w:t>
      </w:r>
      <w:r w:rsidRPr="00855FF1">
        <w:t>process</w:t>
      </w:r>
      <w:bookmarkEnd w:id="15"/>
      <w:r w:rsidRPr="00855FF1">
        <w:t>es have been used to degrade organic contaminants.</w:t>
      </w:r>
      <w:bookmarkEnd w:id="16"/>
    </w:p>
    <w:tbl>
      <w:tblPr>
        <w:tblStyle w:val="TableGrid4"/>
        <w:tblW w:w="129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47"/>
        <w:gridCol w:w="1879"/>
        <w:gridCol w:w="1242"/>
        <w:gridCol w:w="2704"/>
        <w:gridCol w:w="938"/>
        <w:gridCol w:w="1510"/>
        <w:gridCol w:w="2440"/>
      </w:tblGrid>
      <w:tr w:rsidR="00855FF1" w:rsidRPr="00855FF1" w14:paraId="76B043E6" w14:textId="77777777" w:rsidTr="0001742A">
        <w:trPr>
          <w:tblHeader/>
          <w:jc w:val="center"/>
        </w:trPr>
        <w:tc>
          <w:tcPr>
            <w:tcW w:w="2247" w:type="dxa"/>
            <w:tcBorders>
              <w:top w:val="single" w:sz="4" w:space="0" w:color="auto"/>
              <w:bottom w:val="single" w:sz="4" w:space="0" w:color="auto"/>
            </w:tcBorders>
            <w:tcMar>
              <w:left w:w="58" w:type="dxa"/>
              <w:right w:w="58" w:type="dxa"/>
            </w:tcMar>
            <w:vAlign w:val="center"/>
            <w:hideMark/>
          </w:tcPr>
          <w:p w14:paraId="4412C30F" w14:textId="77777777" w:rsidR="00855FF1" w:rsidRPr="00855FF1" w:rsidRDefault="00855FF1" w:rsidP="00855FF1">
            <w:pPr>
              <w:spacing w:after="0" w:line="240" w:lineRule="auto"/>
              <w:jc w:val="center"/>
              <w:rPr>
                <w:rFonts w:cs="Times New Roman"/>
                <w:b/>
                <w:bCs/>
                <w:sz w:val="22"/>
                <w:lang w:val="en-IN"/>
              </w:rPr>
            </w:pPr>
            <w:r w:rsidRPr="00855FF1">
              <w:rPr>
                <w:rFonts w:cs="Times New Roman"/>
                <w:b/>
                <w:bCs/>
                <w:sz w:val="22"/>
                <w:lang w:val="en-IN"/>
              </w:rPr>
              <w:t>System</w:t>
            </w:r>
          </w:p>
        </w:tc>
        <w:tc>
          <w:tcPr>
            <w:tcW w:w="1879" w:type="dxa"/>
            <w:tcBorders>
              <w:top w:val="single" w:sz="4" w:space="0" w:color="auto"/>
              <w:bottom w:val="single" w:sz="4" w:space="0" w:color="auto"/>
            </w:tcBorders>
            <w:tcMar>
              <w:left w:w="58" w:type="dxa"/>
              <w:right w:w="58" w:type="dxa"/>
            </w:tcMar>
            <w:vAlign w:val="center"/>
            <w:hideMark/>
          </w:tcPr>
          <w:p w14:paraId="1ED1DE15" w14:textId="77777777" w:rsidR="00855FF1" w:rsidRPr="00855FF1" w:rsidRDefault="00855FF1" w:rsidP="00855FF1">
            <w:pPr>
              <w:spacing w:after="0" w:line="240" w:lineRule="auto"/>
              <w:jc w:val="center"/>
              <w:rPr>
                <w:rFonts w:cs="Times New Roman"/>
                <w:b/>
                <w:bCs/>
                <w:sz w:val="22"/>
                <w:lang w:val="en-IN"/>
              </w:rPr>
            </w:pPr>
            <w:r w:rsidRPr="00855FF1">
              <w:rPr>
                <w:rFonts w:cs="Times New Roman"/>
                <w:b/>
                <w:bCs/>
                <w:sz w:val="22"/>
              </w:rPr>
              <w:t>Contaminant</w:t>
            </w:r>
          </w:p>
        </w:tc>
        <w:tc>
          <w:tcPr>
            <w:tcW w:w="1242" w:type="dxa"/>
            <w:tcBorders>
              <w:top w:val="single" w:sz="4" w:space="0" w:color="auto"/>
              <w:bottom w:val="single" w:sz="4" w:space="0" w:color="auto"/>
            </w:tcBorders>
            <w:tcMar>
              <w:left w:w="58" w:type="dxa"/>
              <w:right w:w="58" w:type="dxa"/>
            </w:tcMar>
            <w:vAlign w:val="center"/>
            <w:hideMark/>
          </w:tcPr>
          <w:p w14:paraId="744197FA" w14:textId="77777777" w:rsidR="00855FF1" w:rsidRPr="00855FF1" w:rsidRDefault="00855FF1" w:rsidP="00855FF1">
            <w:pPr>
              <w:spacing w:after="0" w:line="240" w:lineRule="auto"/>
              <w:jc w:val="center"/>
              <w:rPr>
                <w:rFonts w:cs="Times New Roman"/>
                <w:b/>
                <w:bCs/>
                <w:sz w:val="22"/>
              </w:rPr>
            </w:pPr>
            <w:r w:rsidRPr="00855FF1">
              <w:rPr>
                <w:rFonts w:cs="Times New Roman"/>
                <w:b/>
                <w:bCs/>
                <w:sz w:val="22"/>
              </w:rPr>
              <w:t>C</w:t>
            </w:r>
            <w:r w:rsidRPr="00855FF1">
              <w:rPr>
                <w:rFonts w:cs="Times New Roman"/>
                <w:b/>
                <w:bCs/>
                <w:sz w:val="22"/>
                <w:vertAlign w:val="subscript"/>
              </w:rPr>
              <w:t>0</w:t>
            </w:r>
          </w:p>
          <w:p w14:paraId="1370558C" w14:textId="44E8CE17" w:rsidR="00855FF1" w:rsidRPr="00855FF1" w:rsidRDefault="00855FF1" w:rsidP="00855FF1">
            <w:pPr>
              <w:spacing w:after="0" w:line="240" w:lineRule="auto"/>
              <w:jc w:val="center"/>
              <w:rPr>
                <w:rFonts w:cs="Times New Roman"/>
                <w:b/>
                <w:bCs/>
                <w:sz w:val="22"/>
                <w:lang w:val="en-IN"/>
              </w:rPr>
            </w:pPr>
            <w:r w:rsidRPr="00855FF1">
              <w:rPr>
                <w:rFonts w:cs="Times New Roman"/>
                <w:b/>
                <w:bCs/>
                <w:iCs/>
                <w:sz w:val="22"/>
              </w:rPr>
              <w:t>(mg L</w:t>
            </w:r>
            <w:r w:rsidR="00AA0DD6">
              <w:rPr>
                <w:rFonts w:cs="Times New Roman"/>
                <w:bCs/>
                <w:color w:val="000000" w:themeColor="text1"/>
                <w:szCs w:val="24"/>
                <w:vertAlign w:val="superscript"/>
                <w:lang w:val="en-IN"/>
              </w:rPr>
              <w:t>‒</w:t>
            </w:r>
            <w:r w:rsidRPr="00855FF1">
              <w:rPr>
                <w:rFonts w:cs="Times New Roman"/>
                <w:b/>
                <w:bCs/>
                <w:iCs/>
                <w:sz w:val="22"/>
                <w:vertAlign w:val="superscript"/>
              </w:rPr>
              <w:t>1</w:t>
            </w:r>
            <w:r w:rsidRPr="00855FF1">
              <w:rPr>
                <w:rFonts w:cs="Times New Roman"/>
                <w:b/>
                <w:bCs/>
                <w:iCs/>
                <w:sz w:val="22"/>
              </w:rPr>
              <w:t>)</w:t>
            </w:r>
          </w:p>
        </w:tc>
        <w:tc>
          <w:tcPr>
            <w:tcW w:w="2704" w:type="dxa"/>
            <w:tcBorders>
              <w:top w:val="single" w:sz="4" w:space="0" w:color="auto"/>
              <w:bottom w:val="single" w:sz="4" w:space="0" w:color="auto"/>
            </w:tcBorders>
            <w:tcMar>
              <w:left w:w="58" w:type="dxa"/>
              <w:right w:w="58" w:type="dxa"/>
            </w:tcMar>
            <w:vAlign w:val="center"/>
            <w:hideMark/>
          </w:tcPr>
          <w:p w14:paraId="578E9BEC" w14:textId="77777777" w:rsidR="00855FF1" w:rsidRPr="00855FF1" w:rsidRDefault="00855FF1" w:rsidP="00855FF1">
            <w:pPr>
              <w:spacing w:after="0" w:line="240" w:lineRule="auto"/>
              <w:jc w:val="left"/>
              <w:rPr>
                <w:rFonts w:cs="Times New Roman"/>
                <w:b/>
                <w:bCs/>
                <w:sz w:val="22"/>
                <w:lang w:val="en-IN"/>
              </w:rPr>
            </w:pPr>
            <w:r w:rsidRPr="00855FF1">
              <w:rPr>
                <w:rFonts w:cs="Times New Roman"/>
                <w:b/>
                <w:bCs/>
                <w:sz w:val="22"/>
                <w:lang w:val="en-IN"/>
              </w:rPr>
              <w:t>Experimental conditions</w:t>
            </w:r>
          </w:p>
        </w:tc>
        <w:tc>
          <w:tcPr>
            <w:tcW w:w="938" w:type="dxa"/>
            <w:tcBorders>
              <w:top w:val="single" w:sz="4" w:space="0" w:color="auto"/>
              <w:bottom w:val="single" w:sz="4" w:space="0" w:color="auto"/>
            </w:tcBorders>
            <w:tcMar>
              <w:left w:w="58" w:type="dxa"/>
              <w:right w:w="58" w:type="dxa"/>
            </w:tcMar>
            <w:vAlign w:val="center"/>
            <w:hideMark/>
          </w:tcPr>
          <w:p w14:paraId="15009231" w14:textId="77777777" w:rsidR="00855FF1" w:rsidRPr="00855FF1" w:rsidRDefault="00855FF1" w:rsidP="00855FF1">
            <w:pPr>
              <w:spacing w:after="0" w:line="240" w:lineRule="auto"/>
              <w:jc w:val="center"/>
              <w:rPr>
                <w:rFonts w:cs="Times New Roman"/>
                <w:b/>
                <w:bCs/>
                <w:sz w:val="22"/>
                <w:lang w:val="en-IN"/>
              </w:rPr>
            </w:pPr>
            <w:r w:rsidRPr="00855FF1">
              <w:rPr>
                <w:rFonts w:cs="Times New Roman"/>
                <w:b/>
                <w:bCs/>
                <w:sz w:val="22"/>
                <w:lang w:val="en-IN"/>
              </w:rPr>
              <w:t>Time (min)</w:t>
            </w:r>
          </w:p>
        </w:tc>
        <w:tc>
          <w:tcPr>
            <w:tcW w:w="1510" w:type="dxa"/>
            <w:tcBorders>
              <w:top w:val="single" w:sz="4" w:space="0" w:color="auto"/>
              <w:bottom w:val="single" w:sz="4" w:space="0" w:color="auto"/>
            </w:tcBorders>
            <w:tcMar>
              <w:left w:w="58" w:type="dxa"/>
              <w:right w:w="58" w:type="dxa"/>
            </w:tcMar>
            <w:vAlign w:val="center"/>
            <w:hideMark/>
          </w:tcPr>
          <w:p w14:paraId="51F51307" w14:textId="77777777" w:rsidR="00855FF1" w:rsidRPr="00855FF1" w:rsidRDefault="00855FF1" w:rsidP="00855FF1">
            <w:pPr>
              <w:spacing w:after="0" w:line="240" w:lineRule="auto"/>
              <w:ind w:right="-110"/>
              <w:jc w:val="center"/>
              <w:rPr>
                <w:rFonts w:cs="Times New Roman"/>
                <w:b/>
                <w:bCs/>
                <w:sz w:val="22"/>
                <w:lang w:val="en-IN"/>
              </w:rPr>
            </w:pPr>
            <w:r w:rsidRPr="00855FF1">
              <w:rPr>
                <w:rFonts w:cs="Times New Roman"/>
                <w:b/>
                <w:bCs/>
                <w:sz w:val="22"/>
                <w:lang w:val="en-IN"/>
              </w:rPr>
              <w:t>Removal efficiency (%)</w:t>
            </w:r>
          </w:p>
        </w:tc>
        <w:tc>
          <w:tcPr>
            <w:tcW w:w="2440" w:type="dxa"/>
            <w:tcBorders>
              <w:top w:val="single" w:sz="4" w:space="0" w:color="auto"/>
              <w:bottom w:val="single" w:sz="4" w:space="0" w:color="auto"/>
            </w:tcBorders>
            <w:tcMar>
              <w:left w:w="58" w:type="dxa"/>
              <w:right w:w="58" w:type="dxa"/>
            </w:tcMar>
            <w:vAlign w:val="center"/>
            <w:hideMark/>
          </w:tcPr>
          <w:p w14:paraId="41E7DA58" w14:textId="77777777" w:rsidR="00855FF1" w:rsidRPr="00855FF1" w:rsidRDefault="00855FF1" w:rsidP="00855FF1">
            <w:pPr>
              <w:spacing w:after="0" w:line="240" w:lineRule="auto"/>
              <w:jc w:val="center"/>
              <w:rPr>
                <w:rFonts w:cs="Times New Roman"/>
                <w:b/>
                <w:bCs/>
                <w:sz w:val="22"/>
                <w:lang w:val="en-IN"/>
              </w:rPr>
            </w:pPr>
            <w:r w:rsidRPr="00855FF1">
              <w:rPr>
                <w:rFonts w:cs="Times New Roman"/>
                <w:b/>
                <w:bCs/>
                <w:sz w:val="22"/>
                <w:lang w:val="en-IN"/>
              </w:rPr>
              <w:t>References</w:t>
            </w:r>
          </w:p>
        </w:tc>
      </w:tr>
      <w:tr w:rsidR="00855FF1" w:rsidRPr="00855FF1" w14:paraId="6EF657B3" w14:textId="77777777" w:rsidTr="0001742A">
        <w:trPr>
          <w:trHeight w:val="254"/>
          <w:jc w:val="center"/>
        </w:trPr>
        <w:tc>
          <w:tcPr>
            <w:tcW w:w="2247" w:type="dxa"/>
            <w:tcBorders>
              <w:top w:val="single" w:sz="4" w:space="0" w:color="auto"/>
              <w:bottom w:val="single" w:sz="4" w:space="0" w:color="auto"/>
            </w:tcBorders>
            <w:tcMar>
              <w:left w:w="58" w:type="dxa"/>
              <w:right w:w="58" w:type="dxa"/>
            </w:tcMar>
            <w:vAlign w:val="center"/>
            <w:hideMark/>
          </w:tcPr>
          <w:p w14:paraId="6329B7E7"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HC/Fe</w:t>
            </w:r>
            <w:r w:rsidRPr="00855FF1">
              <w:rPr>
                <w:rFonts w:cs="Times New Roman"/>
                <w:bCs/>
                <w:sz w:val="22"/>
                <w:vertAlign w:val="superscript"/>
                <w:lang w:val="en-IN"/>
              </w:rPr>
              <w:t>3+</w:t>
            </w:r>
            <w:r w:rsidRPr="00855FF1">
              <w:rPr>
                <w:rFonts w:cs="Times New Roman"/>
                <w:bCs/>
                <w:sz w:val="22"/>
                <w:lang w:val="en-IN"/>
              </w:rPr>
              <w:t>-doped TiO</w:t>
            </w:r>
            <w:r w:rsidRPr="00855FF1">
              <w:rPr>
                <w:rFonts w:cs="Times New Roman"/>
                <w:bCs/>
                <w:sz w:val="22"/>
                <w:vertAlign w:val="subscript"/>
                <w:lang w:val="en-IN"/>
              </w:rPr>
              <w:t>2</w:t>
            </w:r>
          </w:p>
        </w:tc>
        <w:tc>
          <w:tcPr>
            <w:tcW w:w="1879" w:type="dxa"/>
            <w:tcBorders>
              <w:top w:val="single" w:sz="4" w:space="0" w:color="auto"/>
              <w:bottom w:val="single" w:sz="4" w:space="0" w:color="auto"/>
            </w:tcBorders>
            <w:tcMar>
              <w:left w:w="58" w:type="dxa"/>
              <w:right w:w="58" w:type="dxa"/>
            </w:tcMar>
            <w:vAlign w:val="center"/>
            <w:hideMark/>
          </w:tcPr>
          <w:p w14:paraId="528101BE"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Rhodamine B</w:t>
            </w:r>
          </w:p>
        </w:tc>
        <w:tc>
          <w:tcPr>
            <w:tcW w:w="1242" w:type="dxa"/>
            <w:tcBorders>
              <w:top w:val="single" w:sz="4" w:space="0" w:color="auto"/>
              <w:bottom w:val="single" w:sz="4" w:space="0" w:color="auto"/>
            </w:tcBorders>
            <w:tcMar>
              <w:left w:w="58" w:type="dxa"/>
              <w:right w:w="58" w:type="dxa"/>
            </w:tcMar>
            <w:vAlign w:val="center"/>
            <w:hideMark/>
          </w:tcPr>
          <w:p w14:paraId="3A2CB449"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20</w:t>
            </w:r>
          </w:p>
        </w:tc>
        <w:tc>
          <w:tcPr>
            <w:tcW w:w="2704" w:type="dxa"/>
            <w:tcBorders>
              <w:top w:val="single" w:sz="4" w:space="0" w:color="auto"/>
              <w:bottom w:val="single" w:sz="4" w:space="0" w:color="auto"/>
            </w:tcBorders>
            <w:tcMar>
              <w:left w:w="58" w:type="dxa"/>
              <w:right w:w="58" w:type="dxa"/>
            </w:tcMar>
            <w:vAlign w:val="center"/>
            <w:hideMark/>
          </w:tcPr>
          <w:p w14:paraId="600D1B53"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Pressure = 3 bar</w:t>
            </w:r>
          </w:p>
          <w:p w14:paraId="71DE31F1" w14:textId="32371AED"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 xml:space="preserve">Catalyst = 0.5 </w:t>
            </w:r>
            <w:r w:rsidRPr="00855FF1">
              <w:rPr>
                <w:rFonts w:cs="Times New Roman"/>
                <w:bCs/>
                <w:color w:val="000000"/>
                <w:sz w:val="22"/>
                <w:lang w:val="en-IN"/>
              </w:rPr>
              <w:t>mg L</w:t>
            </w:r>
            <w:r w:rsidR="00AA0DD6">
              <w:rPr>
                <w:rFonts w:cs="Times New Roman"/>
                <w:bCs/>
                <w:color w:val="000000" w:themeColor="text1"/>
                <w:szCs w:val="24"/>
                <w:vertAlign w:val="superscript"/>
                <w:lang w:val="en-IN"/>
              </w:rPr>
              <w:t>‒</w:t>
            </w:r>
            <w:r w:rsidRPr="00855FF1">
              <w:rPr>
                <w:rFonts w:cs="Times New Roman"/>
                <w:bCs/>
                <w:color w:val="000000"/>
                <w:sz w:val="22"/>
                <w:vertAlign w:val="superscript"/>
                <w:lang w:val="en-IN"/>
              </w:rPr>
              <w:t>1</w:t>
            </w:r>
          </w:p>
        </w:tc>
        <w:tc>
          <w:tcPr>
            <w:tcW w:w="938" w:type="dxa"/>
            <w:tcBorders>
              <w:top w:val="single" w:sz="4" w:space="0" w:color="auto"/>
              <w:bottom w:val="single" w:sz="4" w:space="0" w:color="auto"/>
            </w:tcBorders>
            <w:tcMar>
              <w:left w:w="58" w:type="dxa"/>
              <w:right w:w="58" w:type="dxa"/>
            </w:tcMar>
            <w:vAlign w:val="center"/>
            <w:hideMark/>
          </w:tcPr>
          <w:p w14:paraId="742ECEE0"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150</w:t>
            </w:r>
          </w:p>
        </w:tc>
        <w:tc>
          <w:tcPr>
            <w:tcW w:w="1510" w:type="dxa"/>
            <w:tcBorders>
              <w:top w:val="single" w:sz="4" w:space="0" w:color="auto"/>
              <w:bottom w:val="single" w:sz="4" w:space="0" w:color="auto"/>
            </w:tcBorders>
            <w:tcMar>
              <w:left w:w="58" w:type="dxa"/>
              <w:right w:w="58" w:type="dxa"/>
            </w:tcMar>
            <w:vAlign w:val="center"/>
            <w:hideMark/>
          </w:tcPr>
          <w:p w14:paraId="42C36FF8"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91.11</w:t>
            </w:r>
          </w:p>
        </w:tc>
        <w:tc>
          <w:tcPr>
            <w:tcW w:w="2440" w:type="dxa"/>
            <w:tcBorders>
              <w:top w:val="single" w:sz="4" w:space="0" w:color="auto"/>
              <w:bottom w:val="single" w:sz="4" w:space="0" w:color="auto"/>
            </w:tcBorders>
            <w:tcMar>
              <w:left w:w="58" w:type="dxa"/>
              <w:right w:w="58" w:type="dxa"/>
            </w:tcMar>
            <w:vAlign w:val="center"/>
            <w:hideMark/>
          </w:tcPr>
          <w:p w14:paraId="5EAB5C07"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fldChar w:fldCharType="begin" w:fldLock="1"/>
            </w:r>
            <w:r w:rsidRPr="00855FF1">
              <w:rPr>
                <w:rFonts w:cs="Times New Roman"/>
                <w:bCs/>
                <w:sz w:val="22"/>
                <w:lang w:val="en-IN"/>
              </w:rPr>
              <w:instrText>ADDIN CSL_CITATION {"citationItems":[{"id":"ITEM-1","itemData":{"DOI":"10.1016/j.ultsonch.2019.104806","ISSN":"13504177","PMID":"31563794","abstract":"In this paper, a novel method, hydrodynamic cavitation (HC) combined with Fe3+-doped TiO2, for the degradation of organic pollutants in aqueous solution is reported. The venturi tubes with different geometric parameters (size, shape and half divergent angle) are designed to obtain a strong HC effect. The structure, morphology and chemical composition of prepared Fe3+-doped TiO2 as catalyst are characterized via using XRD, SEM, TEM, XPS, UV-vis DRS and PL methods. The effects of added TiO2 (heat-treated at different temperatures for different times) and Fe3+-doped TiO2 (with different mole ratios of Fe and Ti) on the HC catalytic degradation of RhB are discussed. The influences of operation parameters including inlet pressure, initial RhB concentration and operating temperature on the HC catalytic degradation of RhB are studied by Box-Behnken design (BBD) and response surface methodology (RSM). Under 3.0 bar inlet pressure for 10 mg/L initial concentration of RhB solution at 40 °C operating temperature in the presence of Fe3+-doped TiO2 with 0.05:1.00 M ratio of Fe and Ti, the best HC degradation ratio can be obtained (91.11%). Furthermore, a possible mechanism of HC degradation of organic pollutants in the presence of Fe3+-doped TiO2 is proposed. Perhaps, this study may provide a feasible method for a large-scale treatment of dye wastewater.","author":[{"dropping-particle":"","family":"Li","given":"Guanshu","non-dropping-particle":"","parse-names":false,"suffix":""},{"dropping-particle":"","family":"Yi","given":"Ludong","non-dropping-particle":"","parse-names":false,"suffix":""},{"dropping-particle":"","family":"Wang","given":"Jun","non-dropping-particle":"","parse-names":false,"suffix":""},{"dropping-particle":"","family":"Song","given":"Youtao","non-dropping-particle":"","parse-names":false,"suffix":""}],"container-title":"Ultrasonics Sonochemistry","id":"ITEM-1","issued":{"date-parts":[["2020","1"]]},"page":"104806","title":"Hydrodynamic cavitation degradation of Rhodamine B assisted by Fe3+-doped TiO2: Mechanisms, geometric and operation parameters","type":"article-journal","volume":"60"},"uris":["http://www.mendeley.com/documents/?uuid=47a44f2e-0086-4c02-9004-372f17b0205b","http://www.mendeley.com/documents/?uuid=1f21fcb2-9a40-4a92-92c7-344069969d45"]}],"mendeley":{"formattedCitation":"(Li et al., 2020)","plainTextFormattedCitation":"(Li et al., 2020)","previouslyFormattedCitation":"(Li et al., 2020)"},"properties":{"noteIndex":0},"schema":"https://github.com/citation-style-language/schema/raw/master/csl-citation.json"}</w:instrText>
            </w:r>
            <w:r w:rsidRPr="00855FF1">
              <w:rPr>
                <w:rFonts w:cs="Times New Roman"/>
                <w:bCs/>
                <w:sz w:val="22"/>
                <w:lang w:val="en-IN"/>
              </w:rPr>
              <w:fldChar w:fldCharType="separate"/>
            </w:r>
            <w:r w:rsidRPr="00855FF1">
              <w:rPr>
                <w:rFonts w:cs="Times New Roman"/>
                <w:bCs/>
                <w:noProof/>
                <w:sz w:val="22"/>
                <w:lang w:val="en-IN"/>
              </w:rPr>
              <w:t>(Li et al., 2020)</w:t>
            </w:r>
            <w:r w:rsidRPr="00855FF1">
              <w:rPr>
                <w:rFonts w:cs="Times New Roman"/>
                <w:bCs/>
                <w:sz w:val="22"/>
                <w:lang w:val="en-IN"/>
              </w:rPr>
              <w:fldChar w:fldCharType="end"/>
            </w:r>
          </w:p>
        </w:tc>
      </w:tr>
      <w:tr w:rsidR="00855FF1" w:rsidRPr="00855FF1" w14:paraId="3DDBE177" w14:textId="77777777" w:rsidTr="0001742A">
        <w:trPr>
          <w:trHeight w:val="254"/>
          <w:jc w:val="center"/>
        </w:trPr>
        <w:tc>
          <w:tcPr>
            <w:tcW w:w="2247" w:type="dxa"/>
            <w:tcBorders>
              <w:top w:val="single" w:sz="4" w:space="0" w:color="auto"/>
              <w:bottom w:val="single" w:sz="4" w:space="0" w:color="auto"/>
            </w:tcBorders>
            <w:tcMar>
              <w:left w:w="58" w:type="dxa"/>
              <w:right w:w="58" w:type="dxa"/>
            </w:tcMar>
            <w:vAlign w:val="center"/>
            <w:hideMark/>
          </w:tcPr>
          <w:p w14:paraId="7B8F6217"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HC/UV/O</w:t>
            </w:r>
            <w:r w:rsidRPr="00855FF1">
              <w:rPr>
                <w:rFonts w:cs="Times New Roman"/>
                <w:bCs/>
                <w:sz w:val="22"/>
                <w:vertAlign w:val="subscript"/>
                <w:lang w:val="en-IN"/>
              </w:rPr>
              <w:t>3</w:t>
            </w:r>
            <w:r w:rsidRPr="00855FF1">
              <w:rPr>
                <w:rFonts w:cs="Times New Roman"/>
                <w:bCs/>
                <w:sz w:val="22"/>
                <w:lang w:val="en-IN"/>
              </w:rPr>
              <w:t>/H</w:t>
            </w:r>
            <w:r w:rsidRPr="00855FF1">
              <w:rPr>
                <w:rFonts w:cs="Times New Roman"/>
                <w:bCs/>
                <w:sz w:val="22"/>
                <w:vertAlign w:val="subscript"/>
                <w:lang w:val="en-IN"/>
              </w:rPr>
              <w:t>2</w:t>
            </w:r>
            <w:r w:rsidRPr="00855FF1">
              <w:rPr>
                <w:rFonts w:cs="Times New Roman"/>
                <w:bCs/>
                <w:sz w:val="22"/>
                <w:lang w:val="en-IN"/>
              </w:rPr>
              <w:t>O</w:t>
            </w:r>
            <w:r w:rsidRPr="00855FF1">
              <w:rPr>
                <w:rFonts w:cs="Times New Roman"/>
                <w:bCs/>
                <w:sz w:val="22"/>
                <w:vertAlign w:val="subscript"/>
                <w:lang w:val="en-IN"/>
              </w:rPr>
              <w:t>2</w:t>
            </w:r>
          </w:p>
        </w:tc>
        <w:tc>
          <w:tcPr>
            <w:tcW w:w="1879" w:type="dxa"/>
            <w:tcBorders>
              <w:top w:val="single" w:sz="4" w:space="0" w:color="auto"/>
              <w:bottom w:val="single" w:sz="4" w:space="0" w:color="auto"/>
            </w:tcBorders>
            <w:tcMar>
              <w:left w:w="58" w:type="dxa"/>
              <w:right w:w="58" w:type="dxa"/>
            </w:tcMar>
            <w:vAlign w:val="center"/>
            <w:hideMark/>
          </w:tcPr>
          <w:p w14:paraId="46B2F422"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Humic acid</w:t>
            </w:r>
          </w:p>
        </w:tc>
        <w:tc>
          <w:tcPr>
            <w:tcW w:w="1242" w:type="dxa"/>
            <w:tcBorders>
              <w:top w:val="single" w:sz="4" w:space="0" w:color="auto"/>
              <w:bottom w:val="single" w:sz="4" w:space="0" w:color="auto"/>
            </w:tcBorders>
            <w:tcMar>
              <w:left w:w="58" w:type="dxa"/>
              <w:right w:w="58" w:type="dxa"/>
            </w:tcMar>
            <w:vAlign w:val="center"/>
            <w:hideMark/>
          </w:tcPr>
          <w:p w14:paraId="5A4C85DB"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3</w:t>
            </w:r>
          </w:p>
        </w:tc>
        <w:tc>
          <w:tcPr>
            <w:tcW w:w="2704" w:type="dxa"/>
            <w:tcBorders>
              <w:top w:val="single" w:sz="4" w:space="0" w:color="auto"/>
              <w:bottom w:val="single" w:sz="4" w:space="0" w:color="auto"/>
            </w:tcBorders>
            <w:tcMar>
              <w:left w:w="58" w:type="dxa"/>
              <w:right w:w="58" w:type="dxa"/>
            </w:tcMar>
            <w:vAlign w:val="center"/>
            <w:hideMark/>
          </w:tcPr>
          <w:p w14:paraId="44B803AA"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Pressure = 4 bar</w:t>
            </w:r>
          </w:p>
          <w:p w14:paraId="62717A2E" w14:textId="0710D662"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 xml:space="preserve">UV fluence = 300 </w:t>
            </w:r>
            <w:proofErr w:type="spellStart"/>
            <w:r w:rsidRPr="00855FF1">
              <w:rPr>
                <w:rFonts w:cs="Times New Roman"/>
                <w:color w:val="000000"/>
                <w:sz w:val="22"/>
              </w:rPr>
              <w:t>mJ</w:t>
            </w:r>
            <w:proofErr w:type="spellEnd"/>
            <w:r w:rsidRPr="00855FF1">
              <w:rPr>
                <w:rFonts w:cs="Times New Roman"/>
                <w:color w:val="000000"/>
                <w:sz w:val="22"/>
              </w:rPr>
              <w:t xml:space="preserve"> cm</w:t>
            </w:r>
            <w:r w:rsidR="00AA0DD6">
              <w:rPr>
                <w:rFonts w:cs="Times New Roman"/>
                <w:bCs/>
                <w:color w:val="000000" w:themeColor="text1"/>
                <w:szCs w:val="24"/>
                <w:vertAlign w:val="superscript"/>
                <w:lang w:val="en-IN"/>
              </w:rPr>
              <w:t>‒</w:t>
            </w:r>
            <w:r w:rsidRPr="00855FF1">
              <w:rPr>
                <w:rFonts w:cs="Times New Roman"/>
                <w:color w:val="000000"/>
                <w:sz w:val="22"/>
                <w:vertAlign w:val="superscript"/>
              </w:rPr>
              <w:t>2</w:t>
            </w:r>
          </w:p>
          <w:p w14:paraId="3669265B" w14:textId="2BFD30BD"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O</w:t>
            </w:r>
            <w:r w:rsidRPr="00855FF1">
              <w:rPr>
                <w:rFonts w:cs="Times New Roman"/>
                <w:bCs/>
                <w:sz w:val="22"/>
                <w:vertAlign w:val="subscript"/>
                <w:lang w:val="en-IN"/>
              </w:rPr>
              <w:t>3</w:t>
            </w:r>
            <w:r w:rsidRPr="00855FF1">
              <w:rPr>
                <w:rFonts w:cs="Times New Roman"/>
                <w:bCs/>
                <w:sz w:val="22"/>
                <w:lang w:val="en-IN"/>
              </w:rPr>
              <w:t xml:space="preserve"> = 2 </w:t>
            </w:r>
            <w:r w:rsidRPr="00855FF1">
              <w:rPr>
                <w:rFonts w:cs="Times New Roman"/>
                <w:bCs/>
                <w:color w:val="000000"/>
                <w:sz w:val="22"/>
                <w:lang w:val="en-IN"/>
              </w:rPr>
              <w:t>mg L</w:t>
            </w:r>
            <w:r w:rsidR="00AA0DD6">
              <w:rPr>
                <w:rFonts w:cs="Times New Roman"/>
                <w:bCs/>
                <w:color w:val="000000" w:themeColor="text1"/>
                <w:szCs w:val="24"/>
                <w:vertAlign w:val="superscript"/>
                <w:lang w:val="en-IN"/>
              </w:rPr>
              <w:t>‒</w:t>
            </w:r>
            <w:r w:rsidRPr="00855FF1">
              <w:rPr>
                <w:rFonts w:cs="Times New Roman"/>
                <w:bCs/>
                <w:color w:val="000000"/>
                <w:sz w:val="22"/>
                <w:vertAlign w:val="superscript"/>
                <w:lang w:val="en-IN"/>
              </w:rPr>
              <w:t>1</w:t>
            </w:r>
          </w:p>
          <w:p w14:paraId="7AF13D42" w14:textId="2B4392E9"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H</w:t>
            </w:r>
            <w:r w:rsidRPr="00855FF1">
              <w:rPr>
                <w:rFonts w:cs="Times New Roman"/>
                <w:bCs/>
                <w:sz w:val="22"/>
                <w:vertAlign w:val="subscript"/>
                <w:lang w:val="en-IN"/>
              </w:rPr>
              <w:t>2</w:t>
            </w:r>
            <w:r w:rsidRPr="00855FF1">
              <w:rPr>
                <w:rFonts w:cs="Times New Roman"/>
                <w:bCs/>
                <w:sz w:val="22"/>
                <w:lang w:val="en-IN"/>
              </w:rPr>
              <w:t>O</w:t>
            </w:r>
            <w:r w:rsidRPr="00855FF1">
              <w:rPr>
                <w:rFonts w:cs="Times New Roman"/>
                <w:bCs/>
                <w:sz w:val="22"/>
                <w:vertAlign w:val="subscript"/>
                <w:lang w:val="en-IN"/>
              </w:rPr>
              <w:t>2</w:t>
            </w:r>
            <w:r w:rsidRPr="00855FF1">
              <w:rPr>
                <w:rFonts w:cs="Times New Roman"/>
                <w:bCs/>
                <w:sz w:val="22"/>
                <w:lang w:val="en-IN"/>
              </w:rPr>
              <w:t xml:space="preserve"> = 4 </w:t>
            </w:r>
            <w:r w:rsidRPr="00855FF1">
              <w:rPr>
                <w:rFonts w:cs="Times New Roman"/>
                <w:bCs/>
                <w:color w:val="000000"/>
                <w:sz w:val="22"/>
                <w:lang w:val="en-IN"/>
              </w:rPr>
              <w:t>mg L</w:t>
            </w:r>
            <w:r w:rsidR="00AA0DD6">
              <w:rPr>
                <w:rFonts w:cs="Times New Roman"/>
                <w:bCs/>
                <w:color w:val="000000" w:themeColor="text1"/>
                <w:szCs w:val="24"/>
                <w:vertAlign w:val="superscript"/>
                <w:lang w:val="en-IN"/>
              </w:rPr>
              <w:t>‒</w:t>
            </w:r>
            <w:r w:rsidRPr="00855FF1">
              <w:rPr>
                <w:rFonts w:cs="Times New Roman"/>
                <w:bCs/>
                <w:color w:val="000000"/>
                <w:sz w:val="22"/>
                <w:vertAlign w:val="superscript"/>
                <w:lang w:val="en-IN"/>
              </w:rPr>
              <w:t>1</w:t>
            </w:r>
          </w:p>
        </w:tc>
        <w:tc>
          <w:tcPr>
            <w:tcW w:w="938" w:type="dxa"/>
            <w:tcBorders>
              <w:top w:val="single" w:sz="4" w:space="0" w:color="auto"/>
              <w:bottom w:val="single" w:sz="4" w:space="0" w:color="auto"/>
            </w:tcBorders>
            <w:tcMar>
              <w:left w:w="58" w:type="dxa"/>
              <w:right w:w="58" w:type="dxa"/>
            </w:tcMar>
            <w:vAlign w:val="center"/>
            <w:hideMark/>
          </w:tcPr>
          <w:p w14:paraId="13C802C4"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60</w:t>
            </w:r>
          </w:p>
        </w:tc>
        <w:tc>
          <w:tcPr>
            <w:tcW w:w="1510" w:type="dxa"/>
            <w:tcBorders>
              <w:top w:val="single" w:sz="4" w:space="0" w:color="auto"/>
              <w:bottom w:val="single" w:sz="4" w:space="0" w:color="auto"/>
            </w:tcBorders>
            <w:tcMar>
              <w:left w:w="58" w:type="dxa"/>
              <w:right w:w="58" w:type="dxa"/>
            </w:tcMar>
            <w:vAlign w:val="center"/>
            <w:hideMark/>
          </w:tcPr>
          <w:p w14:paraId="7B1EE15B"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71.2</w:t>
            </w:r>
          </w:p>
        </w:tc>
        <w:tc>
          <w:tcPr>
            <w:tcW w:w="2440" w:type="dxa"/>
            <w:tcBorders>
              <w:top w:val="single" w:sz="4" w:space="0" w:color="auto"/>
              <w:bottom w:val="single" w:sz="4" w:space="0" w:color="auto"/>
            </w:tcBorders>
            <w:tcMar>
              <w:left w:w="58" w:type="dxa"/>
              <w:right w:w="58" w:type="dxa"/>
            </w:tcMar>
            <w:vAlign w:val="center"/>
            <w:hideMark/>
          </w:tcPr>
          <w:p w14:paraId="6AB85D30"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fldChar w:fldCharType="begin" w:fldLock="1"/>
            </w:r>
            <w:r w:rsidRPr="00855FF1">
              <w:rPr>
                <w:rFonts w:cs="Times New Roman"/>
                <w:bCs/>
                <w:sz w:val="22"/>
                <w:lang w:val="en-IN"/>
              </w:rPr>
              <w:instrText>ADDIN CSL_CITATION {"citationItems":[{"id":"ITEM-1","itemData":{"DOI":"10.1016/j.ultsonch.2017.01.036","ISSN":"13504177","PMID":"28427649","abstract":"Natural organic matter in drinking water is causing concern especially due to the formation of disinfection by-products (DBPs) by chlorine, as these are proven to have adverse health effects on consumers. In this research, humic acid was used as a source of dissolved organic carbon (DOC) in drinking water (up to 3 mg L−1). The efficiency of DOC removal was studied by applying O3, H2O2/O3, H2O2/UV and O3/UV advanced oxidation processes (AOPs) alone and combined with hybrid hydrodynamic cavitation (HC), generated by an orifice plate, as this technology recently shows promising potential for the treatment of water, containing recalcitrant organic substances. It was observed that the combined treatment by HC could significantly affect the performance of the applied AOPs, with as little as 3–9 passes through the cavitation generators. For O3 and H2O2 dosages up to 2 and 4 mg L−1, respectively, and UV dosage up to 300 mJ cm−2, HC enhanced DOC removal by 5–15% in all combinations, except for O3/UV AOPs. Overall, the potential benefits of HC for DOC removal were emphasized for low ratio between applied oxidants to DOC and high UV absorbance of the sample. Investigated DBPs formation potentials require special attention for H2O2/UV AOPs and combinations with HC.","author":[{"dropping-particle":"","family":"Čehovin","given":"Matej","non-dropping-particle":"","parse-names":false,"suffix":""},{"dropping-particle":"","family":"Medic","given":"Alojz","non-dropping-particle":"","parse-names":false,"suffix":""},{"dropping-particle":"","family":"Scheideler","given":"Jens","non-dropping-particle":"","parse-names":false,"suffix":""},{"dropping-particle":"","family":"Mielcke","given":"Jörg","non-dropping-particle":"","parse-names":false,"suffix":""},{"dropping-particle":"","family":"Ried","given":"Achim","non-dropping-particle":"","parse-names":false,"suffix":""},{"dropping-particle":"","family":"Kompare","given":"Boris","non-dropping-particle":"","parse-names":false,"suffix":""},{"dropping-particle":"","family":"Žgajnar Gotvajn","given":"Andreja","non-dropping-particle":"","parse-names":false,"suffix":""}],"container-title":"Ultrasonics Sonochemistry","id":"ITEM-1","issued":{"date-parts":[["2017","7"]]},"page":"394-404","title":"Hydrodynamic cavitation in combination with the ozone, hydrogen peroxide and the UV-based advanced oxidation processes for the removal of natural organic matter from drinking water","type":"article-journal","volume":"37"},"uris":["http://www.mendeley.com/documents/?uuid=008aa560-6f3e-4a90-88d4-d27b0f172c7d"]}],"mendeley":{"formattedCitation":"(Čehovin et al., 2017)","plainTextFormattedCitation":"(Čehovin et al., 2017)","previouslyFormattedCitation":"(Čehovin et al., 2017)"},"properties":{"noteIndex":0},"schema":"https://github.com/citation-style-language/schema/raw/master/csl-citation.json"}</w:instrText>
            </w:r>
            <w:r w:rsidRPr="00855FF1">
              <w:rPr>
                <w:rFonts w:cs="Times New Roman"/>
                <w:bCs/>
                <w:sz w:val="22"/>
                <w:lang w:val="en-IN"/>
              </w:rPr>
              <w:fldChar w:fldCharType="separate"/>
            </w:r>
            <w:r w:rsidRPr="00855FF1">
              <w:rPr>
                <w:rFonts w:cs="Times New Roman"/>
                <w:bCs/>
                <w:noProof/>
                <w:sz w:val="22"/>
                <w:lang w:val="en-IN"/>
              </w:rPr>
              <w:t>(Čehovin et al., 2017)</w:t>
            </w:r>
            <w:r w:rsidRPr="00855FF1">
              <w:rPr>
                <w:rFonts w:cs="Times New Roman"/>
                <w:bCs/>
                <w:sz w:val="22"/>
                <w:lang w:val="en-IN"/>
              </w:rPr>
              <w:fldChar w:fldCharType="end"/>
            </w:r>
          </w:p>
        </w:tc>
      </w:tr>
      <w:tr w:rsidR="00855FF1" w:rsidRPr="00855FF1" w14:paraId="3981576C" w14:textId="77777777" w:rsidTr="0001742A">
        <w:trPr>
          <w:trHeight w:val="254"/>
          <w:jc w:val="center"/>
        </w:trPr>
        <w:tc>
          <w:tcPr>
            <w:tcW w:w="2247" w:type="dxa"/>
            <w:tcBorders>
              <w:top w:val="single" w:sz="4" w:space="0" w:color="auto"/>
              <w:bottom w:val="single" w:sz="4" w:space="0" w:color="auto"/>
            </w:tcBorders>
            <w:tcMar>
              <w:left w:w="58" w:type="dxa"/>
              <w:right w:w="58" w:type="dxa"/>
            </w:tcMar>
            <w:vAlign w:val="center"/>
            <w:hideMark/>
          </w:tcPr>
          <w:p w14:paraId="376562B4"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HC/O</w:t>
            </w:r>
            <w:r w:rsidRPr="00855FF1">
              <w:rPr>
                <w:rFonts w:cs="Times New Roman"/>
                <w:bCs/>
                <w:sz w:val="22"/>
                <w:vertAlign w:val="subscript"/>
                <w:lang w:val="en-IN"/>
              </w:rPr>
              <w:t>3</w:t>
            </w:r>
          </w:p>
        </w:tc>
        <w:tc>
          <w:tcPr>
            <w:tcW w:w="1879" w:type="dxa"/>
            <w:tcBorders>
              <w:top w:val="single" w:sz="4" w:space="0" w:color="auto"/>
              <w:bottom w:val="single" w:sz="4" w:space="0" w:color="auto"/>
            </w:tcBorders>
            <w:tcMar>
              <w:left w:w="58" w:type="dxa"/>
              <w:right w:w="58" w:type="dxa"/>
            </w:tcMar>
            <w:vAlign w:val="center"/>
            <w:hideMark/>
          </w:tcPr>
          <w:p w14:paraId="47887060" w14:textId="77777777" w:rsidR="00855FF1" w:rsidRPr="00855FF1" w:rsidRDefault="00855FF1" w:rsidP="00855FF1">
            <w:pPr>
              <w:spacing w:after="0" w:line="240" w:lineRule="auto"/>
              <w:ind w:right="-116"/>
              <w:jc w:val="center"/>
              <w:rPr>
                <w:rFonts w:cs="Times New Roman"/>
                <w:bCs/>
                <w:sz w:val="22"/>
                <w:lang w:val="en-IN"/>
              </w:rPr>
            </w:pPr>
            <w:r w:rsidRPr="00855FF1">
              <w:rPr>
                <w:rFonts w:cs="Times New Roman"/>
                <w:bCs/>
                <w:sz w:val="22"/>
                <w:lang w:val="en-IN"/>
              </w:rPr>
              <w:t>Methyl orange</w:t>
            </w:r>
          </w:p>
        </w:tc>
        <w:tc>
          <w:tcPr>
            <w:tcW w:w="1242" w:type="dxa"/>
            <w:tcBorders>
              <w:top w:val="single" w:sz="4" w:space="0" w:color="auto"/>
              <w:bottom w:val="single" w:sz="4" w:space="0" w:color="auto"/>
            </w:tcBorders>
            <w:tcMar>
              <w:left w:w="58" w:type="dxa"/>
              <w:right w:w="58" w:type="dxa"/>
            </w:tcMar>
            <w:vAlign w:val="center"/>
            <w:hideMark/>
          </w:tcPr>
          <w:p w14:paraId="584BFCAC"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20</w:t>
            </w:r>
          </w:p>
        </w:tc>
        <w:tc>
          <w:tcPr>
            <w:tcW w:w="2704" w:type="dxa"/>
            <w:tcBorders>
              <w:top w:val="single" w:sz="4" w:space="0" w:color="auto"/>
              <w:bottom w:val="single" w:sz="4" w:space="0" w:color="auto"/>
            </w:tcBorders>
            <w:tcMar>
              <w:left w:w="58" w:type="dxa"/>
              <w:right w:w="58" w:type="dxa"/>
            </w:tcMar>
            <w:vAlign w:val="center"/>
            <w:hideMark/>
          </w:tcPr>
          <w:p w14:paraId="76293E9A"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Pressure = 0.4 bar</w:t>
            </w:r>
          </w:p>
          <w:p w14:paraId="27539E45" w14:textId="5A67BCB9"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O</w:t>
            </w:r>
            <w:r w:rsidRPr="00855FF1">
              <w:rPr>
                <w:rFonts w:cs="Times New Roman"/>
                <w:bCs/>
                <w:sz w:val="22"/>
                <w:vertAlign w:val="subscript"/>
                <w:lang w:val="en-IN"/>
              </w:rPr>
              <w:t>3</w:t>
            </w:r>
            <w:r w:rsidRPr="00855FF1">
              <w:rPr>
                <w:rFonts w:cs="Times New Roman"/>
                <w:bCs/>
                <w:sz w:val="22"/>
                <w:lang w:val="en-IN"/>
              </w:rPr>
              <w:t xml:space="preserve"> = 46.32 </w:t>
            </w:r>
            <w:r w:rsidRPr="00855FF1">
              <w:rPr>
                <w:rFonts w:cs="Times New Roman"/>
                <w:bCs/>
                <w:color w:val="000000"/>
                <w:sz w:val="22"/>
                <w:lang w:val="en-IN"/>
              </w:rPr>
              <w:t>mg L</w:t>
            </w:r>
            <w:r w:rsidR="00AA0DD6">
              <w:rPr>
                <w:rFonts w:cs="Times New Roman"/>
                <w:bCs/>
                <w:color w:val="000000" w:themeColor="text1"/>
                <w:szCs w:val="24"/>
                <w:vertAlign w:val="superscript"/>
                <w:lang w:val="en-IN"/>
              </w:rPr>
              <w:t>‒</w:t>
            </w:r>
            <w:r w:rsidRPr="00855FF1">
              <w:rPr>
                <w:rFonts w:cs="Times New Roman"/>
                <w:bCs/>
                <w:color w:val="000000"/>
                <w:sz w:val="22"/>
                <w:vertAlign w:val="superscript"/>
                <w:lang w:val="en-IN"/>
              </w:rPr>
              <w:t>1</w:t>
            </w:r>
          </w:p>
        </w:tc>
        <w:tc>
          <w:tcPr>
            <w:tcW w:w="938" w:type="dxa"/>
            <w:tcBorders>
              <w:top w:val="single" w:sz="4" w:space="0" w:color="auto"/>
              <w:bottom w:val="single" w:sz="4" w:space="0" w:color="auto"/>
            </w:tcBorders>
            <w:tcMar>
              <w:left w:w="58" w:type="dxa"/>
              <w:right w:w="58" w:type="dxa"/>
            </w:tcMar>
            <w:vAlign w:val="center"/>
            <w:hideMark/>
          </w:tcPr>
          <w:p w14:paraId="4DEB8E83"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10</w:t>
            </w:r>
          </w:p>
        </w:tc>
        <w:tc>
          <w:tcPr>
            <w:tcW w:w="1510" w:type="dxa"/>
            <w:tcBorders>
              <w:top w:val="single" w:sz="4" w:space="0" w:color="auto"/>
              <w:bottom w:val="single" w:sz="4" w:space="0" w:color="auto"/>
            </w:tcBorders>
            <w:tcMar>
              <w:left w:w="58" w:type="dxa"/>
              <w:right w:w="58" w:type="dxa"/>
            </w:tcMar>
            <w:vAlign w:val="center"/>
            <w:hideMark/>
          </w:tcPr>
          <w:p w14:paraId="60C72270"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~100</w:t>
            </w:r>
          </w:p>
        </w:tc>
        <w:tc>
          <w:tcPr>
            <w:tcW w:w="2440" w:type="dxa"/>
            <w:tcBorders>
              <w:top w:val="single" w:sz="4" w:space="0" w:color="auto"/>
              <w:bottom w:val="single" w:sz="4" w:space="0" w:color="auto"/>
            </w:tcBorders>
            <w:tcMar>
              <w:left w:w="58" w:type="dxa"/>
              <w:right w:w="58" w:type="dxa"/>
            </w:tcMar>
            <w:vAlign w:val="center"/>
            <w:hideMark/>
          </w:tcPr>
          <w:p w14:paraId="5280FD46" w14:textId="4F56E961"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fldChar w:fldCharType="begin" w:fldLock="1"/>
            </w:r>
            <w:r w:rsidR="00664E96">
              <w:rPr>
                <w:rFonts w:cs="Times New Roman"/>
                <w:bCs/>
                <w:sz w:val="22"/>
                <w:lang w:val="en-IN"/>
              </w:rPr>
              <w:instrText>ADDIN CSL_CITATION {"citationItems":[{"id":"ITEM-1","itemData":{"DOI":"10.1016/j.jece.2020.103959","ISSN":"22133437","abstract":"Ozone has been applied for the advanced treatment of textile wastewater containing a large number of indigestible dyes and other macromolecular organics. However, due to the poor mass transfer performance of ozone, the efficiency of ozonation was limited, resulted in high operating cost. In the present work, the degradation of dyes and real textile wastewater by hydrodynamic cavitation combined with ozone (HC + O3) was studied in a small-scale pilot plant operating at a capacity of 40 L. The treatment of single HC and HC + Air had minute dye removal within 180 min whereas the treatment of HC + O3 and single O3 could degrade the dyes effectively in 10 min. The removal efficiency of dyes followed the order HC + O3 &gt; single O3 &gt; HC + Air &gt; single HC. The synergetic coefficient of HC + O3 was 1.33, which indicated that HC and O3 had noteworthy synergistic effect in the hybrid system. For the real textile wastewater, the removal rates of HC + O3 on COD, TOC, UV254 and color were 36%, 23%, 71% and 90% in 30 min, which was higher than the single treatment. The removal of UV254 and color showed that macromolecular organics and residual dyes were effectively degraded. Among these treatments, HC + O3 was the most energy-efficient. Therefore, HC + O3 could be used as a potential dye degradation technology and would have a promising engineering application value in the real textile wastewater advanced treatment.","author":[{"dropping-particle":"","family":"Wang","given":"Jihong","non-dropping-particle":"","parse-names":false,"suffix":""},{"dropping-particle":"","family":"Chen","given":"Huilun","non-dropping-particle":"","parse-names":false,"suffix":""},{"dropping-particle":"","family":"Yuan","given":"Rongfang","non-dropping-particle":"","parse-names":false,"suffix":""},{"dropping-particle":"","family":"Wang","given":"Fei","non-dropping-particle":"","parse-names":false,"suffix":""},{"dropping-particle":"","family":"Ma","given":"Fangshu","non-dropping-particle":"","parse-names":false,"suffix":""},{"dropping-particle":"","family":"Zhou","given":"Beihai","non-dropping-particle":"","parse-names":false,"suffix":""}],"container-title":"Journal of Environmental Chemical Engineering","id":"ITEM-1","issue":"4","issued":{"date-parts":[["2020","8"]]},"page":"103959","title":"Intensified degradation of textile wastewater using a novel treatment of hydrodynamic cavitation with the combination of ozone","type":"article-journal","volume":"8"},"uris":["http://www.mendeley.com/documents/?uuid=f0e5c782-5f31-4fb7-9423-11ca75052ff2"]}],"mendeley":{"formattedCitation":"(Wang et al., 2020)","manualFormatting":"(Wang et al., 2020)","plainTextFormattedCitation":"(Wang et al., 2020)","previouslyFormattedCitation":"(Wang et al., 2020)"},"properties":{"noteIndex":0},"schema":"https://github.com/citation-style-language/schema/raw/master/csl-citation.json"}</w:instrText>
            </w:r>
            <w:r w:rsidRPr="00855FF1">
              <w:rPr>
                <w:rFonts w:cs="Times New Roman"/>
                <w:bCs/>
                <w:sz w:val="22"/>
                <w:lang w:val="en-IN"/>
              </w:rPr>
              <w:fldChar w:fldCharType="separate"/>
            </w:r>
            <w:r w:rsidRPr="00855FF1">
              <w:rPr>
                <w:rFonts w:cs="Times New Roman"/>
                <w:bCs/>
                <w:noProof/>
                <w:sz w:val="22"/>
                <w:lang w:val="en-IN"/>
              </w:rPr>
              <w:t>(Wang et al., 2020)</w:t>
            </w:r>
            <w:r w:rsidRPr="00855FF1">
              <w:rPr>
                <w:rFonts w:cs="Times New Roman"/>
                <w:bCs/>
                <w:sz w:val="22"/>
                <w:lang w:val="en-IN"/>
              </w:rPr>
              <w:fldChar w:fldCharType="end"/>
            </w:r>
          </w:p>
        </w:tc>
      </w:tr>
      <w:tr w:rsidR="00855FF1" w:rsidRPr="00855FF1" w14:paraId="6F9A9508" w14:textId="77777777" w:rsidTr="0001742A">
        <w:trPr>
          <w:trHeight w:val="62"/>
          <w:jc w:val="center"/>
        </w:trPr>
        <w:tc>
          <w:tcPr>
            <w:tcW w:w="2247" w:type="dxa"/>
            <w:tcBorders>
              <w:top w:val="single" w:sz="4" w:space="0" w:color="auto"/>
              <w:bottom w:val="single" w:sz="4" w:space="0" w:color="auto"/>
            </w:tcBorders>
            <w:tcMar>
              <w:left w:w="58" w:type="dxa"/>
              <w:right w:w="58" w:type="dxa"/>
            </w:tcMar>
            <w:vAlign w:val="center"/>
            <w:hideMark/>
          </w:tcPr>
          <w:p w14:paraId="3203A0C7"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HC/PS/O</w:t>
            </w:r>
            <w:r w:rsidRPr="00855FF1">
              <w:rPr>
                <w:rFonts w:cs="Times New Roman"/>
                <w:bCs/>
                <w:sz w:val="22"/>
                <w:vertAlign w:val="subscript"/>
                <w:lang w:val="en-IN"/>
              </w:rPr>
              <w:t>3</w:t>
            </w:r>
          </w:p>
        </w:tc>
        <w:tc>
          <w:tcPr>
            <w:tcW w:w="1879" w:type="dxa"/>
            <w:tcBorders>
              <w:top w:val="single" w:sz="4" w:space="0" w:color="auto"/>
              <w:bottom w:val="single" w:sz="4" w:space="0" w:color="auto"/>
            </w:tcBorders>
            <w:tcMar>
              <w:left w:w="58" w:type="dxa"/>
              <w:right w:w="58" w:type="dxa"/>
            </w:tcMar>
            <w:vAlign w:val="center"/>
            <w:hideMark/>
          </w:tcPr>
          <w:p w14:paraId="503BC444"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Oxalic acid</w:t>
            </w:r>
          </w:p>
        </w:tc>
        <w:tc>
          <w:tcPr>
            <w:tcW w:w="1242" w:type="dxa"/>
            <w:tcBorders>
              <w:top w:val="single" w:sz="4" w:space="0" w:color="auto"/>
              <w:bottom w:val="single" w:sz="4" w:space="0" w:color="auto"/>
            </w:tcBorders>
            <w:tcMar>
              <w:left w:w="58" w:type="dxa"/>
              <w:right w:w="58" w:type="dxa"/>
            </w:tcMar>
            <w:vAlign w:val="center"/>
            <w:hideMark/>
          </w:tcPr>
          <w:p w14:paraId="1FE5339B"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100</w:t>
            </w:r>
          </w:p>
        </w:tc>
        <w:tc>
          <w:tcPr>
            <w:tcW w:w="2704" w:type="dxa"/>
            <w:tcBorders>
              <w:top w:val="single" w:sz="4" w:space="0" w:color="auto"/>
              <w:bottom w:val="single" w:sz="4" w:space="0" w:color="auto"/>
            </w:tcBorders>
            <w:tcMar>
              <w:left w:w="58" w:type="dxa"/>
              <w:right w:w="58" w:type="dxa"/>
            </w:tcMar>
            <w:vAlign w:val="center"/>
            <w:hideMark/>
          </w:tcPr>
          <w:p w14:paraId="36F97F0D"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Pressure = 5 bar</w:t>
            </w:r>
          </w:p>
          <w:p w14:paraId="1C8BE2FA"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PS = 2.45 mM</w:t>
            </w:r>
          </w:p>
          <w:p w14:paraId="3D8F4EB6" w14:textId="58BFFB5E"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O</w:t>
            </w:r>
            <w:r w:rsidRPr="00855FF1">
              <w:rPr>
                <w:rFonts w:cs="Times New Roman"/>
                <w:bCs/>
                <w:sz w:val="22"/>
                <w:vertAlign w:val="subscript"/>
                <w:lang w:val="en-IN"/>
              </w:rPr>
              <w:t>3</w:t>
            </w:r>
            <w:r w:rsidRPr="00855FF1">
              <w:rPr>
                <w:rFonts w:cs="Times New Roman"/>
                <w:bCs/>
                <w:sz w:val="22"/>
                <w:lang w:val="en-IN"/>
              </w:rPr>
              <w:t xml:space="preserve"> = 81 ± 2 g m</w:t>
            </w:r>
            <w:r w:rsidR="00AA0DD6">
              <w:rPr>
                <w:rFonts w:cs="Times New Roman"/>
                <w:bCs/>
                <w:color w:val="000000" w:themeColor="text1"/>
                <w:szCs w:val="24"/>
                <w:vertAlign w:val="superscript"/>
                <w:lang w:val="en-IN"/>
              </w:rPr>
              <w:t>‒</w:t>
            </w:r>
            <w:r w:rsidRPr="00855FF1">
              <w:rPr>
                <w:rFonts w:cs="Times New Roman"/>
                <w:bCs/>
                <w:sz w:val="22"/>
                <w:vertAlign w:val="superscript"/>
                <w:lang w:val="en-IN"/>
              </w:rPr>
              <w:t>3</w:t>
            </w:r>
          </w:p>
        </w:tc>
        <w:tc>
          <w:tcPr>
            <w:tcW w:w="938" w:type="dxa"/>
            <w:tcBorders>
              <w:top w:val="single" w:sz="4" w:space="0" w:color="auto"/>
              <w:bottom w:val="single" w:sz="4" w:space="0" w:color="auto"/>
            </w:tcBorders>
            <w:tcMar>
              <w:left w:w="58" w:type="dxa"/>
              <w:right w:w="58" w:type="dxa"/>
            </w:tcMar>
            <w:vAlign w:val="center"/>
            <w:hideMark/>
          </w:tcPr>
          <w:p w14:paraId="3DCB774E"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100</w:t>
            </w:r>
          </w:p>
        </w:tc>
        <w:tc>
          <w:tcPr>
            <w:tcW w:w="1510" w:type="dxa"/>
            <w:tcBorders>
              <w:top w:val="single" w:sz="4" w:space="0" w:color="auto"/>
              <w:bottom w:val="single" w:sz="4" w:space="0" w:color="auto"/>
            </w:tcBorders>
            <w:tcMar>
              <w:left w:w="58" w:type="dxa"/>
              <w:right w:w="58" w:type="dxa"/>
            </w:tcMar>
            <w:vAlign w:val="center"/>
            <w:hideMark/>
          </w:tcPr>
          <w:p w14:paraId="41ACC759"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72</w:t>
            </w:r>
          </w:p>
        </w:tc>
        <w:tc>
          <w:tcPr>
            <w:tcW w:w="2440" w:type="dxa"/>
            <w:tcBorders>
              <w:top w:val="single" w:sz="4" w:space="0" w:color="auto"/>
              <w:bottom w:val="single" w:sz="4" w:space="0" w:color="auto"/>
            </w:tcBorders>
            <w:tcMar>
              <w:left w:w="58" w:type="dxa"/>
              <w:right w:w="58" w:type="dxa"/>
            </w:tcMar>
            <w:vAlign w:val="center"/>
            <w:hideMark/>
          </w:tcPr>
          <w:p w14:paraId="1C687D46"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fldChar w:fldCharType="begin" w:fldLock="1"/>
            </w:r>
            <w:r w:rsidRPr="00855FF1">
              <w:rPr>
                <w:rFonts w:cs="Times New Roman"/>
                <w:bCs/>
                <w:sz w:val="22"/>
                <w:lang w:val="en-IN"/>
              </w:rPr>
              <w:instrText>ADDIN CSL_CITATION {"citationItems":[{"id":"ITEM-1","itemData":{"DOI":"10.1016/j.ultsonch.2018.12.004","ISSN":"18732828","PMID":"30660376","abstract":"A cost-effective method for treating oxalic acid (OA) during rare-earth extraction was developed using hydrodynamic cavitation (HC), ozone (O3), and persulfate (PS) (HC@PS@O3 process). The results showed that the optimal inlet pressure during HC was 5.10 kg cm−2 with an orifice plate diameter of 2 mm. Moreover, HC was shown to activate PS, providing an alternative activation method to base or heat as an ultrasound activation method for chemical oxidation. O3 was also shown to activate PS. For OA oxidation using the HC@PS@O3 process, the optimum pH was 3 and the reaction rate increased with increasing temperature. Further, the activation energy was 36.69 kJ mol−1. The mechanisms unveiled in this study will allow optimization of the HC@PS@O3 process as a chemical oxidation technology. The kinetic investigation and economic evaluation of the HC@PS@O3 process can be used as the basis for real wastewater treatment processes in the future.","author":[{"dropping-particle":"","family":"Choi","given":"Jongbok","non-dropping-particle":"","parse-names":false,"suffix":""},{"dropping-particle":"","family":"Cui","given":"Mingcan","non-dropping-particle":"","parse-names":false,"suffix":""},{"dropping-particle":"","family":"Lee","given":"Yonghyeon","non-dropping-particle":"","parse-names":false,"suffix":""},{"dropping-particle":"","family":"Ma","given":"Junjun","non-dropping-particle":"","parse-names":false,"suffix":""},{"dropping-particle":"","family":"Kim","given":"Jeonggwan","non-dropping-particle":"","parse-names":false,"suffix":""},{"dropping-particle":"","family":"Son","given":"Younggyu","non-dropping-particle":"","parse-names":false,"suffix":""},{"dropping-particle":"","family":"Khim","given":"Jeehyeong","non-dropping-particle":"","parse-names":false,"suffix":""}],"container-title":"Ultrasonics Sonochemistry","id":"ITEM-1","issued":{"date-parts":[["2019","4"]]},"page":"326-335","title":"Hybrid reactor based on hydrodynamic cavitation, ozonation, and persulfate oxidation for oxalic acid decomposition during rare-earth extraction processes","type":"article-journal","volume":"52"},"uris":["http://www.mendeley.com/documents/?uuid=6ef9bc41-1766-4e7f-b39f-9cbe621efe9e","http://www.mendeley.com/documents/?uuid=161f7d6a-9f9c-4afc-b2a5-5f9fa9c052f2"]}],"mendeley":{"formattedCitation":"(Choi et al., 2019)","plainTextFormattedCitation":"(Choi et al., 2019)","previouslyFormattedCitation":"(Choi et al., 2019)"},"properties":{"noteIndex":0},"schema":"https://github.com/citation-style-language/schema/raw/master/csl-citation.json"}</w:instrText>
            </w:r>
            <w:r w:rsidRPr="00855FF1">
              <w:rPr>
                <w:rFonts w:cs="Times New Roman"/>
                <w:bCs/>
                <w:sz w:val="22"/>
                <w:lang w:val="en-IN"/>
              </w:rPr>
              <w:fldChar w:fldCharType="separate"/>
            </w:r>
            <w:r w:rsidRPr="00855FF1">
              <w:rPr>
                <w:rFonts w:cs="Times New Roman"/>
                <w:bCs/>
                <w:noProof/>
                <w:sz w:val="22"/>
                <w:lang w:val="en-IN"/>
              </w:rPr>
              <w:t>(Choi et al., 2019)</w:t>
            </w:r>
            <w:r w:rsidRPr="00855FF1">
              <w:rPr>
                <w:rFonts w:cs="Times New Roman"/>
                <w:bCs/>
                <w:sz w:val="22"/>
                <w:lang w:val="en-IN"/>
              </w:rPr>
              <w:fldChar w:fldCharType="end"/>
            </w:r>
          </w:p>
        </w:tc>
      </w:tr>
      <w:tr w:rsidR="00855FF1" w:rsidRPr="00855FF1" w14:paraId="5B35FCFA" w14:textId="77777777" w:rsidTr="0001742A">
        <w:trPr>
          <w:trHeight w:val="618"/>
          <w:jc w:val="center"/>
        </w:trPr>
        <w:tc>
          <w:tcPr>
            <w:tcW w:w="2247" w:type="dxa"/>
            <w:tcBorders>
              <w:top w:val="single" w:sz="4" w:space="0" w:color="auto"/>
              <w:bottom w:val="single" w:sz="4" w:space="0" w:color="auto"/>
            </w:tcBorders>
            <w:tcMar>
              <w:left w:w="58" w:type="dxa"/>
              <w:right w:w="58" w:type="dxa"/>
            </w:tcMar>
            <w:vAlign w:val="center"/>
            <w:hideMark/>
          </w:tcPr>
          <w:p w14:paraId="1854535D"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HC/H</w:t>
            </w:r>
            <w:r w:rsidRPr="00855FF1">
              <w:rPr>
                <w:rFonts w:cs="Times New Roman"/>
                <w:bCs/>
                <w:sz w:val="22"/>
                <w:vertAlign w:val="subscript"/>
                <w:lang w:val="en-IN"/>
              </w:rPr>
              <w:t>2</w:t>
            </w:r>
            <w:r w:rsidRPr="00855FF1">
              <w:rPr>
                <w:rFonts w:cs="Times New Roman"/>
                <w:bCs/>
                <w:sz w:val="22"/>
                <w:lang w:val="en-IN"/>
              </w:rPr>
              <w:t>O</w:t>
            </w:r>
            <w:r w:rsidRPr="00855FF1">
              <w:rPr>
                <w:rFonts w:cs="Times New Roman"/>
                <w:bCs/>
                <w:sz w:val="22"/>
                <w:vertAlign w:val="subscript"/>
                <w:lang w:val="en-IN"/>
              </w:rPr>
              <w:t>2</w:t>
            </w:r>
          </w:p>
        </w:tc>
        <w:tc>
          <w:tcPr>
            <w:tcW w:w="1879" w:type="dxa"/>
            <w:tcBorders>
              <w:top w:val="single" w:sz="4" w:space="0" w:color="auto"/>
              <w:bottom w:val="single" w:sz="4" w:space="0" w:color="auto"/>
            </w:tcBorders>
            <w:tcMar>
              <w:left w:w="58" w:type="dxa"/>
              <w:right w:w="58" w:type="dxa"/>
            </w:tcMar>
            <w:vAlign w:val="center"/>
            <w:hideMark/>
          </w:tcPr>
          <w:p w14:paraId="760EC935"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Dicofol</w:t>
            </w:r>
          </w:p>
        </w:tc>
        <w:tc>
          <w:tcPr>
            <w:tcW w:w="1242" w:type="dxa"/>
            <w:tcBorders>
              <w:top w:val="single" w:sz="4" w:space="0" w:color="auto"/>
              <w:bottom w:val="single" w:sz="4" w:space="0" w:color="auto"/>
            </w:tcBorders>
            <w:tcMar>
              <w:left w:w="58" w:type="dxa"/>
              <w:right w:w="58" w:type="dxa"/>
            </w:tcMar>
            <w:vAlign w:val="center"/>
          </w:tcPr>
          <w:p w14:paraId="3049FFD3"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50 </w:t>
            </w:r>
          </w:p>
        </w:tc>
        <w:tc>
          <w:tcPr>
            <w:tcW w:w="2704" w:type="dxa"/>
            <w:tcBorders>
              <w:top w:val="single" w:sz="4" w:space="0" w:color="auto"/>
              <w:bottom w:val="single" w:sz="4" w:space="0" w:color="auto"/>
            </w:tcBorders>
            <w:tcMar>
              <w:left w:w="58" w:type="dxa"/>
              <w:right w:w="58" w:type="dxa"/>
            </w:tcMar>
            <w:vAlign w:val="center"/>
            <w:hideMark/>
          </w:tcPr>
          <w:p w14:paraId="21E80803"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Pressure = 7 bar</w:t>
            </w:r>
          </w:p>
          <w:p w14:paraId="5D882412" w14:textId="581B3025"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H</w:t>
            </w:r>
            <w:r w:rsidRPr="00855FF1">
              <w:rPr>
                <w:rFonts w:cs="Times New Roman"/>
                <w:bCs/>
                <w:sz w:val="22"/>
                <w:vertAlign w:val="subscript"/>
                <w:lang w:val="en-IN"/>
              </w:rPr>
              <w:t>2</w:t>
            </w:r>
            <w:r w:rsidRPr="00855FF1">
              <w:rPr>
                <w:rFonts w:cs="Times New Roman"/>
                <w:bCs/>
                <w:sz w:val="22"/>
                <w:lang w:val="en-IN"/>
              </w:rPr>
              <w:t>O</w:t>
            </w:r>
            <w:r w:rsidRPr="00855FF1">
              <w:rPr>
                <w:rFonts w:cs="Times New Roman"/>
                <w:bCs/>
                <w:sz w:val="22"/>
                <w:vertAlign w:val="subscript"/>
                <w:lang w:val="en-IN"/>
              </w:rPr>
              <w:t>2</w:t>
            </w:r>
            <w:r w:rsidRPr="00855FF1">
              <w:rPr>
                <w:rFonts w:cs="Times New Roman"/>
                <w:bCs/>
                <w:sz w:val="22"/>
                <w:lang w:val="en-IN"/>
              </w:rPr>
              <w:t xml:space="preserve"> = 50 </w:t>
            </w:r>
            <w:r w:rsidRPr="00855FF1">
              <w:rPr>
                <w:rFonts w:cs="Times New Roman"/>
                <w:bCs/>
                <w:color w:val="000000"/>
                <w:sz w:val="22"/>
                <w:lang w:val="en-IN"/>
              </w:rPr>
              <w:t>mg L</w:t>
            </w:r>
            <w:r w:rsidR="00AA0DD6">
              <w:rPr>
                <w:rFonts w:cs="Times New Roman"/>
                <w:bCs/>
                <w:color w:val="000000" w:themeColor="text1"/>
                <w:szCs w:val="24"/>
                <w:vertAlign w:val="superscript"/>
                <w:lang w:val="en-IN"/>
              </w:rPr>
              <w:t>‒</w:t>
            </w:r>
            <w:r w:rsidRPr="00855FF1">
              <w:rPr>
                <w:rFonts w:cs="Times New Roman"/>
                <w:bCs/>
                <w:color w:val="000000"/>
                <w:sz w:val="22"/>
                <w:vertAlign w:val="superscript"/>
                <w:lang w:val="en-IN"/>
              </w:rPr>
              <w:t>1</w:t>
            </w:r>
          </w:p>
        </w:tc>
        <w:tc>
          <w:tcPr>
            <w:tcW w:w="938" w:type="dxa"/>
            <w:tcBorders>
              <w:top w:val="single" w:sz="4" w:space="0" w:color="auto"/>
              <w:bottom w:val="single" w:sz="4" w:space="0" w:color="auto"/>
            </w:tcBorders>
            <w:tcMar>
              <w:left w:w="58" w:type="dxa"/>
              <w:right w:w="58" w:type="dxa"/>
            </w:tcMar>
            <w:vAlign w:val="center"/>
            <w:hideMark/>
          </w:tcPr>
          <w:p w14:paraId="4ADC9D3B"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60</w:t>
            </w:r>
          </w:p>
        </w:tc>
        <w:tc>
          <w:tcPr>
            <w:tcW w:w="1510" w:type="dxa"/>
            <w:tcBorders>
              <w:top w:val="single" w:sz="4" w:space="0" w:color="auto"/>
              <w:bottom w:val="single" w:sz="4" w:space="0" w:color="auto"/>
            </w:tcBorders>
            <w:tcMar>
              <w:left w:w="58" w:type="dxa"/>
              <w:right w:w="58" w:type="dxa"/>
            </w:tcMar>
            <w:vAlign w:val="center"/>
            <w:hideMark/>
          </w:tcPr>
          <w:p w14:paraId="0C88C058"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85</w:t>
            </w:r>
          </w:p>
        </w:tc>
        <w:tc>
          <w:tcPr>
            <w:tcW w:w="2440" w:type="dxa"/>
            <w:tcBorders>
              <w:top w:val="single" w:sz="4" w:space="0" w:color="auto"/>
              <w:bottom w:val="single" w:sz="4" w:space="0" w:color="auto"/>
            </w:tcBorders>
            <w:tcMar>
              <w:left w:w="58" w:type="dxa"/>
              <w:right w:w="58" w:type="dxa"/>
            </w:tcMar>
            <w:vAlign w:val="center"/>
            <w:hideMark/>
          </w:tcPr>
          <w:p w14:paraId="7547B6A0"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fldChar w:fldCharType="begin" w:fldLock="1"/>
            </w:r>
            <w:r w:rsidRPr="00855FF1">
              <w:rPr>
                <w:rFonts w:cs="Times New Roman"/>
                <w:bCs/>
                <w:sz w:val="22"/>
                <w:lang w:val="en-IN"/>
              </w:rPr>
              <w:instrText>ADDIN CSL_CITATION {"citationItems":[{"id":"ITEM-1","itemData":{"DOI":"10.1016/j.ultsonch.2018.04.003","ISSN":"13504177","PMID":"30224289","abstract":"Dicofol, a recommended Stockholm convention persistent organic pollutants (POPs) candidate is well known for its endocrine disruptive properties and has been extensively used as an organochlorine pesticide worldwide. The hydrodynamic cavitation (HC) treatment of Dicofol in aqueous media induced by a liquid whistle hydrodynamic cavitaion reactor (LWHCR) has been investigated while considering important parameters such as inlet pressure, initial concentration of Dicofol, solution temperature, pH, addition of H2O2 and radical scavenger for the extent of degradation. The pseudo-first-order degradation rate constant (k) was determined to be 0.073 min−1 with a cavitational yield of 1.26 × 10−5 mg/J at optimum operating conditions and a complete removal of Dicofol was achieved within 1 h of treatment. Considering the removal rate and energy efficiency, the optimal inlet pressure was found to be 7 bar, resulting in a cavitation number of 0.17. High performance liquid chromatography (HPLC) and Gas chromatography mass spectroscopy (GC–MS) analyses indicated a sharp decline in the concentration of Dicofol with treatment time and indicated the presence of degraded products. An 85% total organic carbon (TOC) removal was achieved within 1 h of treatment time, demonstrating successful mineralization of Dicofol. The obtained results suggest that the degradation of Dicofol followed thermal decomposition and successive recombination reactions at bubble-vapor interface. Overall, the attempted hydrodynamic cavitation demonstrated successful and rapid removal of endocrine disruptive chemicals such as Dicofol and is expected to provide efficient solution for wastewater treatment.","author":[{"dropping-particle":"","family":"Panda","given":"Debabrata","non-dropping-particle":"","parse-names":false,"suffix":""},{"dropping-particle":"","family":"Manickam","given":"Sivakumar","non-dropping-particle":"","parse-names":false,"suffix":""}],"container-title":"Ultrasonics Sonochemistry","id":"ITEM-1","issued":{"date-parts":[["2019","3"]]},"page":"526-532","title":"Hydrodynamic cavitation assisted degradation of persistent endocrine-disrupting organochlorine pesticide Dicofol: Optimization of operating parameters and investigations on the mechanism of intensification","type":"article-journal","volume":"51"},"uris":["http://www.mendeley.com/documents/?uuid=c8bfa9d2-a551-4911-88af-267808dd2bbf","http://www.mendeley.com/documents/?uuid=11a00b00-ab8c-425f-8e6e-b57921a0937d"]}],"mendeley":{"formattedCitation":"(Panda and Manickam, 2019)","plainTextFormattedCitation":"(Panda and Manickam, 2019)","previouslyFormattedCitation":"(Panda and Manickam, 2019)"},"properties":{"noteIndex":0},"schema":"https://github.com/citation-style-language/schema/raw/master/csl-citation.json"}</w:instrText>
            </w:r>
            <w:r w:rsidRPr="00855FF1">
              <w:rPr>
                <w:rFonts w:cs="Times New Roman"/>
                <w:bCs/>
                <w:sz w:val="22"/>
                <w:lang w:val="en-IN"/>
              </w:rPr>
              <w:fldChar w:fldCharType="separate"/>
            </w:r>
            <w:r w:rsidRPr="00855FF1">
              <w:rPr>
                <w:rFonts w:cs="Times New Roman"/>
                <w:bCs/>
                <w:noProof/>
                <w:sz w:val="22"/>
                <w:lang w:val="en-IN"/>
              </w:rPr>
              <w:t>(Panda and Manickam, 2019)</w:t>
            </w:r>
            <w:r w:rsidRPr="00855FF1">
              <w:rPr>
                <w:rFonts w:cs="Times New Roman"/>
                <w:bCs/>
                <w:sz w:val="22"/>
                <w:lang w:val="en-IN"/>
              </w:rPr>
              <w:fldChar w:fldCharType="end"/>
            </w:r>
          </w:p>
        </w:tc>
      </w:tr>
      <w:tr w:rsidR="00855FF1" w:rsidRPr="00855FF1" w14:paraId="6FE5A17A" w14:textId="77777777" w:rsidTr="0001742A">
        <w:trPr>
          <w:trHeight w:val="60"/>
          <w:jc w:val="center"/>
        </w:trPr>
        <w:tc>
          <w:tcPr>
            <w:tcW w:w="2247" w:type="dxa"/>
            <w:tcBorders>
              <w:top w:val="single" w:sz="4" w:space="0" w:color="auto"/>
              <w:bottom w:val="single" w:sz="4" w:space="0" w:color="auto"/>
            </w:tcBorders>
            <w:tcMar>
              <w:left w:w="58" w:type="dxa"/>
              <w:right w:w="58" w:type="dxa"/>
            </w:tcMar>
            <w:vAlign w:val="center"/>
            <w:hideMark/>
          </w:tcPr>
          <w:p w14:paraId="4136EF8B"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HC/PS/Fe(II)</w:t>
            </w:r>
          </w:p>
        </w:tc>
        <w:tc>
          <w:tcPr>
            <w:tcW w:w="1879" w:type="dxa"/>
            <w:tcBorders>
              <w:top w:val="single" w:sz="4" w:space="0" w:color="auto"/>
              <w:bottom w:val="single" w:sz="4" w:space="0" w:color="auto"/>
            </w:tcBorders>
            <w:tcMar>
              <w:left w:w="58" w:type="dxa"/>
              <w:right w:w="58" w:type="dxa"/>
            </w:tcMar>
            <w:vAlign w:val="center"/>
            <w:hideMark/>
          </w:tcPr>
          <w:p w14:paraId="73907079"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Pentachlorophenol</w:t>
            </w:r>
          </w:p>
        </w:tc>
        <w:tc>
          <w:tcPr>
            <w:tcW w:w="1242" w:type="dxa"/>
            <w:tcBorders>
              <w:top w:val="single" w:sz="4" w:space="0" w:color="auto"/>
              <w:bottom w:val="single" w:sz="4" w:space="0" w:color="auto"/>
            </w:tcBorders>
            <w:tcMar>
              <w:left w:w="58" w:type="dxa"/>
              <w:right w:w="58" w:type="dxa"/>
            </w:tcMar>
            <w:vAlign w:val="center"/>
            <w:hideMark/>
          </w:tcPr>
          <w:p w14:paraId="0737CF04"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10</w:t>
            </w:r>
          </w:p>
        </w:tc>
        <w:tc>
          <w:tcPr>
            <w:tcW w:w="2704" w:type="dxa"/>
            <w:tcBorders>
              <w:top w:val="single" w:sz="4" w:space="0" w:color="auto"/>
              <w:bottom w:val="single" w:sz="4" w:space="0" w:color="auto"/>
            </w:tcBorders>
            <w:tcMar>
              <w:left w:w="58" w:type="dxa"/>
              <w:right w:w="58" w:type="dxa"/>
            </w:tcMar>
            <w:vAlign w:val="center"/>
            <w:hideMark/>
          </w:tcPr>
          <w:p w14:paraId="030D8614"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Pressure = 5.77 bar</w:t>
            </w:r>
          </w:p>
          <w:p w14:paraId="38DD5487"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PS = 0.34 mM</w:t>
            </w:r>
          </w:p>
          <w:p w14:paraId="1E009FC8"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 xml:space="preserve">Fe = </w:t>
            </w:r>
            <w:proofErr w:type="spellStart"/>
            <w:r w:rsidRPr="00855FF1">
              <w:rPr>
                <w:rFonts w:cs="Times New Roman"/>
                <w:bCs/>
                <w:sz w:val="22"/>
                <w:lang w:val="en-IN"/>
              </w:rPr>
              <w:t>n.a.</w:t>
            </w:r>
            <w:proofErr w:type="spellEnd"/>
            <w:r w:rsidRPr="00855FF1">
              <w:rPr>
                <w:rFonts w:cs="Times New Roman"/>
                <w:bCs/>
                <w:sz w:val="22"/>
                <w:vertAlign w:val="superscript"/>
                <w:lang w:val="en-IN"/>
              </w:rPr>
              <w:t xml:space="preserve"> a</w:t>
            </w:r>
            <w:r w:rsidRPr="00855FF1" w:rsidDel="00474102">
              <w:rPr>
                <w:rFonts w:cs="Times New Roman"/>
                <w:bCs/>
                <w:sz w:val="22"/>
                <w:lang w:val="en-IN"/>
              </w:rPr>
              <w:t xml:space="preserve"> </w:t>
            </w:r>
          </w:p>
        </w:tc>
        <w:tc>
          <w:tcPr>
            <w:tcW w:w="938" w:type="dxa"/>
            <w:tcBorders>
              <w:top w:val="single" w:sz="4" w:space="0" w:color="auto"/>
              <w:bottom w:val="single" w:sz="4" w:space="0" w:color="auto"/>
            </w:tcBorders>
            <w:tcMar>
              <w:left w:w="58" w:type="dxa"/>
              <w:right w:w="58" w:type="dxa"/>
            </w:tcMar>
            <w:vAlign w:val="center"/>
            <w:hideMark/>
          </w:tcPr>
          <w:p w14:paraId="18FE72E2"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60</w:t>
            </w:r>
          </w:p>
        </w:tc>
        <w:tc>
          <w:tcPr>
            <w:tcW w:w="1510" w:type="dxa"/>
            <w:tcBorders>
              <w:top w:val="single" w:sz="4" w:space="0" w:color="auto"/>
              <w:bottom w:val="single" w:sz="4" w:space="0" w:color="auto"/>
            </w:tcBorders>
            <w:tcMar>
              <w:left w:w="58" w:type="dxa"/>
              <w:right w:w="58" w:type="dxa"/>
            </w:tcMar>
            <w:vAlign w:val="center"/>
            <w:hideMark/>
          </w:tcPr>
          <w:p w14:paraId="7489F68E"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~100</w:t>
            </w:r>
          </w:p>
        </w:tc>
        <w:tc>
          <w:tcPr>
            <w:tcW w:w="2440" w:type="dxa"/>
            <w:tcBorders>
              <w:top w:val="single" w:sz="4" w:space="0" w:color="auto"/>
              <w:bottom w:val="single" w:sz="4" w:space="0" w:color="auto"/>
            </w:tcBorders>
            <w:tcMar>
              <w:left w:w="58" w:type="dxa"/>
              <w:right w:w="58" w:type="dxa"/>
            </w:tcMar>
            <w:vAlign w:val="center"/>
            <w:hideMark/>
          </w:tcPr>
          <w:p w14:paraId="6BC4971A"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fldChar w:fldCharType="begin" w:fldLock="1"/>
            </w:r>
            <w:r w:rsidRPr="00855FF1">
              <w:rPr>
                <w:rFonts w:cs="Times New Roman"/>
                <w:bCs/>
                <w:sz w:val="22"/>
                <w:lang w:val="en-IN"/>
              </w:rPr>
              <w:instrText>ADDIN CSL_CITATION {"citationItems":[{"id":"ITEM-1","itemData":{"DOI":"10.1016/j.ultsonch.2020.105106","ISSN":"13504177","PMID":"32247235","abstract":"Hydrodynamic cavitation (HC) and Fe(II) are advanced oxidation processes, in which pentachlorophenol (PCP) is treated by the redox method of activating persulfate (PS). The kinetics and mechanism of the HC and Fe(II) activation of PS were examined in aqueous solution using an electron spin resonance (ESR) spin trapping technique and radical trapping with pure compounds. The optimum ratio of Fe(II)/PS was 1:2, and the hydroxyl radical (HO[rad]) and sulfate radical (SO4[rad]−) generation rate were 5.56 mM h−1 and 8.62 μM h−1, respectively. The generation rate and Rct of HO[rad] and SO4[rad]− at pH 3 and 50 °C in the Fe(II)/PS/HC system are 7584.6 μM h−1, 0.013 and 24.02 μM h−1, 3.95, respectively. The number of radicals was reduced as the pH increased, and it increased with increasing temperature. The PCP reaction rate constants was 4.39 × 10−2 min−1 at pH 3 and 50 °C. The activation energy was 10.68 kJ mol−1. In addition, the mechanism of PCP treatment in the Fe(II)/PS/HC system was a redox reaction, and the HO[rad]−/SO4[rad]− contribution was 81.1 and 18.9%, respectively. In this study, we first examined PCP oxidation through HO[rad] and SO4[rad]− quantification using only the Fe(II)/PS/HC process. Furthermore, the results provide the foundation for activation of PS by HC and Fe(II), but also provide a data basis for similar organic treatments other than PCP.","author":[{"dropping-particle":"","family":"Choi","given":"Jongbok","non-dropping-particle":"","parse-names":false,"suffix":""},{"dropping-particle":"","family":"Cui","given":"Mingcan","non-dropping-particle":"","parse-names":false,"suffix":""},{"dropping-particle":"","family":"Lee","given":"Yonghyeon","non-dropping-particle":"","parse-names":false,"suffix":""},{"dropping-particle":"","family":"Kim","given":"Jeonggwan","non-dropping-particle":"","parse-names":false,"suffix":""},{"dropping-particle":"","family":"Son","given":"Younggyu","non-dropping-particle":"","parse-names":false,"suffix":""},{"dropping-particle":"","family":"Lim","given":"Junghyun","non-dropping-particle":"","parse-names":false,"suffix":""},{"dropping-particle":"","family":"Ma","given":"Junjun","non-dropping-particle":"","parse-names":false,"suffix":""},{"dropping-particle":"","family":"Khim","given":"Jeehyeong","non-dropping-particle":"","parse-names":false,"suffix":""}],"container-title":"Ultrasonics Sonochemistry","id":"ITEM-1","issued":{"date-parts":[["2020","9"]]},"page":"105106","title":"Application of persulfate with hydrodynamic cavitation and ferrous in the decomposition of pentachlorophenol","type":"article-journal","volume":"66"},"uris":["http://www.mendeley.com/documents/?uuid=ac5285ca-62cb-445b-a39d-c7acecf45df8","http://www.mendeley.com/documents/?uuid=2f170cdd-ac27-48d1-b3a9-12961f716ecf"]}],"mendeley":{"formattedCitation":"(Choi et al., 2020)","plainTextFormattedCitation":"(Choi et al., 2020)","previouslyFormattedCitation":"(Choi et al., 2020)"},"properties":{"noteIndex":0},"schema":"https://github.com/citation-style-language/schema/raw/master/csl-citation.json"}</w:instrText>
            </w:r>
            <w:r w:rsidRPr="00855FF1">
              <w:rPr>
                <w:rFonts w:cs="Times New Roman"/>
                <w:bCs/>
                <w:sz w:val="22"/>
                <w:lang w:val="en-IN"/>
              </w:rPr>
              <w:fldChar w:fldCharType="separate"/>
            </w:r>
            <w:r w:rsidRPr="00855FF1">
              <w:rPr>
                <w:rFonts w:cs="Times New Roman"/>
                <w:bCs/>
                <w:noProof/>
                <w:sz w:val="22"/>
                <w:lang w:val="en-IN"/>
              </w:rPr>
              <w:t>(Choi et al., 2020)</w:t>
            </w:r>
            <w:r w:rsidRPr="00855FF1">
              <w:rPr>
                <w:rFonts w:cs="Times New Roman"/>
                <w:bCs/>
                <w:sz w:val="22"/>
                <w:lang w:val="en-IN"/>
              </w:rPr>
              <w:fldChar w:fldCharType="end"/>
            </w:r>
          </w:p>
        </w:tc>
      </w:tr>
      <w:tr w:rsidR="00855FF1" w:rsidRPr="00855FF1" w14:paraId="1398026D" w14:textId="77777777" w:rsidTr="0001742A">
        <w:trPr>
          <w:trHeight w:val="62"/>
          <w:jc w:val="center"/>
        </w:trPr>
        <w:tc>
          <w:tcPr>
            <w:tcW w:w="2247" w:type="dxa"/>
            <w:tcBorders>
              <w:top w:val="single" w:sz="4" w:space="0" w:color="auto"/>
              <w:bottom w:val="single" w:sz="4" w:space="0" w:color="auto"/>
            </w:tcBorders>
            <w:tcMar>
              <w:left w:w="58" w:type="dxa"/>
              <w:right w:w="58" w:type="dxa"/>
            </w:tcMar>
            <w:vAlign w:val="center"/>
            <w:hideMark/>
          </w:tcPr>
          <w:p w14:paraId="5770A7DA"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HC/O</w:t>
            </w:r>
            <w:r w:rsidRPr="00855FF1">
              <w:rPr>
                <w:rFonts w:cs="Times New Roman"/>
                <w:bCs/>
                <w:sz w:val="22"/>
                <w:vertAlign w:val="subscript"/>
                <w:lang w:val="en-IN"/>
              </w:rPr>
              <w:t>3</w:t>
            </w:r>
          </w:p>
        </w:tc>
        <w:tc>
          <w:tcPr>
            <w:tcW w:w="1879" w:type="dxa"/>
            <w:tcBorders>
              <w:top w:val="single" w:sz="4" w:space="0" w:color="auto"/>
              <w:bottom w:val="single" w:sz="4" w:space="0" w:color="auto"/>
            </w:tcBorders>
            <w:tcMar>
              <w:left w:w="58" w:type="dxa"/>
              <w:right w:w="58" w:type="dxa"/>
            </w:tcMar>
            <w:vAlign w:val="center"/>
            <w:hideMark/>
          </w:tcPr>
          <w:p w14:paraId="17E42AA4"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Naproxen</w:t>
            </w:r>
          </w:p>
        </w:tc>
        <w:tc>
          <w:tcPr>
            <w:tcW w:w="1242" w:type="dxa"/>
            <w:tcBorders>
              <w:top w:val="single" w:sz="4" w:space="0" w:color="auto"/>
              <w:bottom w:val="single" w:sz="4" w:space="0" w:color="auto"/>
            </w:tcBorders>
            <w:tcMar>
              <w:left w:w="58" w:type="dxa"/>
              <w:right w:w="58" w:type="dxa"/>
            </w:tcMar>
            <w:vAlign w:val="center"/>
            <w:hideMark/>
          </w:tcPr>
          <w:p w14:paraId="2744A441"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10</w:t>
            </w:r>
          </w:p>
        </w:tc>
        <w:tc>
          <w:tcPr>
            <w:tcW w:w="2704" w:type="dxa"/>
            <w:tcBorders>
              <w:top w:val="single" w:sz="4" w:space="0" w:color="auto"/>
              <w:bottom w:val="single" w:sz="4" w:space="0" w:color="auto"/>
            </w:tcBorders>
            <w:tcMar>
              <w:left w:w="58" w:type="dxa"/>
              <w:right w:w="58" w:type="dxa"/>
            </w:tcMar>
            <w:vAlign w:val="center"/>
            <w:hideMark/>
          </w:tcPr>
          <w:p w14:paraId="0F5E20D1"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Pressure = 4 bar</w:t>
            </w:r>
          </w:p>
          <w:p w14:paraId="291DA52E" w14:textId="2612E3F8"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O</w:t>
            </w:r>
            <w:r w:rsidRPr="00855FF1">
              <w:rPr>
                <w:rFonts w:cs="Times New Roman"/>
                <w:bCs/>
                <w:sz w:val="22"/>
                <w:vertAlign w:val="subscript"/>
                <w:lang w:val="en-IN"/>
              </w:rPr>
              <w:t>3</w:t>
            </w:r>
            <w:r w:rsidRPr="00855FF1">
              <w:rPr>
                <w:rFonts w:cs="Times New Roman"/>
                <w:bCs/>
                <w:sz w:val="22"/>
                <w:lang w:val="en-IN"/>
              </w:rPr>
              <w:t xml:space="preserve"> = 2 </w:t>
            </w:r>
            <w:r w:rsidRPr="00855FF1">
              <w:rPr>
                <w:rFonts w:cs="Times New Roman"/>
                <w:bCs/>
                <w:color w:val="000000"/>
                <w:sz w:val="22"/>
                <w:lang w:val="en-IN"/>
              </w:rPr>
              <w:t>g h</w:t>
            </w:r>
            <w:r w:rsidR="00AA0DD6">
              <w:rPr>
                <w:rFonts w:cs="Times New Roman"/>
                <w:bCs/>
                <w:color w:val="000000" w:themeColor="text1"/>
                <w:szCs w:val="24"/>
                <w:vertAlign w:val="superscript"/>
                <w:lang w:val="en-IN"/>
              </w:rPr>
              <w:t>‒</w:t>
            </w:r>
            <w:r w:rsidRPr="00855FF1">
              <w:rPr>
                <w:rFonts w:cs="Times New Roman"/>
                <w:bCs/>
                <w:color w:val="000000"/>
                <w:sz w:val="22"/>
                <w:vertAlign w:val="superscript"/>
                <w:lang w:val="en-IN"/>
              </w:rPr>
              <w:t>1</w:t>
            </w:r>
          </w:p>
        </w:tc>
        <w:tc>
          <w:tcPr>
            <w:tcW w:w="938" w:type="dxa"/>
            <w:tcBorders>
              <w:top w:val="single" w:sz="4" w:space="0" w:color="auto"/>
              <w:bottom w:val="single" w:sz="4" w:space="0" w:color="auto"/>
            </w:tcBorders>
            <w:tcMar>
              <w:left w:w="58" w:type="dxa"/>
              <w:right w:w="58" w:type="dxa"/>
            </w:tcMar>
            <w:vAlign w:val="center"/>
            <w:hideMark/>
          </w:tcPr>
          <w:p w14:paraId="7156927A"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40</w:t>
            </w:r>
          </w:p>
        </w:tc>
        <w:tc>
          <w:tcPr>
            <w:tcW w:w="1510" w:type="dxa"/>
            <w:tcBorders>
              <w:top w:val="single" w:sz="4" w:space="0" w:color="auto"/>
              <w:bottom w:val="single" w:sz="4" w:space="0" w:color="auto"/>
            </w:tcBorders>
            <w:tcMar>
              <w:left w:w="58" w:type="dxa"/>
              <w:right w:w="58" w:type="dxa"/>
            </w:tcMar>
            <w:vAlign w:val="center"/>
            <w:hideMark/>
          </w:tcPr>
          <w:p w14:paraId="213E3813"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~100</w:t>
            </w:r>
          </w:p>
        </w:tc>
        <w:tc>
          <w:tcPr>
            <w:tcW w:w="2440" w:type="dxa"/>
            <w:tcBorders>
              <w:top w:val="single" w:sz="4" w:space="0" w:color="auto"/>
              <w:bottom w:val="single" w:sz="4" w:space="0" w:color="auto"/>
            </w:tcBorders>
            <w:tcMar>
              <w:left w:w="58" w:type="dxa"/>
              <w:right w:w="58" w:type="dxa"/>
            </w:tcMar>
            <w:vAlign w:val="center"/>
            <w:hideMark/>
          </w:tcPr>
          <w:p w14:paraId="6AF9FE27"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fldChar w:fldCharType="begin" w:fldLock="1"/>
            </w:r>
            <w:r w:rsidRPr="00855FF1">
              <w:rPr>
                <w:rFonts w:cs="Times New Roman"/>
                <w:bCs/>
                <w:sz w:val="22"/>
                <w:lang w:val="en-IN"/>
              </w:rPr>
              <w:instrText xml:space="preserve">ADDIN CSL_CITATION {"citationItems":[{"id":"ITEM-1","itemData":{"DOI":"10.1021/acs.iecr.9b01395","ISSN":"15205045","abstract":"Removal of naproxen (NAP) present in wastewater has been studied using an improved approach based on hydrodynamic cavitation (HC), combined with ozone or hydrogen peroxide as pretreatment for biological oxidation. Initially, the operating conditions for pretreatment based on HC reactor has been optimized as an inlet pressure of 4 bar and pH 3, where the maximum extents of degradation of NAP (28.9%) and chemical oxygen demand (COD) reduction (11.3%) were achieved using the approach of HC operated individually. Combined approaches of HC with hydrogen peroxide (HC+ H2O2) and ozone (HC + O3) were also investigated for maximizing the removal of NAP from wastewater. Almost 100% NAP degradation with a COD reduction of 40% was obtained for the combined approach of HC + O3 in 40 min, whereas HC + H2O2 resulted in 80% degradation with COD reduction of 24% within 120 min of treatment. The effluent obtained from the best pretreatment approach of HC + O3 was further treated using aerobic oxidation based on activated sludge, and it was observed that </w:instrText>
            </w:r>
            <w:r w:rsidRPr="00855FF1">
              <w:rPr>
                <w:rFonts w:ascii="Cambria Math" w:hAnsi="Cambria Math" w:cs="Cambria Math"/>
                <w:bCs/>
                <w:sz w:val="22"/>
                <w:lang w:val="en-IN"/>
              </w:rPr>
              <w:instrText>∼</w:instrText>
            </w:r>
            <w:r w:rsidRPr="00855FF1">
              <w:rPr>
                <w:rFonts w:cs="Times New Roman"/>
                <w:bCs/>
                <w:sz w:val="22"/>
                <w:lang w:val="en-IN"/>
              </w:rPr>
              <w:instrText>89.5% COD reduction was achieved in the subsequent operation. Use of only aerobic oxidation resulted in 36.7% as the COD reduction and 20.4% as the biochemical oxygen demand (BOD) reduction. The biodegradability index (BI) was calculated for the raw effluent without any pretreatment, as well as for effluent subjected to HC + O3 pretreatment. The increased value of biodegradability index, BI (from 0.35 to 0.70) and also the kinetic analysis of biological process revealed the improvement in biological oxidation using pretreatment based on HC and ozone. Also, the operational costs for different treatment approaches were calculated based on the power consumption. Overall, significant benefits using combination of ozone and hydrodynamic cavitation with aerobic oxidation have been demonstrated.","author":[{"dropping-particle":"","family":"Thanekar","given":"Pooja","non-dropping-particle":"","parse-names":false,"suffix":""},{"dropping-particle":"","family":"Garg","given":"Sakshi","non-dropping-particle":"","parse-names":false,"suffix":""},{"dropping-particle":"","family":"Gogate","given":"Parag R.","non-dropping-particle":"","parse-names":false,"suffix":""}],"container-title":"Industrial and Engineering Chemistry Research","id":"ITEM-1","issue":"9","issued":{"date-parts":[["2020"]]},"page":"4058-4070","title":"Hybrid Treatment Strategies Based on Hydrodynamic Cavitation, Advanced Oxidation Processes, and Aerobic Oxidation for Efficient Removal of Naproxen","type":"article-journal","volume":"59"},"uris":["http://www.mendeley.com/documents/?uuid=8d5dbec1-7dd0-412b-b279-ebee6abe6069","http://www.mendeley.com/documents/?uuid=ae014632-e9fc-4c33-ae81-7a86f0b73ed2"]}],"mendeley":{"formattedCitation":"(Thanekar et al., 2020)","plainTextFormattedCitation":"(Thanekar et al., 2020)","previouslyFormattedCitation":"(Thanekar et al., 2020)"},"properties":{"noteIndex":0},"schema":"https://github.com/citation-style-language/schema/raw/master/csl-citation.json"}</w:instrText>
            </w:r>
            <w:r w:rsidRPr="00855FF1">
              <w:rPr>
                <w:rFonts w:cs="Times New Roman"/>
                <w:bCs/>
                <w:sz w:val="22"/>
                <w:lang w:val="en-IN"/>
              </w:rPr>
              <w:fldChar w:fldCharType="separate"/>
            </w:r>
            <w:r w:rsidRPr="00855FF1">
              <w:rPr>
                <w:rFonts w:cs="Times New Roman"/>
                <w:bCs/>
                <w:noProof/>
                <w:sz w:val="22"/>
                <w:lang w:val="en-IN"/>
              </w:rPr>
              <w:t>(Thanekar et al., 2020)</w:t>
            </w:r>
            <w:r w:rsidRPr="00855FF1">
              <w:rPr>
                <w:rFonts w:cs="Times New Roman"/>
                <w:bCs/>
                <w:sz w:val="22"/>
                <w:lang w:val="en-IN"/>
              </w:rPr>
              <w:fldChar w:fldCharType="end"/>
            </w:r>
          </w:p>
        </w:tc>
      </w:tr>
      <w:tr w:rsidR="00855FF1" w:rsidRPr="00855FF1" w14:paraId="662AD676" w14:textId="77777777" w:rsidTr="0001742A">
        <w:trPr>
          <w:trHeight w:val="62"/>
          <w:jc w:val="center"/>
        </w:trPr>
        <w:tc>
          <w:tcPr>
            <w:tcW w:w="2247" w:type="dxa"/>
            <w:tcBorders>
              <w:top w:val="single" w:sz="4" w:space="0" w:color="auto"/>
              <w:bottom w:val="single" w:sz="4" w:space="0" w:color="auto"/>
            </w:tcBorders>
            <w:tcMar>
              <w:left w:w="58" w:type="dxa"/>
              <w:right w:w="58" w:type="dxa"/>
            </w:tcMar>
            <w:vAlign w:val="center"/>
          </w:tcPr>
          <w:p w14:paraId="49A1C492" w14:textId="77777777" w:rsidR="00855FF1" w:rsidRPr="00855FF1" w:rsidRDefault="00855FF1" w:rsidP="00855FF1">
            <w:pPr>
              <w:spacing w:after="0" w:line="240" w:lineRule="auto"/>
              <w:jc w:val="center"/>
              <w:rPr>
                <w:rFonts w:cs="Times New Roman"/>
                <w:bCs/>
                <w:sz w:val="22"/>
                <w:lang w:val="en-IN"/>
              </w:rPr>
            </w:pPr>
            <w:r w:rsidRPr="00855FF1">
              <w:rPr>
                <w:rFonts w:cs="Times New Roman"/>
                <w:bCs/>
                <w:color w:val="000000"/>
                <w:sz w:val="22"/>
                <w:lang w:val="en-IN"/>
              </w:rPr>
              <w:t>HC/O</w:t>
            </w:r>
            <w:r w:rsidRPr="00855FF1">
              <w:rPr>
                <w:rFonts w:cs="Times New Roman"/>
                <w:bCs/>
                <w:color w:val="000000"/>
                <w:sz w:val="22"/>
                <w:vertAlign w:val="subscript"/>
                <w:lang w:val="en-IN"/>
              </w:rPr>
              <w:t>3</w:t>
            </w:r>
            <w:r w:rsidRPr="00855FF1">
              <w:rPr>
                <w:rFonts w:cs="Times New Roman"/>
                <w:bCs/>
                <w:color w:val="000000"/>
                <w:sz w:val="22"/>
                <w:lang w:val="en-IN"/>
              </w:rPr>
              <w:t>/H</w:t>
            </w:r>
            <w:r w:rsidRPr="00855FF1">
              <w:rPr>
                <w:rFonts w:cs="Times New Roman"/>
                <w:bCs/>
                <w:color w:val="000000"/>
                <w:sz w:val="22"/>
                <w:vertAlign w:val="subscript"/>
                <w:lang w:val="en-IN"/>
              </w:rPr>
              <w:t>2</w:t>
            </w:r>
            <w:r w:rsidRPr="00855FF1">
              <w:rPr>
                <w:rFonts w:cs="Times New Roman"/>
                <w:bCs/>
                <w:color w:val="000000"/>
                <w:sz w:val="22"/>
                <w:lang w:val="en-IN"/>
              </w:rPr>
              <w:t>O</w:t>
            </w:r>
            <w:r w:rsidRPr="00855FF1">
              <w:rPr>
                <w:rFonts w:cs="Times New Roman"/>
                <w:bCs/>
                <w:color w:val="000000"/>
                <w:sz w:val="22"/>
                <w:vertAlign w:val="subscript"/>
                <w:lang w:val="en-IN"/>
              </w:rPr>
              <w:t>2</w:t>
            </w:r>
          </w:p>
        </w:tc>
        <w:tc>
          <w:tcPr>
            <w:tcW w:w="1879" w:type="dxa"/>
            <w:tcBorders>
              <w:top w:val="single" w:sz="4" w:space="0" w:color="auto"/>
              <w:bottom w:val="single" w:sz="4" w:space="0" w:color="auto"/>
            </w:tcBorders>
            <w:tcMar>
              <w:left w:w="58" w:type="dxa"/>
              <w:right w:w="58" w:type="dxa"/>
            </w:tcMar>
            <w:vAlign w:val="center"/>
          </w:tcPr>
          <w:p w14:paraId="5DFEFEFC"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2,4,6-trichlorophenol</w:t>
            </w:r>
          </w:p>
        </w:tc>
        <w:tc>
          <w:tcPr>
            <w:tcW w:w="1242" w:type="dxa"/>
            <w:tcBorders>
              <w:top w:val="single" w:sz="4" w:space="0" w:color="auto"/>
              <w:bottom w:val="single" w:sz="4" w:space="0" w:color="auto"/>
            </w:tcBorders>
            <w:tcMar>
              <w:left w:w="58" w:type="dxa"/>
              <w:right w:w="58" w:type="dxa"/>
            </w:tcMar>
            <w:vAlign w:val="center"/>
          </w:tcPr>
          <w:p w14:paraId="1A89039C"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20</w:t>
            </w:r>
          </w:p>
        </w:tc>
        <w:tc>
          <w:tcPr>
            <w:tcW w:w="2704" w:type="dxa"/>
            <w:tcBorders>
              <w:top w:val="single" w:sz="4" w:space="0" w:color="auto"/>
              <w:bottom w:val="single" w:sz="4" w:space="0" w:color="auto"/>
            </w:tcBorders>
            <w:tcMar>
              <w:left w:w="58" w:type="dxa"/>
              <w:right w:w="58" w:type="dxa"/>
            </w:tcMar>
            <w:vAlign w:val="center"/>
          </w:tcPr>
          <w:p w14:paraId="155C2708"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Pressure = 4 bar</w:t>
            </w:r>
          </w:p>
          <w:p w14:paraId="0B520998" w14:textId="3DC0637B"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O</w:t>
            </w:r>
            <w:r w:rsidRPr="00855FF1">
              <w:rPr>
                <w:rFonts w:cs="Times New Roman"/>
                <w:bCs/>
                <w:sz w:val="22"/>
                <w:vertAlign w:val="subscript"/>
                <w:lang w:val="en-IN"/>
              </w:rPr>
              <w:t>3</w:t>
            </w:r>
            <w:r w:rsidRPr="00855FF1">
              <w:rPr>
                <w:rFonts w:cs="Times New Roman"/>
                <w:bCs/>
                <w:sz w:val="22"/>
                <w:lang w:val="en-IN"/>
              </w:rPr>
              <w:t xml:space="preserve"> = 400 </w:t>
            </w:r>
            <w:r w:rsidRPr="00855FF1">
              <w:rPr>
                <w:rFonts w:cs="Times New Roman"/>
                <w:bCs/>
                <w:color w:val="000000"/>
                <w:sz w:val="22"/>
                <w:lang w:val="en-IN"/>
              </w:rPr>
              <w:t>mg h</w:t>
            </w:r>
            <w:r w:rsidR="00AA0DD6">
              <w:rPr>
                <w:rFonts w:cs="Times New Roman"/>
                <w:bCs/>
                <w:color w:val="000000" w:themeColor="text1"/>
                <w:szCs w:val="24"/>
                <w:vertAlign w:val="superscript"/>
                <w:lang w:val="en-IN"/>
              </w:rPr>
              <w:t>‒</w:t>
            </w:r>
            <w:r w:rsidRPr="00855FF1">
              <w:rPr>
                <w:rFonts w:cs="Times New Roman"/>
                <w:bCs/>
                <w:color w:val="000000"/>
                <w:sz w:val="22"/>
                <w:vertAlign w:val="superscript"/>
                <w:lang w:val="en-IN"/>
              </w:rPr>
              <w:t>1</w:t>
            </w:r>
          </w:p>
          <w:p w14:paraId="6546BBB9"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H</w:t>
            </w:r>
            <w:r w:rsidRPr="00855FF1">
              <w:rPr>
                <w:rFonts w:cs="Times New Roman"/>
                <w:bCs/>
                <w:sz w:val="22"/>
                <w:vertAlign w:val="subscript"/>
                <w:lang w:val="en-IN"/>
              </w:rPr>
              <w:t>2</w:t>
            </w:r>
            <w:r w:rsidRPr="00855FF1">
              <w:rPr>
                <w:rFonts w:cs="Times New Roman"/>
                <w:bCs/>
                <w:sz w:val="22"/>
                <w:lang w:val="en-IN"/>
              </w:rPr>
              <w:t>O</w:t>
            </w:r>
            <w:r w:rsidRPr="00855FF1">
              <w:rPr>
                <w:rFonts w:cs="Times New Roman"/>
                <w:bCs/>
                <w:sz w:val="22"/>
                <w:vertAlign w:val="subscript"/>
                <w:lang w:val="en-IN"/>
              </w:rPr>
              <w:t>2</w:t>
            </w:r>
            <w:r w:rsidRPr="00855FF1">
              <w:rPr>
                <w:rFonts w:cs="Times New Roman"/>
                <w:bCs/>
                <w:sz w:val="22"/>
                <w:lang w:val="en-IN"/>
              </w:rPr>
              <w:t xml:space="preserve"> = </w:t>
            </w:r>
            <w:proofErr w:type="spellStart"/>
            <w:r w:rsidRPr="00855FF1">
              <w:rPr>
                <w:rFonts w:cs="Times New Roman"/>
                <w:bCs/>
                <w:sz w:val="22"/>
                <w:lang w:val="en-IN"/>
              </w:rPr>
              <w:t>n.a.</w:t>
            </w:r>
            <w:proofErr w:type="spellEnd"/>
            <w:r w:rsidRPr="00855FF1">
              <w:rPr>
                <w:rFonts w:cs="Times New Roman"/>
                <w:bCs/>
                <w:sz w:val="22"/>
                <w:vertAlign w:val="superscript"/>
                <w:lang w:val="en-IN"/>
              </w:rPr>
              <w:t xml:space="preserve"> a</w:t>
            </w:r>
            <w:r w:rsidRPr="00855FF1" w:rsidDel="00474102">
              <w:rPr>
                <w:rFonts w:cs="Times New Roman"/>
                <w:bCs/>
                <w:sz w:val="22"/>
                <w:lang w:val="en-IN"/>
              </w:rPr>
              <w:t xml:space="preserve"> </w:t>
            </w:r>
          </w:p>
        </w:tc>
        <w:tc>
          <w:tcPr>
            <w:tcW w:w="938" w:type="dxa"/>
            <w:tcBorders>
              <w:top w:val="single" w:sz="4" w:space="0" w:color="auto"/>
              <w:bottom w:val="single" w:sz="4" w:space="0" w:color="auto"/>
            </w:tcBorders>
            <w:tcMar>
              <w:left w:w="58" w:type="dxa"/>
              <w:right w:w="58" w:type="dxa"/>
            </w:tcMar>
            <w:vAlign w:val="center"/>
          </w:tcPr>
          <w:p w14:paraId="659C8830"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120</w:t>
            </w:r>
          </w:p>
        </w:tc>
        <w:tc>
          <w:tcPr>
            <w:tcW w:w="1510" w:type="dxa"/>
            <w:tcBorders>
              <w:top w:val="single" w:sz="4" w:space="0" w:color="auto"/>
              <w:bottom w:val="single" w:sz="4" w:space="0" w:color="auto"/>
            </w:tcBorders>
            <w:tcMar>
              <w:left w:w="58" w:type="dxa"/>
              <w:right w:w="58" w:type="dxa"/>
            </w:tcMar>
            <w:vAlign w:val="center"/>
          </w:tcPr>
          <w:p w14:paraId="41218D6D" w14:textId="77777777" w:rsidR="00855FF1" w:rsidRPr="00855FF1" w:rsidRDefault="00855FF1" w:rsidP="00855FF1">
            <w:pPr>
              <w:spacing w:after="0" w:line="240" w:lineRule="auto"/>
              <w:jc w:val="center"/>
              <w:rPr>
                <w:rFonts w:cs="Times New Roman"/>
                <w:bCs/>
                <w:sz w:val="22"/>
                <w:lang w:val="en-IN"/>
              </w:rPr>
            </w:pPr>
            <w:r w:rsidRPr="00855FF1">
              <w:rPr>
                <w:rFonts w:cs="Times New Roman"/>
                <w:bCs/>
                <w:color w:val="000000"/>
                <w:sz w:val="22"/>
                <w:lang w:val="en-IN"/>
              </w:rPr>
              <w:t>~100</w:t>
            </w:r>
          </w:p>
        </w:tc>
        <w:tc>
          <w:tcPr>
            <w:tcW w:w="2440" w:type="dxa"/>
            <w:tcBorders>
              <w:top w:val="single" w:sz="4" w:space="0" w:color="auto"/>
              <w:bottom w:val="single" w:sz="4" w:space="0" w:color="auto"/>
            </w:tcBorders>
            <w:tcMar>
              <w:left w:w="58" w:type="dxa"/>
              <w:right w:w="58" w:type="dxa"/>
            </w:tcMar>
            <w:vAlign w:val="center"/>
          </w:tcPr>
          <w:p w14:paraId="3F3B6F55" w14:textId="77777777" w:rsidR="00855FF1" w:rsidRPr="00855FF1" w:rsidRDefault="00855FF1" w:rsidP="00855FF1">
            <w:pPr>
              <w:spacing w:after="0" w:line="240" w:lineRule="auto"/>
              <w:jc w:val="center"/>
              <w:rPr>
                <w:rFonts w:cs="Times New Roman"/>
                <w:bCs/>
                <w:sz w:val="22"/>
                <w:lang w:val="en-IN"/>
              </w:rPr>
            </w:pPr>
            <w:r w:rsidRPr="00855FF1">
              <w:rPr>
                <w:rFonts w:cs="Times New Roman"/>
                <w:bCs/>
                <w:color w:val="000000"/>
                <w:sz w:val="22"/>
                <w:lang w:val="en-IN"/>
              </w:rPr>
              <w:fldChar w:fldCharType="begin" w:fldLock="1"/>
            </w:r>
            <w:r w:rsidRPr="00855FF1">
              <w:rPr>
                <w:rFonts w:cs="Times New Roman"/>
                <w:bCs/>
                <w:color w:val="000000"/>
                <w:sz w:val="22"/>
                <w:lang w:val="en-IN"/>
              </w:rPr>
              <w:instrText>ADDIN CSL_CITATION {"citationItems":[{"id":"ITEM-1","itemData":{"DOI":"10.1016/j.ultsonch.2017.07.029","ISSN":"13504177","PMID":"28946437","abstract":"Utilization of hybrid treatment schemes involving advanced oxidation processes and hydrodynamic cavitation in the wastewater treatment forms the prime focus of the present work. The initial phase of the work includes analysis of recent literature relating to the performance of combined approach based on hydrodynamic cavitation (HC) for degradation of different pollutants followed by a detailed investigation into degradation of 2,4,6-trichlorophenol (2,4,6-TCP). The degradation of the priority pollutant, 2,4,6-TCP, using combination of HC based on slit-venturi used as the cavitating device, ozone and H2O2 has been investigated. The effect of operating pressure (2–5 bar) and initial pH (3 −1 1) have been investigated for the degradation using only HC. The degradation using only ozone (100–400 mg/h) and only H2O2 has also been studied. The efficacy of the combined operation of HC + O3 at different ozone flow rates (100–400 mg/h) and the combined operation of HC + H2O2 at different loadings of H2O2 (2,4,6-TCP:H2O2 as 1:1–1:7) have been subsequently investigated. The degradation efficacy has also been established for the combined treatment strategies of O3 + H2O2 and HC + O3+H2O2 at the optimum conditions of temperature as 30 °C, inlet pressure of 4 bar and initial pH of 7. Extent of 2,4,6-TCP degradation, TOC and COD removal obtained for HC + O3 process were 97.1%, 94.4% and 78.5% respectively whereas for O3 + H2O2 process, the values were 95.5%, 94.8% and 76.2% and for HC + O3 + H2O2 process the extent of reduction were 100%, 95.6% and 80.9% in the same order. The combined treatment approach as HC + O3 + H2O2 was established as the most efficient approach for complete removal of 2,4,6-TCP with near complete TOC removal.","author":[{"dropping-particle":"","family":"Barik","given":"Arati J.","non-dropping-particle":"","parse-names":false,"suffix":""},{"dropping-particle":"","family":"Gogate","given":"Parag R.","non-dropping-particle":"","parse-names":false,"suffix":""}],"container-title":"Ultrasonics Sonochemistry","id":"ITEM-1","issued":{"date-parts":[["2018","1"]]},"page":"383-394","title":"Hybrid treatment strategies for 2,4,6-trichlorophenol degradation based on combination of hydrodynamic cavitation and AOPs","type":"article-journal","volume":"40"},"uris":["http://www.mendeley.com/documents/?uuid=c546f392-d77c-471f-8533-7a36a647e068","http://www.mendeley.com/documents/?uuid=d21a28db-25c8-4f64-9e29-29ecfc1ef92f"]}],"mendeley":{"formattedCitation":"(Barik and Gogate, 2018)","plainTextFormattedCitation":"(Barik and Gogate, 2018)","previouslyFormattedCitation":"(Barik and Gogate, 2018)"},"properties":{"noteIndex":0},"schema":"https://github.com/citation-style-language/schema/raw/master/csl-citation.json"}</w:instrText>
            </w:r>
            <w:r w:rsidRPr="00855FF1">
              <w:rPr>
                <w:rFonts w:cs="Times New Roman"/>
                <w:bCs/>
                <w:color w:val="000000"/>
                <w:sz w:val="22"/>
                <w:lang w:val="en-IN"/>
              </w:rPr>
              <w:fldChar w:fldCharType="separate"/>
            </w:r>
            <w:r w:rsidRPr="00855FF1">
              <w:rPr>
                <w:rFonts w:cs="Times New Roman"/>
                <w:bCs/>
                <w:noProof/>
                <w:color w:val="000000"/>
                <w:sz w:val="22"/>
                <w:lang w:val="en-IN"/>
              </w:rPr>
              <w:t>(Barik and Gogate, 2018)</w:t>
            </w:r>
            <w:r w:rsidRPr="00855FF1">
              <w:rPr>
                <w:rFonts w:cs="Times New Roman"/>
                <w:bCs/>
                <w:color w:val="000000"/>
                <w:sz w:val="22"/>
                <w:lang w:val="en-IN"/>
              </w:rPr>
              <w:fldChar w:fldCharType="end"/>
            </w:r>
          </w:p>
        </w:tc>
      </w:tr>
      <w:tr w:rsidR="00855FF1" w:rsidRPr="00855FF1" w14:paraId="57B09745" w14:textId="77777777" w:rsidTr="0001742A">
        <w:trPr>
          <w:trHeight w:val="62"/>
          <w:jc w:val="center"/>
        </w:trPr>
        <w:tc>
          <w:tcPr>
            <w:tcW w:w="2247" w:type="dxa"/>
            <w:tcBorders>
              <w:top w:val="single" w:sz="4" w:space="0" w:color="auto"/>
              <w:bottom w:val="single" w:sz="4" w:space="0" w:color="auto"/>
            </w:tcBorders>
            <w:tcMar>
              <w:left w:w="58" w:type="dxa"/>
              <w:right w:w="58" w:type="dxa"/>
            </w:tcMar>
            <w:vAlign w:val="center"/>
          </w:tcPr>
          <w:p w14:paraId="14724AC1" w14:textId="77777777" w:rsidR="00855FF1" w:rsidRPr="00855FF1" w:rsidRDefault="00855FF1" w:rsidP="00855FF1">
            <w:pPr>
              <w:spacing w:after="0" w:line="240" w:lineRule="auto"/>
              <w:jc w:val="center"/>
              <w:rPr>
                <w:rFonts w:cs="Times New Roman"/>
                <w:bCs/>
                <w:sz w:val="22"/>
                <w:lang w:val="en-IN"/>
              </w:rPr>
            </w:pPr>
            <w:r w:rsidRPr="00855FF1">
              <w:rPr>
                <w:rFonts w:cs="Times New Roman"/>
                <w:bCs/>
                <w:color w:val="000000"/>
                <w:sz w:val="22"/>
                <w:lang w:val="en-IN"/>
              </w:rPr>
              <w:t>HC/FeSO</w:t>
            </w:r>
            <w:r w:rsidRPr="00855FF1">
              <w:rPr>
                <w:rFonts w:cs="Times New Roman"/>
                <w:bCs/>
                <w:color w:val="000000"/>
                <w:sz w:val="22"/>
                <w:vertAlign w:val="subscript"/>
                <w:lang w:val="en-IN"/>
              </w:rPr>
              <w:t>4</w:t>
            </w:r>
            <w:r w:rsidRPr="00855FF1">
              <w:rPr>
                <w:rFonts w:cs="Times New Roman"/>
                <w:bCs/>
                <w:color w:val="000000"/>
                <w:sz w:val="22"/>
                <w:lang w:val="en-IN"/>
              </w:rPr>
              <w:t>/H</w:t>
            </w:r>
            <w:r w:rsidRPr="00855FF1">
              <w:rPr>
                <w:rFonts w:cs="Times New Roman"/>
                <w:bCs/>
                <w:color w:val="000000"/>
                <w:sz w:val="22"/>
                <w:vertAlign w:val="subscript"/>
                <w:lang w:val="en-IN"/>
              </w:rPr>
              <w:t>2</w:t>
            </w:r>
            <w:r w:rsidRPr="00855FF1">
              <w:rPr>
                <w:rFonts w:cs="Times New Roman"/>
                <w:bCs/>
                <w:color w:val="000000"/>
                <w:sz w:val="22"/>
                <w:lang w:val="en-IN"/>
              </w:rPr>
              <w:t>O</w:t>
            </w:r>
            <w:r w:rsidRPr="00855FF1">
              <w:rPr>
                <w:rFonts w:cs="Times New Roman"/>
                <w:bCs/>
                <w:color w:val="000000"/>
                <w:sz w:val="22"/>
                <w:vertAlign w:val="subscript"/>
                <w:lang w:val="en-IN"/>
              </w:rPr>
              <w:t>2</w:t>
            </w:r>
          </w:p>
        </w:tc>
        <w:tc>
          <w:tcPr>
            <w:tcW w:w="1879" w:type="dxa"/>
            <w:tcBorders>
              <w:top w:val="single" w:sz="4" w:space="0" w:color="auto"/>
              <w:bottom w:val="single" w:sz="4" w:space="0" w:color="auto"/>
            </w:tcBorders>
            <w:tcMar>
              <w:left w:w="58" w:type="dxa"/>
              <w:right w:w="58" w:type="dxa"/>
            </w:tcMar>
            <w:vAlign w:val="center"/>
          </w:tcPr>
          <w:p w14:paraId="7FAA9870"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2,4-dinitrophenol</w:t>
            </w:r>
          </w:p>
        </w:tc>
        <w:tc>
          <w:tcPr>
            <w:tcW w:w="1242" w:type="dxa"/>
            <w:tcBorders>
              <w:top w:val="single" w:sz="4" w:space="0" w:color="auto"/>
              <w:bottom w:val="single" w:sz="4" w:space="0" w:color="auto"/>
            </w:tcBorders>
            <w:tcMar>
              <w:left w:w="58" w:type="dxa"/>
              <w:right w:w="58" w:type="dxa"/>
            </w:tcMar>
            <w:vAlign w:val="center"/>
          </w:tcPr>
          <w:p w14:paraId="4EA70815"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20</w:t>
            </w:r>
          </w:p>
        </w:tc>
        <w:tc>
          <w:tcPr>
            <w:tcW w:w="2704" w:type="dxa"/>
            <w:tcBorders>
              <w:top w:val="single" w:sz="4" w:space="0" w:color="auto"/>
              <w:bottom w:val="single" w:sz="4" w:space="0" w:color="auto"/>
            </w:tcBorders>
            <w:tcMar>
              <w:left w:w="58" w:type="dxa"/>
              <w:right w:w="58" w:type="dxa"/>
            </w:tcMar>
            <w:vAlign w:val="center"/>
          </w:tcPr>
          <w:p w14:paraId="78EDF028" w14:textId="77777777"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Pressure = 4 bar</w:t>
            </w:r>
          </w:p>
          <w:p w14:paraId="5B232943" w14:textId="18B53CFA"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H</w:t>
            </w:r>
            <w:r w:rsidRPr="00855FF1">
              <w:rPr>
                <w:rFonts w:cs="Times New Roman"/>
                <w:bCs/>
                <w:sz w:val="22"/>
                <w:vertAlign w:val="subscript"/>
                <w:lang w:val="en-IN"/>
              </w:rPr>
              <w:t>2</w:t>
            </w:r>
            <w:r w:rsidRPr="00855FF1">
              <w:rPr>
                <w:rFonts w:cs="Times New Roman"/>
                <w:bCs/>
                <w:sz w:val="22"/>
                <w:lang w:val="en-IN"/>
              </w:rPr>
              <w:t>O</w:t>
            </w:r>
            <w:r w:rsidRPr="00855FF1">
              <w:rPr>
                <w:rFonts w:cs="Times New Roman"/>
                <w:bCs/>
                <w:sz w:val="22"/>
                <w:vertAlign w:val="subscript"/>
                <w:lang w:val="en-IN"/>
              </w:rPr>
              <w:t>2</w:t>
            </w:r>
            <w:r w:rsidRPr="00855FF1">
              <w:rPr>
                <w:rFonts w:cs="Times New Roman"/>
                <w:bCs/>
                <w:sz w:val="22"/>
                <w:lang w:val="en-IN"/>
              </w:rPr>
              <w:t xml:space="preserve"> = 0.1 </w:t>
            </w:r>
            <w:r w:rsidRPr="00855FF1">
              <w:rPr>
                <w:rFonts w:cs="Times New Roman"/>
                <w:bCs/>
                <w:color w:val="000000"/>
                <w:sz w:val="22"/>
                <w:lang w:val="en-IN"/>
              </w:rPr>
              <w:t>g L</w:t>
            </w:r>
            <w:r w:rsidR="00AA0DD6">
              <w:rPr>
                <w:rFonts w:cs="Times New Roman"/>
                <w:bCs/>
                <w:color w:val="000000" w:themeColor="text1"/>
                <w:szCs w:val="24"/>
                <w:vertAlign w:val="superscript"/>
                <w:lang w:val="en-IN"/>
              </w:rPr>
              <w:t>‒</w:t>
            </w:r>
            <w:r w:rsidRPr="00855FF1">
              <w:rPr>
                <w:rFonts w:cs="Times New Roman"/>
                <w:bCs/>
                <w:color w:val="000000"/>
                <w:sz w:val="22"/>
                <w:vertAlign w:val="superscript"/>
                <w:lang w:val="en-IN"/>
              </w:rPr>
              <w:t>1</w:t>
            </w:r>
          </w:p>
          <w:p w14:paraId="6EF2DD8F" w14:textId="7BF10DBF" w:rsidR="00855FF1" w:rsidRPr="00855FF1" w:rsidRDefault="00855FF1" w:rsidP="00855FF1">
            <w:pPr>
              <w:spacing w:after="0" w:line="240" w:lineRule="auto"/>
              <w:jc w:val="left"/>
              <w:rPr>
                <w:rFonts w:cs="Times New Roman"/>
                <w:bCs/>
                <w:sz w:val="22"/>
                <w:lang w:val="en-IN"/>
              </w:rPr>
            </w:pPr>
            <w:r w:rsidRPr="00855FF1">
              <w:rPr>
                <w:rFonts w:cs="Times New Roman"/>
                <w:bCs/>
                <w:sz w:val="22"/>
                <w:lang w:val="en-IN"/>
              </w:rPr>
              <w:t>FeSO</w:t>
            </w:r>
            <w:r w:rsidRPr="00855FF1">
              <w:rPr>
                <w:rFonts w:cs="Times New Roman"/>
                <w:bCs/>
                <w:sz w:val="22"/>
                <w:vertAlign w:val="subscript"/>
                <w:lang w:val="en-IN"/>
              </w:rPr>
              <w:t>4</w:t>
            </w:r>
            <w:r w:rsidRPr="00855FF1">
              <w:rPr>
                <w:rFonts w:cs="Times New Roman"/>
                <w:bCs/>
                <w:sz w:val="22"/>
                <w:lang w:val="en-IN"/>
              </w:rPr>
              <w:t xml:space="preserve"> = 0.6 </w:t>
            </w:r>
            <w:r w:rsidRPr="00855FF1">
              <w:rPr>
                <w:rFonts w:cs="Times New Roman"/>
                <w:bCs/>
                <w:color w:val="000000"/>
                <w:sz w:val="22"/>
                <w:lang w:val="en-IN"/>
              </w:rPr>
              <w:t>g L</w:t>
            </w:r>
            <w:r w:rsidR="00AA0DD6">
              <w:rPr>
                <w:rFonts w:cs="Times New Roman"/>
                <w:bCs/>
                <w:color w:val="000000" w:themeColor="text1"/>
                <w:szCs w:val="24"/>
                <w:vertAlign w:val="superscript"/>
                <w:lang w:val="en-IN"/>
              </w:rPr>
              <w:t>‒</w:t>
            </w:r>
            <w:r w:rsidRPr="00855FF1">
              <w:rPr>
                <w:rFonts w:cs="Times New Roman"/>
                <w:bCs/>
                <w:color w:val="000000"/>
                <w:sz w:val="22"/>
                <w:vertAlign w:val="superscript"/>
                <w:lang w:val="en-IN"/>
              </w:rPr>
              <w:t>1</w:t>
            </w:r>
          </w:p>
        </w:tc>
        <w:tc>
          <w:tcPr>
            <w:tcW w:w="938" w:type="dxa"/>
            <w:tcBorders>
              <w:top w:val="single" w:sz="4" w:space="0" w:color="auto"/>
              <w:bottom w:val="single" w:sz="4" w:space="0" w:color="auto"/>
            </w:tcBorders>
            <w:tcMar>
              <w:left w:w="58" w:type="dxa"/>
              <w:right w:w="58" w:type="dxa"/>
            </w:tcMar>
            <w:vAlign w:val="center"/>
          </w:tcPr>
          <w:p w14:paraId="762A9834" w14:textId="77777777" w:rsidR="00855FF1" w:rsidRPr="00855FF1" w:rsidRDefault="00855FF1" w:rsidP="00855FF1">
            <w:pPr>
              <w:spacing w:after="0" w:line="240" w:lineRule="auto"/>
              <w:jc w:val="center"/>
              <w:rPr>
                <w:rFonts w:cs="Times New Roman"/>
                <w:bCs/>
                <w:sz w:val="22"/>
                <w:lang w:val="en-IN"/>
              </w:rPr>
            </w:pPr>
            <w:r w:rsidRPr="00855FF1">
              <w:rPr>
                <w:rFonts w:cs="Times New Roman"/>
                <w:bCs/>
                <w:sz w:val="22"/>
                <w:lang w:val="en-IN"/>
              </w:rPr>
              <w:t>60</w:t>
            </w:r>
          </w:p>
        </w:tc>
        <w:tc>
          <w:tcPr>
            <w:tcW w:w="1510" w:type="dxa"/>
            <w:tcBorders>
              <w:top w:val="single" w:sz="4" w:space="0" w:color="auto"/>
              <w:bottom w:val="single" w:sz="4" w:space="0" w:color="auto"/>
            </w:tcBorders>
            <w:tcMar>
              <w:left w:w="58" w:type="dxa"/>
              <w:right w:w="58" w:type="dxa"/>
            </w:tcMar>
            <w:vAlign w:val="center"/>
          </w:tcPr>
          <w:p w14:paraId="5B1DFA66" w14:textId="77777777" w:rsidR="00855FF1" w:rsidRPr="00855FF1" w:rsidRDefault="00855FF1" w:rsidP="00855FF1">
            <w:pPr>
              <w:spacing w:after="0" w:line="240" w:lineRule="auto"/>
              <w:jc w:val="center"/>
              <w:rPr>
                <w:rFonts w:cs="Times New Roman"/>
                <w:bCs/>
                <w:sz w:val="22"/>
                <w:lang w:val="en-IN"/>
              </w:rPr>
            </w:pPr>
            <w:r w:rsidRPr="00855FF1">
              <w:rPr>
                <w:rFonts w:cs="Times New Roman"/>
                <w:bCs/>
                <w:color w:val="000000"/>
                <w:sz w:val="22"/>
                <w:lang w:val="en-IN"/>
              </w:rPr>
              <w:t>~100</w:t>
            </w:r>
          </w:p>
        </w:tc>
        <w:tc>
          <w:tcPr>
            <w:tcW w:w="2440" w:type="dxa"/>
            <w:tcBorders>
              <w:top w:val="single" w:sz="4" w:space="0" w:color="auto"/>
              <w:bottom w:val="single" w:sz="4" w:space="0" w:color="auto"/>
            </w:tcBorders>
            <w:tcMar>
              <w:left w:w="58" w:type="dxa"/>
              <w:right w:w="58" w:type="dxa"/>
            </w:tcMar>
            <w:vAlign w:val="center"/>
          </w:tcPr>
          <w:p w14:paraId="281C1078" w14:textId="77777777" w:rsidR="00855FF1" w:rsidRPr="00855FF1" w:rsidRDefault="00855FF1" w:rsidP="00855FF1">
            <w:pPr>
              <w:spacing w:after="0" w:line="240" w:lineRule="auto"/>
              <w:jc w:val="center"/>
              <w:rPr>
                <w:rFonts w:cs="Times New Roman"/>
                <w:bCs/>
                <w:sz w:val="22"/>
                <w:lang w:val="en-IN"/>
              </w:rPr>
            </w:pPr>
            <w:r w:rsidRPr="00855FF1">
              <w:rPr>
                <w:rFonts w:cs="Times New Roman"/>
                <w:bCs/>
                <w:color w:val="000000"/>
                <w:sz w:val="22"/>
                <w:lang w:val="en-IN"/>
              </w:rPr>
              <w:fldChar w:fldCharType="begin" w:fldLock="1"/>
            </w:r>
            <w:r w:rsidRPr="00855FF1">
              <w:rPr>
                <w:rFonts w:cs="Times New Roman"/>
                <w:bCs/>
                <w:color w:val="000000"/>
                <w:sz w:val="22"/>
                <w:lang w:val="en-IN"/>
              </w:rPr>
              <w:instrText>ADDIN CSL_CITATION {"citationItems":[{"id":"ITEM-1","itemData":{"DOI":"10.1016/j.ultsonch.2013.02.004","ISSN":"13504177","PMID":"23538121","abstract":"In the present work, degradation of 2,4-dinitrophenol (DNP), a persistent organic contaminant with high toxicity and very low biodegradability has been investigated using combination of hydrodynamic cavitation (HC) and chemical/advanced oxidation. The cavitating conditions have been generated using orifice plate as a cavitating device. Initially, the optimization of basic operating parameters have been done by performing experiments over varying inlet pressure (over the range of 3-6 bar), temperature (30 C, 35 C and 40 C) and solution pH (over the range of 3-11). Subsequently, combined treatment strategies have been investigated for process intensification of the degradation process. The effect of HC combined with chemical oxidation processes such as hydrogen peroxide (HC/H2O2), ferrous activated persulfate (HC/Na2S2O8/FeSO4) and HC coupled with advanced oxidation processes such as conventional Fenton (HC/FeSO 4/H2O2), advanced Fenton (HC/Fe/H 2O2) and Fenton-like process (HC/CuO/H2O 2) on the extent of degradation of DNP have also been investigated at optimized conditions of pH 4, temperature of 35 C and inlet pressure of 4 bar. Kinetic study revealed that degradation of DNP fitted first order kinetics for all the approaches under investigation. Complete degradation with maximum rate of DNP degradation has been observed for the combined HC/Fenton process. The energy consumption analysis for hydrodynamic cavitation based process has been done on the basis of cavitational yield. Degradation intermediates have also been identified and quantified in the current work. The synergistic index calculated for all the combined processes indicates HC/Fenton process is more feasible than the combination of HC with other Fenton like processes. © 2013 Elsevier B.V. All rights reserved.","author":[{"dropping-particle":"V.","family":"Bagal","given":"Manisha","non-dropping-particle":"","parse-names":false,"suffix":""},{"dropping-particle":"","family":"Gogate","given":"Parag R.","non-dropping-particle":"","parse-names":false,"suffix":""}],"container-title":"Ultrasonics Sonochemistry","id":"ITEM-1","issue":"5","issued":{"date-parts":[["2013","9"]]},"page":"1226-1235","title":"Degradation of 2,4-dinitrophenol using a combination of hydrodynamic cavitation, chemical and advanced oxidation processes","type":"article-journal","volume":"20"},"uris":["http://www.mendeley.com/documents/?uuid=7c6243e6-7a70-43c2-9baf-35a975ba5752","http://www.mendeley.com/documents/?uuid=645fc928-5540-45a6-8310-0bf29414cd9e"]}],"mendeley":{"formattedCitation":"(Bagal and Gogate, 2013)","plainTextFormattedCitation":"(Bagal and Gogate, 2013)","previouslyFormattedCitation":"(Bagal and Gogate, 2013)"},"properties":{"noteIndex":0},"schema":"https://github.com/citation-style-language/schema/raw/master/csl-citation.json"}</w:instrText>
            </w:r>
            <w:r w:rsidRPr="00855FF1">
              <w:rPr>
                <w:rFonts w:cs="Times New Roman"/>
                <w:bCs/>
                <w:color w:val="000000"/>
                <w:sz w:val="22"/>
                <w:lang w:val="en-IN"/>
              </w:rPr>
              <w:fldChar w:fldCharType="separate"/>
            </w:r>
            <w:r w:rsidRPr="00855FF1">
              <w:rPr>
                <w:rFonts w:cs="Times New Roman"/>
                <w:bCs/>
                <w:noProof/>
                <w:color w:val="000000"/>
                <w:sz w:val="22"/>
                <w:lang w:val="en-IN"/>
              </w:rPr>
              <w:t>(Bagal and Gogate, 2013)</w:t>
            </w:r>
            <w:r w:rsidRPr="00855FF1">
              <w:rPr>
                <w:rFonts w:cs="Times New Roman"/>
                <w:bCs/>
                <w:color w:val="000000"/>
                <w:sz w:val="22"/>
                <w:lang w:val="en-IN"/>
              </w:rPr>
              <w:fldChar w:fldCharType="end"/>
            </w:r>
          </w:p>
        </w:tc>
      </w:tr>
    </w:tbl>
    <w:p w14:paraId="1295D223" w14:textId="4EBEA34D" w:rsidR="00E63640" w:rsidRPr="004643C4" w:rsidRDefault="00855FF1" w:rsidP="004643C4">
      <w:pPr>
        <w:spacing w:after="0" w:line="480" w:lineRule="auto"/>
        <w:sectPr w:rsidR="00E63640" w:rsidRPr="004643C4" w:rsidSect="00E63640">
          <w:footerReference w:type="default" r:id="rId10"/>
          <w:pgSz w:w="15840" w:h="12240" w:orient="landscape"/>
          <w:pgMar w:top="1440" w:right="1440" w:bottom="1440" w:left="1440" w:header="720" w:footer="720" w:gutter="0"/>
          <w:cols w:space="720"/>
        </w:sectPr>
      </w:pPr>
      <w:r w:rsidRPr="00855FF1">
        <w:rPr>
          <w:sz w:val="22"/>
        </w:rPr>
        <w:t xml:space="preserve">a: </w:t>
      </w:r>
      <w:proofErr w:type="spellStart"/>
      <w:r w:rsidRPr="00855FF1">
        <w:rPr>
          <w:sz w:val="22"/>
        </w:rPr>
        <w:t>n.a.</w:t>
      </w:r>
      <w:proofErr w:type="spellEnd"/>
      <w:r w:rsidRPr="00855FF1">
        <w:rPr>
          <w:sz w:val="22"/>
        </w:rPr>
        <w:t>, not available</w:t>
      </w:r>
      <w:bookmarkStart w:id="17" w:name="_Toc63364576"/>
    </w:p>
    <w:p w14:paraId="684D4D9D" w14:textId="150B3919" w:rsidR="002B368F" w:rsidRPr="002B368F" w:rsidRDefault="0090400A" w:rsidP="002B368F">
      <w:pPr>
        <w:pStyle w:val="Heading1"/>
        <w:spacing w:before="0" w:line="480" w:lineRule="auto"/>
        <w:rPr>
          <w:b/>
        </w:rPr>
      </w:pPr>
      <w:bookmarkStart w:id="18" w:name="_Toc102395642"/>
      <w:r w:rsidRPr="0038343B">
        <w:rPr>
          <w:b/>
        </w:rPr>
        <w:lastRenderedPageBreak/>
        <w:t xml:space="preserve">Supplementary </w:t>
      </w:r>
      <w:bookmarkEnd w:id="17"/>
      <w:r w:rsidRPr="0038343B">
        <w:rPr>
          <w:b/>
        </w:rPr>
        <w:t>S</w:t>
      </w:r>
      <w:r w:rsidR="00482734">
        <w:rPr>
          <w:b/>
        </w:rPr>
        <w:t>4</w:t>
      </w:r>
      <w:bookmarkEnd w:id="18"/>
    </w:p>
    <w:p w14:paraId="6E01138A" w14:textId="59D63FB0" w:rsidR="0090400A" w:rsidRPr="00067FA5" w:rsidRDefault="0090400A" w:rsidP="00B73DE7">
      <w:pPr>
        <w:pStyle w:val="Heading1"/>
        <w:jc w:val="left"/>
        <w:rPr>
          <w:rFonts w:eastAsia="Times New Roman"/>
          <w:b/>
          <w:bCs/>
          <w:color w:val="000000"/>
        </w:rPr>
      </w:pPr>
      <w:bookmarkStart w:id="19" w:name="_Toc102395643"/>
      <w:r w:rsidRPr="0038343B">
        <w:rPr>
          <w:b/>
          <w:bCs/>
        </w:rPr>
        <w:t>Table S</w:t>
      </w:r>
      <w:r w:rsidR="00E1569B">
        <w:rPr>
          <w:b/>
          <w:bCs/>
        </w:rPr>
        <w:t>5</w:t>
      </w:r>
      <w:r w:rsidRPr="0038343B">
        <w:rPr>
          <w:b/>
          <w:bCs/>
        </w:rPr>
        <w:t xml:space="preserve">. </w:t>
      </w:r>
      <w:r w:rsidRPr="0002256F">
        <w:t xml:space="preserve">Removal efficiency of emerging contaminants by </w:t>
      </w:r>
      <w:r w:rsidRPr="0038343B">
        <w:t>γ-rays based AOP</w:t>
      </w:r>
      <w:r>
        <w:rPr>
          <w:rFonts w:eastAsia="Times New Roman"/>
          <w:color w:val="000000"/>
        </w:rPr>
        <w:t xml:space="preserve">. </w:t>
      </w:r>
      <w:r w:rsidRPr="00067FA5">
        <w:rPr>
          <w:rFonts w:eastAsia="Times New Roman"/>
          <w:color w:val="000000"/>
        </w:rPr>
        <w:t>Note, C</w:t>
      </w:r>
      <w:r w:rsidRPr="00067FA5">
        <w:rPr>
          <w:rFonts w:eastAsia="Times New Roman"/>
          <w:color w:val="000000"/>
          <w:vertAlign w:val="subscript"/>
        </w:rPr>
        <w:t>0</w:t>
      </w:r>
      <w:r w:rsidRPr="00067FA5">
        <w:rPr>
          <w:rFonts w:eastAsia="Times New Roman"/>
          <w:color w:val="000000"/>
        </w:rPr>
        <w:t xml:space="preserve"> is the initial contaminant concentration.</w:t>
      </w:r>
      <w:bookmarkEnd w:id="19"/>
    </w:p>
    <w:tbl>
      <w:tblPr>
        <w:tblStyle w:val="TableGrid"/>
        <w:tblW w:w="9939"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701"/>
        <w:gridCol w:w="1780"/>
        <w:gridCol w:w="2156"/>
        <w:gridCol w:w="1026"/>
        <w:gridCol w:w="1134"/>
        <w:gridCol w:w="2142"/>
      </w:tblGrid>
      <w:tr w:rsidR="0090400A" w:rsidRPr="008912A6" w14:paraId="1D0F3027" w14:textId="77777777" w:rsidTr="00624FB7">
        <w:trPr>
          <w:trHeight w:val="488"/>
        </w:trPr>
        <w:tc>
          <w:tcPr>
            <w:tcW w:w="1701" w:type="dxa"/>
            <w:tcBorders>
              <w:top w:val="single" w:sz="4" w:space="0" w:color="auto"/>
              <w:left w:val="nil"/>
              <w:bottom w:val="single" w:sz="4" w:space="0" w:color="auto"/>
              <w:right w:val="nil"/>
            </w:tcBorders>
            <w:vAlign w:val="center"/>
            <w:hideMark/>
          </w:tcPr>
          <w:p w14:paraId="3A578BF8" w14:textId="77777777" w:rsidR="0090400A" w:rsidRPr="008912A6" w:rsidRDefault="0090400A" w:rsidP="00D45373">
            <w:pPr>
              <w:spacing w:after="0" w:line="240" w:lineRule="auto"/>
              <w:jc w:val="center"/>
              <w:rPr>
                <w:rFonts w:cs="Times New Roman"/>
                <w:b/>
                <w:bCs/>
                <w:sz w:val="22"/>
                <w:lang w:val="en-IN"/>
              </w:rPr>
            </w:pPr>
            <w:r w:rsidRPr="008912A6">
              <w:rPr>
                <w:rFonts w:cs="Times New Roman"/>
                <w:b/>
                <w:bCs/>
                <w:sz w:val="22"/>
                <w:lang w:val="en-IN"/>
              </w:rPr>
              <w:t>Process</w:t>
            </w:r>
          </w:p>
        </w:tc>
        <w:tc>
          <w:tcPr>
            <w:tcW w:w="1780" w:type="dxa"/>
            <w:tcBorders>
              <w:top w:val="single" w:sz="4" w:space="0" w:color="auto"/>
              <w:left w:val="nil"/>
              <w:bottom w:val="single" w:sz="4" w:space="0" w:color="auto"/>
              <w:right w:val="nil"/>
            </w:tcBorders>
            <w:vAlign w:val="center"/>
            <w:hideMark/>
          </w:tcPr>
          <w:p w14:paraId="4BA1863B" w14:textId="77777777" w:rsidR="0090400A" w:rsidRPr="008912A6" w:rsidRDefault="0090400A" w:rsidP="00D45373">
            <w:pPr>
              <w:spacing w:after="0" w:line="240" w:lineRule="auto"/>
              <w:jc w:val="center"/>
              <w:rPr>
                <w:rFonts w:cs="Times New Roman"/>
                <w:b/>
                <w:bCs/>
                <w:sz w:val="22"/>
              </w:rPr>
            </w:pPr>
            <w:r w:rsidRPr="008912A6">
              <w:rPr>
                <w:rFonts w:cs="Times New Roman"/>
                <w:b/>
                <w:bCs/>
                <w:sz w:val="22"/>
              </w:rPr>
              <w:t>γ-</w:t>
            </w:r>
            <w:r w:rsidRPr="008912A6">
              <w:rPr>
                <w:rFonts w:cs="Times New Roman"/>
                <w:b/>
                <w:bCs/>
                <w:sz w:val="22"/>
                <w:lang w:val="en-IN"/>
              </w:rPr>
              <w:t>radiation absorbed dose (</w:t>
            </w:r>
            <w:proofErr w:type="spellStart"/>
            <w:r w:rsidRPr="008912A6">
              <w:rPr>
                <w:rFonts w:cs="Times New Roman"/>
                <w:b/>
                <w:bCs/>
                <w:sz w:val="22"/>
                <w:lang w:val="en-IN"/>
              </w:rPr>
              <w:t>kGy</w:t>
            </w:r>
            <w:proofErr w:type="spellEnd"/>
            <w:r w:rsidRPr="008912A6">
              <w:rPr>
                <w:rFonts w:cs="Times New Roman"/>
                <w:b/>
                <w:bCs/>
                <w:sz w:val="22"/>
                <w:lang w:val="en-IN"/>
              </w:rPr>
              <w:t>)</w:t>
            </w:r>
          </w:p>
        </w:tc>
        <w:tc>
          <w:tcPr>
            <w:tcW w:w="2156" w:type="dxa"/>
            <w:tcBorders>
              <w:top w:val="single" w:sz="4" w:space="0" w:color="auto"/>
              <w:left w:val="nil"/>
              <w:bottom w:val="single" w:sz="4" w:space="0" w:color="auto"/>
              <w:right w:val="nil"/>
            </w:tcBorders>
            <w:vAlign w:val="center"/>
            <w:hideMark/>
          </w:tcPr>
          <w:p w14:paraId="0EA756CF" w14:textId="571128E4" w:rsidR="0090400A" w:rsidRPr="008912A6" w:rsidRDefault="003B5FA4" w:rsidP="00D45373">
            <w:pPr>
              <w:spacing w:after="0" w:line="240" w:lineRule="auto"/>
              <w:jc w:val="center"/>
              <w:rPr>
                <w:rFonts w:cs="Times New Roman"/>
                <w:b/>
                <w:bCs/>
                <w:sz w:val="22"/>
              </w:rPr>
            </w:pPr>
            <w:r>
              <w:rPr>
                <w:rFonts w:cs="Times New Roman"/>
                <w:b/>
                <w:sz w:val="22"/>
                <w:lang w:val="en-IN"/>
              </w:rPr>
              <w:t>Contaminant</w:t>
            </w:r>
          </w:p>
        </w:tc>
        <w:tc>
          <w:tcPr>
            <w:tcW w:w="1026" w:type="dxa"/>
            <w:tcBorders>
              <w:top w:val="single" w:sz="4" w:space="0" w:color="auto"/>
              <w:left w:val="nil"/>
              <w:bottom w:val="single" w:sz="4" w:space="0" w:color="auto"/>
              <w:right w:val="nil"/>
            </w:tcBorders>
            <w:vAlign w:val="center"/>
            <w:hideMark/>
          </w:tcPr>
          <w:p w14:paraId="7F1B389C" w14:textId="77777777" w:rsidR="00BB7316" w:rsidRDefault="0090400A" w:rsidP="00D45373">
            <w:pPr>
              <w:spacing w:after="0" w:line="240" w:lineRule="auto"/>
              <w:jc w:val="center"/>
              <w:rPr>
                <w:rFonts w:cs="Times New Roman"/>
                <w:b/>
                <w:bCs/>
                <w:iCs/>
                <w:sz w:val="22"/>
              </w:rPr>
            </w:pPr>
            <w:r w:rsidRPr="008912A6">
              <w:rPr>
                <w:rFonts w:cs="Times New Roman"/>
                <w:b/>
                <w:bCs/>
                <w:i/>
                <w:iCs/>
                <w:sz w:val="22"/>
              </w:rPr>
              <w:t>C</w:t>
            </w:r>
            <w:r w:rsidRPr="008912A6">
              <w:rPr>
                <w:rFonts w:cs="Times New Roman"/>
                <w:b/>
                <w:bCs/>
                <w:i/>
                <w:iCs/>
                <w:sz w:val="22"/>
                <w:vertAlign w:val="subscript"/>
              </w:rPr>
              <w:t>o</w:t>
            </w:r>
            <w:r w:rsidRPr="008912A6">
              <w:rPr>
                <w:rFonts w:cs="Times New Roman"/>
                <w:b/>
                <w:bCs/>
                <w:iCs/>
                <w:sz w:val="22"/>
              </w:rPr>
              <w:t xml:space="preserve"> </w:t>
            </w:r>
          </w:p>
          <w:p w14:paraId="44BA00B7" w14:textId="69A94ACD" w:rsidR="0090400A" w:rsidRPr="008912A6" w:rsidRDefault="0090400A" w:rsidP="00D45373">
            <w:pPr>
              <w:spacing w:after="0" w:line="240" w:lineRule="auto"/>
              <w:jc w:val="center"/>
              <w:rPr>
                <w:rFonts w:cs="Times New Roman"/>
                <w:b/>
                <w:bCs/>
                <w:sz w:val="22"/>
              </w:rPr>
            </w:pPr>
            <w:r w:rsidRPr="008912A6">
              <w:rPr>
                <w:rFonts w:cs="Times New Roman"/>
                <w:b/>
                <w:bCs/>
                <w:iCs/>
                <w:sz w:val="22"/>
              </w:rPr>
              <w:t>(mg L</w:t>
            </w:r>
            <w:r w:rsidR="00AA0DD6">
              <w:rPr>
                <w:rFonts w:cs="Times New Roman"/>
                <w:bCs/>
                <w:color w:val="000000" w:themeColor="text1"/>
                <w:szCs w:val="24"/>
                <w:vertAlign w:val="superscript"/>
                <w:lang w:val="en-IN"/>
              </w:rPr>
              <w:t>‒</w:t>
            </w:r>
            <w:r w:rsidRPr="008912A6">
              <w:rPr>
                <w:rFonts w:cs="Times New Roman"/>
                <w:b/>
                <w:bCs/>
                <w:iCs/>
                <w:sz w:val="22"/>
                <w:vertAlign w:val="superscript"/>
              </w:rPr>
              <w:t>1</w:t>
            </w:r>
            <w:r w:rsidRPr="008912A6">
              <w:rPr>
                <w:rFonts w:cs="Times New Roman"/>
                <w:b/>
                <w:bCs/>
                <w:iCs/>
                <w:sz w:val="22"/>
              </w:rPr>
              <w:t>)</w:t>
            </w:r>
          </w:p>
        </w:tc>
        <w:tc>
          <w:tcPr>
            <w:tcW w:w="1134" w:type="dxa"/>
            <w:tcBorders>
              <w:top w:val="single" w:sz="4" w:space="0" w:color="auto"/>
              <w:left w:val="nil"/>
              <w:bottom w:val="single" w:sz="4" w:space="0" w:color="auto"/>
              <w:right w:val="nil"/>
            </w:tcBorders>
            <w:vAlign w:val="center"/>
            <w:hideMark/>
          </w:tcPr>
          <w:p w14:paraId="2EBA4B31" w14:textId="77777777" w:rsidR="0090400A" w:rsidRPr="008912A6" w:rsidRDefault="0090400A" w:rsidP="00624FB7">
            <w:pPr>
              <w:spacing w:after="0" w:line="240" w:lineRule="auto"/>
              <w:ind w:right="-108"/>
              <w:jc w:val="center"/>
              <w:rPr>
                <w:rFonts w:cs="Times New Roman"/>
                <w:b/>
                <w:bCs/>
                <w:sz w:val="22"/>
              </w:rPr>
            </w:pPr>
            <w:r w:rsidRPr="008912A6">
              <w:rPr>
                <w:rFonts w:cs="Times New Roman"/>
                <w:b/>
                <w:bCs/>
                <w:sz w:val="22"/>
              </w:rPr>
              <w:t>Efficiency (%)</w:t>
            </w:r>
          </w:p>
        </w:tc>
        <w:tc>
          <w:tcPr>
            <w:tcW w:w="2142" w:type="dxa"/>
            <w:tcBorders>
              <w:top w:val="single" w:sz="4" w:space="0" w:color="auto"/>
              <w:left w:val="nil"/>
              <w:bottom w:val="single" w:sz="4" w:space="0" w:color="auto"/>
              <w:right w:val="nil"/>
            </w:tcBorders>
            <w:vAlign w:val="center"/>
            <w:hideMark/>
          </w:tcPr>
          <w:p w14:paraId="3BE3610E" w14:textId="77777777" w:rsidR="0090400A" w:rsidRPr="008912A6" w:rsidRDefault="0090400A" w:rsidP="00D45373">
            <w:pPr>
              <w:spacing w:after="0" w:line="240" w:lineRule="auto"/>
              <w:jc w:val="center"/>
              <w:rPr>
                <w:rFonts w:cs="Times New Roman"/>
                <w:b/>
                <w:bCs/>
                <w:sz w:val="22"/>
              </w:rPr>
            </w:pPr>
            <w:r w:rsidRPr="008912A6">
              <w:rPr>
                <w:rFonts w:cs="Times New Roman"/>
                <w:b/>
                <w:bCs/>
                <w:sz w:val="22"/>
              </w:rPr>
              <w:t>References</w:t>
            </w:r>
          </w:p>
        </w:tc>
      </w:tr>
      <w:tr w:rsidR="0090400A" w:rsidRPr="008912A6" w14:paraId="15351967" w14:textId="77777777" w:rsidTr="00624FB7">
        <w:trPr>
          <w:trHeight w:val="488"/>
        </w:trPr>
        <w:tc>
          <w:tcPr>
            <w:tcW w:w="1701" w:type="dxa"/>
            <w:tcBorders>
              <w:top w:val="single" w:sz="4" w:space="0" w:color="auto"/>
              <w:left w:val="nil"/>
              <w:bottom w:val="single" w:sz="4" w:space="0" w:color="auto"/>
              <w:right w:val="nil"/>
            </w:tcBorders>
            <w:vAlign w:val="center"/>
            <w:hideMark/>
          </w:tcPr>
          <w:p w14:paraId="6AB70861" w14:textId="77777777" w:rsidR="0090400A" w:rsidRPr="008912A6" w:rsidRDefault="0090400A" w:rsidP="00D45373">
            <w:pPr>
              <w:spacing w:after="0" w:line="240" w:lineRule="auto"/>
              <w:jc w:val="center"/>
              <w:rPr>
                <w:rFonts w:cs="Times New Roman"/>
                <w:bCs/>
                <w:sz w:val="22"/>
                <w:lang w:val="en-IN"/>
              </w:rPr>
            </w:pPr>
            <w:r w:rsidRPr="008912A6">
              <w:rPr>
                <w:rFonts w:cs="Times New Roman"/>
                <w:bCs/>
                <w:sz w:val="22"/>
              </w:rPr>
              <w:t>γ</w:t>
            </w:r>
            <w:r w:rsidRPr="008912A6">
              <w:rPr>
                <w:rFonts w:cs="Times New Roman"/>
                <w:bCs/>
                <w:sz w:val="22"/>
                <w:lang w:val="en-IN"/>
              </w:rPr>
              <w:t>- rays /H</w:t>
            </w:r>
            <w:r w:rsidRPr="008912A6">
              <w:rPr>
                <w:rFonts w:cs="Times New Roman"/>
                <w:bCs/>
                <w:sz w:val="22"/>
                <w:vertAlign w:val="subscript"/>
                <w:lang w:val="en-IN"/>
              </w:rPr>
              <w:t>2</w:t>
            </w:r>
            <w:r w:rsidRPr="008912A6">
              <w:rPr>
                <w:rFonts w:cs="Times New Roman"/>
                <w:bCs/>
                <w:sz w:val="22"/>
                <w:lang w:val="en-IN"/>
              </w:rPr>
              <w:t>O</w:t>
            </w:r>
            <w:r w:rsidRPr="008912A6">
              <w:rPr>
                <w:rFonts w:cs="Times New Roman"/>
                <w:bCs/>
                <w:sz w:val="22"/>
                <w:vertAlign w:val="subscript"/>
                <w:lang w:val="en-IN"/>
              </w:rPr>
              <w:t>2</w:t>
            </w:r>
          </w:p>
        </w:tc>
        <w:tc>
          <w:tcPr>
            <w:tcW w:w="1780" w:type="dxa"/>
            <w:tcBorders>
              <w:top w:val="single" w:sz="4" w:space="0" w:color="auto"/>
              <w:left w:val="nil"/>
              <w:bottom w:val="single" w:sz="4" w:space="0" w:color="auto"/>
              <w:right w:val="nil"/>
            </w:tcBorders>
            <w:vAlign w:val="center"/>
            <w:hideMark/>
          </w:tcPr>
          <w:p w14:paraId="0AC964A2" w14:textId="77777777" w:rsidR="0090400A" w:rsidRPr="008912A6" w:rsidRDefault="0090400A" w:rsidP="00D45373">
            <w:pPr>
              <w:spacing w:after="0" w:line="240" w:lineRule="auto"/>
              <w:jc w:val="center"/>
              <w:rPr>
                <w:rFonts w:cs="Times New Roman"/>
                <w:bCs/>
                <w:sz w:val="22"/>
              </w:rPr>
            </w:pPr>
            <w:r w:rsidRPr="008912A6">
              <w:rPr>
                <w:rFonts w:cs="Times New Roman"/>
                <w:bCs/>
                <w:sz w:val="22"/>
                <w:lang w:val="en-IN"/>
              </w:rPr>
              <w:t>12</w:t>
            </w:r>
          </w:p>
        </w:tc>
        <w:tc>
          <w:tcPr>
            <w:tcW w:w="2156" w:type="dxa"/>
            <w:tcBorders>
              <w:top w:val="single" w:sz="4" w:space="0" w:color="auto"/>
              <w:left w:val="nil"/>
              <w:bottom w:val="single" w:sz="4" w:space="0" w:color="auto"/>
              <w:right w:val="nil"/>
            </w:tcBorders>
            <w:vAlign w:val="center"/>
            <w:hideMark/>
          </w:tcPr>
          <w:p w14:paraId="6B2643D6" w14:textId="77777777" w:rsidR="0090400A" w:rsidRPr="008912A6" w:rsidRDefault="0090400A" w:rsidP="00D45373">
            <w:pPr>
              <w:spacing w:after="0" w:line="240" w:lineRule="auto"/>
              <w:jc w:val="center"/>
              <w:rPr>
                <w:rFonts w:cs="Times New Roman"/>
                <w:bCs/>
                <w:sz w:val="22"/>
                <w:lang w:val="en-IN"/>
              </w:rPr>
            </w:pPr>
            <w:r w:rsidRPr="008912A6">
              <w:rPr>
                <w:rFonts w:cs="Times New Roman"/>
                <w:bCs/>
                <w:sz w:val="22"/>
                <w:lang w:val="en-IN"/>
              </w:rPr>
              <w:t>Reactive Blue-19</w:t>
            </w:r>
          </w:p>
        </w:tc>
        <w:tc>
          <w:tcPr>
            <w:tcW w:w="1026" w:type="dxa"/>
            <w:tcBorders>
              <w:top w:val="single" w:sz="4" w:space="0" w:color="auto"/>
              <w:left w:val="nil"/>
              <w:bottom w:val="single" w:sz="4" w:space="0" w:color="auto"/>
              <w:right w:val="nil"/>
            </w:tcBorders>
            <w:vAlign w:val="center"/>
            <w:hideMark/>
          </w:tcPr>
          <w:p w14:paraId="3605504B"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50</w:t>
            </w:r>
          </w:p>
        </w:tc>
        <w:tc>
          <w:tcPr>
            <w:tcW w:w="1134" w:type="dxa"/>
            <w:tcBorders>
              <w:top w:val="single" w:sz="4" w:space="0" w:color="auto"/>
              <w:left w:val="nil"/>
              <w:bottom w:val="single" w:sz="4" w:space="0" w:color="auto"/>
              <w:right w:val="nil"/>
            </w:tcBorders>
            <w:vAlign w:val="center"/>
            <w:hideMark/>
          </w:tcPr>
          <w:p w14:paraId="04E6284A"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60</w:t>
            </w:r>
          </w:p>
        </w:tc>
        <w:tc>
          <w:tcPr>
            <w:tcW w:w="2142" w:type="dxa"/>
            <w:tcBorders>
              <w:top w:val="single" w:sz="4" w:space="0" w:color="auto"/>
              <w:left w:val="nil"/>
              <w:bottom w:val="single" w:sz="4" w:space="0" w:color="auto"/>
              <w:right w:val="nil"/>
            </w:tcBorders>
            <w:vAlign w:val="center"/>
            <w:hideMark/>
          </w:tcPr>
          <w:p w14:paraId="0CA44699" w14:textId="0DDEFBE9" w:rsidR="0090400A" w:rsidRPr="008912A6" w:rsidRDefault="0090400A" w:rsidP="00D45373">
            <w:pPr>
              <w:spacing w:after="0" w:line="240" w:lineRule="auto"/>
              <w:jc w:val="center"/>
              <w:rPr>
                <w:rFonts w:cs="Times New Roman"/>
                <w:bCs/>
                <w:sz w:val="22"/>
              </w:rPr>
            </w:pPr>
            <w:r w:rsidRPr="008912A6">
              <w:rPr>
                <w:rFonts w:cs="Times New Roman"/>
                <w:bCs/>
                <w:sz w:val="22"/>
              </w:rPr>
              <w:fldChar w:fldCharType="begin" w:fldLock="1"/>
            </w:r>
            <w:r w:rsidR="008666F9">
              <w:rPr>
                <w:rFonts w:cs="Times New Roman"/>
                <w:bCs/>
                <w:sz w:val="22"/>
              </w:rPr>
              <w:instrText>ADDIN CSL_CITATION {"citationItems":[{"id":"ITEM-1","itemData":{"DOI":"10.1016/j.radphyschem.2019.108637","ISSN":"0969806X","abstract":"The gamma irradiation-induced degradation of Reactive Blue-19 (RB-19) as a model system in aqueous media has been evaluated. The process variables such as dye initial concentration (50–150 ppm), H2O2 concentration (0.1–0.9 ml) and gamma radiation absorbed dose (1–12 kGy) were optimized to get maximum degradation. The efficiency of AOP was assessed on the basis of degradation, reduction in COD/BOD and toxicity of the dye. A complete degradation and 60% removal in COD/BOD were obtained at H2O2 (0.9 ml) under the gamma radiation absorbed dose of 12 kGy. The UV/Vis spectrophotometer was used to investigate the change in absorbance before and after irradiation. The radiolytic progress and degraded end-products of the treated samples were determined by comparing the before and after irradiation dye spectra of FT-IR. The results of FTIR spectra showed that the anthraquinone structures, nitrogen linkages and amino groups of RB-19 were destroyed under gamma irradiation. The identification by LC-MS analyses indicated that some organic acids (e.g. phthalic acid) could be the primary degradation products. The hemolytic test showed 19.30% hemolysis, while gamma/H2O2 treatment reduced mutagenicity up to 89.7% and 97.91% against TA98 and TA100 bacterial strains, respectively. The study showed that the gamma radiation based advanced oxidation process can be favorable and probably be used for the remediation of dyes waste-water having toxic dyes.","author":[{"dropping-particle":"","family":"Arshad","given":"Rabia","non-dropping-particle":"","parse-names":false,"suffix":""},{"dropping-particle":"","family":"Bokhari","given":"Tanveer H.","non-dropping-particle":"","parse-names":false,"suffix":""},{"dropping-particle":"","family":"Khosa","given":"Kaleem K.","non-dropping-particle":"","parse-names":false,"suffix":""},{"dropping-particle":"","family":"Bhatti","given":"Ijaz A.","non-dropping-particle":"","parse-names":false,"suffix":""},{"dropping-particle":"","family":"Munir","given":"Majid","non-dropping-particle":"","parse-names":false,"suffix":""},{"dropping-particle":"","family":"Iqbal","given":"Mazhar","non-dropping-particle":"","parse-names":false,"suffix":""},{"dropping-particle":"","family":"Iqbal","given":"Dure N.","non-dropping-particle":"","parse-names":false,"suffix":""},{"dropping-particle":"","family":"Khan","given":"M.I.","non-dropping-particle":"","parse-names":false,"suffix":""},{"dropping-particle":"","family":"Iqbal","given":"Munawar","non-dropping-particle":"","parse-names":false,"suffix":""},{"dropping-particle":"","family":"Nazir","given":"Arif","non-dropping-particle":"","parse-names":false,"suffix":""}],"container-title":"Radiation Physics and Chemistry","id":"ITEM-1","issued":{"date-parts":[["2020","3"]]},"page":"108637","title":"Gamma radiation induced degradation of anthraquinone Reactive Blue-19 dye using hydrogen peroxide as oxidizing agent","type":"article-journal","volume":"168"},"uris":["http://www.mendeley.com/documents/?uuid=4b9ce15d-4714-4019-bfc0-5911be80713b","http://www.mendeley.com/documents/?uuid=e7722905-630a-44ff-8dee-6ca7d6660086"]}],"mendeley":{"formattedCitation":"(Arshad et al., 2020)","plainTextFormattedCitation":"(Arshad et al., 2020)","previouslyFormattedCitation":"(Arshad et al., 2020)"},"properties":{"noteIndex":0},"schema":"https://github.com/citation-style-language/schema/raw/master/csl-citation.json"}</w:instrText>
            </w:r>
            <w:r w:rsidRPr="008912A6">
              <w:rPr>
                <w:rFonts w:cs="Times New Roman"/>
                <w:bCs/>
                <w:sz w:val="22"/>
              </w:rPr>
              <w:fldChar w:fldCharType="separate"/>
            </w:r>
            <w:r w:rsidRPr="008912A6">
              <w:rPr>
                <w:rFonts w:cs="Times New Roman"/>
                <w:bCs/>
                <w:noProof/>
                <w:sz w:val="22"/>
              </w:rPr>
              <w:t>(Arshad et al., 2020)</w:t>
            </w:r>
            <w:r w:rsidRPr="008912A6">
              <w:rPr>
                <w:rFonts w:cs="Times New Roman"/>
                <w:bCs/>
                <w:sz w:val="22"/>
              </w:rPr>
              <w:fldChar w:fldCharType="end"/>
            </w:r>
          </w:p>
        </w:tc>
      </w:tr>
      <w:tr w:rsidR="0090400A" w:rsidRPr="008912A6" w14:paraId="5BE34206" w14:textId="77777777" w:rsidTr="00624FB7">
        <w:trPr>
          <w:trHeight w:val="488"/>
        </w:trPr>
        <w:tc>
          <w:tcPr>
            <w:tcW w:w="1701" w:type="dxa"/>
            <w:tcBorders>
              <w:top w:val="single" w:sz="4" w:space="0" w:color="auto"/>
              <w:left w:val="nil"/>
              <w:bottom w:val="single" w:sz="4" w:space="0" w:color="auto"/>
              <w:right w:val="nil"/>
            </w:tcBorders>
            <w:vAlign w:val="center"/>
            <w:hideMark/>
          </w:tcPr>
          <w:p w14:paraId="311C3246"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γ-rays / Fenton</w:t>
            </w:r>
          </w:p>
        </w:tc>
        <w:tc>
          <w:tcPr>
            <w:tcW w:w="1780" w:type="dxa"/>
            <w:tcBorders>
              <w:top w:val="single" w:sz="4" w:space="0" w:color="auto"/>
              <w:left w:val="nil"/>
              <w:bottom w:val="single" w:sz="4" w:space="0" w:color="auto"/>
              <w:right w:val="nil"/>
            </w:tcBorders>
            <w:vAlign w:val="center"/>
            <w:hideMark/>
          </w:tcPr>
          <w:p w14:paraId="21C18791" w14:textId="77777777" w:rsidR="0090400A" w:rsidRPr="008912A6" w:rsidRDefault="0090400A" w:rsidP="00D45373">
            <w:pPr>
              <w:spacing w:after="0" w:line="240" w:lineRule="auto"/>
              <w:jc w:val="center"/>
              <w:rPr>
                <w:rFonts w:cs="Times New Roman"/>
                <w:bCs/>
                <w:sz w:val="22"/>
              </w:rPr>
            </w:pPr>
            <w:r w:rsidRPr="008912A6">
              <w:rPr>
                <w:rFonts w:cs="Times New Roman"/>
                <w:bCs/>
                <w:sz w:val="22"/>
                <w:lang w:val="en-IN"/>
              </w:rPr>
              <w:t>1</w:t>
            </w:r>
          </w:p>
        </w:tc>
        <w:tc>
          <w:tcPr>
            <w:tcW w:w="2156" w:type="dxa"/>
            <w:tcBorders>
              <w:top w:val="single" w:sz="4" w:space="0" w:color="auto"/>
              <w:left w:val="nil"/>
              <w:bottom w:val="single" w:sz="4" w:space="0" w:color="auto"/>
              <w:right w:val="nil"/>
            </w:tcBorders>
            <w:vAlign w:val="center"/>
            <w:hideMark/>
          </w:tcPr>
          <w:p w14:paraId="187A7AE1" w14:textId="77777777" w:rsidR="0090400A" w:rsidRPr="008912A6" w:rsidRDefault="0090400A" w:rsidP="00D45373">
            <w:pPr>
              <w:spacing w:after="0" w:line="240" w:lineRule="auto"/>
              <w:jc w:val="center"/>
              <w:rPr>
                <w:rFonts w:cs="Times New Roman"/>
                <w:bCs/>
                <w:sz w:val="22"/>
              </w:rPr>
            </w:pPr>
            <w:r w:rsidRPr="008912A6">
              <w:rPr>
                <w:rFonts w:cs="Times New Roman"/>
                <w:bCs/>
                <w:sz w:val="22"/>
                <w:lang w:val="en-IN"/>
              </w:rPr>
              <w:t>Sulfadiazine</w:t>
            </w:r>
          </w:p>
        </w:tc>
        <w:tc>
          <w:tcPr>
            <w:tcW w:w="1026" w:type="dxa"/>
            <w:tcBorders>
              <w:top w:val="single" w:sz="4" w:space="0" w:color="auto"/>
              <w:left w:val="nil"/>
              <w:bottom w:val="single" w:sz="4" w:space="0" w:color="auto"/>
              <w:right w:val="nil"/>
            </w:tcBorders>
            <w:vAlign w:val="center"/>
            <w:hideMark/>
          </w:tcPr>
          <w:p w14:paraId="2DC8BBDE"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25</w:t>
            </w:r>
          </w:p>
        </w:tc>
        <w:tc>
          <w:tcPr>
            <w:tcW w:w="1134" w:type="dxa"/>
            <w:tcBorders>
              <w:top w:val="single" w:sz="4" w:space="0" w:color="auto"/>
              <w:left w:val="nil"/>
              <w:bottom w:val="single" w:sz="4" w:space="0" w:color="auto"/>
              <w:right w:val="nil"/>
            </w:tcBorders>
            <w:vAlign w:val="center"/>
            <w:hideMark/>
          </w:tcPr>
          <w:p w14:paraId="08DBFAFC"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~100</w:t>
            </w:r>
          </w:p>
        </w:tc>
        <w:tc>
          <w:tcPr>
            <w:tcW w:w="2142" w:type="dxa"/>
            <w:tcBorders>
              <w:top w:val="single" w:sz="4" w:space="0" w:color="auto"/>
              <w:left w:val="nil"/>
              <w:bottom w:val="single" w:sz="4" w:space="0" w:color="auto"/>
              <w:right w:val="nil"/>
            </w:tcBorders>
            <w:vAlign w:val="center"/>
            <w:hideMark/>
          </w:tcPr>
          <w:p w14:paraId="7A384606" w14:textId="30046A7B" w:rsidR="0090400A" w:rsidRPr="008912A6" w:rsidRDefault="0090400A" w:rsidP="00D45373">
            <w:pPr>
              <w:spacing w:after="0" w:line="240" w:lineRule="auto"/>
              <w:jc w:val="center"/>
              <w:rPr>
                <w:rFonts w:cs="Times New Roman"/>
                <w:bCs/>
                <w:sz w:val="22"/>
              </w:rPr>
            </w:pPr>
            <w:r w:rsidRPr="008912A6">
              <w:rPr>
                <w:rFonts w:cs="Times New Roman"/>
                <w:bCs/>
                <w:sz w:val="22"/>
              </w:rPr>
              <w:fldChar w:fldCharType="begin" w:fldLock="1"/>
            </w:r>
            <w:r w:rsidR="008666F9">
              <w:rPr>
                <w:rFonts w:cs="Times New Roman"/>
                <w:bCs/>
                <w:sz w:val="22"/>
              </w:rPr>
              <w:instrText>ADDIN CSL_CITATION {"citationItems":[{"id":"ITEM-1","itemData":{"DOI":"10.1007/s10967-017-5629-8","ISSN":"15882780","abstract":"Gamma radiation (GR) is a promising technique, among known advanced oxidation processes, degrading water contaminants. Nevertheless, few authors report the degradation of sulfonamides by GR, and limited information exists concerning the use of GR in the case of sulfadiazine (SDZ). The objectives of this work are (1) evaluating GR as an alternative method for treating wastewater contaminated with SDZ and examinating the intensification of GR with oxidants (H2O2 or Fenton reagent). GR was performed with a high-activity 60Co source. The gamma radiation/Fenton process gave the best result, leading to total SDZ removal and high (74.13%) pollutant mineralization.","author":[{"dropping-particle":"","family":"Rivas-Ortiz","given":"Iram Bárbaro","non-dropping-particle":"","parse-names":false,"suffix":""},{"dropping-particle":"","family":"Cruz-González","given":"Germán","non-dropping-particle":"","parse-names":false,"suffix":""},{"dropping-particle":"","family":"Lastre-Acosta","given":"Arlen Mabel","non-dropping-particle":"","parse-names":false,"suffix":""},{"dropping-particle":"","family":"Manduca-Artiles","given":"Michel","non-dropping-particle":"","parse-names":false,"suffix":""},{"dropping-particle":"","family":"Rapado-Paneque","given":"Manuel","non-dropping-particle":"","parse-names":false,"suffix":""},{"dropping-particle":"","family":"Chávez-Ardanza","given":"Armando","non-dropping-particle":"","parse-names":false,"suffix":""},{"dropping-particle":"","family":"Teixeira","given":"Antonio Carlos Silva Costa","non-dropping-particle":"","parse-names":false,"suffix":""},{"dropping-particle":"","family":"Jáuregui-Haza","given":"Ulises J.","non-dropping-particle":"","parse-names":false,"suffix":""}],"container-title":"Journal of Radioanalytical and Nuclear Chemistry","id":"ITEM-1","issue":"3","issued":{"date-parts":[["2017"]]},"page":"2597-2607","title":"Optimization of radiolytic degradation of sulfadiazine by combining Fenton and gamma irradiation processes","type":"article-journal","volume":"314"},"uris":["http://www.mendeley.com/documents/?uuid=0c70a1eb-7c4f-4aa4-90b1-7207bf355ad1","http://www.mendeley.com/documents/?uuid=107f63f3-1074-4138-9095-1a63161f01e6"]}],"mendeley":{"formattedCitation":"(Rivas-Ortiz et al., 2017)","plainTextFormattedCitation":"(Rivas-Ortiz et al., 2017)","previouslyFormattedCitation":"(Rivas-Ortiz et al., 2017)"},"properties":{"noteIndex":0},"schema":"https://github.com/citation-style-language/schema/raw/master/csl-citation.json"}</w:instrText>
            </w:r>
            <w:r w:rsidRPr="008912A6">
              <w:rPr>
                <w:rFonts w:cs="Times New Roman"/>
                <w:bCs/>
                <w:sz w:val="22"/>
              </w:rPr>
              <w:fldChar w:fldCharType="separate"/>
            </w:r>
            <w:r w:rsidRPr="008912A6">
              <w:rPr>
                <w:rFonts w:cs="Times New Roman"/>
                <w:bCs/>
                <w:noProof/>
                <w:sz w:val="22"/>
              </w:rPr>
              <w:t>(Rivas-Ortiz et al., 2017)</w:t>
            </w:r>
            <w:r w:rsidRPr="008912A6">
              <w:rPr>
                <w:rFonts w:cs="Times New Roman"/>
                <w:bCs/>
                <w:sz w:val="22"/>
              </w:rPr>
              <w:fldChar w:fldCharType="end"/>
            </w:r>
          </w:p>
        </w:tc>
      </w:tr>
      <w:tr w:rsidR="0090400A" w:rsidRPr="008912A6" w14:paraId="0DC95999" w14:textId="77777777" w:rsidTr="00624FB7">
        <w:trPr>
          <w:trHeight w:val="488"/>
        </w:trPr>
        <w:tc>
          <w:tcPr>
            <w:tcW w:w="1701" w:type="dxa"/>
            <w:tcBorders>
              <w:top w:val="single" w:sz="4" w:space="0" w:color="auto"/>
              <w:left w:val="nil"/>
              <w:bottom w:val="single" w:sz="4" w:space="0" w:color="auto"/>
              <w:right w:val="nil"/>
            </w:tcBorders>
            <w:vAlign w:val="center"/>
            <w:hideMark/>
          </w:tcPr>
          <w:p w14:paraId="3868C51C"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γ</w:t>
            </w:r>
            <w:r w:rsidRPr="008912A6">
              <w:rPr>
                <w:rFonts w:cs="Times New Roman"/>
                <w:bCs/>
                <w:sz w:val="22"/>
                <w:lang w:val="en-IN"/>
              </w:rPr>
              <w:t>- rays</w:t>
            </w:r>
          </w:p>
        </w:tc>
        <w:tc>
          <w:tcPr>
            <w:tcW w:w="1780" w:type="dxa"/>
            <w:tcBorders>
              <w:top w:val="single" w:sz="4" w:space="0" w:color="auto"/>
              <w:left w:val="nil"/>
              <w:bottom w:val="single" w:sz="4" w:space="0" w:color="auto"/>
              <w:right w:val="nil"/>
            </w:tcBorders>
            <w:vAlign w:val="center"/>
            <w:hideMark/>
          </w:tcPr>
          <w:p w14:paraId="265E905A" w14:textId="77777777" w:rsidR="0090400A" w:rsidRPr="008912A6" w:rsidRDefault="0090400A" w:rsidP="00D45373">
            <w:pPr>
              <w:spacing w:after="0" w:line="240" w:lineRule="auto"/>
              <w:jc w:val="center"/>
              <w:rPr>
                <w:rFonts w:cs="Times New Roman"/>
                <w:bCs/>
                <w:sz w:val="22"/>
                <w:lang w:val="en-IN"/>
              </w:rPr>
            </w:pPr>
            <w:r w:rsidRPr="008912A6">
              <w:rPr>
                <w:rFonts w:cs="Times New Roman"/>
                <w:bCs/>
                <w:sz w:val="22"/>
                <w:lang w:val="en-IN"/>
              </w:rPr>
              <w:t>8</w:t>
            </w:r>
          </w:p>
        </w:tc>
        <w:tc>
          <w:tcPr>
            <w:tcW w:w="2156" w:type="dxa"/>
            <w:tcBorders>
              <w:top w:val="single" w:sz="4" w:space="0" w:color="auto"/>
              <w:left w:val="nil"/>
              <w:bottom w:val="single" w:sz="4" w:space="0" w:color="auto"/>
              <w:right w:val="nil"/>
            </w:tcBorders>
            <w:vAlign w:val="center"/>
            <w:hideMark/>
          </w:tcPr>
          <w:p w14:paraId="14D4839F" w14:textId="2CC49BFF" w:rsidR="0090400A" w:rsidRPr="008912A6" w:rsidRDefault="0090400A" w:rsidP="00D45373">
            <w:pPr>
              <w:spacing w:after="0" w:line="240" w:lineRule="auto"/>
              <w:jc w:val="center"/>
              <w:rPr>
                <w:rFonts w:cs="Times New Roman"/>
                <w:bCs/>
                <w:sz w:val="22"/>
                <w:lang w:val="en-IN"/>
              </w:rPr>
            </w:pPr>
            <w:proofErr w:type="spellStart"/>
            <w:r w:rsidRPr="008912A6">
              <w:rPr>
                <w:rFonts w:cs="Times New Roman"/>
                <w:bCs/>
                <w:sz w:val="22"/>
                <w:lang w:val="en-IN"/>
              </w:rPr>
              <w:t>Diclofop</w:t>
            </w:r>
            <w:proofErr w:type="spellEnd"/>
            <w:r w:rsidRPr="008912A6">
              <w:rPr>
                <w:rFonts w:cs="Times New Roman"/>
                <w:bCs/>
                <w:sz w:val="22"/>
                <w:lang w:val="en-IN"/>
              </w:rPr>
              <w:t xml:space="preserve"> methyl </w:t>
            </w:r>
          </w:p>
        </w:tc>
        <w:tc>
          <w:tcPr>
            <w:tcW w:w="1026" w:type="dxa"/>
            <w:tcBorders>
              <w:top w:val="single" w:sz="4" w:space="0" w:color="auto"/>
              <w:left w:val="nil"/>
              <w:bottom w:val="single" w:sz="4" w:space="0" w:color="auto"/>
              <w:right w:val="nil"/>
            </w:tcBorders>
            <w:vAlign w:val="center"/>
            <w:hideMark/>
          </w:tcPr>
          <w:p w14:paraId="37CA23B5" w14:textId="77777777" w:rsidR="0090400A" w:rsidRPr="008912A6" w:rsidRDefault="0090400A" w:rsidP="00D45373">
            <w:pPr>
              <w:spacing w:after="0" w:line="240" w:lineRule="auto"/>
              <w:jc w:val="center"/>
              <w:rPr>
                <w:rFonts w:cs="Times New Roman"/>
                <w:bCs/>
                <w:sz w:val="22"/>
              </w:rPr>
            </w:pPr>
            <w:r w:rsidRPr="008912A6">
              <w:rPr>
                <w:rFonts w:cs="Times New Roman"/>
                <w:bCs/>
                <w:sz w:val="22"/>
                <w:lang w:val="en-IN"/>
              </w:rPr>
              <w:t>150</w:t>
            </w:r>
          </w:p>
        </w:tc>
        <w:tc>
          <w:tcPr>
            <w:tcW w:w="1134" w:type="dxa"/>
            <w:tcBorders>
              <w:top w:val="single" w:sz="4" w:space="0" w:color="auto"/>
              <w:left w:val="nil"/>
              <w:bottom w:val="single" w:sz="4" w:space="0" w:color="auto"/>
              <w:right w:val="nil"/>
            </w:tcBorders>
            <w:vAlign w:val="center"/>
            <w:hideMark/>
          </w:tcPr>
          <w:p w14:paraId="60C8B264"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97</w:t>
            </w:r>
            <w:r w:rsidRPr="008912A6">
              <w:rPr>
                <w:rFonts w:cs="Times New Roman"/>
                <w:bCs/>
                <w:sz w:val="22"/>
                <w:vertAlign w:val="superscript"/>
              </w:rPr>
              <w:t xml:space="preserve">a </w:t>
            </w:r>
            <w:r w:rsidRPr="008912A6">
              <w:rPr>
                <w:rFonts w:cs="Times New Roman"/>
                <w:bCs/>
                <w:sz w:val="22"/>
              </w:rPr>
              <w:t xml:space="preserve">         </w:t>
            </w:r>
          </w:p>
        </w:tc>
        <w:tc>
          <w:tcPr>
            <w:tcW w:w="2142" w:type="dxa"/>
            <w:tcBorders>
              <w:top w:val="single" w:sz="4" w:space="0" w:color="auto"/>
              <w:left w:val="nil"/>
              <w:bottom w:val="single" w:sz="4" w:space="0" w:color="auto"/>
              <w:right w:val="nil"/>
            </w:tcBorders>
            <w:vAlign w:val="center"/>
            <w:hideMark/>
          </w:tcPr>
          <w:p w14:paraId="0E7085CA" w14:textId="09F29027" w:rsidR="0090400A" w:rsidRPr="008912A6" w:rsidRDefault="0090400A" w:rsidP="00D45373">
            <w:pPr>
              <w:spacing w:after="0" w:line="240" w:lineRule="auto"/>
              <w:jc w:val="center"/>
              <w:rPr>
                <w:rFonts w:cs="Times New Roman"/>
                <w:bCs/>
                <w:sz w:val="22"/>
              </w:rPr>
            </w:pPr>
            <w:r w:rsidRPr="008912A6">
              <w:rPr>
                <w:rFonts w:cs="Times New Roman"/>
                <w:bCs/>
                <w:sz w:val="22"/>
              </w:rPr>
              <w:fldChar w:fldCharType="begin" w:fldLock="1"/>
            </w:r>
            <w:r w:rsidR="008666F9">
              <w:rPr>
                <w:rFonts w:cs="Times New Roman"/>
                <w:bCs/>
                <w:sz w:val="22"/>
              </w:rPr>
              <w:instrText>ADDIN CSL_CITATION {"citationItems":[{"id":"ITEM-1","itemData":{"DOI":"10.1016/j.apradiso.2019.108939","ISSN":"09698043","author":[{"dropping-particle":"","family":"Zaouak","given":"Amira","non-dropping-particle":"","parse-names":false,"suffix":""},{"dropping-particle":"","family":"Noomen","given":"Ahlem","non-dropping-particle":"","parse-names":false,"suffix":""},{"dropping-particle":"","family":"Jelassi","given":"Haikel","non-dropping-particle":"","parse-names":false,"suffix":""}],"container-title":"Applied Radiation and Isotopes","id":"ITEM-1","issued":{"date-parts":[["2020","2"]]},"page":"108939","title":"Gamma radiation induced degradation of the phenoxy acid herbicide diclofop-methyl in aqueous solutions","type":"article-journal","volume":"156"},"uris":["http://www.mendeley.com/documents/?uuid=1a2f454f-a751-4f0c-8bd2-ae293df8ebf7"]}],"mendeley":{"formattedCitation":"(Zaouak et al., 2020)","plainTextFormattedCitation":"(Zaouak et al., 2020)","previouslyFormattedCitation":"(Zaouak et al., 2020)"},"properties":{"noteIndex":0},"schema":"https://github.com/citation-style-language/schema/raw/master/csl-citation.json"}</w:instrText>
            </w:r>
            <w:r w:rsidRPr="008912A6">
              <w:rPr>
                <w:rFonts w:cs="Times New Roman"/>
                <w:bCs/>
                <w:sz w:val="22"/>
              </w:rPr>
              <w:fldChar w:fldCharType="separate"/>
            </w:r>
            <w:r w:rsidRPr="008912A6">
              <w:rPr>
                <w:rFonts w:cs="Times New Roman"/>
                <w:bCs/>
                <w:noProof/>
                <w:sz w:val="22"/>
              </w:rPr>
              <w:t>(Zaouak et al., 2020)</w:t>
            </w:r>
            <w:r w:rsidRPr="008912A6">
              <w:rPr>
                <w:rFonts w:cs="Times New Roman"/>
                <w:bCs/>
                <w:sz w:val="22"/>
              </w:rPr>
              <w:fldChar w:fldCharType="end"/>
            </w:r>
          </w:p>
        </w:tc>
      </w:tr>
      <w:tr w:rsidR="0090400A" w:rsidRPr="008912A6" w14:paraId="477F4660" w14:textId="77777777" w:rsidTr="00624FB7">
        <w:trPr>
          <w:trHeight w:val="488"/>
        </w:trPr>
        <w:tc>
          <w:tcPr>
            <w:tcW w:w="1701" w:type="dxa"/>
            <w:tcBorders>
              <w:top w:val="single" w:sz="4" w:space="0" w:color="auto"/>
              <w:left w:val="nil"/>
              <w:bottom w:val="single" w:sz="4" w:space="0" w:color="auto"/>
              <w:right w:val="nil"/>
            </w:tcBorders>
            <w:vAlign w:val="center"/>
            <w:hideMark/>
          </w:tcPr>
          <w:p w14:paraId="007EF371"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γ</w:t>
            </w:r>
            <w:r w:rsidRPr="008912A6">
              <w:rPr>
                <w:rFonts w:cs="Times New Roman"/>
                <w:bCs/>
                <w:sz w:val="22"/>
                <w:lang w:val="en-IN"/>
              </w:rPr>
              <w:t>- rays /H</w:t>
            </w:r>
            <w:r w:rsidRPr="008912A6">
              <w:rPr>
                <w:rFonts w:cs="Times New Roman"/>
                <w:bCs/>
                <w:sz w:val="22"/>
                <w:vertAlign w:val="subscript"/>
                <w:lang w:val="en-IN"/>
              </w:rPr>
              <w:t>2</w:t>
            </w:r>
            <w:r w:rsidRPr="008912A6">
              <w:rPr>
                <w:rFonts w:cs="Times New Roman"/>
                <w:bCs/>
                <w:sz w:val="22"/>
                <w:lang w:val="en-IN"/>
              </w:rPr>
              <w:t>O</w:t>
            </w:r>
            <w:r w:rsidRPr="008912A6">
              <w:rPr>
                <w:rFonts w:cs="Times New Roman"/>
                <w:bCs/>
                <w:sz w:val="22"/>
                <w:vertAlign w:val="subscript"/>
                <w:lang w:val="en-IN"/>
              </w:rPr>
              <w:t>2</w:t>
            </w:r>
          </w:p>
        </w:tc>
        <w:tc>
          <w:tcPr>
            <w:tcW w:w="1780" w:type="dxa"/>
            <w:tcBorders>
              <w:top w:val="single" w:sz="4" w:space="0" w:color="auto"/>
              <w:left w:val="nil"/>
              <w:bottom w:val="single" w:sz="4" w:space="0" w:color="auto"/>
              <w:right w:val="nil"/>
            </w:tcBorders>
            <w:vAlign w:val="center"/>
            <w:hideMark/>
          </w:tcPr>
          <w:p w14:paraId="214DD3A6" w14:textId="77777777" w:rsidR="0090400A" w:rsidRPr="008912A6" w:rsidRDefault="0090400A" w:rsidP="00D45373">
            <w:pPr>
              <w:spacing w:after="0" w:line="240" w:lineRule="auto"/>
              <w:jc w:val="center"/>
              <w:rPr>
                <w:rFonts w:cs="Times New Roman"/>
                <w:bCs/>
                <w:sz w:val="22"/>
              </w:rPr>
            </w:pPr>
            <w:r w:rsidRPr="008912A6">
              <w:rPr>
                <w:rFonts w:cs="Times New Roman"/>
                <w:bCs/>
                <w:sz w:val="22"/>
                <w:lang w:val="en-IN"/>
              </w:rPr>
              <w:t>15</w:t>
            </w:r>
          </w:p>
        </w:tc>
        <w:tc>
          <w:tcPr>
            <w:tcW w:w="2156" w:type="dxa"/>
            <w:tcBorders>
              <w:top w:val="single" w:sz="4" w:space="0" w:color="auto"/>
              <w:left w:val="nil"/>
              <w:bottom w:val="single" w:sz="4" w:space="0" w:color="auto"/>
              <w:right w:val="nil"/>
            </w:tcBorders>
            <w:vAlign w:val="center"/>
            <w:hideMark/>
          </w:tcPr>
          <w:p w14:paraId="41BD577B" w14:textId="77777777" w:rsidR="0090400A" w:rsidRPr="008912A6" w:rsidRDefault="0090400A" w:rsidP="00D45373">
            <w:pPr>
              <w:spacing w:after="0" w:line="240" w:lineRule="auto"/>
              <w:jc w:val="center"/>
              <w:rPr>
                <w:rFonts w:cs="Times New Roman"/>
                <w:bCs/>
                <w:sz w:val="22"/>
              </w:rPr>
            </w:pPr>
            <w:r w:rsidRPr="008912A6">
              <w:rPr>
                <w:rFonts w:cs="Times New Roman"/>
                <w:bCs/>
                <w:sz w:val="22"/>
                <w:lang w:val="en-IN"/>
              </w:rPr>
              <w:t>Nonylphenol ethoxylates</w:t>
            </w:r>
          </w:p>
        </w:tc>
        <w:tc>
          <w:tcPr>
            <w:tcW w:w="1026" w:type="dxa"/>
            <w:tcBorders>
              <w:top w:val="single" w:sz="4" w:space="0" w:color="auto"/>
              <w:left w:val="nil"/>
              <w:bottom w:val="single" w:sz="4" w:space="0" w:color="auto"/>
              <w:right w:val="nil"/>
            </w:tcBorders>
            <w:vAlign w:val="center"/>
            <w:hideMark/>
          </w:tcPr>
          <w:p w14:paraId="17D1D64D"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150</w:t>
            </w:r>
          </w:p>
        </w:tc>
        <w:tc>
          <w:tcPr>
            <w:tcW w:w="1134" w:type="dxa"/>
            <w:tcBorders>
              <w:top w:val="single" w:sz="4" w:space="0" w:color="auto"/>
              <w:left w:val="nil"/>
              <w:bottom w:val="single" w:sz="4" w:space="0" w:color="auto"/>
              <w:right w:val="nil"/>
            </w:tcBorders>
            <w:vAlign w:val="center"/>
            <w:hideMark/>
          </w:tcPr>
          <w:p w14:paraId="68170436"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90</w:t>
            </w:r>
          </w:p>
        </w:tc>
        <w:tc>
          <w:tcPr>
            <w:tcW w:w="2142" w:type="dxa"/>
            <w:tcBorders>
              <w:top w:val="single" w:sz="4" w:space="0" w:color="auto"/>
              <w:left w:val="nil"/>
              <w:bottom w:val="single" w:sz="4" w:space="0" w:color="auto"/>
              <w:right w:val="nil"/>
            </w:tcBorders>
            <w:vAlign w:val="center"/>
            <w:hideMark/>
          </w:tcPr>
          <w:p w14:paraId="56098D51" w14:textId="23621F7F" w:rsidR="0090400A" w:rsidRPr="008912A6" w:rsidRDefault="0090400A" w:rsidP="00D45373">
            <w:pPr>
              <w:spacing w:after="0" w:line="240" w:lineRule="auto"/>
              <w:jc w:val="center"/>
              <w:rPr>
                <w:rFonts w:cs="Times New Roman"/>
                <w:bCs/>
                <w:sz w:val="22"/>
              </w:rPr>
            </w:pPr>
            <w:r w:rsidRPr="008912A6">
              <w:rPr>
                <w:rFonts w:cs="Times New Roman"/>
                <w:bCs/>
                <w:sz w:val="22"/>
              </w:rPr>
              <w:fldChar w:fldCharType="begin" w:fldLock="1"/>
            </w:r>
            <w:r w:rsidR="008666F9">
              <w:rPr>
                <w:rFonts w:cs="Times New Roman"/>
                <w:bCs/>
                <w:sz w:val="22"/>
              </w:rPr>
              <w:instrText>ADDIN CSL_CITATION {"citationItems":[{"id":"ITEM-1","itemData":{"DOI":"10.1016/j.jhazmat.2015.06.045","ISSN":"03043894","abstract":"Gamma radiation/H2O2 treatment of nonylphenol polyethoxylates (NPEO) was performed and treatment effect was evaluated on the basis of degradation, chemical oxygen demand (COD) and total organic carbon (TOC), and toxicity reduction efficiencies. The radiolytic by-products were determined by Fourier Transform Infrared Spectroscopy (FTIR), High-Performance Liquid Chromatography (HPLC), and Gas Chromatography–Mass Spectrometry (GC–MS) techniques. Low mass carboxylic acids, aldehyde, ketone, and acetic acid were identified as the by-products of the NPEO degradation. NPEO sample irradiated to the absorbed dose of 15 kGy/4.58% H2O2 showed more than 90% degradation. Allium cepa (A. cepa), brine shrimp, heamolytic tests were used for cytotoxicity study, while mutagenicity was evaluated through Ames test (TA98 and TA100 strains) of treated and un-treated NPEO. The reductions in COD and TOC were greater than 70% and 50%, respectively. Gamma radiation/H2O2 treatment revealed a considerable reduction in cytotoxicity and mutagenicity. A. cepa, heamolytic and shrimp assays showed cytotoxicity reduction up to 68.65%, 77%, and 94%, respectively. The mutagenicity reduced up to 62%, 74%, and 79% (TA98) and 68%, 78%, and 82% (TA100), respectively of NPEO-6, NPEO-9, and NPEO-30 irradiated to the absorbed dose of 15 kGy/4.58% H2O2. NPEO-6 detoxified more efficiently versus NPEO-9 and NPEO-30 and results showed that Gamma radiation/H2O2 treatment has the potential to mineralize and detoxify NPEO.","author":[{"dropping-particle":"","family":"Iqbal","given":"Munawar","non-dropping-particle":"","parse-names":false,"suffix":""},{"dropping-particle":"","family":"Bhatti","given":"Ijaz Ahmad","non-dropping-particle":"","parse-names":false,"suffix":""}],"container-title":"Journal of Hazardous Materials","id":"ITEM-1","issued":{"date-parts":[["2015","12"]]},"page":"351-360","title":"Gamma radiation/H2O2 treatment of a nonylphenol ethoxylates: Degradation, cytotoxicity, and mutagenicity evaluation","type":"article-journal","volume":"299"},"uris":["http://www.mendeley.com/documents/?uuid=b3c8ebc4-58af-4645-9954-a5ad8f281a63","http://www.mendeley.com/documents/?uuid=56ae4aa3-3fed-4620-8a07-002682686dec"]}],"mendeley":{"formattedCitation":"(Iqbal and Bhatti, 2015)","plainTextFormattedCitation":"(Iqbal and Bhatti, 2015)","previouslyFormattedCitation":"(Iqbal and Bhatti, 2015)"},"properties":{"noteIndex":0},"schema":"https://github.com/citation-style-language/schema/raw/master/csl-citation.json"}</w:instrText>
            </w:r>
            <w:r w:rsidRPr="008912A6">
              <w:rPr>
                <w:rFonts w:cs="Times New Roman"/>
                <w:bCs/>
                <w:sz w:val="22"/>
              </w:rPr>
              <w:fldChar w:fldCharType="separate"/>
            </w:r>
            <w:r w:rsidRPr="008912A6">
              <w:rPr>
                <w:rFonts w:cs="Times New Roman"/>
                <w:bCs/>
                <w:noProof/>
                <w:sz w:val="22"/>
              </w:rPr>
              <w:t>(Iqbal and Bhatti, 2015)</w:t>
            </w:r>
            <w:r w:rsidRPr="008912A6">
              <w:rPr>
                <w:rFonts w:cs="Times New Roman"/>
                <w:bCs/>
                <w:sz w:val="22"/>
              </w:rPr>
              <w:fldChar w:fldCharType="end"/>
            </w:r>
          </w:p>
        </w:tc>
      </w:tr>
      <w:tr w:rsidR="0090400A" w:rsidRPr="008912A6" w14:paraId="0948D774" w14:textId="77777777" w:rsidTr="00624FB7">
        <w:trPr>
          <w:trHeight w:val="488"/>
        </w:trPr>
        <w:tc>
          <w:tcPr>
            <w:tcW w:w="1701" w:type="dxa"/>
            <w:tcBorders>
              <w:top w:val="single" w:sz="4" w:space="0" w:color="auto"/>
              <w:left w:val="nil"/>
              <w:bottom w:val="single" w:sz="4" w:space="0" w:color="auto"/>
              <w:right w:val="nil"/>
            </w:tcBorders>
            <w:vAlign w:val="center"/>
            <w:hideMark/>
          </w:tcPr>
          <w:p w14:paraId="78BBA491"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γ</w:t>
            </w:r>
            <w:r w:rsidRPr="008912A6">
              <w:rPr>
                <w:rFonts w:cs="Times New Roman"/>
                <w:bCs/>
                <w:sz w:val="22"/>
                <w:lang w:val="en-IN"/>
              </w:rPr>
              <w:t>- rays</w:t>
            </w:r>
          </w:p>
        </w:tc>
        <w:tc>
          <w:tcPr>
            <w:tcW w:w="1780" w:type="dxa"/>
            <w:tcBorders>
              <w:top w:val="single" w:sz="4" w:space="0" w:color="auto"/>
              <w:left w:val="nil"/>
              <w:bottom w:val="single" w:sz="4" w:space="0" w:color="auto"/>
              <w:right w:val="nil"/>
            </w:tcBorders>
            <w:vAlign w:val="center"/>
            <w:hideMark/>
          </w:tcPr>
          <w:p w14:paraId="51A54AC2" w14:textId="77777777" w:rsidR="0090400A" w:rsidRPr="008912A6" w:rsidRDefault="0090400A" w:rsidP="00D45373">
            <w:pPr>
              <w:spacing w:after="0" w:line="240" w:lineRule="auto"/>
              <w:jc w:val="center"/>
              <w:rPr>
                <w:rFonts w:cs="Times New Roman"/>
                <w:bCs/>
                <w:sz w:val="22"/>
                <w:lang w:val="en-IN"/>
              </w:rPr>
            </w:pPr>
            <w:r w:rsidRPr="008912A6">
              <w:rPr>
                <w:rFonts w:cs="Times New Roman"/>
                <w:bCs/>
                <w:sz w:val="22"/>
                <w:lang w:val="en-IN"/>
              </w:rPr>
              <w:t>5</w:t>
            </w:r>
          </w:p>
        </w:tc>
        <w:tc>
          <w:tcPr>
            <w:tcW w:w="2156" w:type="dxa"/>
            <w:tcBorders>
              <w:top w:val="single" w:sz="4" w:space="0" w:color="auto"/>
              <w:left w:val="nil"/>
              <w:bottom w:val="single" w:sz="4" w:space="0" w:color="auto"/>
              <w:right w:val="nil"/>
            </w:tcBorders>
            <w:vAlign w:val="center"/>
            <w:hideMark/>
          </w:tcPr>
          <w:p w14:paraId="4D31C686" w14:textId="77777777" w:rsidR="0090400A" w:rsidRPr="008912A6" w:rsidRDefault="0090400A" w:rsidP="00D45373">
            <w:pPr>
              <w:spacing w:after="0" w:line="240" w:lineRule="auto"/>
              <w:jc w:val="center"/>
              <w:rPr>
                <w:rFonts w:cs="Times New Roman"/>
                <w:bCs/>
                <w:sz w:val="22"/>
                <w:lang w:val="en-IN"/>
              </w:rPr>
            </w:pPr>
            <w:r w:rsidRPr="008912A6">
              <w:rPr>
                <w:rFonts w:cs="Times New Roman"/>
                <w:bCs/>
                <w:sz w:val="22"/>
                <w:lang w:val="en-IN"/>
              </w:rPr>
              <w:t>Indigo carmine</w:t>
            </w:r>
          </w:p>
        </w:tc>
        <w:tc>
          <w:tcPr>
            <w:tcW w:w="1026" w:type="dxa"/>
            <w:tcBorders>
              <w:top w:val="single" w:sz="4" w:space="0" w:color="auto"/>
              <w:left w:val="nil"/>
              <w:bottom w:val="single" w:sz="4" w:space="0" w:color="auto"/>
              <w:right w:val="nil"/>
            </w:tcBorders>
            <w:vAlign w:val="center"/>
            <w:hideMark/>
          </w:tcPr>
          <w:p w14:paraId="0999D88D"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150</w:t>
            </w:r>
          </w:p>
        </w:tc>
        <w:tc>
          <w:tcPr>
            <w:tcW w:w="1134" w:type="dxa"/>
            <w:tcBorders>
              <w:top w:val="single" w:sz="4" w:space="0" w:color="auto"/>
              <w:left w:val="nil"/>
              <w:bottom w:val="single" w:sz="4" w:space="0" w:color="auto"/>
              <w:right w:val="nil"/>
            </w:tcBorders>
            <w:vAlign w:val="center"/>
            <w:hideMark/>
          </w:tcPr>
          <w:p w14:paraId="6E1552D7"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96</w:t>
            </w:r>
            <w:r w:rsidRPr="008912A6">
              <w:rPr>
                <w:rFonts w:cs="Times New Roman"/>
                <w:bCs/>
                <w:sz w:val="22"/>
                <w:vertAlign w:val="superscript"/>
              </w:rPr>
              <w:t xml:space="preserve">b </w:t>
            </w:r>
            <w:r w:rsidRPr="008912A6">
              <w:rPr>
                <w:rFonts w:cs="Times New Roman"/>
                <w:bCs/>
                <w:sz w:val="22"/>
              </w:rPr>
              <w:t xml:space="preserve"> </w:t>
            </w:r>
          </w:p>
        </w:tc>
        <w:tc>
          <w:tcPr>
            <w:tcW w:w="2142" w:type="dxa"/>
            <w:tcBorders>
              <w:top w:val="single" w:sz="4" w:space="0" w:color="auto"/>
              <w:left w:val="nil"/>
              <w:bottom w:val="single" w:sz="4" w:space="0" w:color="auto"/>
              <w:right w:val="nil"/>
            </w:tcBorders>
            <w:vAlign w:val="center"/>
            <w:hideMark/>
          </w:tcPr>
          <w:p w14:paraId="4317F618" w14:textId="0F6683FD" w:rsidR="0090400A" w:rsidRPr="008912A6" w:rsidRDefault="0090400A" w:rsidP="00D45373">
            <w:pPr>
              <w:spacing w:after="0" w:line="240" w:lineRule="auto"/>
              <w:jc w:val="center"/>
              <w:rPr>
                <w:rFonts w:cs="Times New Roman"/>
                <w:bCs/>
                <w:sz w:val="22"/>
              </w:rPr>
            </w:pPr>
            <w:r w:rsidRPr="008912A6">
              <w:rPr>
                <w:rFonts w:cs="Times New Roman"/>
                <w:bCs/>
                <w:sz w:val="22"/>
              </w:rPr>
              <w:fldChar w:fldCharType="begin" w:fldLock="1"/>
            </w:r>
            <w:r w:rsidR="008666F9">
              <w:rPr>
                <w:rFonts w:cs="Times New Roman"/>
                <w:bCs/>
                <w:sz w:val="22"/>
              </w:rPr>
              <w:instrText>ADDIN CSL_CITATION {"citationItems":[{"id":"ITEM-1","itemData":{"DOI":"10.1007/s10967-018-5835-z","ISBN":"0123456789","ISSN":"15882780","abstract":"A reactive dye indigo carmine (IC) in aqueous solutions was irradiated at doses of 0.1–5 kGy. Change of absorption spectra, colorimetric study, chemical oxygen demand (COD), total organic carbon (TOC) and pH variation were carried out and studied. It was found that the absorption band located at λ = 611 nm decreased more rapidly than the UV visible bands when irradiation dose increases. The degree of decolorization and the value of color difference (∆E*) increases quadratically with increasing the value of radiation dose. The COD reduction for the dye solutions was approximately 96% at 5 kGy. Finally, based on different spectrophotometric measurements carried out in this work showed that the kinetic degradation of indigo carmine is pseudo-first order. We have also demonstrated that colorimetric study applied to a given solution could be used as a quantitative method for kinetic behavior study.","author":[{"dropping-particle":"","family":"Zaouak","given":"Amira","non-dropping-particle":"","parse-names":false,"suffix":""},{"dropping-particle":"","family":"Noomen","given":"Ahlem","non-dropping-particle":"","parse-names":false,"suffix":""},{"dropping-particle":"","family":"Jelassi","given":"Haikel","non-dropping-particle":"","parse-names":false,"suffix":""}],"container-title":"Journal of Radioanalytical and Nuclear Chemistry","id":"ITEM-1","issue":"1","issued":{"date-parts":[["2018"]]},"page":"37-44","title":"Gamma-radiation induced decolorization and degradation on aqueous solutions of Indigo Carmine dye","type":"article-journal","volume":"317"},"uris":["http://www.mendeley.com/documents/?uuid=32f57055-c610-4a2d-8ab5-9bfc7a91c634"]}],"mendeley":{"formattedCitation":"(Zaouak et al., 2018)","plainTextFormattedCitation":"(Zaouak et al., 2018)","previouslyFormattedCitation":"(Zaouak et al., 2018)"},"properties":{"noteIndex":0},"schema":"https://github.com/citation-style-language/schema/raw/master/csl-citation.json"}</w:instrText>
            </w:r>
            <w:r w:rsidRPr="008912A6">
              <w:rPr>
                <w:rFonts w:cs="Times New Roman"/>
                <w:bCs/>
                <w:sz w:val="22"/>
              </w:rPr>
              <w:fldChar w:fldCharType="separate"/>
            </w:r>
            <w:r w:rsidRPr="008912A6">
              <w:rPr>
                <w:rFonts w:cs="Times New Roman"/>
                <w:bCs/>
                <w:noProof/>
                <w:sz w:val="22"/>
              </w:rPr>
              <w:t>(Zaouak et al., 2018)</w:t>
            </w:r>
            <w:r w:rsidRPr="008912A6">
              <w:rPr>
                <w:rFonts w:cs="Times New Roman"/>
                <w:bCs/>
                <w:sz w:val="22"/>
              </w:rPr>
              <w:fldChar w:fldCharType="end"/>
            </w:r>
          </w:p>
        </w:tc>
      </w:tr>
      <w:tr w:rsidR="0090400A" w:rsidRPr="008912A6" w14:paraId="3D678F10" w14:textId="77777777" w:rsidTr="00624FB7">
        <w:trPr>
          <w:trHeight w:val="488"/>
        </w:trPr>
        <w:tc>
          <w:tcPr>
            <w:tcW w:w="1701" w:type="dxa"/>
            <w:tcBorders>
              <w:top w:val="single" w:sz="4" w:space="0" w:color="auto"/>
              <w:left w:val="nil"/>
              <w:bottom w:val="single" w:sz="4" w:space="0" w:color="auto"/>
              <w:right w:val="nil"/>
            </w:tcBorders>
            <w:vAlign w:val="center"/>
            <w:hideMark/>
          </w:tcPr>
          <w:p w14:paraId="4A7E43B9"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γ</w:t>
            </w:r>
            <w:r w:rsidRPr="008912A6">
              <w:rPr>
                <w:rFonts w:cs="Times New Roman"/>
                <w:bCs/>
                <w:sz w:val="22"/>
                <w:lang w:val="en-IN"/>
              </w:rPr>
              <w:t>- rays /H</w:t>
            </w:r>
            <w:r w:rsidRPr="008912A6">
              <w:rPr>
                <w:rFonts w:cs="Times New Roman"/>
                <w:bCs/>
                <w:sz w:val="22"/>
                <w:vertAlign w:val="subscript"/>
                <w:lang w:val="en-IN"/>
              </w:rPr>
              <w:t>2</w:t>
            </w:r>
            <w:r w:rsidRPr="008912A6">
              <w:rPr>
                <w:rFonts w:cs="Times New Roman"/>
                <w:bCs/>
                <w:sz w:val="22"/>
                <w:lang w:val="en-IN"/>
              </w:rPr>
              <w:t>O</w:t>
            </w:r>
            <w:r w:rsidRPr="008912A6">
              <w:rPr>
                <w:rFonts w:cs="Times New Roman"/>
                <w:bCs/>
                <w:sz w:val="22"/>
                <w:vertAlign w:val="subscript"/>
                <w:lang w:val="en-IN"/>
              </w:rPr>
              <w:t>2</w:t>
            </w:r>
          </w:p>
        </w:tc>
        <w:tc>
          <w:tcPr>
            <w:tcW w:w="1780" w:type="dxa"/>
            <w:tcBorders>
              <w:top w:val="single" w:sz="4" w:space="0" w:color="auto"/>
              <w:left w:val="nil"/>
              <w:bottom w:val="single" w:sz="4" w:space="0" w:color="auto"/>
              <w:right w:val="nil"/>
            </w:tcBorders>
            <w:vAlign w:val="center"/>
            <w:hideMark/>
          </w:tcPr>
          <w:p w14:paraId="68F8EE17" w14:textId="77777777" w:rsidR="0090400A" w:rsidRPr="008912A6" w:rsidRDefault="0090400A" w:rsidP="00D45373">
            <w:pPr>
              <w:spacing w:after="0" w:line="240" w:lineRule="auto"/>
              <w:jc w:val="center"/>
              <w:rPr>
                <w:rFonts w:cs="Times New Roman"/>
                <w:bCs/>
                <w:sz w:val="22"/>
              </w:rPr>
            </w:pPr>
            <w:r w:rsidRPr="008912A6">
              <w:rPr>
                <w:rFonts w:cs="Times New Roman"/>
                <w:bCs/>
                <w:sz w:val="22"/>
                <w:lang w:val="en-IN"/>
              </w:rPr>
              <w:t>3.0</w:t>
            </w:r>
          </w:p>
        </w:tc>
        <w:tc>
          <w:tcPr>
            <w:tcW w:w="2156" w:type="dxa"/>
            <w:tcBorders>
              <w:top w:val="single" w:sz="4" w:space="0" w:color="auto"/>
              <w:left w:val="nil"/>
              <w:bottom w:val="single" w:sz="4" w:space="0" w:color="auto"/>
              <w:right w:val="nil"/>
            </w:tcBorders>
            <w:vAlign w:val="center"/>
            <w:hideMark/>
          </w:tcPr>
          <w:p w14:paraId="30D2D90D" w14:textId="77777777" w:rsidR="0090400A" w:rsidRPr="008912A6" w:rsidRDefault="0090400A" w:rsidP="00D45373">
            <w:pPr>
              <w:spacing w:after="0" w:line="240" w:lineRule="auto"/>
              <w:jc w:val="center"/>
              <w:rPr>
                <w:rFonts w:cs="Times New Roman"/>
                <w:bCs/>
                <w:sz w:val="22"/>
                <w:lang w:val="en-IN"/>
              </w:rPr>
            </w:pPr>
            <w:r w:rsidRPr="008912A6">
              <w:rPr>
                <w:rFonts w:cs="Times New Roman"/>
                <w:bCs/>
                <w:sz w:val="22"/>
                <w:lang w:val="en-IN"/>
              </w:rPr>
              <w:t>Ofloxacin</w:t>
            </w:r>
          </w:p>
        </w:tc>
        <w:tc>
          <w:tcPr>
            <w:tcW w:w="1026" w:type="dxa"/>
            <w:tcBorders>
              <w:top w:val="single" w:sz="4" w:space="0" w:color="auto"/>
              <w:left w:val="nil"/>
              <w:bottom w:val="single" w:sz="4" w:space="0" w:color="auto"/>
              <w:right w:val="nil"/>
            </w:tcBorders>
            <w:vAlign w:val="center"/>
            <w:hideMark/>
          </w:tcPr>
          <w:p w14:paraId="23DD8265"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181</w:t>
            </w:r>
          </w:p>
        </w:tc>
        <w:tc>
          <w:tcPr>
            <w:tcW w:w="1134" w:type="dxa"/>
            <w:tcBorders>
              <w:top w:val="single" w:sz="4" w:space="0" w:color="auto"/>
              <w:left w:val="nil"/>
              <w:bottom w:val="single" w:sz="4" w:space="0" w:color="auto"/>
              <w:right w:val="nil"/>
            </w:tcBorders>
            <w:vAlign w:val="center"/>
            <w:hideMark/>
          </w:tcPr>
          <w:p w14:paraId="03E018CA"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99.6</w:t>
            </w:r>
          </w:p>
        </w:tc>
        <w:tc>
          <w:tcPr>
            <w:tcW w:w="2142" w:type="dxa"/>
            <w:tcBorders>
              <w:top w:val="single" w:sz="4" w:space="0" w:color="auto"/>
              <w:left w:val="nil"/>
              <w:bottom w:val="single" w:sz="4" w:space="0" w:color="auto"/>
              <w:right w:val="nil"/>
            </w:tcBorders>
            <w:vAlign w:val="center"/>
            <w:hideMark/>
          </w:tcPr>
          <w:p w14:paraId="4723A46C" w14:textId="396C3FD8" w:rsidR="0090400A" w:rsidRPr="008912A6" w:rsidRDefault="0090400A" w:rsidP="00D45373">
            <w:pPr>
              <w:spacing w:after="0" w:line="240" w:lineRule="auto"/>
              <w:jc w:val="center"/>
              <w:rPr>
                <w:rFonts w:cs="Times New Roman"/>
                <w:bCs/>
                <w:sz w:val="22"/>
              </w:rPr>
            </w:pPr>
            <w:r w:rsidRPr="008912A6">
              <w:rPr>
                <w:rFonts w:cs="Times New Roman"/>
                <w:bCs/>
                <w:sz w:val="22"/>
              </w:rPr>
              <w:fldChar w:fldCharType="begin" w:fldLock="1"/>
            </w:r>
            <w:r w:rsidR="008666F9">
              <w:rPr>
                <w:rFonts w:cs="Times New Roman"/>
                <w:bCs/>
                <w:sz w:val="22"/>
              </w:rPr>
              <w:instrText>ADDIN CSL_CITATION {"citationItems":[{"id":"ITEM-1","itemData":{"DOI":"10.1016/j.chemosphere.2018.06.003","ISSN":"00456535","PMID":"29890499","abstract":"Gamma radiolytic degradation of an antibiotic, ofloxacin (OFX) was investigated under different experimental conditions. The parameters such as initial OFX concentration, solution pH, absorbed dose and the concentrations of inorganic (CO32−) and organic (t-BuOH) additives were optimized to achieve the efficient degradation of OFX. The degradation dose constant values of OFX were calculated as 2.364, 1.159, 0.776 and 0.618 kGy−1 for the initial OFX concentrations of 0.05, 0.1, 0.15 and 0.2 mM with their corresponding (G (-OFX)) values of 0.481, 0.684, 1.755 and 1.971, respectively. Degradation rate of OFX was significantly increased with increase in the absorbed dose and decrease in the initial OFX concentration under acidic condition when compared to neutral or alkaline condition. Reaction of OFX in the presence of CO32− and t-BuOH showed that the degradation was primarily caused by the reaction of OFX with radiolytically generated reactive hydroxyl radicals. Mineralization extent of OFX was determined in terms of percentage reduction in total organic carbon (TOC) and results revealed that the addition of H2O2 enhanced the mineralization of OFX from 29% to 36.1% with H2O2 dose of 0.5 mM at an absorbed dose of 3.0 kGy. Based on the LC-QTOF-MS analysis, gamma radiolytic degradation intermediates/products of OFX were identified and the possible degradation pathways of OFX were proposed. Cytotoxicity study of the irradiated OFX solutions showed that gamma radiation has potential to detoxify OFX.","author":[{"dropping-particle":"","family":"Changotra","given":"Rahil","non-dropping-particle":"","parse-names":false,"suffix":""},{"dropping-particle":"","family":"Guin","given":"Jhimli Paul","non-dropping-particle":"","parse-names":false,"suffix":""},{"dropping-particle":"","family":"Varshney","given":"Lalit","non-dropping-particle":"","parse-names":false,"suffix":""},{"dropping-particle":"","family":"Dhir","given":"Amit","non-dropping-particle":"","parse-names":false,"suffix":""}],"container-title":"Chemosphere","id":"ITEM-1","issued":{"date-parts":[["2018","10"]]},"page":"606-613","title":"Assessment of reaction intermediates of gamma radiation-induced degradation of ofloxacin in aqueous solution","type":"article-journal","volume":"208"},"uris":["http://www.mendeley.com/documents/?uuid=b0df8312-7877-47ad-9c08-57a6a509adf2","http://www.mendeley.com/documents/?uuid=0d5ad93d-32c2-4048-b7be-057b8046ae1e"]}],"mendeley":{"formattedCitation":"(Changotra et al., 2018)","plainTextFormattedCitation":"(Changotra et al., 2018)","previouslyFormattedCitation":"(Changotra et al., 2018)"},"properties":{"noteIndex":0},"schema":"https://github.com/citation-style-language/schema/raw/master/csl-citation.json"}</w:instrText>
            </w:r>
            <w:r w:rsidRPr="008912A6">
              <w:rPr>
                <w:rFonts w:cs="Times New Roman"/>
                <w:bCs/>
                <w:sz w:val="22"/>
              </w:rPr>
              <w:fldChar w:fldCharType="separate"/>
            </w:r>
            <w:r w:rsidRPr="008912A6">
              <w:rPr>
                <w:rFonts w:cs="Times New Roman"/>
                <w:bCs/>
                <w:noProof/>
                <w:sz w:val="22"/>
              </w:rPr>
              <w:t>(Changotra et al., 2018)</w:t>
            </w:r>
            <w:r w:rsidRPr="008912A6">
              <w:rPr>
                <w:rFonts w:cs="Times New Roman"/>
                <w:bCs/>
                <w:sz w:val="22"/>
              </w:rPr>
              <w:fldChar w:fldCharType="end"/>
            </w:r>
          </w:p>
        </w:tc>
      </w:tr>
      <w:tr w:rsidR="0090400A" w:rsidRPr="008912A6" w14:paraId="1CF59C59" w14:textId="77777777" w:rsidTr="00624FB7">
        <w:trPr>
          <w:trHeight w:val="422"/>
        </w:trPr>
        <w:tc>
          <w:tcPr>
            <w:tcW w:w="1701" w:type="dxa"/>
            <w:tcBorders>
              <w:top w:val="single" w:sz="4" w:space="0" w:color="auto"/>
              <w:left w:val="nil"/>
              <w:bottom w:val="single" w:sz="4" w:space="0" w:color="auto"/>
              <w:right w:val="nil"/>
            </w:tcBorders>
            <w:vAlign w:val="center"/>
            <w:hideMark/>
          </w:tcPr>
          <w:p w14:paraId="48E82BC2"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γ</w:t>
            </w:r>
            <w:r w:rsidRPr="008912A6">
              <w:rPr>
                <w:rFonts w:cs="Times New Roman"/>
                <w:bCs/>
                <w:sz w:val="22"/>
                <w:lang w:val="en-IN"/>
              </w:rPr>
              <w:t>- rays /H</w:t>
            </w:r>
            <w:r w:rsidRPr="008912A6">
              <w:rPr>
                <w:rFonts w:cs="Times New Roman"/>
                <w:bCs/>
                <w:sz w:val="22"/>
                <w:vertAlign w:val="subscript"/>
                <w:lang w:val="en-IN"/>
              </w:rPr>
              <w:t>2</w:t>
            </w:r>
            <w:r w:rsidRPr="008912A6">
              <w:rPr>
                <w:rFonts w:cs="Times New Roman"/>
                <w:bCs/>
                <w:sz w:val="22"/>
                <w:lang w:val="en-IN"/>
              </w:rPr>
              <w:t>O</w:t>
            </w:r>
            <w:r w:rsidRPr="008912A6">
              <w:rPr>
                <w:rFonts w:cs="Times New Roman"/>
                <w:bCs/>
                <w:sz w:val="22"/>
                <w:vertAlign w:val="subscript"/>
                <w:lang w:val="en-IN"/>
              </w:rPr>
              <w:t>2</w:t>
            </w:r>
          </w:p>
        </w:tc>
        <w:tc>
          <w:tcPr>
            <w:tcW w:w="1780" w:type="dxa"/>
            <w:tcBorders>
              <w:top w:val="single" w:sz="4" w:space="0" w:color="auto"/>
              <w:left w:val="nil"/>
              <w:bottom w:val="single" w:sz="4" w:space="0" w:color="auto"/>
              <w:right w:val="nil"/>
            </w:tcBorders>
            <w:vAlign w:val="center"/>
            <w:hideMark/>
          </w:tcPr>
          <w:p w14:paraId="0DE38E3E" w14:textId="77777777" w:rsidR="0090400A" w:rsidRPr="008912A6" w:rsidRDefault="0090400A" w:rsidP="00D45373">
            <w:pPr>
              <w:spacing w:after="0" w:line="240" w:lineRule="auto"/>
              <w:jc w:val="center"/>
              <w:rPr>
                <w:rFonts w:cs="Times New Roman"/>
                <w:bCs/>
                <w:sz w:val="22"/>
              </w:rPr>
            </w:pPr>
            <w:r w:rsidRPr="008912A6">
              <w:rPr>
                <w:rFonts w:cs="Times New Roman"/>
                <w:bCs/>
                <w:sz w:val="22"/>
                <w:lang w:val="en-IN"/>
              </w:rPr>
              <w:t>25</w:t>
            </w:r>
          </w:p>
        </w:tc>
        <w:tc>
          <w:tcPr>
            <w:tcW w:w="2156" w:type="dxa"/>
            <w:tcBorders>
              <w:top w:val="single" w:sz="4" w:space="0" w:color="auto"/>
              <w:left w:val="nil"/>
              <w:bottom w:val="single" w:sz="4" w:space="0" w:color="auto"/>
              <w:right w:val="nil"/>
            </w:tcBorders>
            <w:vAlign w:val="center"/>
            <w:hideMark/>
          </w:tcPr>
          <w:p w14:paraId="6DD48F0D" w14:textId="5519CB76" w:rsidR="0090400A" w:rsidRPr="008912A6" w:rsidRDefault="0090400A" w:rsidP="00D45373">
            <w:pPr>
              <w:spacing w:after="0" w:line="240" w:lineRule="auto"/>
              <w:jc w:val="center"/>
              <w:rPr>
                <w:rFonts w:cs="Times New Roman"/>
                <w:bCs/>
                <w:sz w:val="22"/>
              </w:rPr>
            </w:pPr>
            <w:r w:rsidRPr="008912A6">
              <w:rPr>
                <w:rFonts w:cs="Times New Roman"/>
                <w:bCs/>
                <w:sz w:val="22"/>
                <w:lang w:val="en-IN"/>
              </w:rPr>
              <w:t>2-</w:t>
            </w:r>
            <w:r w:rsidR="009846A6">
              <w:rPr>
                <w:rFonts w:cs="Times New Roman"/>
                <w:bCs/>
                <w:sz w:val="22"/>
                <w:lang w:val="en-IN"/>
              </w:rPr>
              <w:t>C</w:t>
            </w:r>
            <w:r w:rsidRPr="008912A6">
              <w:rPr>
                <w:rFonts w:cs="Times New Roman"/>
                <w:bCs/>
                <w:sz w:val="22"/>
                <w:lang w:val="en-IN"/>
              </w:rPr>
              <w:t>hlorophenol</w:t>
            </w:r>
          </w:p>
        </w:tc>
        <w:tc>
          <w:tcPr>
            <w:tcW w:w="1026" w:type="dxa"/>
            <w:tcBorders>
              <w:top w:val="single" w:sz="4" w:space="0" w:color="auto"/>
              <w:left w:val="nil"/>
              <w:bottom w:val="single" w:sz="4" w:space="0" w:color="auto"/>
              <w:right w:val="nil"/>
            </w:tcBorders>
            <w:vAlign w:val="center"/>
            <w:hideMark/>
          </w:tcPr>
          <w:p w14:paraId="0E80DE36"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100</w:t>
            </w:r>
          </w:p>
        </w:tc>
        <w:tc>
          <w:tcPr>
            <w:tcW w:w="1134" w:type="dxa"/>
            <w:tcBorders>
              <w:top w:val="single" w:sz="4" w:space="0" w:color="auto"/>
              <w:left w:val="nil"/>
              <w:bottom w:val="single" w:sz="4" w:space="0" w:color="auto"/>
              <w:right w:val="nil"/>
            </w:tcBorders>
            <w:vAlign w:val="center"/>
            <w:hideMark/>
          </w:tcPr>
          <w:p w14:paraId="00D97418"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90</w:t>
            </w:r>
          </w:p>
        </w:tc>
        <w:tc>
          <w:tcPr>
            <w:tcW w:w="2142" w:type="dxa"/>
            <w:tcBorders>
              <w:top w:val="single" w:sz="4" w:space="0" w:color="auto"/>
              <w:left w:val="nil"/>
              <w:bottom w:val="single" w:sz="4" w:space="0" w:color="auto"/>
              <w:right w:val="nil"/>
            </w:tcBorders>
            <w:vAlign w:val="center"/>
            <w:hideMark/>
          </w:tcPr>
          <w:p w14:paraId="31477238" w14:textId="495A17B7" w:rsidR="0090400A" w:rsidRPr="008912A6" w:rsidRDefault="0090400A" w:rsidP="00D45373">
            <w:pPr>
              <w:spacing w:after="0" w:line="240" w:lineRule="auto"/>
              <w:jc w:val="center"/>
              <w:rPr>
                <w:rFonts w:cs="Times New Roman"/>
                <w:bCs/>
                <w:sz w:val="22"/>
              </w:rPr>
            </w:pPr>
            <w:r w:rsidRPr="008912A6">
              <w:rPr>
                <w:rFonts w:cs="Times New Roman"/>
                <w:bCs/>
                <w:sz w:val="22"/>
              </w:rPr>
              <w:fldChar w:fldCharType="begin" w:fldLock="1"/>
            </w:r>
            <w:r w:rsidR="008666F9">
              <w:rPr>
                <w:rFonts w:cs="Times New Roman"/>
                <w:bCs/>
                <w:sz w:val="22"/>
              </w:rPr>
              <w:instrText>ADDIN CSL_CITATION {"citationItems":[{"id":"ITEM-1","itemData":{"DOI":"10.1515/nuka-2017-0008","ISSN":"15085791","abstract":"Chlorophenols are compounds with high toxicity, poor biodegradability, and carcinogenic and recalcitrant properties. This work studies, for the first time, the destruction and detoxification of 2-chlorophenol (2-CP) in water using 60Co gamma radiation under different conditions including varied radiation doses, addition of hydrogen peroxide (H2O2), and varied pH values. High-performance liquid chromatography (HPLC) and ion chromatography (IC) confirmed a successful degradation of 2-CP to primarily yield phenol molecules and chloride anions. A radiation dose as low as 25 kGy achieved approximately 90% removal of 50-150 ppm of 2-CP in neutral water. However, the addition of a strong oxidizer such as H2O2 to 2-CP solutions reduced the required dose to achieve 90% removal to at least 1.3-fold. The reduction in radiation doses was also observed in acidic and alkaline media, reducing the required doses of 90% removal to at least 0.4-fold. It was imperative to study the toxicity levels of the oxidation by-products to provide directions for the potential applicability of this technology in water treatment. Toxicology Microtox® bioassay indicated a significant reduction in the toxicity of the degradation by-products and the detoxification was further enhanced by the addition of H2O2 and changing the pH to more acidic or alkaline conditions. These findings will contribute to the knowledge of the removal and detoxification of such challenging environmental contaminant and could be potentially applied to other biologically resistant compounds.","author":[{"dropping-particle":"","family":"Basfar","given":"Ahmed Ali","non-dropping-particle":"","parse-names":false,"suffix":""},{"dropping-particle":"","family":"Muneer","given":"Majid","non-dropping-particle":"","parse-names":false,"suffix":""},{"dropping-particle":"","family":"Alsager","given":"Omar Ahmed","non-dropping-particle":"","parse-names":false,"suffix":""}],"container-title":"Nukleonika","id":"ITEM-1","issue":"1","issued":{"date-parts":[["2017","3","1"]]},"page":"61-68","title":"Degradation and detoxification of 2-chlorophenol aqueous solutions using ionizing gamma radiation","type":"article-journal","volume":"62"},"uris":["http://www.mendeley.com/documents/?uuid=571790e5-ad04-4a29-a0d0-f83ad0b21895","http://www.mendeley.com/documents/?uuid=04d65962-8ad2-4d3c-b9ea-f082d80203bc"]}],"mendeley":{"formattedCitation":"(Basfar et al., 2017)","plainTextFormattedCitation":"(Basfar et al., 2017)","previouslyFormattedCitation":"(Basfar et al., 2017)"},"properties":{"noteIndex":0},"schema":"https://github.com/citation-style-language/schema/raw/master/csl-citation.json"}</w:instrText>
            </w:r>
            <w:r w:rsidRPr="008912A6">
              <w:rPr>
                <w:rFonts w:cs="Times New Roman"/>
                <w:bCs/>
                <w:sz w:val="22"/>
              </w:rPr>
              <w:fldChar w:fldCharType="separate"/>
            </w:r>
            <w:r w:rsidRPr="008912A6">
              <w:rPr>
                <w:rFonts w:cs="Times New Roman"/>
                <w:bCs/>
                <w:noProof/>
                <w:sz w:val="22"/>
              </w:rPr>
              <w:t>(Basfar et al., 2017)</w:t>
            </w:r>
            <w:r w:rsidRPr="008912A6">
              <w:rPr>
                <w:rFonts w:cs="Times New Roman"/>
                <w:bCs/>
                <w:sz w:val="22"/>
              </w:rPr>
              <w:fldChar w:fldCharType="end"/>
            </w:r>
          </w:p>
        </w:tc>
      </w:tr>
      <w:tr w:rsidR="0090400A" w:rsidRPr="008912A6" w14:paraId="5F1BD004" w14:textId="77777777" w:rsidTr="00624FB7">
        <w:trPr>
          <w:trHeight w:val="515"/>
        </w:trPr>
        <w:tc>
          <w:tcPr>
            <w:tcW w:w="1701" w:type="dxa"/>
            <w:tcBorders>
              <w:top w:val="single" w:sz="4" w:space="0" w:color="auto"/>
              <w:left w:val="nil"/>
              <w:bottom w:val="single" w:sz="4" w:space="0" w:color="auto"/>
              <w:right w:val="nil"/>
            </w:tcBorders>
            <w:vAlign w:val="center"/>
            <w:hideMark/>
          </w:tcPr>
          <w:p w14:paraId="157BC4AF"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γ</w:t>
            </w:r>
            <w:r w:rsidRPr="008912A6">
              <w:rPr>
                <w:rFonts w:cs="Times New Roman"/>
                <w:bCs/>
                <w:sz w:val="22"/>
                <w:lang w:val="en-IN"/>
              </w:rPr>
              <w:t>- rays /H</w:t>
            </w:r>
            <w:r w:rsidRPr="008912A6">
              <w:rPr>
                <w:rFonts w:cs="Times New Roman"/>
                <w:bCs/>
                <w:sz w:val="22"/>
                <w:vertAlign w:val="subscript"/>
                <w:lang w:val="en-IN"/>
              </w:rPr>
              <w:t>2</w:t>
            </w:r>
            <w:r w:rsidRPr="008912A6">
              <w:rPr>
                <w:rFonts w:cs="Times New Roman"/>
                <w:bCs/>
                <w:sz w:val="22"/>
                <w:lang w:val="en-IN"/>
              </w:rPr>
              <w:t>O</w:t>
            </w:r>
            <w:r w:rsidRPr="008912A6">
              <w:rPr>
                <w:rFonts w:cs="Times New Roman"/>
                <w:bCs/>
                <w:sz w:val="22"/>
                <w:vertAlign w:val="subscript"/>
                <w:lang w:val="en-IN"/>
              </w:rPr>
              <w:t>2</w:t>
            </w:r>
          </w:p>
        </w:tc>
        <w:tc>
          <w:tcPr>
            <w:tcW w:w="1780" w:type="dxa"/>
            <w:tcBorders>
              <w:top w:val="single" w:sz="4" w:space="0" w:color="auto"/>
              <w:left w:val="nil"/>
              <w:bottom w:val="single" w:sz="4" w:space="0" w:color="auto"/>
              <w:right w:val="nil"/>
            </w:tcBorders>
            <w:vAlign w:val="center"/>
            <w:hideMark/>
          </w:tcPr>
          <w:p w14:paraId="48352E33" w14:textId="77777777" w:rsidR="0090400A" w:rsidRPr="008912A6" w:rsidRDefault="0090400A" w:rsidP="00D45373">
            <w:pPr>
              <w:spacing w:after="0" w:line="240" w:lineRule="auto"/>
              <w:jc w:val="center"/>
              <w:rPr>
                <w:rFonts w:cs="Times New Roman"/>
                <w:bCs/>
                <w:sz w:val="22"/>
                <w:lang w:val="en-IN"/>
              </w:rPr>
            </w:pPr>
            <w:r w:rsidRPr="008912A6">
              <w:rPr>
                <w:rFonts w:cs="Times New Roman"/>
                <w:bCs/>
                <w:sz w:val="22"/>
              </w:rPr>
              <w:t>9</w:t>
            </w:r>
          </w:p>
        </w:tc>
        <w:tc>
          <w:tcPr>
            <w:tcW w:w="2156" w:type="dxa"/>
            <w:tcBorders>
              <w:top w:val="single" w:sz="4" w:space="0" w:color="auto"/>
              <w:left w:val="nil"/>
              <w:bottom w:val="single" w:sz="4" w:space="0" w:color="auto"/>
              <w:right w:val="nil"/>
            </w:tcBorders>
            <w:vAlign w:val="center"/>
            <w:hideMark/>
          </w:tcPr>
          <w:p w14:paraId="3B3A3AB3" w14:textId="62A801E9" w:rsidR="0090400A" w:rsidRPr="008912A6" w:rsidRDefault="0090400A" w:rsidP="00D45373">
            <w:pPr>
              <w:spacing w:after="0" w:line="240" w:lineRule="auto"/>
              <w:jc w:val="center"/>
              <w:rPr>
                <w:rFonts w:cs="Times New Roman"/>
                <w:bCs/>
                <w:sz w:val="22"/>
                <w:lang w:val="en-IN"/>
              </w:rPr>
            </w:pPr>
            <w:r w:rsidRPr="008912A6">
              <w:rPr>
                <w:rFonts w:cs="Times New Roman"/>
                <w:bCs/>
                <w:iCs/>
                <w:sz w:val="22"/>
                <w:lang w:val="en-IN"/>
              </w:rPr>
              <w:t>p</w:t>
            </w:r>
            <w:r w:rsidRPr="008912A6">
              <w:rPr>
                <w:rFonts w:cs="Times New Roman"/>
                <w:bCs/>
                <w:sz w:val="22"/>
                <w:lang w:val="en-IN"/>
              </w:rPr>
              <w:t>-</w:t>
            </w:r>
            <w:r w:rsidR="009846A6">
              <w:rPr>
                <w:rFonts w:cs="Times New Roman"/>
                <w:bCs/>
                <w:sz w:val="22"/>
                <w:lang w:val="en-IN"/>
              </w:rPr>
              <w:t>N</w:t>
            </w:r>
            <w:r w:rsidRPr="008912A6">
              <w:rPr>
                <w:rFonts w:cs="Times New Roman"/>
                <w:bCs/>
                <w:sz w:val="22"/>
                <w:lang w:val="en-IN"/>
              </w:rPr>
              <w:t>itrophenol</w:t>
            </w:r>
          </w:p>
        </w:tc>
        <w:tc>
          <w:tcPr>
            <w:tcW w:w="1026" w:type="dxa"/>
            <w:tcBorders>
              <w:top w:val="single" w:sz="4" w:space="0" w:color="auto"/>
              <w:left w:val="nil"/>
              <w:bottom w:val="single" w:sz="4" w:space="0" w:color="auto"/>
              <w:right w:val="nil"/>
            </w:tcBorders>
            <w:vAlign w:val="center"/>
            <w:hideMark/>
          </w:tcPr>
          <w:p w14:paraId="43EAB0DB"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50</w:t>
            </w:r>
          </w:p>
        </w:tc>
        <w:tc>
          <w:tcPr>
            <w:tcW w:w="1134" w:type="dxa"/>
            <w:tcBorders>
              <w:top w:val="single" w:sz="4" w:space="0" w:color="auto"/>
              <w:left w:val="nil"/>
              <w:bottom w:val="single" w:sz="4" w:space="0" w:color="auto"/>
              <w:right w:val="nil"/>
            </w:tcBorders>
            <w:vAlign w:val="center"/>
            <w:hideMark/>
          </w:tcPr>
          <w:p w14:paraId="1D8F9482" w14:textId="77777777" w:rsidR="0090400A" w:rsidRPr="008912A6" w:rsidRDefault="0090400A" w:rsidP="00D45373">
            <w:pPr>
              <w:spacing w:after="0" w:line="240" w:lineRule="auto"/>
              <w:jc w:val="center"/>
              <w:rPr>
                <w:rFonts w:cs="Times New Roman"/>
                <w:bCs/>
                <w:sz w:val="22"/>
              </w:rPr>
            </w:pPr>
            <w:r w:rsidRPr="008912A6">
              <w:rPr>
                <w:rFonts w:cs="Times New Roman"/>
                <w:bCs/>
                <w:sz w:val="22"/>
              </w:rPr>
              <w:t>~100</w:t>
            </w:r>
          </w:p>
        </w:tc>
        <w:tc>
          <w:tcPr>
            <w:tcW w:w="2142" w:type="dxa"/>
            <w:tcBorders>
              <w:top w:val="single" w:sz="4" w:space="0" w:color="auto"/>
              <w:left w:val="nil"/>
              <w:bottom w:val="single" w:sz="4" w:space="0" w:color="auto"/>
              <w:right w:val="nil"/>
            </w:tcBorders>
            <w:vAlign w:val="center"/>
            <w:hideMark/>
          </w:tcPr>
          <w:p w14:paraId="2840F5A0" w14:textId="0CD02CD9" w:rsidR="0090400A" w:rsidRPr="008912A6" w:rsidRDefault="0090400A" w:rsidP="00D45373">
            <w:pPr>
              <w:spacing w:after="0" w:line="240" w:lineRule="auto"/>
              <w:jc w:val="center"/>
              <w:rPr>
                <w:rFonts w:cs="Times New Roman"/>
                <w:bCs/>
                <w:sz w:val="22"/>
              </w:rPr>
            </w:pPr>
            <w:r w:rsidRPr="008912A6">
              <w:rPr>
                <w:rFonts w:cs="Times New Roman"/>
                <w:bCs/>
                <w:sz w:val="22"/>
              </w:rPr>
              <w:fldChar w:fldCharType="begin" w:fldLock="1"/>
            </w:r>
            <w:r w:rsidR="008666F9">
              <w:rPr>
                <w:rFonts w:cs="Times New Roman"/>
                <w:bCs/>
                <w:sz w:val="22"/>
              </w:rPr>
              <w:instrText>ADDIN CSL_CITATION {"citationItems":[{"id":"ITEM-1","itemData":{"DOI":"10.1016/j.jhazmat.2010.01.028","ISSN":"03043894","abstract":"The synergistic effect of gamma radiation with hydrogen peroxide (H2O2) for p-nitrophenol (PNP) decomposition in aqueous solution was evaluated. The PNP solution with initial concentration of 50mg/L was irradiated in the presence of extra H2O2 at initial concentration of 0, 20, 40, and 80mg/L. The experimental results showed that the decomposition of PNP conformed to the pseudo-first-order reaction kinetics under the applied conditions. When initial H2O2 concentration was in the range of 0-80mg/L, higher concentration of H2O2 was more effective for the decomposition, mineralization and nitrogen release of PNP. However, the removal of total organic carbon (TOC) and total nitrogen (TN) was not as effective as that of PNP. Ammonia and nitrate were detected as the main inorganic nitrogen products of PNP decomposition without extra H2O2, whereas nitrate was considered as a final inorganic nitrogen product with extra H2O2 in the initial concentration range of 0-80mg/L. Major decomposition products, including organic acids were identified by LC/MS and IC. Possible pathways for PNP decomposition by gamma radiation in aqueous solution were proposed. © 2010 Elsevier B.V.","author":[{"dropping-particle":"","family":"Yu","given":"Shaoqing","non-dropping-particle":"","parse-names":false,"suffix":""},{"dropping-particle":"","family":"Hu","given":"Jun","non-dropping-particle":"","parse-names":false,"suffix":""},{"dropping-particle":"","family":"Wang","given":"Jianlong","non-dropping-particle":"","parse-names":false,"suffix":""}],"container-title":"Journal of Hazardous Materials","id":"ITEM-1","issue":"1-3","issued":{"date-parts":[["2010"]]},"page":"1061-1067","title":"Gamma radiation-induced degradation of p-nitrophenol (PNP) in the presence of hydrogen peroxide (H2O2) in aqueous solution","type":"article-journal","volume":"177"},"uris":["http://www.mendeley.com/documents/?uuid=b93fca09-7858-4ed4-a059-feed626c3334","http://www.mendeley.com/documents/?uuid=4e326252-c3b3-486b-b78b-b1ea87091cca"]}],"mendeley":{"formattedCitation":"(Yu et al., 2010)","plainTextFormattedCitation":"(Yu et al., 2010)","previouslyFormattedCitation":"(Yu et al., 2010)"},"properties":{"noteIndex":0},"schema":"https://github.com/citation-style-language/schema/raw/master/csl-citation.json"}</w:instrText>
            </w:r>
            <w:r w:rsidRPr="008912A6">
              <w:rPr>
                <w:rFonts w:cs="Times New Roman"/>
                <w:bCs/>
                <w:sz w:val="22"/>
              </w:rPr>
              <w:fldChar w:fldCharType="separate"/>
            </w:r>
            <w:r w:rsidRPr="008912A6">
              <w:rPr>
                <w:rFonts w:cs="Times New Roman"/>
                <w:bCs/>
                <w:noProof/>
                <w:sz w:val="22"/>
              </w:rPr>
              <w:t>(Yu et al., 2010)</w:t>
            </w:r>
            <w:r w:rsidRPr="008912A6">
              <w:rPr>
                <w:rFonts w:cs="Times New Roman"/>
                <w:bCs/>
                <w:sz w:val="22"/>
              </w:rPr>
              <w:fldChar w:fldCharType="end"/>
            </w:r>
          </w:p>
        </w:tc>
      </w:tr>
    </w:tbl>
    <w:p w14:paraId="490821F0" w14:textId="77777777" w:rsidR="0090400A" w:rsidRDefault="0090400A" w:rsidP="0090400A">
      <w:pPr>
        <w:spacing w:after="160" w:line="259" w:lineRule="auto"/>
        <w:jc w:val="left"/>
        <w:rPr>
          <w:color w:val="000000"/>
          <w:sz w:val="22"/>
        </w:rPr>
      </w:pPr>
      <w:r>
        <w:rPr>
          <w:color w:val="000000"/>
          <w:sz w:val="22"/>
        </w:rPr>
        <w:t>a</w:t>
      </w:r>
      <w:r w:rsidRPr="00B65095">
        <w:rPr>
          <w:color w:val="000000"/>
          <w:sz w:val="22"/>
        </w:rPr>
        <w:t xml:space="preserve">: as total organic carbon </w:t>
      </w:r>
    </w:p>
    <w:p w14:paraId="580AD106" w14:textId="77777777" w:rsidR="0090400A" w:rsidRDefault="0090400A" w:rsidP="0090400A">
      <w:pPr>
        <w:spacing w:after="160" w:line="259" w:lineRule="auto"/>
        <w:jc w:val="left"/>
        <w:rPr>
          <w:color w:val="000000"/>
          <w:sz w:val="22"/>
        </w:rPr>
      </w:pPr>
      <w:r>
        <w:rPr>
          <w:color w:val="000000"/>
          <w:sz w:val="22"/>
        </w:rPr>
        <w:t>b</w:t>
      </w:r>
      <w:r w:rsidRPr="00B65095">
        <w:rPr>
          <w:color w:val="000000"/>
          <w:sz w:val="22"/>
        </w:rPr>
        <w:t>: as chemical oxygen demand</w:t>
      </w:r>
    </w:p>
    <w:p w14:paraId="475F36B4" w14:textId="77777777" w:rsidR="00AA0DD6" w:rsidRDefault="00AA0DD6" w:rsidP="002A4842">
      <w:bookmarkStart w:id="20" w:name="_Hlk60659265"/>
    </w:p>
    <w:p w14:paraId="31085884" w14:textId="7B3D55CC" w:rsidR="008373D3" w:rsidRPr="008373D3" w:rsidRDefault="008373D3" w:rsidP="008373D3">
      <w:pPr>
        <w:pStyle w:val="Heading1"/>
        <w:rPr>
          <w:b/>
          <w:bCs/>
        </w:rPr>
      </w:pPr>
      <w:bookmarkStart w:id="21" w:name="_Toc102395644"/>
      <w:r w:rsidRPr="008373D3">
        <w:rPr>
          <w:b/>
          <w:bCs/>
        </w:rPr>
        <w:t>Supplementary S</w:t>
      </w:r>
      <w:r w:rsidR="00482734">
        <w:rPr>
          <w:b/>
          <w:bCs/>
        </w:rPr>
        <w:t>5</w:t>
      </w:r>
      <w:bookmarkEnd w:id="21"/>
    </w:p>
    <w:p w14:paraId="28389872" w14:textId="77777777" w:rsidR="008373D3" w:rsidRPr="008373D3" w:rsidRDefault="008373D3" w:rsidP="008373D3">
      <w:pPr>
        <w:pStyle w:val="Heading1"/>
        <w:spacing w:after="240"/>
        <w:rPr>
          <w:b/>
          <w:bCs/>
        </w:rPr>
      </w:pPr>
      <w:bookmarkStart w:id="22" w:name="_Toc102395645"/>
      <w:bookmarkEnd w:id="20"/>
      <w:r w:rsidRPr="008373D3">
        <w:rPr>
          <w:b/>
          <w:bCs/>
        </w:rPr>
        <w:t>Electrochemical Oxidation based AOP</w:t>
      </w:r>
      <w:bookmarkEnd w:id="22"/>
    </w:p>
    <w:p w14:paraId="1E3D14C0" w14:textId="64CFB4D8" w:rsidR="008373D3" w:rsidRPr="007117C3" w:rsidRDefault="008373D3" w:rsidP="008373D3">
      <w:pPr>
        <w:spacing w:after="0" w:line="480" w:lineRule="auto"/>
        <w:rPr>
          <w:rFonts w:cs="Times New Roman"/>
          <w:b/>
          <w:bCs/>
          <w:i/>
          <w:color w:val="000000" w:themeColor="text1"/>
        </w:rPr>
      </w:pPr>
      <w:r w:rsidRPr="007117C3">
        <w:rPr>
          <w:rFonts w:cs="Times New Roman"/>
          <w:b/>
          <w:bCs/>
          <w:i/>
          <w:color w:val="000000" w:themeColor="text1"/>
        </w:rPr>
        <w:t>S.</w:t>
      </w:r>
      <w:r w:rsidR="00482734">
        <w:rPr>
          <w:rFonts w:cs="Times New Roman"/>
          <w:b/>
          <w:bCs/>
          <w:i/>
          <w:color w:val="000000" w:themeColor="text1"/>
        </w:rPr>
        <w:t>5</w:t>
      </w:r>
      <w:r w:rsidRPr="007117C3">
        <w:rPr>
          <w:rFonts w:cs="Times New Roman"/>
          <w:b/>
          <w:bCs/>
          <w:i/>
          <w:color w:val="000000" w:themeColor="text1"/>
        </w:rPr>
        <w:t>.1. Direct oxidation</w:t>
      </w:r>
    </w:p>
    <w:p w14:paraId="2851BA3B" w14:textId="1B425A6C" w:rsidR="008373D3" w:rsidRPr="0038343B" w:rsidRDefault="008373D3" w:rsidP="008373D3">
      <w:pPr>
        <w:spacing w:line="480" w:lineRule="auto"/>
        <w:rPr>
          <w:rFonts w:cs="Times New Roman"/>
          <w:color w:val="000000" w:themeColor="text1"/>
        </w:rPr>
      </w:pPr>
      <w:r w:rsidRPr="0038343B">
        <w:rPr>
          <w:rFonts w:cs="Times New Roman"/>
          <w:color w:val="000000" w:themeColor="text1"/>
        </w:rPr>
        <w:t xml:space="preserve">According to this oxidation process the water molecules are oxidized to form the </w:t>
      </w:r>
      <w:r w:rsidR="00517A17" w:rsidRPr="00517A17">
        <w:rPr>
          <w:rFonts w:ascii="Calibri" w:hAnsi="Calibri" w:cs="Calibri"/>
          <w:color w:val="000000"/>
          <w:szCs w:val="24"/>
          <w:vertAlign w:val="superscript"/>
        </w:rPr>
        <w:t>•</w:t>
      </w:r>
      <w:r w:rsidR="00517A17" w:rsidRPr="00517A17">
        <w:rPr>
          <w:color w:val="000000"/>
          <w:szCs w:val="24"/>
        </w:rPr>
        <w:t>OH</w:t>
      </w:r>
      <w:r w:rsidRPr="0038343B">
        <w:rPr>
          <w:rFonts w:cs="Times New Roman"/>
          <w:color w:val="000000" w:themeColor="text1"/>
        </w:rPr>
        <w:t xml:space="preserve"> at anode surface (anodic oxidation</w:t>
      </w:r>
      <w:r w:rsidR="0058606A" w:rsidRPr="0038343B">
        <w:rPr>
          <w:rFonts w:cs="Times New Roman"/>
          <w:color w:val="000000" w:themeColor="text1"/>
        </w:rPr>
        <w:t>)</w:t>
      </w:r>
      <w:r w:rsidR="0058606A">
        <w:rPr>
          <w:rFonts w:cs="Times New Roman"/>
          <w:color w:val="000000" w:themeColor="text1"/>
        </w:rPr>
        <w:t>;</w:t>
      </w:r>
      <w:r w:rsidR="0058606A" w:rsidRPr="0038343B">
        <w:rPr>
          <w:rFonts w:cs="Times New Roman"/>
          <w:color w:val="000000" w:themeColor="text1"/>
        </w:rPr>
        <w:t xml:space="preserve"> </w:t>
      </w:r>
      <w:r w:rsidRPr="0038343B">
        <w:rPr>
          <w:rFonts w:cs="Times New Roman"/>
          <w:color w:val="000000" w:themeColor="text1"/>
        </w:rPr>
        <w:t>whereas</w:t>
      </w:r>
      <w:r w:rsidR="0058606A">
        <w:rPr>
          <w:rFonts w:cs="Times New Roman"/>
          <w:color w:val="000000" w:themeColor="text1"/>
        </w:rPr>
        <w:t>,</w:t>
      </w:r>
      <w:r w:rsidRPr="0038343B">
        <w:rPr>
          <w:rFonts w:cs="Times New Roman"/>
          <w:color w:val="000000" w:themeColor="text1"/>
        </w:rPr>
        <w:t xml:space="preserve"> H</w:t>
      </w:r>
      <w:r w:rsidRPr="0038343B">
        <w:rPr>
          <w:rFonts w:cs="Times New Roman"/>
          <w:color w:val="000000" w:themeColor="text1"/>
          <w:vertAlign w:val="subscript"/>
        </w:rPr>
        <w:t>2</w:t>
      </w:r>
      <w:r w:rsidRPr="0038343B">
        <w:rPr>
          <w:rFonts w:cs="Times New Roman"/>
          <w:color w:val="000000" w:themeColor="text1"/>
        </w:rPr>
        <w:t xml:space="preserve"> gas is evolved at cathode surface </w:t>
      </w:r>
      <w:r w:rsidRPr="0038343B">
        <w:rPr>
          <w:rFonts w:cs="Times New Roman"/>
          <w:color w:val="000000" w:themeColor="text1"/>
        </w:rPr>
        <w:fldChar w:fldCharType="begin" w:fldLock="1"/>
      </w:r>
      <w:r w:rsidR="008666F9">
        <w:rPr>
          <w:rFonts w:cs="Times New Roman"/>
          <w:color w:val="000000" w:themeColor="text1"/>
        </w:rPr>
        <w:instrText>ADDIN CSL_CITATION {"citationItems":[{"id":"ITEM-1","itemData":{"DOI":"10.1016/j.jenvman.2017.04.010","ISSN":"10958630","abstract":"Advanced Oxidation Processes (AOPs) are called to fill the gap between the treatability attained by conventional physico-chemical and biological treatments and the day-to-day more exigent limits fixed by environmental regulations. They are particularly important for the removal of anthropogenic pollutants and for this reason, they have been widely investigated in the last decades and even applied in the treatment of many industrial wastewater flows. However, despite the great development reached, AOPs cannot be considered mature yet and there are many new fields worthy of research. Some of them are going to be briefly introduced in this paper, including hybrid processes, heterogeneous semiconductor photocatalysis, sulphate-radical oxidation and electrochemical advanced oxidation for water/wastewater treatment. Moreover, the use of photoelectrochemical processes for energy production is discussed. The work ends with some perspectives that can be of interest for the ongoing and future research.","author":[{"dropping-particle":"","family":"Dewil","given":"Raf","non-dropping-particle":"","parse-names":false,"suffix":""},{"dropping-particle":"","family":"Mantzavinos","given":"Dionissios","non-dropping-particle":"","parse-names":false,"suffix":""},{"dropping-particle":"","family":"Poulios","given":"Ioannis","non-dropping-particle":"","parse-names":false,"suffix":""},{"dropping-particle":"","family":"Rodrigo","given":"Manuel A.","non-dropping-particle":"","parse-names":false,"suffix":""}],"container-title":"Journal of Environmental Management","id":"ITEM-1","issued":{"date-parts":[["2017"]]},"page":"93-99","title":"New perspectives for Advanced Oxidation Processes","type":"article-journal","volume":"195"},"uris":["http://www.mendeley.com/documents/?uuid=5a5f8bb6-6088-492f-aaf2-63220a613762","http://www.mendeley.com/documents/?uuid=dc1a36e3-c178-47f2-99f3-7904a5fc322d"]}],"mendeley":{"formattedCitation":"(Dewil et al., 2017)","plainTextFormattedCitation":"(Dewil et al., 2017)","previouslyFormattedCitation":"(Dewil et al., 2017)"},"properties":{"noteIndex":0},"schema":"https://github.com/citation-style-language/schema/raw/master/csl-citation.json"}</w:instrText>
      </w:r>
      <w:r w:rsidRPr="0038343B">
        <w:rPr>
          <w:rFonts w:cs="Times New Roman"/>
          <w:color w:val="000000" w:themeColor="text1"/>
        </w:rPr>
        <w:fldChar w:fldCharType="separate"/>
      </w:r>
      <w:r w:rsidRPr="00FB6D8C">
        <w:rPr>
          <w:rFonts w:cs="Times New Roman"/>
          <w:noProof/>
          <w:color w:val="000000" w:themeColor="text1"/>
        </w:rPr>
        <w:t>(Dewil et al., 2017)</w:t>
      </w:r>
      <w:r w:rsidRPr="0038343B">
        <w:rPr>
          <w:rFonts w:cs="Times New Roman"/>
          <w:color w:val="000000" w:themeColor="text1"/>
        </w:rPr>
        <w:fldChar w:fldCharType="end"/>
      </w:r>
      <w:r w:rsidRPr="0038343B">
        <w:rPr>
          <w:rFonts w:cs="Times New Roman"/>
          <w:color w:val="000000" w:themeColor="text1"/>
        </w:rPr>
        <w:t xml:space="preserve">. Additionally, electrode materials plays a significant role in enhancing the efficacy of oxidation, degradation pathway and reaction mechanisms of the process </w:t>
      </w:r>
      <w:r w:rsidR="00884E80">
        <w:rPr>
          <w:rFonts w:cs="Times New Roman"/>
          <w:color w:val="000000" w:themeColor="text1"/>
        </w:rPr>
        <w:fldChar w:fldCharType="begin" w:fldLock="1"/>
      </w:r>
      <w:r w:rsidR="007C0B0C">
        <w:rPr>
          <w:rFonts w:cs="Times New Roman"/>
          <w:color w:val="000000" w:themeColor="text1"/>
        </w:rPr>
        <w:instrText>ADDIN CSL_CITATION {"citationItems":[{"id":"ITEM-1","itemData":{"DOI":"10.1016/j.scitotenv.2019.135831","ISSN":"00489697","PMID":"31818565","abstract":"Industrial wastewaters characterized by its high content in organics and conductivity entails a challenge for conventional treatments due to its low biodegradability. Electro-oxidative processes have been successfully applied for the treatment of this kind of wastewaters achieving high organics and ammonia removal. The degradation process is executed mainly by electrochemically generated active chlorine species, as HClO and ClO− with E0 = 1.49 V; and E0 = 0.89 V, respectively. Under solar radiation, specifically at 313 nm, the formation of Cl[rad] (E0 = 2.4 V) from ClO− is promoted, improving the oxidizing capacity of the process. In this work the combination of an electrochemical device with a solar photo-reactor has been evaluated aiming to increase the degradation rate per kWh−1. Two different complex industrial wastewaters were tested, achieving higher organics degradation when electrochemical treatment was assisted by solar light. Toxicity reduction was also assessed and biodegradability enhanced and allowing its ulterior lower-cost biological treatment.","author":[{"dropping-particle":"","family":"Salmerón","given":"I.","non-dropping-particle":"","parse-names":false,"suffix":""},{"dropping-particle":"","family":"Oller","given":"I.","non-dropping-particle":"","parse-names":false,"suffix":""},{"dropping-particle":"","family":"Malato","given":"S.","non-dropping-particle":"","parse-names":false,"suffix":""}],"container-title":"Science of The Total Environment","id":"ITEM-1","issued":{"date-parts":[["2020","2"]]},"page":"135831","title":"Electro-oxidation process assisted by solar energy for the treatment of wastewater with high salinity","type":"article-journal","volume":"705"},"uris":["http://www.mendeley.com/documents/?uuid=138c8cbf-dd5c-43d9-a41c-5cca7a5016b7"]},{"id":"ITEM-2","itemData":{"DOI":"10.1080/01496395.2021.1972011","ISSN":"0149-6395","abstract":"The presence of emerging pollutants in the environment can pose potential risks to the natural ecosystem. Hence, the efficacious removal of emerging pollutants, like pharmaceuticals, including antibiotics, beta blockers and analgesics, from wastewater has recently been a major area of concern for the researchers, since these biorefractory compounds can bioaccumulate in living beings and can also transform into other toxic compounds in the natural environment. Since pharmaceuticals are not efficiently removed through conventional wastewater treatment technologies; hence, trace concentrations of these can be found in the treated effluent. Thus, the development of reliable and efficient treatment technologies for the removal of pharmaceuticals is imperative. Electrocoagulation (EC) can treat these compounds effectively. In this review, the application of EC for the removal of pharmaceuticals, critical parameters that influence the treatment efficiency, comparison of EC with chemical coagulation and the economics pertaining to EC have been discussed. The presence of different pharmaceuticals in wastewater, their respective concentrations and their adverse effects on the ecosystem have also been elucidated. Thus, this state-of-the-art review provides updated information on the application of EC for the removal of pharmaceuticals and assists readers to take this technology a step forward for commercialization to produce treated water safely for different reuse purposes.","author":[{"dropping-particle":"","family":"Ahmad","given":"Azhan","non-dropping-particle":"","parse-names":false,"suffix":""},{"dropping-particle":"","family":"Priyadarshini","given":"Monali","non-dropping-particle":"","parse-names":false,"suffix":""},{"dropping-particle":"","family":"Das","given":"Sovik","non-dropping-particle":"","parse-names":false,"suffix":""},{"dropping-particle":"","family":"Ghangrekar","given":"Makarand Madhao","non-dropping-particle":"","parse-names":false,"suffix":""}],"container-title":"Separation Science and Technology","id":"ITEM-2","issued":{"date-parts":[["2021","9","5"]]},"page":"1-23","publisher":"Taylor and Francis Ltd.","title":"Electrocoagulation as an efficacious technology for the treatment of wastewater containing active pharmaceutical compounds: a review","type":"article-journal"},"uris":["http://www.mendeley.com/documents/?uuid=67d9e9ba-5c3f-3e2e-815f-d7783d4adf15"]}],"mendeley":{"formattedCitation":"(Ahmad et al., 2021a; Salmerón et al., 2020)","plainTextFormattedCitation":"(Ahmad et al., 2021a; Salmerón et al., 2020)","previouslyFormattedCitation":"(Ahmad et al., 2021a; Salmerón et al., 2020)"},"properties":{"noteIndex":0},"schema":"https://github.com/citation-style-language/schema/raw/master/csl-citation.json"}</w:instrText>
      </w:r>
      <w:r w:rsidR="00884E80">
        <w:rPr>
          <w:rFonts w:cs="Times New Roman"/>
          <w:color w:val="000000" w:themeColor="text1"/>
        </w:rPr>
        <w:fldChar w:fldCharType="separate"/>
      </w:r>
      <w:r w:rsidR="00884E80" w:rsidRPr="00884E80">
        <w:rPr>
          <w:rFonts w:cs="Times New Roman"/>
          <w:noProof/>
          <w:color w:val="000000" w:themeColor="text1"/>
        </w:rPr>
        <w:t>(Ahmad et al., 2021a; Salmerón et al., 2020)</w:t>
      </w:r>
      <w:r w:rsidR="00884E80">
        <w:rPr>
          <w:rFonts w:cs="Times New Roman"/>
          <w:color w:val="000000" w:themeColor="text1"/>
        </w:rPr>
        <w:fldChar w:fldCharType="end"/>
      </w:r>
      <w:r w:rsidRPr="0038343B">
        <w:rPr>
          <w:rFonts w:cs="Times New Roman"/>
          <w:color w:val="000000" w:themeColor="text1"/>
        </w:rPr>
        <w:t>. The electrode materials can be classified into two categories</w:t>
      </w:r>
      <w:r w:rsidR="0058606A">
        <w:rPr>
          <w:rFonts w:cs="Times New Roman"/>
          <w:color w:val="000000" w:themeColor="text1"/>
        </w:rPr>
        <w:t>,</w:t>
      </w:r>
      <w:r w:rsidRPr="0038343B">
        <w:rPr>
          <w:rFonts w:cs="Times New Roman"/>
          <w:color w:val="000000" w:themeColor="text1"/>
        </w:rPr>
        <w:t xml:space="preserve"> such as active anode </w:t>
      </w:r>
      <w:r w:rsidRPr="0038343B">
        <w:rPr>
          <w:rFonts w:cs="Times New Roman"/>
          <w:color w:val="000000" w:themeColor="text1"/>
        </w:rPr>
        <w:lastRenderedPageBreak/>
        <w:t>including Pt, IrO</w:t>
      </w:r>
      <w:r w:rsidRPr="0038343B">
        <w:rPr>
          <w:rFonts w:cs="Times New Roman"/>
          <w:color w:val="000000" w:themeColor="text1"/>
          <w:vertAlign w:val="subscript"/>
        </w:rPr>
        <w:t>2</w:t>
      </w:r>
      <w:r w:rsidRPr="0038343B">
        <w:rPr>
          <w:rFonts w:cs="Times New Roman"/>
          <w:color w:val="000000" w:themeColor="text1"/>
        </w:rPr>
        <w:t xml:space="preserve"> and RuO</w:t>
      </w:r>
      <w:r w:rsidRPr="0038343B">
        <w:rPr>
          <w:rFonts w:cs="Times New Roman"/>
          <w:color w:val="000000" w:themeColor="text1"/>
          <w:vertAlign w:val="subscript"/>
        </w:rPr>
        <w:t>2</w:t>
      </w:r>
      <w:r w:rsidR="0058606A">
        <w:rPr>
          <w:rFonts w:cs="Times New Roman"/>
          <w:color w:val="000000" w:themeColor="text1"/>
        </w:rPr>
        <w:t xml:space="preserve">, </w:t>
      </w:r>
      <w:r w:rsidRPr="0038343B">
        <w:rPr>
          <w:rFonts w:cs="Times New Roman"/>
          <w:color w:val="000000" w:themeColor="text1"/>
        </w:rPr>
        <w:t>and nonactive anode including PbO</w:t>
      </w:r>
      <w:r w:rsidRPr="0038343B">
        <w:rPr>
          <w:rFonts w:cs="Times New Roman"/>
          <w:color w:val="000000" w:themeColor="text1"/>
          <w:vertAlign w:val="subscript"/>
        </w:rPr>
        <w:t>2</w:t>
      </w:r>
      <w:r w:rsidRPr="0038343B">
        <w:rPr>
          <w:rFonts w:cs="Times New Roman"/>
          <w:color w:val="000000" w:themeColor="text1"/>
        </w:rPr>
        <w:t>, SnO</w:t>
      </w:r>
      <w:r w:rsidRPr="0038343B">
        <w:rPr>
          <w:rFonts w:cs="Times New Roman"/>
          <w:color w:val="000000" w:themeColor="text1"/>
          <w:vertAlign w:val="subscript"/>
        </w:rPr>
        <w:t>2</w:t>
      </w:r>
      <w:r w:rsidRPr="0038343B">
        <w:rPr>
          <w:rFonts w:cs="Times New Roman"/>
          <w:color w:val="000000" w:themeColor="text1"/>
        </w:rPr>
        <w:t xml:space="preserve">, and boron-doped diamond (BDD) </w:t>
      </w:r>
      <w:r w:rsidRPr="0038343B">
        <w:rPr>
          <w:rFonts w:cs="Times New Roman"/>
          <w:color w:val="000000" w:themeColor="text1"/>
        </w:rPr>
        <w:fldChar w:fldCharType="begin" w:fldLock="1"/>
      </w:r>
      <w:r w:rsidR="008666F9">
        <w:rPr>
          <w:rFonts w:cs="Times New Roman"/>
          <w:color w:val="000000" w:themeColor="text1"/>
        </w:rPr>
        <w:instrText>ADDIN CSL_CITATION {"citationItems":[{"id":"ITEM-1","itemData":{"DOI":"10.1021/es800298p","ISSN":"0013-936X","abstract":"Electrochemical oxidation of p-nitrophenol was examined using different anodic materials, including Ti/boron-doped diamond (BDD), Ti/SnO 2-Sb/PbO2, and Ti/SnO2-Sb anodes. The results demonstrated that Ti/BDD anodes had a much stronger mineralization performance than the other two anodes. Furthermore, it was found that hydroxyl radicals could mainly exist as free hydroxyl radicals at BDD anodes, which could react with organic compounds effectively. This implied that the dominant mechanism for a much higher mineralization capacity of BDD anodes would be attributed to the existence of free hydroxyl radicals in the BDD anode cell rather than adsorbed hydroxyl radicals on the BDD anode. To further corroborate this hypothesis, electrochemical oxidation of p-substituted phenols (p-nitrophenol, p-hydroxybenzaldehyde, phenol, p-cresol, and p-methoxyphenol) was examined at the Ti/BDD, Ti/SnO2-Sb/ PbO2, and Ti/SnO2-Sb anodes, respectively. The study revealed that for Ti/BDD electrodes, the degradation rate of p-substituted phenols (k) increased with the increase of Hammett's constant (σ), which confirmed the dominance of free hydroxyl radicals at BDD anodes and its effective reaction with organics therein. For Ti/SnO2-Sb/PbO2 electrodes, the degradation rate of p-substituted phenols (k) increased with the increase of initial surface concentration Γ (representing the adsorption capacity of phenols to electrode surface), which indicated that organic compounds mainly reacted with adsorbed hydroxyl radicals at PbO2 anodes. For Ti/SnO2-Sb electrodes, however, k increased with the increase of the integrated parameter S (representing the effects of both σ and Γ), which implied that organic compounds reacted with both adsorbed hydroxyl radicals and free hydroxyl radicals at SnO2 anodes. © 2008 American Chemical Society.","author":[{"dropping-particle":"","family":"Zhu","given":"Xiuping","non-dropping-particle":"","parse-names":false,"suffix":""},{"dropping-particle":"","family":"Tong","given":"Meiping","non-dropping-particle":"","parse-names":false,"suffix":""},{"dropping-particle":"","family":"Shi","given":"Shaoyuan","non-dropping-particle":"","parse-names":false,"suffix":""},{"dropping-particle":"","family":"Zhao","given":"Huazhang","non-dropping-particle":"","parse-names":false,"suffix":""},{"dropping-particle":"","family":"Ni","given":"Jinren","non-dropping-particle":"","parse-names":false,"suffix":""}],"container-title":"Environmental Science &amp; Technology","id":"ITEM-1","issue":"13","issued":{"date-parts":[["2008","7"]]},"page":"4914-4920","title":"Essential Explanation of the Strong Mineralization Performance of Boron-Doped Diamond Electrodes","type":"article-journal","volume":"42"},"uris":["http://www.mendeley.com/documents/?uuid=b7a9f2ac-4433-41fd-98fb-d75a3bdadb2f","http://www.mendeley.com/documents/?uuid=eebcbdf5-4e72-4654-9cc5-c00138a8624a"]}],"mendeley":{"formattedCitation":"(Zhu et al., 2008)","plainTextFormattedCitation":"(Zhu et al., 2008)","previouslyFormattedCitation":"(Zhu et al., 2008)"},"properties":{"noteIndex":0},"schema":"https://github.com/citation-style-language/schema/raw/master/csl-citation.json"}</w:instrText>
      </w:r>
      <w:r w:rsidRPr="0038343B">
        <w:rPr>
          <w:rFonts w:cs="Times New Roman"/>
          <w:color w:val="000000" w:themeColor="text1"/>
        </w:rPr>
        <w:fldChar w:fldCharType="separate"/>
      </w:r>
      <w:r w:rsidRPr="00FB6D8C">
        <w:rPr>
          <w:rFonts w:cs="Times New Roman"/>
          <w:noProof/>
          <w:color w:val="000000" w:themeColor="text1"/>
        </w:rPr>
        <w:t>(Zhu et al., 2008)</w:t>
      </w:r>
      <w:r w:rsidRPr="0038343B">
        <w:rPr>
          <w:rFonts w:cs="Times New Roman"/>
          <w:color w:val="000000" w:themeColor="text1"/>
        </w:rPr>
        <w:fldChar w:fldCharType="end"/>
      </w:r>
      <w:r w:rsidRPr="0038343B">
        <w:rPr>
          <w:rFonts w:cs="Times New Roman"/>
          <w:color w:val="000000" w:themeColor="text1"/>
        </w:rPr>
        <w:t xml:space="preserve">. </w:t>
      </w:r>
    </w:p>
    <w:p w14:paraId="626230EA" w14:textId="5B93B321" w:rsidR="008373D3" w:rsidRPr="0038343B" w:rsidRDefault="008373D3" w:rsidP="008373D3">
      <w:pPr>
        <w:spacing w:line="480" w:lineRule="auto"/>
        <w:rPr>
          <w:rFonts w:cs="Times New Roman"/>
        </w:rPr>
      </w:pPr>
      <w:r w:rsidRPr="0038343B">
        <w:rPr>
          <w:rFonts w:cs="Times New Roman"/>
        </w:rPr>
        <w:t>The surface of metal oxide based active anodes are capable in electrochemical conversion of non-biodegradable organics into more biodegradable form such as short-chain carboxylic acids rather than complete mineralization into CO</w:t>
      </w:r>
      <w:r w:rsidRPr="0038343B">
        <w:rPr>
          <w:rFonts w:cs="Times New Roman"/>
          <w:vertAlign w:val="subscript"/>
        </w:rPr>
        <w:t>2</w:t>
      </w:r>
      <w:r w:rsidR="0058606A">
        <w:rPr>
          <w:rFonts w:cs="Times New Roman"/>
        </w:rPr>
        <w:t>;</w:t>
      </w:r>
      <w:r w:rsidR="0058606A" w:rsidRPr="0038343B">
        <w:rPr>
          <w:rFonts w:cs="Times New Roman"/>
        </w:rPr>
        <w:t xml:space="preserve"> </w:t>
      </w:r>
      <w:r w:rsidRPr="0038343B">
        <w:rPr>
          <w:rFonts w:cs="Times New Roman"/>
        </w:rPr>
        <w:t>whereas</w:t>
      </w:r>
      <w:r w:rsidR="0058606A">
        <w:rPr>
          <w:rFonts w:cs="Times New Roman"/>
        </w:rPr>
        <w:t>,</w:t>
      </w:r>
      <w:r w:rsidRPr="0038343B">
        <w:rPr>
          <w:rFonts w:cs="Times New Roman"/>
        </w:rPr>
        <w:t xml:space="preserve"> the surface of nonactive anodes results in complete mineralization of organics into CO</w:t>
      </w:r>
      <w:r w:rsidRPr="0038343B">
        <w:rPr>
          <w:rFonts w:cs="Times New Roman"/>
          <w:vertAlign w:val="subscript"/>
        </w:rPr>
        <w:t>2</w:t>
      </w:r>
      <w:r w:rsidRPr="0038343B">
        <w:rPr>
          <w:rFonts w:cs="Times New Roman"/>
        </w:rPr>
        <w:t xml:space="preserve"> </w:t>
      </w:r>
      <w:r w:rsidRPr="0038343B">
        <w:rPr>
          <w:rFonts w:cs="Times New Roman"/>
          <w:vertAlign w:val="subscript"/>
        </w:rPr>
        <w:fldChar w:fldCharType="begin" w:fldLock="1"/>
      </w:r>
      <w:r w:rsidR="008666F9">
        <w:rPr>
          <w:rFonts w:cs="Times New Roman"/>
          <w:vertAlign w:val="subscript"/>
        </w:rPr>
        <w:instrText>ADDIN CSL_CITATION {"citationItems":[{"id":"ITEM-1","itemData":{"DOI":"10.1016/j.psep.2017.09.014","ISSN":"09575820","author":[{"dropping-particle":"","family":"Garcia-Segura","given":"Sergi","non-dropping-particle":"","parse-names":false,"suffix":""},{"dropping-particle":"","family":"Ocon","given":"Joey D","non-dropping-particle":"","parse-names":false,"suffix":""},{"dropping-particle":"","family":"Chong","given":"Meng Nan","non-dropping-particle":"","parse-names":false,"suffix":""}],"container-title":"Process Safety and Environmental Protection","id":"ITEM-1","issued":{"date-parts":[["2018","1"]]},"page":"48-67","title":"Electrochemical oxidation remediation of real wastewater effluents — A review","type":"article-journal","volume":"113"},"uris":["http://www.mendeley.com/documents/?uuid=bde01b09-2167-4597-84d1-25187e0ae007"]}],"mendeley":{"formattedCitation":"(Garcia-Segura et al., 2018)","plainTextFormattedCitation":"(Garcia-Segura et al., 2018)","previouslyFormattedCitation":"(Garcia-Segura et al., 2018)"},"properties":{"noteIndex":0},"schema":"https://github.com/citation-style-language/schema/raw/master/csl-citation.json"}</w:instrText>
      </w:r>
      <w:r w:rsidRPr="0038343B">
        <w:rPr>
          <w:rFonts w:cs="Times New Roman"/>
          <w:vertAlign w:val="subscript"/>
        </w:rPr>
        <w:fldChar w:fldCharType="separate"/>
      </w:r>
      <w:r w:rsidRPr="00FB6D8C">
        <w:rPr>
          <w:rFonts w:cs="Times New Roman"/>
          <w:noProof/>
        </w:rPr>
        <w:t>(Garcia-Segura et al., 2018)</w:t>
      </w:r>
      <w:r w:rsidRPr="0038343B">
        <w:rPr>
          <w:rFonts w:cs="Times New Roman"/>
          <w:vertAlign w:val="subscript"/>
        </w:rPr>
        <w:fldChar w:fldCharType="end"/>
      </w:r>
      <w:r w:rsidRPr="0038343B">
        <w:rPr>
          <w:rFonts w:cs="Times New Roman"/>
        </w:rPr>
        <w:t>. This happens in active anodes due to higher oxidation states are available for metal or metal oxide anode above the standard potential for oxygen evolution (E</w:t>
      </w:r>
      <w:r w:rsidRPr="0038343B">
        <w:rPr>
          <w:rFonts w:cs="Times New Roman"/>
          <w:vertAlign w:val="subscript"/>
        </w:rPr>
        <w:t>0</w:t>
      </w:r>
      <w:r w:rsidRPr="0038343B">
        <w:rPr>
          <w:rFonts w:cs="Times New Roman"/>
        </w:rPr>
        <w:t xml:space="preserve"> = 1.23 V/SHE). Therefore, the absorbed </w:t>
      </w:r>
      <w:bookmarkStart w:id="23" w:name="_Hlk94047462"/>
      <w:r w:rsidR="00517A17" w:rsidRPr="00517A17">
        <w:rPr>
          <w:rFonts w:ascii="Calibri" w:hAnsi="Calibri" w:cs="Calibri"/>
          <w:color w:val="000000"/>
          <w:szCs w:val="24"/>
          <w:vertAlign w:val="superscript"/>
        </w:rPr>
        <w:t>•</w:t>
      </w:r>
      <w:r w:rsidR="00517A17" w:rsidRPr="00517A17">
        <w:rPr>
          <w:color w:val="000000"/>
          <w:szCs w:val="24"/>
        </w:rPr>
        <w:t>OH</w:t>
      </w:r>
      <w:r w:rsidRPr="0038343B">
        <w:rPr>
          <w:rFonts w:cs="Times New Roman"/>
        </w:rPr>
        <w:t xml:space="preserve"> </w:t>
      </w:r>
      <w:bookmarkEnd w:id="23"/>
      <w:r w:rsidRPr="0038343B">
        <w:rPr>
          <w:rFonts w:cs="Times New Roman"/>
        </w:rPr>
        <w:t xml:space="preserve">may form </w:t>
      </w:r>
      <w:proofErr w:type="spellStart"/>
      <w:r w:rsidRPr="0038343B">
        <w:rPr>
          <w:rFonts w:cs="Times New Roman"/>
        </w:rPr>
        <w:t>physisorbed</w:t>
      </w:r>
      <w:proofErr w:type="spellEnd"/>
      <w:r w:rsidRPr="0038343B">
        <w:rPr>
          <w:rFonts w:cs="Times New Roman"/>
        </w:rPr>
        <w:t xml:space="preserve"> active oxygen species</w:t>
      </w:r>
      <w:r w:rsidR="0058606A">
        <w:rPr>
          <w:rFonts w:cs="Times New Roman"/>
        </w:rPr>
        <w:t>,</w:t>
      </w:r>
      <w:r w:rsidRPr="0038343B">
        <w:rPr>
          <w:rFonts w:cs="Times New Roman"/>
        </w:rPr>
        <w:t xml:space="preserve"> such as superoxide (O</w:t>
      </w:r>
      <w:r w:rsidRPr="0038343B">
        <w:rPr>
          <w:rFonts w:cs="Times New Roman"/>
          <w:vertAlign w:val="subscript"/>
        </w:rPr>
        <w:t>2</w:t>
      </w:r>
      <w:r w:rsidR="00517A17" w:rsidRPr="00517A17">
        <w:rPr>
          <w:rFonts w:ascii="Calibri" w:hAnsi="Calibri" w:cs="Calibri"/>
          <w:color w:val="000000"/>
          <w:szCs w:val="24"/>
          <w:vertAlign w:val="superscript"/>
        </w:rPr>
        <w:t>•</w:t>
      </w:r>
      <w:r w:rsidRPr="0038343B">
        <w:rPr>
          <w:rFonts w:cs="Times New Roman"/>
          <w:b/>
          <w:vertAlign w:val="superscript"/>
        </w:rPr>
        <w:t>−</w:t>
      </w:r>
      <w:r w:rsidRPr="0038343B">
        <w:rPr>
          <w:rFonts w:cs="Times New Roman"/>
          <w:b/>
          <w:vertAlign w:val="subscript"/>
        </w:rPr>
        <w:t xml:space="preserve">, </w:t>
      </w:r>
      <w:r w:rsidRPr="0038343B">
        <w:rPr>
          <w:rFonts w:cs="Times New Roman"/>
        </w:rPr>
        <w:t xml:space="preserve">MO) </w:t>
      </w:r>
      <w:r w:rsidRPr="0038343B">
        <w:rPr>
          <w:rFonts w:cs="Times New Roman"/>
        </w:rPr>
        <w:fldChar w:fldCharType="begin" w:fldLock="1"/>
      </w:r>
      <w:r w:rsidR="008666F9">
        <w:rPr>
          <w:rFonts w:cs="Times New Roman"/>
        </w:rPr>
        <w:instrText xml:space="preserve">ADDIN CSL_CITATION {"citationItems":[{"id":"ITEM-1","itemData":{"DOI":"10.1016/j.cej.2011.09.016","ISSN":"13858947","abstract":"A detailed study was dedicated to the anodic oxidation of three carboxylic acids (namely, oxalic, formic and maleic acid) with the objective to evaluate in a systematic way the effect on the oxidation of carboxylic acids of numerous relevant parameters, including the nature and the concentration of the carboxylic acid, the alimentation regime (potentiostatic vs. amperostatic), the current density and the working potential values, the flowdynamic regime, the temperature and the nature of the electrode material. It was observed that the effect of some operative parameters strongly depends on the nature of the electrode and of the carboxylic acid. As an example, the efficacy of abatement decreased in the order oxalic &gt; formic ≥ maleic at iridium anodes while an opposite trend was observed at diamond anodes (formic </w:instrText>
      </w:r>
      <w:r w:rsidR="008666F9">
        <w:rPr>
          <w:rFonts w:ascii="Cambria Math" w:hAnsi="Cambria Math" w:cs="Cambria Math"/>
        </w:rPr>
        <w:instrText>∼</w:instrText>
      </w:r>
      <w:r w:rsidR="008666F9">
        <w:rPr>
          <w:rFonts w:cs="Times New Roman"/>
        </w:rPr>
        <w:instrText xml:space="preserve"> maleic &gt; oxalic), thus confirming that different oxidant agents are involved at these two electrodes. Also the effect of the temperature depends on both the nature of the acid and of the anode. On the other hand, for all electrodes and substrates, higher current efficiencies were obtained when most part of the process was under the kinetic control of the oxidation reaction, i.e., when low current densities and high flow rates were imposed. A detailed study on the effect of concentration was performed. It was found that higher concentrations of carboxylic acids enhanced the current efficiency at all kinetic regimes. A comparison between potentiostatic and amperostatic electrolyses was also carried out. © 2011 Elsevier B.V.","author":[{"dropping-particle":"","family":"Scialdone","given":"Onofrio","non-dropping-particle":"","parse-names":false,"suffix":""},{"dropping-particle":"","family":"Galia","given":"Alessandro","non-dropping-particle":"","parse-names":false,"suffix":""},{"dropping-particle":"","family":"Randazzo","given":"Serena","non-dropping-particle":"","parse-names":false,"suffix":""}],"container-title":"Chemical Engineering Journal","id":"ITEM-1","issue":"1","issued":{"date-parts":[["2011","10"]]},"page":"266-274","title":"Oxidation of carboxylic acids in water at IrO2–Ta2O5 and boron doped diamond anodes","type":"article-journal","volume":"174"},"uris":["http://www.mendeley.com/documents/?uuid=6ca7d4f0-28a8-4d77-9fd4-d95fadbac6e6","http://www.mendeley.com/documents/?uuid=322e4af6-4feb-4e4d-b146-aa2c062b1ba3"]}],"mendeley":{"formattedCitation":"(Scialdone et al., 2011)","plainTextFormattedCitation":"(Scialdone et al., 2011)","previouslyFormattedCitation":"(Scialdone et al., 2011)"},"properties":{"noteIndex":0},"schema":"https://github.com/citation-style-language/schema/raw/master/csl-citation.json"}</w:instrText>
      </w:r>
      <w:r w:rsidRPr="0038343B">
        <w:rPr>
          <w:rFonts w:cs="Times New Roman"/>
        </w:rPr>
        <w:fldChar w:fldCharType="separate"/>
      </w:r>
      <w:r w:rsidRPr="00FB6D8C">
        <w:rPr>
          <w:rFonts w:cs="Times New Roman"/>
          <w:noProof/>
        </w:rPr>
        <w:t>(Scialdone et al., 2011)</w:t>
      </w:r>
      <w:r w:rsidRPr="0038343B">
        <w:rPr>
          <w:rFonts w:cs="Times New Roman"/>
        </w:rPr>
        <w:fldChar w:fldCharType="end"/>
      </w:r>
      <w:r w:rsidRPr="0038343B">
        <w:rPr>
          <w:rFonts w:cs="Times New Roman"/>
        </w:rPr>
        <w:t xml:space="preserve">. In contrast, in nonactive anodes, the anode acts as a sink for the removal of electrons </w:t>
      </w:r>
      <w:r w:rsidRPr="0038343B">
        <w:rPr>
          <w:rFonts w:cs="Times New Roman"/>
        </w:rPr>
        <w:fldChar w:fldCharType="begin" w:fldLock="1"/>
      </w:r>
      <w:r w:rsidR="008666F9">
        <w:rPr>
          <w:rFonts w:cs="Times New Roman"/>
        </w:rPr>
        <w:instrText>ADDIN CSL_CITATION {"citationItems":[{"id":"ITEM-1","itemData":{"DOI":"10.4152/pea.200701001","ISSN":"1647-1571","abstract":"Conventional processes for water treatment are inefficient for the remediation of wastewaters containing toxic and biorecalcitrant organic pollutants. A large number of advanced oxidation processes (AOPs) have been successfully applied to degrade pollutants present in waters. These methods are based on the generation of a very powerful oxidizing agent such as hydroxyl radical ( • OH) in solution, able to destroy organics up to their mineralization. In recent years new AOPs based on the electrochemical technology are being developed. Electrochemical advanced oxidation processes (EAOPs) are environmentally friendly emerging methods for the decontamination of wastewaters contaminated with toxic and persistent herbicides, pesticides, chlorophenols, nitrophenols, polychlorinated biphenyls, pharmaceuticals, etc. This paper reports the fundamentals, main characteristics and recent developments of EAOPs such as anodic oxidation and electro-Fenton alone and coupled with other physicochemical processes. These techniques utilize electrolytic systems such as threeelectrode divided and two-electrode undivided cells with different cathodes as working electrodes (carbon-felt or O2-diffusion cathode) and auxiliary electrodes (Pt, PbO2, boron-doped diamond (BDD) or iron anode). The effect of several experimental parameters that largely influence the degradation rate of organic pollutants is discussed. Chromatographic analyses and total organic carbon (TOC) and chemical oxygen demand (COD) measurements show a quick disappearance of initial pollutants and their aromatic and aliphatic reaction products in all cases. The great capacity of oxidation and/or mineralization of all these EAOPs to decontaminate acidic aqueous solutions of common herbicides and pesticides is described.","author":[{"dropping-particle":"","family":"Oturan","given":"M A","non-dropping-particle":"","parse-names":false,"suffix":""},{"dropping-particle":"","family":"Brillas","given":"E","non-dropping-particle":"","parse-names":false,"suffix":""}],"container-title":"Portugaliae Electrochimica Acta","id":"ITEM-1","issue":"1","issued":{"date-parts":[["2007"]]},"page":"1-18","title":"Electrochemical Advanced Oxidation Processes (EAOPs) for Environmental Applications","type":"article-journal","volume":"25"},"uris":["http://www.mendeley.com/documents/?uuid=ec3f76e0-606d-4f6b-b764-b40db2fee889"]}],"mendeley":{"formattedCitation":"(Oturan and Brillas, 2007)","plainTextFormattedCitation":"(Oturan and Brillas, 2007)","previouslyFormattedCitation":"(Oturan and Brillas, 2007)"},"properties":{"noteIndex":0},"schema":"https://github.com/citation-style-language/schema/raw/master/csl-citation.json"}</w:instrText>
      </w:r>
      <w:r w:rsidRPr="0038343B">
        <w:rPr>
          <w:rFonts w:cs="Times New Roman"/>
        </w:rPr>
        <w:fldChar w:fldCharType="separate"/>
      </w:r>
      <w:r w:rsidRPr="00FB6D8C">
        <w:rPr>
          <w:rFonts w:cs="Times New Roman"/>
          <w:noProof/>
        </w:rPr>
        <w:t>(Oturan and Brillas, 2007)</w:t>
      </w:r>
      <w:r w:rsidRPr="0038343B">
        <w:rPr>
          <w:rFonts w:cs="Times New Roman"/>
        </w:rPr>
        <w:fldChar w:fldCharType="end"/>
      </w:r>
      <w:r w:rsidRPr="0038343B">
        <w:rPr>
          <w:rFonts w:cs="Times New Roman"/>
        </w:rPr>
        <w:t xml:space="preserve">. Hence, a weak interaction exists between the anode surface and </w:t>
      </w:r>
      <w:r w:rsidR="00F6303A" w:rsidRPr="00517A17">
        <w:rPr>
          <w:rFonts w:ascii="Calibri" w:hAnsi="Calibri" w:cs="Calibri"/>
          <w:color w:val="000000"/>
          <w:szCs w:val="24"/>
          <w:vertAlign w:val="superscript"/>
        </w:rPr>
        <w:t>•</w:t>
      </w:r>
      <w:r w:rsidR="00F6303A" w:rsidRPr="00517A17">
        <w:rPr>
          <w:color w:val="000000"/>
          <w:szCs w:val="24"/>
        </w:rPr>
        <w:t>OH</w:t>
      </w:r>
      <w:r w:rsidR="00F6303A" w:rsidRPr="0038343B">
        <w:rPr>
          <w:rFonts w:cs="Times New Roman"/>
        </w:rPr>
        <w:t xml:space="preserve"> </w:t>
      </w:r>
      <w:r w:rsidRPr="0038343B">
        <w:rPr>
          <w:rFonts w:cs="Times New Roman"/>
        </w:rPr>
        <w:t>and it results in complete mineralization of organics into CO</w:t>
      </w:r>
      <w:r w:rsidRPr="0038343B">
        <w:rPr>
          <w:rFonts w:cs="Times New Roman"/>
          <w:vertAlign w:val="subscript"/>
        </w:rPr>
        <w:t>2</w:t>
      </w:r>
      <w:r w:rsidRPr="007117C3">
        <w:rPr>
          <w:rFonts w:cs="Times New Roman"/>
        </w:rPr>
        <w:t>.</w:t>
      </w:r>
    </w:p>
    <w:p w14:paraId="6BFB65C9" w14:textId="60ADC979" w:rsidR="008373D3" w:rsidRPr="0038343B" w:rsidRDefault="008373D3" w:rsidP="008373D3">
      <w:pPr>
        <w:spacing w:after="0" w:line="480" w:lineRule="auto"/>
        <w:rPr>
          <w:rFonts w:cs="Times New Roman"/>
        </w:rPr>
      </w:pPr>
      <w:r w:rsidRPr="0038343B">
        <w:rPr>
          <w:rFonts w:cs="Times New Roman"/>
        </w:rPr>
        <w:t xml:space="preserve">The initial pathway in both types of anodes involves the oxidation of water molecules leading to produce </w:t>
      </w:r>
      <w:proofErr w:type="spellStart"/>
      <w:r w:rsidRPr="0038343B">
        <w:rPr>
          <w:rFonts w:cs="Times New Roman"/>
        </w:rPr>
        <w:t>physisorbed</w:t>
      </w:r>
      <w:proofErr w:type="spellEnd"/>
      <w:r w:rsidRPr="0038343B">
        <w:rPr>
          <w:rFonts w:cs="Times New Roman"/>
        </w:rPr>
        <w:t xml:space="preserve"> active oxygen and metal absorbed </w:t>
      </w:r>
      <w:r w:rsidR="00630ECE" w:rsidRPr="00517A17">
        <w:rPr>
          <w:rFonts w:ascii="Calibri" w:hAnsi="Calibri" w:cs="Calibri"/>
          <w:color w:val="000000"/>
          <w:szCs w:val="24"/>
          <w:vertAlign w:val="superscript"/>
        </w:rPr>
        <w:t>•</w:t>
      </w:r>
      <w:r w:rsidR="00630ECE" w:rsidRPr="00517A17">
        <w:rPr>
          <w:color w:val="000000"/>
          <w:szCs w:val="24"/>
        </w:rPr>
        <w:t>OH</w:t>
      </w:r>
      <w:r w:rsidR="00630ECE" w:rsidRPr="0038343B">
        <w:rPr>
          <w:rFonts w:cs="Times New Roman"/>
        </w:rPr>
        <w:t xml:space="preserve"> </w:t>
      </w:r>
      <w:r w:rsidRPr="0038343B">
        <w:rPr>
          <w:rFonts w:cs="Times New Roman"/>
        </w:rPr>
        <w:t>on the surface of anodes (denoted as M) (</w:t>
      </w:r>
      <w:r w:rsidR="009D63AF" w:rsidRPr="009D63AF">
        <w:rPr>
          <w:rFonts w:cs="Times New Roman"/>
          <w:color w:val="000000"/>
        </w:rPr>
        <w:t>Eq.</w:t>
      </w:r>
      <w:r w:rsidRPr="0038343B">
        <w:rPr>
          <w:rFonts w:cs="Times New Roman"/>
        </w:rPr>
        <w:t xml:space="preserve"> </w:t>
      </w:r>
      <w:r>
        <w:rPr>
          <w:rFonts w:cs="Times New Roman"/>
        </w:rPr>
        <w:t>8</w:t>
      </w:r>
      <w:r w:rsidRPr="0038343B">
        <w:rPr>
          <w:rFonts w:cs="Times New Roman"/>
        </w:rPr>
        <w:t xml:space="preserve">). The surface of active anode absorbed </w:t>
      </w:r>
      <w:bookmarkStart w:id="24" w:name="_Hlk94047477"/>
      <w:r w:rsidR="00630ECE" w:rsidRPr="00517A17">
        <w:rPr>
          <w:rFonts w:ascii="Calibri" w:hAnsi="Calibri" w:cs="Calibri"/>
          <w:color w:val="000000"/>
          <w:szCs w:val="24"/>
          <w:vertAlign w:val="superscript"/>
        </w:rPr>
        <w:t>•</w:t>
      </w:r>
      <w:r w:rsidR="00630ECE" w:rsidRPr="00517A17">
        <w:rPr>
          <w:color w:val="000000"/>
          <w:szCs w:val="24"/>
        </w:rPr>
        <w:t>OH</w:t>
      </w:r>
      <w:r w:rsidR="00630ECE" w:rsidRPr="0038343B">
        <w:rPr>
          <w:rFonts w:cs="Times New Roman"/>
        </w:rPr>
        <w:t xml:space="preserve"> </w:t>
      </w:r>
      <w:bookmarkEnd w:id="24"/>
      <w:r w:rsidRPr="0038343B">
        <w:rPr>
          <w:rFonts w:cs="Times New Roman"/>
        </w:rPr>
        <w:t>and react vigorously to form MO (</w:t>
      </w:r>
      <w:r w:rsidR="009D63AF" w:rsidRPr="009D63AF">
        <w:rPr>
          <w:rFonts w:cs="Times New Roman"/>
          <w:color w:val="000000"/>
        </w:rPr>
        <w:t>Eq.</w:t>
      </w:r>
      <w:r w:rsidRPr="0038343B">
        <w:rPr>
          <w:rFonts w:cs="Times New Roman"/>
        </w:rPr>
        <w:t xml:space="preserve"> </w:t>
      </w:r>
      <w:r>
        <w:rPr>
          <w:rFonts w:cs="Times New Roman"/>
        </w:rPr>
        <w:t>9</w:t>
      </w:r>
      <w:r w:rsidRPr="0038343B">
        <w:rPr>
          <w:rFonts w:cs="Times New Roman"/>
        </w:rPr>
        <w:t>) and MO further participate in the oxidation of organic pollutants (R), resulting in the formation of redox couple MO/M as an intermediate reaction (</w:t>
      </w:r>
      <w:r w:rsidR="009D63AF" w:rsidRPr="009D63AF">
        <w:rPr>
          <w:rFonts w:cs="Times New Roman"/>
          <w:color w:val="000000"/>
        </w:rPr>
        <w:t>Eq.</w:t>
      </w:r>
      <w:r w:rsidRPr="0038343B">
        <w:rPr>
          <w:rFonts w:cs="Times New Roman"/>
        </w:rPr>
        <w:t xml:space="preserve"> </w:t>
      </w:r>
      <w:r>
        <w:rPr>
          <w:rFonts w:cs="Times New Roman"/>
        </w:rPr>
        <w:t>10</w:t>
      </w:r>
      <w:r w:rsidRPr="0038343B">
        <w:rPr>
          <w:rFonts w:cs="Times New Roman"/>
        </w:rPr>
        <w:t>). However, at the same time oxygen evolved from the chemical decomposition of MO as a competition with the side reactions (</w:t>
      </w:r>
      <w:r w:rsidR="009D63AF" w:rsidRPr="009D63AF">
        <w:rPr>
          <w:rFonts w:cs="Times New Roman"/>
          <w:color w:val="000000"/>
        </w:rPr>
        <w:t>Eq.</w:t>
      </w:r>
      <w:r w:rsidRPr="0038343B">
        <w:rPr>
          <w:rFonts w:cs="Times New Roman"/>
        </w:rPr>
        <w:t xml:space="preserve"> </w:t>
      </w:r>
      <w:r>
        <w:rPr>
          <w:rFonts w:cs="Times New Roman"/>
        </w:rPr>
        <w:t>11</w:t>
      </w:r>
      <w:r w:rsidRPr="0038343B">
        <w:rPr>
          <w:rFonts w:cs="Times New Roman"/>
        </w:rPr>
        <w:t xml:space="preserve">) </w:t>
      </w:r>
      <w:r w:rsidRPr="0038343B">
        <w:rPr>
          <w:rFonts w:cs="Times New Roman"/>
        </w:rPr>
        <w:fldChar w:fldCharType="begin" w:fldLock="1"/>
      </w:r>
      <w:r w:rsidR="008666F9">
        <w:rPr>
          <w:rFonts w:cs="Times New Roman"/>
        </w:rPr>
        <w:instrText>ADDIN CSL_CITATION {"citationItems":[{"id":"ITEM-1","itemData":{"DOI":"10.1016/j.apcatb.2014.11.016","ISSN":"09263373","abstract":"As the environment preservation gradually becomes a matter of major social concern and more strict legislation is being imposed on effluent discharge, more effective processes are required to deal with non-readily biodegradable and toxic pollutants. Synthetic organic dyes in industrial effluents cannot be destroyed in conventional wastewater treatment and consequently, an urgent challenge is the development of new environmentally benign technologies able to mineralize completely these non-biodegradable compounds. This review aims to increase the knowledge on the electrochemical methods used at lab and pilot plant scale to decontaminate synthetic and real effluents containing dyes, considering the period from 2009 to 2013, as an update of our previous review up to 2008. Fundamentals and main applications of electrochemical advanced oxidation processes and the other electrochemical approaches are described. Typical methods such as electrocoagulation, electrochemical reduction, electrochemical oxidation and indirect electro-oxidation with active chlorine species are discussed. Recent advances on electrocatalysis related to the nature of anode material to generate strong heterogeneous OH as mediated oxidant of dyes in electrochemical oxidation are extensively examined. The fast destruction of dyestuffs mediated with electrogenerated active chlorine is analyzed. Electro-Fenton and photo-assisted electrochemical methods like photoelectrocatalysis and photoelectro-Fenton, which destroy dyes by heterogeneous OH and/or homogeneous OH produced in the solution bulk, are described. Current advantages of the exposition of effluents to sunlight in the emerging photo-assisted procedures of solar photoelectrocatalysis and solar photoelectro-Fenton are detailed. The characteristics of novel combined methods involving photocatalysis, adsorption, nanofiltration, microwaves and ultrasounds among others and the use of microbial fuel cells are finally discussed.","author":[{"dropping-particle":"","family":"Brillas","given":"Enric","non-dropping-particle":"","parse-names":false,"suffix":""},{"dropping-particle":"","family":"Martínez-Huitle","given":"Carlos A.","non-dropping-particle":"","parse-names":false,"suffix":""}],"container-title":"Applied Catalysis B: Environmental","id":"ITEM-1","issued":{"date-parts":[["2015","5"]]},"page":"603-643","title":"Decontamination of wastewaters containing synthetic organic dyes by electrochemical methods. An updated review","type":"article-journal","volume":"166-167"},"uris":["http://www.mendeley.com/documents/?uuid=609d658b-6aa0-4f66-89f1-0daa980cd7c1","http://www.mendeley.com/documents/?uuid=2dc766be-4962-452f-abfd-36b22387866a"]}],"mendeley":{"formattedCitation":"(Brillas and Martínez-Huitle, 2015)","plainTextFormattedCitation":"(Brillas and Martínez-Huitle, 2015)","previouslyFormattedCitation":"(Brillas and Martínez-Huitle, 2015)"},"properties":{"noteIndex":0},"schema":"https://github.com/citation-style-language/schema/raw/master/csl-citation.json"}</w:instrText>
      </w:r>
      <w:r w:rsidRPr="0038343B">
        <w:rPr>
          <w:rFonts w:cs="Times New Roman"/>
        </w:rPr>
        <w:fldChar w:fldCharType="separate"/>
      </w:r>
      <w:r w:rsidRPr="00FB6D8C">
        <w:rPr>
          <w:rFonts w:cs="Times New Roman"/>
          <w:noProof/>
        </w:rPr>
        <w:t>(Brillas and Martínez-Huitle, 2015)</w:t>
      </w:r>
      <w:r w:rsidRPr="0038343B">
        <w:rPr>
          <w:rFonts w:cs="Times New Roman"/>
        </w:rPr>
        <w:fldChar w:fldCharType="end"/>
      </w:r>
      <w:r w:rsidRPr="0038343B">
        <w:rPr>
          <w:rFonts w:cs="Times New Roman"/>
        </w:rPr>
        <w:t>. In the case of nonactive anode, the surface interacts so-weakly with the OH</w:t>
      </w:r>
      <w:r w:rsidRPr="0038343B">
        <w:rPr>
          <w:rFonts w:cs="Times New Roman"/>
          <w:b/>
          <w:bCs/>
        </w:rPr>
        <w:t>˙</w:t>
      </w:r>
      <w:r w:rsidRPr="0038343B">
        <w:rPr>
          <w:rFonts w:cs="Times New Roman"/>
        </w:rPr>
        <w:t xml:space="preserve"> radicals and that allows the direct reaction of M(</w:t>
      </w:r>
      <w:r w:rsidR="00630ECE" w:rsidRPr="00517A17">
        <w:rPr>
          <w:rFonts w:ascii="Calibri" w:hAnsi="Calibri" w:cs="Calibri"/>
          <w:color w:val="000000"/>
          <w:szCs w:val="24"/>
          <w:vertAlign w:val="superscript"/>
        </w:rPr>
        <w:t>•</w:t>
      </w:r>
      <w:r w:rsidR="00630ECE" w:rsidRPr="00517A17">
        <w:rPr>
          <w:color w:val="000000"/>
          <w:szCs w:val="24"/>
        </w:rPr>
        <w:t>OH</w:t>
      </w:r>
      <w:r w:rsidRPr="0038343B">
        <w:rPr>
          <w:rFonts w:cs="Times New Roman"/>
        </w:rPr>
        <w:t>) with the organic pollutants to gives complete mineralization products such as CO</w:t>
      </w:r>
      <w:r w:rsidRPr="0038343B">
        <w:rPr>
          <w:rFonts w:cs="Times New Roman"/>
          <w:vertAlign w:val="subscript"/>
        </w:rPr>
        <w:t>2</w:t>
      </w:r>
      <w:r w:rsidRPr="0038343B">
        <w:rPr>
          <w:rFonts w:cs="Times New Roman"/>
        </w:rPr>
        <w:t xml:space="preserve"> (</w:t>
      </w:r>
      <w:r w:rsidR="009D63AF" w:rsidRPr="009D63AF">
        <w:rPr>
          <w:rFonts w:cs="Times New Roman"/>
          <w:color w:val="000000"/>
        </w:rPr>
        <w:t>Eq.</w:t>
      </w:r>
      <w:r w:rsidR="009D63AF">
        <w:rPr>
          <w:rFonts w:cs="Times New Roman"/>
        </w:rPr>
        <w:t xml:space="preserve"> </w:t>
      </w:r>
      <w:r>
        <w:rPr>
          <w:rFonts w:cs="Times New Roman"/>
        </w:rPr>
        <w:t>12</w:t>
      </w:r>
      <w:r w:rsidRPr="0038343B">
        <w:rPr>
          <w:rFonts w:cs="Times New Roman"/>
        </w:rPr>
        <w:t xml:space="preserve">). However, at the same time, this </w:t>
      </w:r>
      <w:r w:rsidRPr="0038343B">
        <w:rPr>
          <w:rFonts w:cs="Times New Roman"/>
        </w:rPr>
        <w:lastRenderedPageBreak/>
        <w:t>mineralization reaction competes for side reaction of M (</w:t>
      </w:r>
      <w:r w:rsidR="00630ECE" w:rsidRPr="00517A17">
        <w:rPr>
          <w:rFonts w:ascii="Calibri" w:hAnsi="Calibri" w:cs="Calibri"/>
          <w:color w:val="000000"/>
          <w:szCs w:val="24"/>
          <w:vertAlign w:val="superscript"/>
        </w:rPr>
        <w:t>•</w:t>
      </w:r>
      <w:r w:rsidR="00630ECE" w:rsidRPr="00517A17">
        <w:rPr>
          <w:color w:val="000000"/>
          <w:szCs w:val="24"/>
        </w:rPr>
        <w:t>OH</w:t>
      </w:r>
      <w:r w:rsidRPr="0038343B">
        <w:rPr>
          <w:rFonts w:cs="Times New Roman"/>
        </w:rPr>
        <w:t>) to form O</w:t>
      </w:r>
      <w:r w:rsidRPr="0038343B">
        <w:rPr>
          <w:rFonts w:cs="Times New Roman"/>
          <w:vertAlign w:val="subscript"/>
        </w:rPr>
        <w:t>2</w:t>
      </w:r>
      <w:r w:rsidRPr="0038343B">
        <w:rPr>
          <w:rFonts w:cs="Times New Roman"/>
        </w:rPr>
        <w:t xml:space="preserve"> (</w:t>
      </w:r>
      <w:r w:rsidR="009D63AF" w:rsidRPr="009D63AF">
        <w:rPr>
          <w:rFonts w:cs="Times New Roman"/>
          <w:color w:val="000000"/>
        </w:rPr>
        <w:t>Eq.</w:t>
      </w:r>
      <w:r w:rsidRPr="0038343B">
        <w:rPr>
          <w:rFonts w:cs="Times New Roman"/>
        </w:rPr>
        <w:t xml:space="preserve"> </w:t>
      </w:r>
      <w:r>
        <w:rPr>
          <w:rFonts w:cs="Times New Roman"/>
        </w:rPr>
        <w:t>13</w:t>
      </w:r>
      <w:r w:rsidRPr="0038343B">
        <w:rPr>
          <w:rFonts w:cs="Times New Roman"/>
        </w:rPr>
        <w:t>) and 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w:t>
      </w:r>
      <w:r w:rsidR="00E773D7">
        <w:rPr>
          <w:rFonts w:cs="Times New Roman"/>
        </w:rPr>
        <w:t xml:space="preserve">is </w:t>
      </w:r>
      <w:r w:rsidRPr="0038343B">
        <w:rPr>
          <w:rFonts w:cs="Times New Roman"/>
        </w:rPr>
        <w:t>generate</w:t>
      </w:r>
      <w:r w:rsidR="00E773D7">
        <w:rPr>
          <w:rFonts w:cs="Times New Roman"/>
        </w:rPr>
        <w:t>d</w:t>
      </w:r>
      <w:r w:rsidRPr="0038343B">
        <w:rPr>
          <w:rFonts w:cs="Times New Roman"/>
        </w:rPr>
        <w:t xml:space="preserve"> as </w:t>
      </w:r>
      <w:r w:rsidR="00E773D7">
        <w:rPr>
          <w:rFonts w:cs="Times New Roman"/>
        </w:rPr>
        <w:t xml:space="preserve">an </w:t>
      </w:r>
      <w:r w:rsidRPr="0038343B">
        <w:rPr>
          <w:rFonts w:cs="Times New Roman"/>
        </w:rPr>
        <w:t>intermediate of the reaction (</w:t>
      </w:r>
      <w:r w:rsidR="009D63AF" w:rsidRPr="009D63AF">
        <w:rPr>
          <w:rFonts w:cs="Times New Roman"/>
          <w:color w:val="000000"/>
        </w:rPr>
        <w:t>Eq.</w:t>
      </w:r>
      <w:r w:rsidR="009D63AF">
        <w:rPr>
          <w:rFonts w:cs="Times New Roman"/>
          <w:color w:val="000000"/>
        </w:rPr>
        <w:t xml:space="preserve"> </w:t>
      </w:r>
      <w:r>
        <w:rPr>
          <w:rFonts w:cs="Times New Roman"/>
        </w:rPr>
        <w:t>14</w:t>
      </w:r>
      <w:r w:rsidRPr="0038343B">
        <w:rPr>
          <w:rFonts w:cs="Times New Roman"/>
        </w:rPr>
        <w:t>)</w:t>
      </w:r>
      <w:r w:rsidR="000C226F">
        <w:rPr>
          <w:rFonts w:cs="Times New Roman"/>
        </w:rPr>
        <w:t xml:space="preserve"> </w:t>
      </w:r>
      <w:r w:rsidR="008666F9">
        <w:rPr>
          <w:rFonts w:cs="Times New Roman"/>
        </w:rPr>
        <w:fldChar w:fldCharType="begin" w:fldLock="1"/>
      </w:r>
      <w:r w:rsidR="00884E80">
        <w:rPr>
          <w:rFonts w:cs="Times New Roman"/>
        </w:rPr>
        <w:instrText>ADDIN CSL_CITATION {"citationItems":[{"id":"ITEM-1","itemData":{"DOI":"10.1061/(asce)hz.2153-5515.0000616","ISSN":"2153-5493","author":[{"dropping-particle":"","family":"Ahmad","given":"Azhan","non-dropping-particle":"","parse-names":false,"suffix":""},{"dropping-particle":"","family":"Priyadarshini","given":"Monali","non-dropping-particle":"","parse-names":false,"suffix":""},{"dropping-particle":"","family":"Das","given":"Sovik","non-dropping-particle":"","parse-names":false,"suffix":""},{"dropping-particle":"","family":"Ghangrekar","given":"M. M.","non-dropping-particle":"","parse-names":false,"suffix":""}],"container-title":"Journal of Hazardous, Toxic, and Radioactive Waste","id":"ITEM-1","issue":"3","issued":{"date-parts":[["2021"]]},"page":"1-13","title":"Proclaiming Electrochemical Oxidation as a Potent Technology for the Treatment of Wastewater Containing Xenobiotic Compounds: A Mini Review","type":"article-journal","volume":"25"},"uris":["http://www.mendeley.com/documents/?uuid=a0aca2b9-cbe0-4403-b10b-893bd3adda4a"]}],"mendeley":{"formattedCitation":"(Ahmad et al., 2021b)","plainTextFormattedCitation":"(Ahmad et al., 2021b)","previouslyFormattedCitation":"(Ahmad et al., 2021b)"},"properties":{"noteIndex":0},"schema":"https://github.com/citation-style-language/schema/raw/master/csl-citation.json"}</w:instrText>
      </w:r>
      <w:r w:rsidR="008666F9">
        <w:rPr>
          <w:rFonts w:cs="Times New Roman"/>
        </w:rPr>
        <w:fldChar w:fldCharType="separate"/>
      </w:r>
      <w:r w:rsidR="00AD7664" w:rsidRPr="00AD7664">
        <w:rPr>
          <w:rFonts w:cs="Times New Roman"/>
          <w:noProof/>
        </w:rPr>
        <w:t>(Ahmad et al., 2021b)</w:t>
      </w:r>
      <w:r w:rsidR="008666F9">
        <w:rPr>
          <w:rFonts w:cs="Times New Roman"/>
        </w:rPr>
        <w:fldChar w:fldCharType="end"/>
      </w:r>
      <w:r w:rsidRPr="0038343B">
        <w:rPr>
          <w:rFonts w:cs="Times New Roman"/>
        </w:rPr>
        <w:t xml:space="preserve">.  </w:t>
      </w:r>
    </w:p>
    <w:p w14:paraId="267CB5A0" w14:textId="4005366C" w:rsidR="008373D3" w:rsidRPr="0038343B" w:rsidRDefault="008373D3" w:rsidP="00944DB3">
      <w:pPr>
        <w:spacing w:after="0" w:line="480" w:lineRule="auto"/>
        <w:ind w:firstLine="720"/>
        <w:rPr>
          <w:rFonts w:cs="Times New Roman"/>
        </w:rPr>
      </w:pPr>
      <w:r w:rsidRPr="0038343B">
        <w:rPr>
          <w:rFonts w:cs="Times New Roman"/>
        </w:rPr>
        <w:t>M + H</w:t>
      </w:r>
      <w:r w:rsidRPr="0038343B">
        <w:rPr>
          <w:rFonts w:cs="Times New Roman"/>
          <w:vertAlign w:val="subscript"/>
        </w:rPr>
        <w:t>2</w:t>
      </w:r>
      <w:r w:rsidRPr="0038343B">
        <w:rPr>
          <w:rFonts w:cs="Times New Roman"/>
        </w:rPr>
        <w:t>O → M (</w:t>
      </w:r>
      <w:r w:rsidR="00A264B3" w:rsidRPr="00517A17">
        <w:rPr>
          <w:rFonts w:ascii="Calibri" w:hAnsi="Calibri" w:cs="Calibri"/>
          <w:color w:val="000000"/>
          <w:szCs w:val="24"/>
          <w:vertAlign w:val="superscript"/>
        </w:rPr>
        <w:t>•</w:t>
      </w:r>
      <w:r w:rsidR="00A264B3" w:rsidRPr="00517A17">
        <w:rPr>
          <w:color w:val="000000"/>
          <w:szCs w:val="24"/>
        </w:rPr>
        <w:t>OH</w:t>
      </w:r>
      <w:r w:rsidRPr="0038343B">
        <w:rPr>
          <w:rFonts w:cs="Times New Roman"/>
        </w:rPr>
        <w:t>) + H</w:t>
      </w:r>
      <w:r w:rsidRPr="0038343B">
        <w:rPr>
          <w:rFonts w:cs="Times New Roman"/>
          <w:vertAlign w:val="superscript"/>
        </w:rPr>
        <w:t>+</w:t>
      </w:r>
      <w:r w:rsidRPr="0038343B">
        <w:rPr>
          <w:rFonts w:cs="Times New Roman"/>
        </w:rPr>
        <w:t xml:space="preserve"> + e</w:t>
      </w:r>
      <w:r w:rsidRPr="0038343B">
        <w:rPr>
          <w:rFonts w:cs="Times New Roman"/>
          <w:b/>
          <w:vertAlign w:val="superscript"/>
        </w:rPr>
        <w:t>−</w:t>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t>(</w:t>
      </w:r>
      <w:r w:rsidR="00B45BCB" w:rsidRPr="00B45BCB">
        <w:rPr>
          <w:rFonts w:cs="Times New Roman"/>
          <w:color w:val="000000"/>
        </w:rPr>
        <w:t>Eq.</w:t>
      </w:r>
      <w:r>
        <w:rPr>
          <w:rFonts w:cs="Times New Roman"/>
          <w:color w:val="000000" w:themeColor="text1"/>
        </w:rPr>
        <w:t xml:space="preserve"> </w:t>
      </w:r>
      <w:r>
        <w:rPr>
          <w:rFonts w:cs="Times New Roman"/>
        </w:rPr>
        <w:t>8</w:t>
      </w:r>
      <w:r w:rsidRPr="0038343B">
        <w:rPr>
          <w:rFonts w:cs="Times New Roman"/>
        </w:rPr>
        <w:t>)</w:t>
      </w:r>
    </w:p>
    <w:p w14:paraId="19507A4B" w14:textId="495A63E0" w:rsidR="008373D3" w:rsidRPr="0038343B" w:rsidRDefault="008373D3" w:rsidP="00944DB3">
      <w:pPr>
        <w:spacing w:after="0" w:line="480" w:lineRule="auto"/>
        <w:ind w:firstLine="720"/>
        <w:rPr>
          <w:rFonts w:cs="Times New Roman"/>
        </w:rPr>
      </w:pPr>
      <w:r w:rsidRPr="0038343B">
        <w:rPr>
          <w:rFonts w:cs="Times New Roman"/>
        </w:rPr>
        <w:t>M (</w:t>
      </w:r>
      <w:r w:rsidR="00F6303A" w:rsidRPr="00517A17">
        <w:rPr>
          <w:rFonts w:ascii="Calibri" w:hAnsi="Calibri" w:cs="Calibri"/>
          <w:color w:val="000000"/>
          <w:szCs w:val="24"/>
          <w:vertAlign w:val="superscript"/>
        </w:rPr>
        <w:t>•</w:t>
      </w:r>
      <w:r w:rsidR="00F6303A" w:rsidRPr="00517A17">
        <w:rPr>
          <w:color w:val="000000"/>
          <w:szCs w:val="24"/>
        </w:rPr>
        <w:t>OH</w:t>
      </w:r>
      <w:r w:rsidRPr="0038343B">
        <w:rPr>
          <w:rFonts w:cs="Times New Roman"/>
        </w:rPr>
        <w:t>) → MO + H</w:t>
      </w:r>
      <w:r w:rsidRPr="0038343B">
        <w:rPr>
          <w:rFonts w:cs="Times New Roman"/>
          <w:vertAlign w:val="superscript"/>
        </w:rPr>
        <w:t>+</w:t>
      </w:r>
      <w:r w:rsidRPr="0038343B">
        <w:rPr>
          <w:rFonts w:cs="Times New Roman"/>
        </w:rPr>
        <w:t xml:space="preserve"> + e</w:t>
      </w:r>
      <w:r w:rsidRPr="0038343B">
        <w:rPr>
          <w:rFonts w:cs="Times New Roman"/>
          <w:b/>
          <w:vertAlign w:val="superscript"/>
        </w:rPr>
        <w:t>−</w:t>
      </w:r>
      <w:r w:rsidRPr="0038343B">
        <w:rPr>
          <w:rFonts w:cs="Times New Roman"/>
          <w:vertAlign w:val="superscript"/>
        </w:rPr>
        <w:tab/>
      </w:r>
      <w:r w:rsidRPr="0038343B">
        <w:rPr>
          <w:rFonts w:cs="Times New Roman"/>
          <w:vertAlign w:val="superscript"/>
        </w:rPr>
        <w:tab/>
      </w:r>
      <w:r w:rsidRPr="0038343B">
        <w:rPr>
          <w:rFonts w:cs="Times New Roman"/>
          <w:vertAlign w:val="superscript"/>
        </w:rPr>
        <w:tab/>
      </w:r>
      <w:r w:rsidRPr="0038343B">
        <w:rPr>
          <w:rFonts w:cs="Times New Roman"/>
          <w:vertAlign w:val="superscript"/>
        </w:rPr>
        <w:tab/>
      </w:r>
      <w:r w:rsidRPr="0038343B">
        <w:rPr>
          <w:rFonts w:cs="Times New Roman"/>
          <w:vertAlign w:val="superscript"/>
        </w:rPr>
        <w:tab/>
      </w:r>
      <w:r w:rsidRPr="0038343B">
        <w:rPr>
          <w:rFonts w:cs="Times New Roman"/>
          <w:vertAlign w:val="superscript"/>
        </w:rPr>
        <w:tab/>
      </w:r>
      <w:r w:rsidRPr="0038343B">
        <w:rPr>
          <w:rFonts w:cs="Times New Roman"/>
          <w:vertAlign w:val="superscript"/>
        </w:rPr>
        <w:tab/>
      </w:r>
      <w:r w:rsidRPr="0038343B">
        <w:rPr>
          <w:rFonts w:cs="Times New Roman"/>
        </w:rPr>
        <w:t>(</w:t>
      </w:r>
      <w:r w:rsidR="00B45BCB" w:rsidRPr="00B45BCB">
        <w:rPr>
          <w:rFonts w:cs="Times New Roman"/>
          <w:color w:val="000000"/>
        </w:rPr>
        <w:t>Eq.</w:t>
      </w:r>
      <w:r>
        <w:rPr>
          <w:rFonts w:cs="Times New Roman"/>
        </w:rPr>
        <w:t xml:space="preserve"> 9</w:t>
      </w:r>
      <w:r w:rsidRPr="0038343B">
        <w:rPr>
          <w:rFonts w:cs="Times New Roman"/>
        </w:rPr>
        <w:t>)</w:t>
      </w:r>
    </w:p>
    <w:p w14:paraId="3F704771" w14:textId="29078658" w:rsidR="008373D3" w:rsidRPr="0038343B" w:rsidRDefault="008373D3" w:rsidP="00944DB3">
      <w:pPr>
        <w:spacing w:after="0" w:line="480" w:lineRule="auto"/>
        <w:ind w:firstLine="720"/>
        <w:rPr>
          <w:rFonts w:cs="Times New Roman"/>
        </w:rPr>
      </w:pPr>
      <w:r w:rsidRPr="0038343B">
        <w:rPr>
          <w:rFonts w:cs="Times New Roman"/>
        </w:rPr>
        <w:t>MO + R → M + RO</w:t>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t>(</w:t>
      </w:r>
      <w:r w:rsidR="00B45BCB" w:rsidRPr="00B45BCB">
        <w:rPr>
          <w:rFonts w:cs="Times New Roman"/>
          <w:color w:val="000000"/>
        </w:rPr>
        <w:t>Eq.</w:t>
      </w:r>
      <w:r>
        <w:rPr>
          <w:rFonts w:cs="Times New Roman"/>
        </w:rPr>
        <w:t xml:space="preserve"> 10</w:t>
      </w:r>
      <w:r w:rsidRPr="0038343B">
        <w:rPr>
          <w:rFonts w:cs="Times New Roman"/>
        </w:rPr>
        <w:t>)</w:t>
      </w:r>
    </w:p>
    <w:p w14:paraId="51719CBB" w14:textId="735C2624" w:rsidR="008373D3" w:rsidRPr="0038343B" w:rsidRDefault="008373D3" w:rsidP="00944DB3">
      <w:pPr>
        <w:spacing w:after="0" w:line="480" w:lineRule="auto"/>
        <w:ind w:firstLine="720"/>
        <w:rPr>
          <w:rFonts w:cs="Times New Roman"/>
        </w:rPr>
      </w:pPr>
      <w:r w:rsidRPr="0038343B">
        <w:rPr>
          <w:rFonts w:cs="Times New Roman"/>
        </w:rPr>
        <w:t xml:space="preserve">MO → M + </w:t>
      </w:r>
      <m:oMath>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2</m:t>
            </m:r>
          </m:den>
        </m:f>
        <m:r>
          <w:rPr>
            <w:rFonts w:ascii="Cambria Math" w:hAnsi="Cambria Math" w:cs="Times New Roman"/>
          </w:rPr>
          <m:t xml:space="preserve"> </m:t>
        </m:r>
      </m:oMath>
      <w:r w:rsidRPr="0038343B">
        <w:rPr>
          <w:rFonts w:cs="Times New Roman"/>
        </w:rPr>
        <w:t>O</w:t>
      </w:r>
      <w:r w:rsidRPr="0038343B">
        <w:rPr>
          <w:rFonts w:cs="Times New Roman"/>
          <w:vertAlign w:val="subscript"/>
        </w:rPr>
        <w:t>2</w:t>
      </w:r>
      <w:r w:rsidRPr="0038343B">
        <w:rPr>
          <w:rFonts w:cs="Times New Roman"/>
        </w:rPr>
        <w:t xml:space="preserve"> </w:t>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t>(</w:t>
      </w:r>
      <w:r w:rsidR="00B45BCB" w:rsidRPr="00B45BCB">
        <w:rPr>
          <w:rFonts w:cs="Times New Roman"/>
          <w:color w:val="000000"/>
        </w:rPr>
        <w:t>Eq.</w:t>
      </w:r>
      <w:r>
        <w:rPr>
          <w:rFonts w:cs="Times New Roman"/>
        </w:rPr>
        <w:t xml:space="preserve"> 11</w:t>
      </w:r>
      <w:r w:rsidRPr="0038343B">
        <w:rPr>
          <w:rFonts w:cs="Times New Roman"/>
        </w:rPr>
        <w:t>)</w:t>
      </w:r>
    </w:p>
    <w:p w14:paraId="0E96943E" w14:textId="0EA5F61F" w:rsidR="008373D3" w:rsidRPr="0038343B" w:rsidRDefault="008373D3" w:rsidP="00944DB3">
      <w:pPr>
        <w:spacing w:after="0" w:line="480" w:lineRule="auto"/>
        <w:ind w:firstLine="720"/>
        <w:rPr>
          <w:rFonts w:cs="Times New Roman"/>
        </w:rPr>
      </w:pPr>
      <w:r w:rsidRPr="0038343B">
        <w:rPr>
          <w:rFonts w:cs="Times New Roman"/>
        </w:rPr>
        <w:t>M (</w:t>
      </w:r>
      <w:r w:rsidR="00A264B3" w:rsidRPr="00517A17">
        <w:rPr>
          <w:rFonts w:ascii="Calibri" w:hAnsi="Calibri" w:cs="Calibri"/>
          <w:color w:val="000000"/>
          <w:szCs w:val="24"/>
          <w:vertAlign w:val="superscript"/>
        </w:rPr>
        <w:t>•</w:t>
      </w:r>
      <w:r w:rsidR="00A264B3" w:rsidRPr="00517A17">
        <w:rPr>
          <w:color w:val="000000"/>
          <w:szCs w:val="24"/>
        </w:rPr>
        <w:t>OH</w:t>
      </w:r>
      <w:r w:rsidRPr="0038343B">
        <w:rPr>
          <w:rFonts w:cs="Times New Roman"/>
        </w:rPr>
        <w:t>) + R → M + mCO</w:t>
      </w:r>
      <w:r w:rsidRPr="0038343B">
        <w:rPr>
          <w:rFonts w:cs="Times New Roman"/>
          <w:vertAlign w:val="subscript"/>
        </w:rPr>
        <w:t xml:space="preserve">2 </w:t>
      </w:r>
      <w:r w:rsidRPr="0038343B">
        <w:rPr>
          <w:rFonts w:cs="Times New Roman"/>
        </w:rPr>
        <w:t>+ nH</w:t>
      </w:r>
      <w:r w:rsidRPr="0038343B">
        <w:rPr>
          <w:rFonts w:cs="Times New Roman"/>
          <w:vertAlign w:val="subscript"/>
        </w:rPr>
        <w:t>2</w:t>
      </w:r>
      <w:r w:rsidRPr="0038343B">
        <w:rPr>
          <w:rFonts w:cs="Times New Roman"/>
        </w:rPr>
        <w:t>O + H</w:t>
      </w:r>
      <w:r w:rsidRPr="0038343B">
        <w:rPr>
          <w:rFonts w:cs="Times New Roman"/>
          <w:vertAlign w:val="superscript"/>
        </w:rPr>
        <w:t>+</w:t>
      </w:r>
      <w:r w:rsidRPr="0038343B">
        <w:rPr>
          <w:rFonts w:cs="Times New Roman"/>
        </w:rPr>
        <w:t xml:space="preserve"> + e</w:t>
      </w:r>
      <w:r w:rsidRPr="0038343B">
        <w:rPr>
          <w:rFonts w:cs="Times New Roman"/>
          <w:b/>
          <w:vertAlign w:val="superscript"/>
        </w:rPr>
        <w:t>−</w:t>
      </w:r>
      <w:r w:rsidRPr="0038343B">
        <w:rPr>
          <w:rFonts w:cs="Times New Roman"/>
        </w:rPr>
        <w:tab/>
      </w:r>
      <w:r w:rsidRPr="0038343B">
        <w:rPr>
          <w:rFonts w:cs="Times New Roman"/>
        </w:rPr>
        <w:tab/>
      </w:r>
      <w:r w:rsidRPr="0038343B">
        <w:rPr>
          <w:rFonts w:cs="Times New Roman"/>
        </w:rPr>
        <w:tab/>
      </w:r>
      <w:r w:rsidRPr="0038343B">
        <w:rPr>
          <w:rFonts w:cs="Times New Roman"/>
        </w:rPr>
        <w:tab/>
        <w:t>(</w:t>
      </w:r>
      <w:r w:rsidR="00B45BCB" w:rsidRPr="00B45BCB">
        <w:rPr>
          <w:rFonts w:cs="Times New Roman"/>
          <w:color w:val="000000"/>
        </w:rPr>
        <w:t>Eq.</w:t>
      </w:r>
      <w:r>
        <w:rPr>
          <w:rFonts w:cs="Times New Roman"/>
        </w:rPr>
        <w:t xml:space="preserve"> 12</w:t>
      </w:r>
      <w:r w:rsidRPr="0038343B">
        <w:rPr>
          <w:rFonts w:cs="Times New Roman"/>
        </w:rPr>
        <w:t>)</w:t>
      </w:r>
    </w:p>
    <w:p w14:paraId="41C1CDFD" w14:textId="503EEAA9" w:rsidR="008373D3" w:rsidRPr="0038343B" w:rsidRDefault="008373D3" w:rsidP="00944DB3">
      <w:pPr>
        <w:spacing w:after="0" w:line="480" w:lineRule="auto"/>
        <w:ind w:firstLine="720"/>
        <w:rPr>
          <w:rFonts w:cs="Times New Roman"/>
        </w:rPr>
      </w:pPr>
      <w:r w:rsidRPr="0038343B">
        <w:rPr>
          <w:rFonts w:cs="Times New Roman"/>
        </w:rPr>
        <w:t>M (</w:t>
      </w:r>
      <w:r w:rsidR="00A264B3" w:rsidRPr="00517A17">
        <w:rPr>
          <w:rFonts w:ascii="Calibri" w:hAnsi="Calibri" w:cs="Calibri"/>
          <w:color w:val="000000"/>
          <w:szCs w:val="24"/>
          <w:vertAlign w:val="superscript"/>
        </w:rPr>
        <w:t>•</w:t>
      </w:r>
      <w:r w:rsidR="00A264B3" w:rsidRPr="00517A17">
        <w:rPr>
          <w:color w:val="000000"/>
          <w:szCs w:val="24"/>
        </w:rPr>
        <w:t>OH</w:t>
      </w:r>
      <w:r w:rsidRPr="0038343B">
        <w:rPr>
          <w:rFonts w:cs="Times New Roman"/>
        </w:rPr>
        <w:t xml:space="preserve">) → M + </w:t>
      </w:r>
      <m:oMath>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2</m:t>
            </m:r>
          </m:den>
        </m:f>
      </m:oMath>
      <w:r w:rsidRPr="0038343B">
        <w:rPr>
          <w:rFonts w:eastAsia="SimSun" w:cs="Times New Roman"/>
        </w:rPr>
        <w:t xml:space="preserve"> O</w:t>
      </w:r>
      <w:r w:rsidRPr="0038343B">
        <w:rPr>
          <w:rFonts w:eastAsia="SimSun" w:cs="Times New Roman"/>
          <w:vertAlign w:val="subscript"/>
        </w:rPr>
        <w:t>2</w:t>
      </w:r>
      <w:r w:rsidRPr="0038343B">
        <w:rPr>
          <w:rFonts w:eastAsia="SimSun" w:cs="Times New Roman"/>
        </w:rPr>
        <w:t xml:space="preserve"> + H</w:t>
      </w:r>
      <w:r w:rsidRPr="0038343B">
        <w:rPr>
          <w:rFonts w:eastAsia="SimSun" w:cs="Times New Roman"/>
          <w:vertAlign w:val="superscript"/>
        </w:rPr>
        <w:t>+</w:t>
      </w:r>
      <w:r w:rsidRPr="0038343B">
        <w:rPr>
          <w:rFonts w:eastAsia="SimSun" w:cs="Times New Roman"/>
        </w:rPr>
        <w:t xml:space="preserve"> + e</w:t>
      </w:r>
      <w:r w:rsidRPr="0038343B">
        <w:rPr>
          <w:rFonts w:cs="Times New Roman"/>
          <w:b/>
          <w:vertAlign w:val="superscript"/>
        </w:rPr>
        <w:t>−</w:t>
      </w:r>
      <w:r w:rsidRPr="0038343B">
        <w:rPr>
          <w:rFonts w:eastAsia="SimSun" w:cs="Times New Roman"/>
        </w:rPr>
        <w:tab/>
      </w:r>
      <w:r w:rsidRPr="0038343B">
        <w:rPr>
          <w:rFonts w:eastAsia="SimSun" w:cs="Times New Roman"/>
        </w:rPr>
        <w:tab/>
      </w:r>
      <w:r w:rsidRPr="0038343B">
        <w:rPr>
          <w:rFonts w:eastAsia="SimSun" w:cs="Times New Roman"/>
        </w:rPr>
        <w:tab/>
      </w:r>
      <w:r w:rsidRPr="0038343B">
        <w:rPr>
          <w:rFonts w:eastAsia="SimSun" w:cs="Times New Roman"/>
        </w:rPr>
        <w:tab/>
      </w:r>
      <w:r w:rsidRPr="0038343B">
        <w:rPr>
          <w:rFonts w:eastAsia="SimSun" w:cs="Times New Roman"/>
        </w:rPr>
        <w:tab/>
      </w:r>
      <w:r w:rsidRPr="0038343B">
        <w:rPr>
          <w:rFonts w:eastAsia="SimSun" w:cs="Times New Roman"/>
        </w:rPr>
        <w:tab/>
        <w:t>(</w:t>
      </w:r>
      <w:r w:rsidR="00B45BCB" w:rsidRPr="00B45BCB">
        <w:rPr>
          <w:rFonts w:cs="Times New Roman"/>
          <w:color w:val="000000"/>
        </w:rPr>
        <w:t>Eq.</w:t>
      </w:r>
      <w:r>
        <w:rPr>
          <w:rFonts w:cs="Times New Roman"/>
        </w:rPr>
        <w:t xml:space="preserve"> 13</w:t>
      </w:r>
      <w:r w:rsidRPr="0038343B">
        <w:rPr>
          <w:rFonts w:eastAsia="SimSun" w:cs="Times New Roman"/>
        </w:rPr>
        <w:t>)</w:t>
      </w:r>
    </w:p>
    <w:p w14:paraId="430836FB" w14:textId="1030901E" w:rsidR="008373D3" w:rsidRPr="0038343B" w:rsidRDefault="008373D3" w:rsidP="00944DB3">
      <w:pPr>
        <w:spacing w:after="0" w:line="480" w:lineRule="auto"/>
        <w:ind w:firstLine="720"/>
        <w:rPr>
          <w:rFonts w:cs="Times New Roman"/>
        </w:rPr>
      </w:pPr>
      <w:r w:rsidRPr="0038343B">
        <w:rPr>
          <w:rFonts w:eastAsia="SimSun" w:cs="Times New Roman"/>
        </w:rPr>
        <w:t>2M (</w:t>
      </w:r>
      <w:r w:rsidR="00A264B3" w:rsidRPr="00517A17">
        <w:rPr>
          <w:rFonts w:ascii="Calibri" w:hAnsi="Calibri" w:cs="Calibri"/>
          <w:color w:val="000000"/>
          <w:szCs w:val="24"/>
          <w:vertAlign w:val="superscript"/>
        </w:rPr>
        <w:t>•</w:t>
      </w:r>
      <w:r w:rsidR="00A264B3" w:rsidRPr="00517A17">
        <w:rPr>
          <w:color w:val="000000"/>
          <w:szCs w:val="24"/>
        </w:rPr>
        <w:t>OH</w:t>
      </w:r>
      <w:r w:rsidRPr="0038343B">
        <w:rPr>
          <w:rFonts w:eastAsia="SimSun" w:cs="Times New Roman"/>
        </w:rPr>
        <w:t xml:space="preserve">) </w:t>
      </w:r>
      <w:r w:rsidRPr="0038343B">
        <w:rPr>
          <w:rFonts w:cs="Times New Roman"/>
        </w:rPr>
        <w:t xml:space="preserve">→ </w:t>
      </w:r>
      <w:r w:rsidRPr="0038343B">
        <w:rPr>
          <w:rFonts w:eastAsia="SimSun" w:cs="Times New Roman"/>
        </w:rPr>
        <w:t>2M + H</w:t>
      </w:r>
      <w:r w:rsidRPr="0038343B">
        <w:rPr>
          <w:rFonts w:eastAsia="SimSun" w:cs="Times New Roman"/>
          <w:vertAlign w:val="subscript"/>
        </w:rPr>
        <w:t>2</w:t>
      </w:r>
      <w:r w:rsidRPr="0038343B">
        <w:rPr>
          <w:rFonts w:eastAsia="SimSun" w:cs="Times New Roman"/>
        </w:rPr>
        <w:t>O</w:t>
      </w:r>
      <w:r w:rsidRPr="0038343B">
        <w:rPr>
          <w:rFonts w:eastAsia="SimSun" w:cs="Times New Roman"/>
          <w:vertAlign w:val="subscript"/>
        </w:rPr>
        <w:t>2</w:t>
      </w:r>
      <w:r w:rsidRPr="0038343B">
        <w:rPr>
          <w:rFonts w:eastAsia="SimSun" w:cs="Times New Roman"/>
        </w:rPr>
        <w:tab/>
      </w:r>
      <w:r w:rsidRPr="0038343B">
        <w:rPr>
          <w:rFonts w:eastAsia="SimSun" w:cs="Times New Roman"/>
        </w:rPr>
        <w:tab/>
      </w:r>
      <w:r w:rsidRPr="0038343B">
        <w:rPr>
          <w:rFonts w:eastAsia="SimSun" w:cs="Times New Roman"/>
        </w:rPr>
        <w:tab/>
      </w:r>
      <w:r w:rsidRPr="0038343B">
        <w:rPr>
          <w:rFonts w:eastAsia="SimSun" w:cs="Times New Roman"/>
        </w:rPr>
        <w:tab/>
      </w:r>
      <w:r w:rsidRPr="0038343B">
        <w:rPr>
          <w:rFonts w:eastAsia="SimSun" w:cs="Times New Roman"/>
        </w:rPr>
        <w:tab/>
      </w:r>
      <w:r w:rsidRPr="0038343B">
        <w:rPr>
          <w:rFonts w:eastAsia="SimSun" w:cs="Times New Roman"/>
        </w:rPr>
        <w:tab/>
      </w:r>
      <w:r w:rsidRPr="0038343B">
        <w:rPr>
          <w:rFonts w:eastAsia="SimSun" w:cs="Times New Roman"/>
        </w:rPr>
        <w:tab/>
        <w:t>(</w:t>
      </w:r>
      <w:r w:rsidR="00B45BCB" w:rsidRPr="00B45BCB">
        <w:rPr>
          <w:rFonts w:cs="Times New Roman"/>
          <w:color w:val="000000"/>
        </w:rPr>
        <w:t>Eq.</w:t>
      </w:r>
      <w:r>
        <w:rPr>
          <w:rFonts w:cs="Times New Roman"/>
        </w:rPr>
        <w:t xml:space="preserve"> 14</w:t>
      </w:r>
      <w:r w:rsidRPr="0038343B">
        <w:rPr>
          <w:rFonts w:eastAsia="SimSun" w:cs="Times New Roman"/>
        </w:rPr>
        <w:t>)</w:t>
      </w:r>
    </w:p>
    <w:p w14:paraId="2D320D62" w14:textId="6C174C02" w:rsidR="008373D3" w:rsidRDefault="008373D3" w:rsidP="008373D3">
      <w:pPr>
        <w:spacing w:line="480" w:lineRule="auto"/>
        <w:rPr>
          <w:rFonts w:cs="Times New Roman"/>
          <w:bCs/>
        </w:rPr>
      </w:pPr>
      <w:r w:rsidRPr="0038343B">
        <w:rPr>
          <w:rFonts w:cs="Times New Roman"/>
        </w:rPr>
        <w:t xml:space="preserve">Direct anodic oxidation is a clean and efficient way to electrochemically generate </w:t>
      </w:r>
      <w:r w:rsidR="00A264B3" w:rsidRPr="00517A17">
        <w:rPr>
          <w:rFonts w:ascii="Calibri" w:hAnsi="Calibri" w:cs="Calibri"/>
          <w:color w:val="000000"/>
          <w:szCs w:val="24"/>
          <w:vertAlign w:val="superscript"/>
        </w:rPr>
        <w:t>•</w:t>
      </w:r>
      <w:r w:rsidR="00A264B3" w:rsidRPr="00517A17">
        <w:rPr>
          <w:color w:val="000000"/>
          <w:szCs w:val="24"/>
        </w:rPr>
        <w:t>OH</w:t>
      </w:r>
      <w:r w:rsidRPr="0038343B">
        <w:rPr>
          <w:rFonts w:cs="Times New Roman"/>
        </w:rPr>
        <w:t xml:space="preserve">. The generation of </w:t>
      </w:r>
      <w:r w:rsidR="00A264B3" w:rsidRPr="00517A17">
        <w:rPr>
          <w:rFonts w:ascii="Calibri" w:hAnsi="Calibri" w:cs="Calibri"/>
          <w:color w:val="000000"/>
          <w:szCs w:val="24"/>
          <w:vertAlign w:val="superscript"/>
        </w:rPr>
        <w:t>•</w:t>
      </w:r>
      <w:r w:rsidR="00A264B3" w:rsidRPr="00517A17">
        <w:rPr>
          <w:color w:val="000000"/>
          <w:szCs w:val="24"/>
        </w:rPr>
        <w:t>OH</w:t>
      </w:r>
      <w:r w:rsidR="00A264B3" w:rsidRPr="0038343B">
        <w:rPr>
          <w:rFonts w:cs="Times New Roman"/>
        </w:rPr>
        <w:t xml:space="preserve"> </w:t>
      </w:r>
      <w:r w:rsidRPr="0038343B">
        <w:rPr>
          <w:rFonts w:cs="Times New Roman"/>
        </w:rPr>
        <w:t>requires mild reaction conditions</w:t>
      </w:r>
      <w:r w:rsidR="00E773D7">
        <w:rPr>
          <w:rFonts w:cs="Times New Roman"/>
        </w:rPr>
        <w:t>,</w:t>
      </w:r>
      <w:r w:rsidRPr="0038343B">
        <w:rPr>
          <w:rFonts w:cs="Times New Roman"/>
        </w:rPr>
        <w:t xml:space="preserve"> such as shorter reaction time, room temperature and non-involvement of any chemicals </w:t>
      </w:r>
      <w:r w:rsidRPr="0038343B">
        <w:rPr>
          <w:rFonts w:cs="Times New Roman"/>
        </w:rPr>
        <w:fldChar w:fldCharType="begin" w:fldLock="1"/>
      </w:r>
      <w:r w:rsidR="008666F9">
        <w:rPr>
          <w:rFonts w:cs="Times New Roman"/>
        </w:rPr>
        <w:instrText>ADDIN CSL_CITATION {"citationItems":[{"id":"ITEM-1","itemData":{"DOI":"10.1023/A:1025888126686","ISSN":"0021891X","abstract":"The electrochemical oxidation of 4-chlorophenol, 2,4-dichlorophenol and 2,4,6-trichlorophenol aqueous wastes using boron-doped diamond electrodes was studied. This treatment led to complete mineralization of the wastes regardless of the operating conditions. A simple mechanistic model is consistent with the voltammetric and electrolysis results. According to this model, the electrochemical treatment of chlorophenol aqueous wastes involves the anodic and cathodic release of chlorine followed by the formation of non-chlorinated aromatic intermediates. Subsequent cleavage of the aromatic ring gives rise to non-chlorinated carboxylic acids. Chlorine atoms arising from the hydrodehalogenation of the chlorophenols are converted into more oxidized molecules at the anode. These molecules react with unsaturated C4 carboxylic acid to finally yield trichloroacetic acid through a haloform reaction. The non-chlorinated organic acids are ultimately oxidized to carbon dioxide and the trichloroacetic acid into carbon dioxide and volatile organo-chlorinated molecules. Both direct and mediated electrochemical oxidation processes are involved in the electrochemical treatment of chlorophenols.","author":[{"dropping-particle":"","family":"Cañzares","given":"P.","non-dropping-particle":"","parse-names":false,"suffix":""},{"dropping-particle":"","family":"García-Gómez","given":"J.","non-dropping-particle":"","parse-names":false,"suffix":""},{"dropping-particle":"","family":"Sáez","given":"C.","non-dropping-particle":"","parse-names":false,"suffix":""},{"dropping-particle":"","family":"Rodrigo","given":"M. A.","non-dropping-particle":"","parse-names":false,"suffix":""}],"container-title":"Journal of Applied Electrochemistry","id":"ITEM-1","issue":"10","issued":{"date-parts":[["2003"]]},"page":"917-927","title":"Electrochemical oxidation of several chlorophenols on diamond electrodes - Part I. Reaction mechanism","type":"article-journal","volume":"33"},"uris":["http://www.mendeley.com/documents/?uuid=694b5e8e-77bd-4a85-96d3-974ccf0dc89c","http://www.mendeley.com/documents/?uuid=ebbb8fb2-2e2d-4e45-b2fe-b2a078d8809b"]}],"mendeley":{"formattedCitation":"(Cañzares et al., 2003)","plainTextFormattedCitation":"(Cañzares et al., 2003)","previouslyFormattedCitation":"(Cañzares et al., 2003)"},"properties":{"noteIndex":0},"schema":"https://github.com/citation-style-language/schema/raw/master/csl-citation.json"}</w:instrText>
      </w:r>
      <w:r w:rsidRPr="0038343B">
        <w:rPr>
          <w:rFonts w:cs="Times New Roman"/>
        </w:rPr>
        <w:fldChar w:fldCharType="separate"/>
      </w:r>
      <w:r w:rsidRPr="00FB6D8C">
        <w:rPr>
          <w:rFonts w:cs="Times New Roman"/>
          <w:noProof/>
        </w:rPr>
        <w:t>(Cañzares et al., 2003)</w:t>
      </w:r>
      <w:r w:rsidRPr="0038343B">
        <w:rPr>
          <w:rFonts w:cs="Times New Roman"/>
        </w:rPr>
        <w:fldChar w:fldCharType="end"/>
      </w:r>
      <w:r w:rsidRPr="0038343B">
        <w:rPr>
          <w:rFonts w:cs="Times New Roman"/>
        </w:rPr>
        <w:t xml:space="preserve">. As previously mentioned, anode material plays a significant role in enhancing the efficacy of the process. A low cost </w:t>
      </w:r>
      <w:proofErr w:type="spellStart"/>
      <w:r w:rsidRPr="0038343B">
        <w:rPr>
          <w:rFonts w:cs="Times New Roman"/>
        </w:rPr>
        <w:t>Ti</w:t>
      </w:r>
      <w:proofErr w:type="spellEnd"/>
      <w:r w:rsidRPr="0038343B">
        <w:rPr>
          <w:rFonts w:cs="Times New Roman"/>
        </w:rPr>
        <w:t>/SnO</w:t>
      </w:r>
      <w:r w:rsidRPr="0038343B">
        <w:rPr>
          <w:rFonts w:cs="Times New Roman"/>
          <w:vertAlign w:val="subscript"/>
        </w:rPr>
        <w:t>2</w:t>
      </w:r>
      <w:r w:rsidRPr="0038343B">
        <w:rPr>
          <w:rFonts w:cs="Times New Roman"/>
        </w:rPr>
        <w:t>–Sb/Ce–PbO</w:t>
      </w:r>
      <w:r w:rsidRPr="0038343B">
        <w:rPr>
          <w:rFonts w:cs="Times New Roman"/>
          <w:vertAlign w:val="subscript"/>
        </w:rPr>
        <w:t xml:space="preserve">2 </w:t>
      </w:r>
      <w:r w:rsidRPr="0038343B">
        <w:rPr>
          <w:rFonts w:cs="Times New Roman"/>
        </w:rPr>
        <w:t xml:space="preserve">anode was fabricated for the removal of </w:t>
      </w:r>
      <w:r w:rsidR="003F51B1" w:rsidRPr="0038343B">
        <w:rPr>
          <w:rFonts w:cs="Times New Roman"/>
          <w:lang w:val="en-IN"/>
        </w:rPr>
        <w:t>20 mg</w:t>
      </w:r>
      <w:r w:rsidR="003F51B1">
        <w:rPr>
          <w:rFonts w:cs="Times New Roman"/>
          <w:lang w:val="en-IN"/>
        </w:rPr>
        <w:t xml:space="preserve"> </w:t>
      </w:r>
      <w:r w:rsidR="003F51B1" w:rsidRPr="0038343B">
        <w:rPr>
          <w:rFonts w:cs="Times New Roman"/>
          <w:lang w:val="en-IN"/>
        </w:rPr>
        <w:t>L</w:t>
      </w:r>
      <w:r w:rsidR="0058606A">
        <w:rPr>
          <w:rFonts w:cs="Times New Roman"/>
          <w:bCs/>
          <w:color w:val="000000" w:themeColor="text1"/>
          <w:szCs w:val="24"/>
          <w:vertAlign w:val="superscript"/>
          <w:lang w:val="en-IN"/>
        </w:rPr>
        <w:t>‒</w:t>
      </w:r>
      <w:r w:rsidR="003F51B1" w:rsidRPr="003F51B1">
        <w:rPr>
          <w:rFonts w:cs="Times New Roman"/>
          <w:vertAlign w:val="superscript"/>
          <w:lang w:val="en-IN"/>
        </w:rPr>
        <w:t>1</w:t>
      </w:r>
      <w:r w:rsidR="003F51B1" w:rsidRPr="0038343B">
        <w:rPr>
          <w:rFonts w:cs="Times New Roman"/>
          <w:lang w:val="en-IN"/>
        </w:rPr>
        <w:t xml:space="preserve"> </w:t>
      </w:r>
      <w:r w:rsidRPr="0038343B">
        <w:rPr>
          <w:rFonts w:cs="Times New Roman"/>
          <w:lang w:val="en-IN"/>
        </w:rPr>
        <w:t>capecitabine from wastewater and almost 93% of degradation was also observed within 7 min by using current density</w:t>
      </w:r>
      <w:r w:rsidR="00ED14E1">
        <w:rPr>
          <w:rFonts w:cs="Times New Roman"/>
          <w:lang w:val="en-IN"/>
        </w:rPr>
        <w:t xml:space="preserve"> </w:t>
      </w:r>
      <w:r w:rsidRPr="0038343B">
        <w:rPr>
          <w:rFonts w:cs="Times New Roman"/>
          <w:lang w:val="en-IN"/>
        </w:rPr>
        <w:t>of 10 mA</w:t>
      </w:r>
      <w:r w:rsidR="00E74E2F">
        <w:rPr>
          <w:rFonts w:cs="Times New Roman"/>
          <w:lang w:val="en-IN"/>
        </w:rPr>
        <w:t xml:space="preserve"> </w:t>
      </w:r>
      <w:r w:rsidRPr="0038343B">
        <w:rPr>
          <w:rFonts w:cs="Times New Roman"/>
          <w:lang w:val="en-IN"/>
        </w:rPr>
        <w:t>cm</w:t>
      </w:r>
      <w:r w:rsidR="00E74E2F" w:rsidRPr="00E74E2F">
        <w:rPr>
          <w:rFonts w:cs="Times New Roman"/>
          <w:vertAlign w:val="superscript"/>
          <w:lang w:val="en-IN"/>
        </w:rPr>
        <w:t>-</w:t>
      </w:r>
      <w:r w:rsidRPr="00E74E2F">
        <w:rPr>
          <w:rFonts w:cs="Times New Roman"/>
          <w:vertAlign w:val="superscript"/>
          <w:lang w:val="en-IN"/>
        </w:rPr>
        <w:t>2</w:t>
      </w:r>
      <w:r w:rsidRPr="0038343B">
        <w:rPr>
          <w:rFonts w:cs="Times New Roman"/>
          <w:lang w:val="en-IN"/>
        </w:rPr>
        <w:t xml:space="preserve"> </w:t>
      </w:r>
      <w:r w:rsidRPr="0038343B">
        <w:rPr>
          <w:rFonts w:cs="Times New Roman"/>
          <w:lang w:val="en-IN"/>
        </w:rPr>
        <w:fldChar w:fldCharType="begin" w:fldLock="1"/>
      </w:r>
      <w:r w:rsidR="008666F9">
        <w:rPr>
          <w:rFonts w:cs="Times New Roman"/>
          <w:lang w:val="en-IN"/>
        </w:rPr>
        <w:instrText>ADDIN CSL_CITATION {"citationItems":[{"id":"ITEM-1","itemData":{"DOI":"10.1016/j.chemosphere.2019.125058","ISSN":"00456535","PMID":"31610461","abstract":"Electrocatalytic oxidation and detoxication of capecitabine (CAP) in aqueous solution were investigated with Ti/SnO2–Sb/Ce–PbO2 anode. The relative contributions of generated free radicals showed an increase in the pseudo zero order tare constants in the following order: [rad]OH (9.4%) &lt; SO4[rad]− (24.2%) &lt; O2[rad]− (53.3%). The operating parameters and solution matrixes, i.e. applied current densities, initial CAP concentrations, initial Cl− and NO3− concentrations, influencing the CAP degradation efficiency were evaluated. The kinetic rate constant of 0.1404 min−1 was found within 7 min at current density of 10 mA cm−2 and initial CAP concentration of 20 mg L−1, while the mineralization efficiency of 59.5%, mineralization current efficiency of 2.06%, detoxication rate to Escherichia coli of 55.5% were achieved at reaction time 90 min. The major degradation pathways of CAP were oxidation, defluorination and bond cleavage, following with the formation of carboxylic acids, NO3−, NO2−, NH4+ and F−. Electrochemical oxidation process based on Ti/SnO2–Sb/Ce–PbO2 anode is proved to be effective for elimination, mineralization and detoxication of aqueous CAP.","author":[{"dropping-particle":"","family":"Xu","given":"Lei","non-dropping-particle":"","parse-names":false,"suffix":""},{"dropping-particle":"","family":"Tang","given":"Shaoyu","non-dropping-particle":"","parse-names":false,"suffix":""},{"dropping-particle":"","family":"Wang","given":"Kaixuan","non-dropping-particle":"","parse-names":false,"suffix":""},{"dropping-particle":"","family":"Ma","given":"Xiao","non-dropping-particle":"","parse-names":false,"suffix":""},{"dropping-particle":"","family":"Niu","given":"Junfeng","non-dropping-particle":"","parse-names":false,"suffix":""}],"container-title":"Chemosphere","id":"ITEM-1","issued":{"date-parts":[["2020","2"]]},"page":"125058","title":"Insights into the degradation and detoxication mechanisms of aqueous capecitabine in electrochemical oxidation process","type":"article-journal","volume":"241"},"uris":["http://www.mendeley.com/documents/?uuid=5d205c3c-60d2-41d7-bf38-f2518c9d863e","http://www.mendeley.com/documents/?uuid=d87b1edf-d0d1-4b83-82cc-80bb6532fe15"]}],"mendeley":{"formattedCitation":"(Xu et al., 2020)","plainTextFormattedCitation":"(Xu et al., 2020)","previouslyFormattedCitation":"(Xu et al., 2020)"},"properties":{"noteIndex":0},"schema":"https://github.com/citation-style-language/schema/raw/master/csl-citation.json"}</w:instrText>
      </w:r>
      <w:r w:rsidRPr="0038343B">
        <w:rPr>
          <w:rFonts w:cs="Times New Roman"/>
          <w:lang w:val="en-IN"/>
        </w:rPr>
        <w:fldChar w:fldCharType="separate"/>
      </w:r>
      <w:r w:rsidRPr="00FB6D8C">
        <w:rPr>
          <w:rFonts w:cs="Times New Roman"/>
          <w:noProof/>
          <w:lang w:val="en-IN"/>
        </w:rPr>
        <w:t>(Xu et al., 2020)</w:t>
      </w:r>
      <w:r w:rsidRPr="0038343B">
        <w:rPr>
          <w:rFonts w:cs="Times New Roman"/>
          <w:lang w:val="en-IN"/>
        </w:rPr>
        <w:fldChar w:fldCharType="end"/>
      </w:r>
      <w:r w:rsidRPr="0038343B">
        <w:rPr>
          <w:rFonts w:cs="Times New Roman"/>
          <w:lang w:val="en-IN"/>
        </w:rPr>
        <w:t xml:space="preserve">. </w:t>
      </w:r>
      <w:r w:rsidRPr="0038343B">
        <w:rPr>
          <w:rFonts w:cs="Times New Roman"/>
        </w:rPr>
        <w:t>A novel indium</w:t>
      </w:r>
      <w:r w:rsidR="009B3D36">
        <w:rPr>
          <w:rFonts w:cs="Times New Roman"/>
        </w:rPr>
        <w:t xml:space="preserve"> </w:t>
      </w:r>
      <w:r w:rsidRPr="0038343B">
        <w:rPr>
          <w:rFonts w:cs="Times New Roman"/>
        </w:rPr>
        <w:t>doped PbO</w:t>
      </w:r>
      <w:r w:rsidRPr="0038343B">
        <w:rPr>
          <w:rFonts w:cs="Times New Roman"/>
          <w:vertAlign w:val="subscript"/>
        </w:rPr>
        <w:t>2</w:t>
      </w:r>
      <w:r w:rsidRPr="0038343B">
        <w:rPr>
          <w:rFonts w:cs="Times New Roman"/>
        </w:rPr>
        <w:t xml:space="preserve"> electrode was used to treat </w:t>
      </w:r>
      <w:r w:rsidR="00ED14E1">
        <w:rPr>
          <w:rFonts w:cs="Times New Roman"/>
        </w:rPr>
        <w:t>500</w:t>
      </w:r>
      <w:r w:rsidR="00ED14E1" w:rsidRPr="00ED14E1">
        <w:rPr>
          <w:rFonts w:cs="Times New Roman"/>
          <w:lang w:val="en-IN"/>
        </w:rPr>
        <w:t xml:space="preserve"> </w:t>
      </w:r>
      <w:r w:rsidR="00ED14E1" w:rsidRPr="0038343B">
        <w:rPr>
          <w:rFonts w:cs="Times New Roman"/>
          <w:lang w:val="en-IN"/>
        </w:rPr>
        <w:t>mg</w:t>
      </w:r>
      <w:r w:rsidR="00ED14E1">
        <w:rPr>
          <w:rFonts w:cs="Times New Roman"/>
          <w:lang w:val="en-IN"/>
        </w:rPr>
        <w:t xml:space="preserve"> </w:t>
      </w:r>
      <w:r w:rsidR="00ED14E1" w:rsidRPr="0038343B">
        <w:rPr>
          <w:rFonts w:cs="Times New Roman"/>
          <w:lang w:val="en-IN"/>
        </w:rPr>
        <w:t>L</w:t>
      </w:r>
      <w:r w:rsidR="00ED14E1" w:rsidRPr="003F51B1">
        <w:rPr>
          <w:rFonts w:cs="Times New Roman"/>
          <w:vertAlign w:val="superscript"/>
          <w:lang w:val="en-IN"/>
        </w:rPr>
        <w:t>-1</w:t>
      </w:r>
      <w:r w:rsidR="00ED14E1" w:rsidRPr="0038343B">
        <w:rPr>
          <w:rFonts w:cs="Times New Roman"/>
          <w:lang w:val="en-IN"/>
        </w:rPr>
        <w:t xml:space="preserve"> </w:t>
      </w:r>
      <w:r w:rsidR="00ED14E1">
        <w:rPr>
          <w:rFonts w:cs="Times New Roman"/>
        </w:rPr>
        <w:t xml:space="preserve"> </w:t>
      </w:r>
      <w:r w:rsidRPr="0038343B">
        <w:rPr>
          <w:rFonts w:cs="Times New Roman"/>
        </w:rPr>
        <w:t>aspirin</w:t>
      </w:r>
      <w:r w:rsidR="00ED14E1">
        <w:rPr>
          <w:rFonts w:cs="Times New Roman"/>
        </w:rPr>
        <w:t xml:space="preserve"> </w:t>
      </w:r>
      <w:r w:rsidRPr="0038343B">
        <w:rPr>
          <w:rFonts w:cs="Times New Roman"/>
        </w:rPr>
        <w:t xml:space="preserve">based wastewater and </w:t>
      </w:r>
      <w:r w:rsidRPr="0038343B">
        <w:rPr>
          <w:rFonts w:cs="Times New Roman"/>
          <w:lang w:val="en-IN"/>
        </w:rPr>
        <w:t xml:space="preserve">76.45% of aspirin removal </w:t>
      </w:r>
      <w:r w:rsidR="00E773D7">
        <w:rPr>
          <w:rFonts w:cs="Times New Roman"/>
          <w:lang w:val="en-IN"/>
        </w:rPr>
        <w:t xml:space="preserve">was achieved </w:t>
      </w:r>
      <w:r w:rsidRPr="0038343B">
        <w:rPr>
          <w:rFonts w:cs="Times New Roman"/>
          <w:lang w:val="en-IN"/>
        </w:rPr>
        <w:t xml:space="preserve">within 2.5 h of electrolysis by adopting a </w:t>
      </w:r>
      <w:r w:rsidR="00ED14E1">
        <w:rPr>
          <w:rFonts w:cs="Times New Roman"/>
          <w:lang w:val="en-IN"/>
        </w:rPr>
        <w:t xml:space="preserve">current density </w:t>
      </w:r>
      <w:r w:rsidRPr="0038343B">
        <w:rPr>
          <w:rFonts w:cs="Times New Roman"/>
          <w:lang w:val="en-IN"/>
        </w:rPr>
        <w:t>of 50 mA</w:t>
      </w:r>
      <w:r w:rsidR="00B94154">
        <w:rPr>
          <w:rFonts w:cs="Times New Roman"/>
          <w:lang w:val="en-IN"/>
        </w:rPr>
        <w:t xml:space="preserve"> </w:t>
      </w:r>
      <w:r w:rsidRPr="0038343B">
        <w:rPr>
          <w:rFonts w:cs="Times New Roman"/>
          <w:lang w:val="en-IN"/>
        </w:rPr>
        <w:t>cm</w:t>
      </w:r>
      <w:r w:rsidR="0058606A">
        <w:rPr>
          <w:rFonts w:cs="Times New Roman"/>
          <w:bCs/>
          <w:color w:val="000000" w:themeColor="text1"/>
          <w:szCs w:val="24"/>
          <w:vertAlign w:val="superscript"/>
          <w:lang w:val="en-IN"/>
        </w:rPr>
        <w:t>‒</w:t>
      </w:r>
      <w:r w:rsidRPr="00B94154">
        <w:rPr>
          <w:rFonts w:cs="Times New Roman"/>
          <w:vertAlign w:val="superscript"/>
          <w:lang w:val="en-IN"/>
        </w:rPr>
        <w:t>2</w:t>
      </w:r>
      <w:r w:rsidRPr="0038343B">
        <w:rPr>
          <w:rFonts w:cs="Times New Roman"/>
          <w:lang w:val="en-IN"/>
        </w:rPr>
        <w:t xml:space="preserve"> </w:t>
      </w:r>
      <w:r w:rsidRPr="0038343B">
        <w:rPr>
          <w:rFonts w:cs="Times New Roman"/>
          <w:lang w:val="en-IN"/>
        </w:rPr>
        <w:fldChar w:fldCharType="begin" w:fldLock="1"/>
      </w:r>
      <w:r w:rsidR="008666F9">
        <w:rPr>
          <w:rFonts w:cs="Times New Roman"/>
          <w:lang w:val="en-IN"/>
        </w:rPr>
        <w:instrText>ADDIN CSL_CITATION {"citationItems":[{"id":"ITEM-1","itemData":{"DOI":"10.1016/j.seppur.2019.116321","ISSN":"13835866","abstract":"A novel indium (In) doped PbO2 electrode featuring high electrochemical activity and electrode stability toward electrochemical degradation of refractory organic pollutants was prepared by electrodeposition technique. Based on the aspirin removal efficiency, the optimized molar ratio of In/Pb in electrodeposition solution was 1%. In contract with the undoped PbO2 electrode, the constructed In-doped PbO2 electrode displayed a more compact structure, a better oriented crystal of smaller size, an increased concentration of active oxygen species, a higher oxygen evolution potential, a lower charge transfer resistance and a higher electrode stability. The In-doped PbO2 electrode was demonstrated to have a superior electrochemical oxidation ability with higher [rad]OH generation capacity. For In-doped PbO2 electrode, the removals of aspirin and COD reached 76.45% and 52.09% after 2.5 h of electrolysis, respectively. Meanwhile, the energy saving could be up to 30.56% after In doping. This outcome was in good agreement with the results of surface characterization of PbO2 electrodes. Finally, combination with the safety evaluation, we could conclude that In-doped PbO2 electrode was a promising anode for the treatment of organic pollutants.","author":[{"dropping-particle":"","family":"Xia","given":"Yijing","non-dropping-particle":"","parse-names":false,"suffix":""},{"dropping-particle":"","family":"Bian","given":"Xinze","non-dropping-particle":"","parse-names":false,"suffix":""},{"dropping-particle":"","family":"Xia","given":"Yi","non-dropping-particle":"","parse-names":false,"suffix":""},{"dropping-particle":"","family":"Zhou","given":"Wan","non-dropping-particle":"","parse-names":false,"suffix":""},{"dropping-particle":"","family":"Wang","given":"Lin","non-dropping-particle":"","parse-names":false,"suffix":""},{"dropping-particle":"","family":"Fan","given":"Siqi","non-dropping-particle":"","parse-names":false,"suffix":""},{"dropping-particle":"","family":"Xiong","given":"Pan","non-dropping-particle":"","parse-names":false,"suffix":""},{"dropping-particle":"","family":"Zhan","given":"Tingting","non-dropping-particle":"","parse-names":false,"suffix":""},{"dropping-particle":"","family":"Dai","given":"Qizhou","non-dropping-particle":"","parse-names":false,"suffix":""},{"dropping-particle":"","family":"Chen","given":"Jianmeng","non-dropping-particle":"","parse-names":false,"suffix":""}],"container-title":"Separation and Purification Technology","id":"ITEM-1","issued":{"date-parts":[["2020","4"]]},"page":"116321","title":"Effect of indium doping on the PbO2 electrode for the enhanced electrochemical oxidation of aspirin: An electrode comparative study","type":"article-journal","volume":"237"},"uris":["http://www.mendeley.com/documents/?uuid=aa4bdaf5-8c14-4f3c-a38e-31a729ff360f","http://www.mendeley.com/documents/?uuid=7cad8a88-7f35-4ffd-9544-e2fc00647556"]}],"mendeley":{"formattedCitation":"(Xia et al., 2020b)","plainTextFormattedCitation":"(Xia et al., 2020b)","previouslyFormattedCitation":"(Xia et al., 2020b)"},"properties":{"noteIndex":0},"schema":"https://github.com/citation-style-language/schema/raw/master/csl-citation.json"}</w:instrText>
      </w:r>
      <w:r w:rsidRPr="0038343B">
        <w:rPr>
          <w:rFonts w:cs="Times New Roman"/>
          <w:lang w:val="en-IN"/>
        </w:rPr>
        <w:fldChar w:fldCharType="separate"/>
      </w:r>
      <w:r w:rsidRPr="00FB6D8C">
        <w:rPr>
          <w:rFonts w:cs="Times New Roman"/>
          <w:noProof/>
          <w:lang w:val="en-IN"/>
        </w:rPr>
        <w:t>(Xia et al., 2020b)</w:t>
      </w:r>
      <w:r w:rsidRPr="0038343B">
        <w:rPr>
          <w:rFonts w:cs="Times New Roman"/>
          <w:lang w:val="en-IN"/>
        </w:rPr>
        <w:fldChar w:fldCharType="end"/>
      </w:r>
      <w:r w:rsidRPr="0038343B">
        <w:rPr>
          <w:rFonts w:cs="Times New Roman"/>
          <w:lang w:val="en-IN"/>
        </w:rPr>
        <w:t>. Furthermore, the application of a novel 3D-hexagonal Co</w:t>
      </w:r>
      <w:r w:rsidRPr="0038343B">
        <w:rPr>
          <w:rFonts w:cs="Times New Roman"/>
          <w:vertAlign w:val="subscript"/>
          <w:lang w:val="en-IN"/>
        </w:rPr>
        <w:t>3</w:t>
      </w:r>
      <w:r w:rsidRPr="0038343B">
        <w:rPr>
          <w:rFonts w:cs="Times New Roman"/>
          <w:lang w:val="en-IN"/>
        </w:rPr>
        <w:t>O</w:t>
      </w:r>
      <w:r w:rsidRPr="0038343B">
        <w:rPr>
          <w:rFonts w:cs="Times New Roman"/>
          <w:vertAlign w:val="subscript"/>
          <w:lang w:val="en-IN"/>
        </w:rPr>
        <w:t>4</w:t>
      </w:r>
      <w:r w:rsidRPr="0038343B">
        <w:rPr>
          <w:rFonts w:cs="Times New Roman"/>
          <w:lang w:val="en-IN"/>
        </w:rPr>
        <w:t xml:space="preserve"> anode was </w:t>
      </w:r>
      <w:r w:rsidRPr="0038343B">
        <w:rPr>
          <w:rFonts w:cs="Times New Roman"/>
        </w:rPr>
        <w:t>explicitly</w:t>
      </w:r>
      <w:r w:rsidRPr="0038343B">
        <w:rPr>
          <w:rFonts w:cs="Times New Roman"/>
          <w:lang w:val="en-IN"/>
        </w:rPr>
        <w:t xml:space="preserve"> engineered for the removal of </w:t>
      </w:r>
      <w:r w:rsidR="008D1AC9">
        <w:rPr>
          <w:rFonts w:cs="Times New Roman"/>
          <w:lang w:val="en-IN"/>
        </w:rPr>
        <w:t xml:space="preserve">10 </w:t>
      </w:r>
      <w:r w:rsidR="008D1AC9" w:rsidRPr="0038343B">
        <w:rPr>
          <w:rFonts w:cs="Times New Roman"/>
          <w:lang w:val="en-IN"/>
        </w:rPr>
        <w:t>mg</w:t>
      </w:r>
      <w:r w:rsidR="008D1AC9">
        <w:rPr>
          <w:rFonts w:cs="Times New Roman"/>
          <w:lang w:val="en-IN"/>
        </w:rPr>
        <w:t xml:space="preserve"> </w:t>
      </w:r>
      <w:r w:rsidR="008D1AC9" w:rsidRPr="0038343B">
        <w:rPr>
          <w:rFonts w:cs="Times New Roman"/>
          <w:lang w:val="en-IN"/>
        </w:rPr>
        <w:t>L</w:t>
      </w:r>
      <w:r w:rsidR="0058606A">
        <w:rPr>
          <w:rFonts w:cs="Times New Roman"/>
          <w:bCs/>
          <w:color w:val="000000" w:themeColor="text1"/>
          <w:szCs w:val="24"/>
          <w:vertAlign w:val="superscript"/>
          <w:lang w:val="en-IN"/>
        </w:rPr>
        <w:t>‒</w:t>
      </w:r>
      <w:r w:rsidR="008D1AC9" w:rsidRPr="003F51B1">
        <w:rPr>
          <w:rFonts w:cs="Times New Roman"/>
          <w:vertAlign w:val="superscript"/>
          <w:lang w:val="en-IN"/>
        </w:rPr>
        <w:t>1</w:t>
      </w:r>
      <w:r w:rsidR="008D1AC9">
        <w:rPr>
          <w:rFonts w:cs="Times New Roman"/>
          <w:lang w:val="en-IN"/>
        </w:rPr>
        <w:t xml:space="preserve"> </w:t>
      </w:r>
      <w:r w:rsidR="0058606A">
        <w:rPr>
          <w:rFonts w:cs="Times New Roman"/>
          <w:lang w:val="en-IN"/>
        </w:rPr>
        <w:t xml:space="preserve">of </w:t>
      </w:r>
      <w:r w:rsidRPr="0038343B">
        <w:rPr>
          <w:rFonts w:cs="Times New Roman"/>
          <w:bCs/>
          <w:lang w:val="en-IN"/>
        </w:rPr>
        <w:t>4-</w:t>
      </w:r>
      <w:r w:rsidR="008D1AC9">
        <w:rPr>
          <w:rFonts w:cs="Times New Roman"/>
          <w:bCs/>
          <w:lang w:val="en-IN"/>
        </w:rPr>
        <w:t>nitrophenol</w:t>
      </w:r>
      <w:r w:rsidRPr="0038343B">
        <w:rPr>
          <w:rFonts w:cs="Times New Roman"/>
          <w:bCs/>
          <w:lang w:val="en-IN"/>
        </w:rPr>
        <w:t xml:space="preserve"> from wastewater. Almost complete mineralization of </w:t>
      </w:r>
      <w:r w:rsidR="008D1AC9" w:rsidRPr="0038343B">
        <w:rPr>
          <w:rFonts w:cs="Times New Roman"/>
          <w:bCs/>
          <w:lang w:val="en-IN"/>
        </w:rPr>
        <w:t>4-</w:t>
      </w:r>
      <w:r w:rsidR="008D1AC9">
        <w:rPr>
          <w:rFonts w:cs="Times New Roman"/>
          <w:bCs/>
          <w:lang w:val="en-IN"/>
        </w:rPr>
        <w:t>nitrophenol</w:t>
      </w:r>
      <w:r w:rsidR="008D1AC9" w:rsidRPr="0038343B">
        <w:rPr>
          <w:rFonts w:cs="Times New Roman"/>
          <w:bCs/>
          <w:lang w:val="en-IN"/>
        </w:rPr>
        <w:t xml:space="preserve"> </w:t>
      </w:r>
      <w:r w:rsidRPr="0038343B">
        <w:rPr>
          <w:rFonts w:cs="Times New Roman"/>
          <w:bCs/>
          <w:lang w:val="en-IN"/>
        </w:rPr>
        <w:t xml:space="preserve">was observed within 60 min of electrolysis </w:t>
      </w:r>
      <w:r w:rsidRPr="0038343B">
        <w:rPr>
          <w:rFonts w:cs="Times New Roman"/>
          <w:bCs/>
          <w:lang w:val="en-IN"/>
        </w:rPr>
        <w:fldChar w:fldCharType="begin" w:fldLock="1"/>
      </w:r>
      <w:r w:rsidR="008666F9">
        <w:rPr>
          <w:rFonts w:cs="Times New Roman"/>
          <w:bCs/>
          <w:lang w:val="en-IN"/>
        </w:rPr>
        <w:instrText>ADDIN CSL_CITATION {"citationItems":[{"id":"ITEM-1","itemData":{"DOI":"10.1016/j.watres.2018.11.077","ISSN":"00431354","PMID":"30530127","abstract":"A novel electrocatalytic system was developed to realize one-pot conversion of organic pollutants into liquid fuels such as methanol (CH3OH) and ethanol (C2H5OH). The process combines the catalytic oxidation of organic pollutants with electrocatalytic reduction of CO2. We first coupled the electrocatalytic process with SO4•−-based advanced oxidation processes (AOPs) for the degradation of 4-nitrophenol (4-NP) using a 3D-hexagonal Co3O4 anode. In this step, 4-NP was mineralized to CO2, and then the CO2 was converted to CH3OH and C2H5OH by electrocatalytic reduction using a flower-like CuO cathode. The experimental results show the destruction of 4-NP (60 mL, 10 mg/L) can be as high as 99%. In addition, the yields of CH3OH and C2H5OH were 98.29 μmol/L and 40.95 μmol/L, respectively, which represents a conversion of 41.8% of 4-NP into liquid fuels; the electron efficiency was 73.1%. In addition, we found that 3D-hexagonal arrays of Co3O4 with different morphologies can be obtained by adding different amounts of urea. We also investigated the formation mechanism of novel 3D-hexagonal Co3O4 arrays for the first time. A mechanism was proposed to explain the electrocatalytic steps involved in the conversion of 4-NP to CH3OH and C2H5OH and the synergetic effects between AOPs and electrocatalysis.","author":[{"dropping-particle":"","family":"Zou","given":"Jian-Ping","non-dropping-particle":"","parse-names":false,"suffix":""},{"dropping-particle":"","family":"Chen","given":"Ying","non-dropping-particle":"","parse-names":false,"suffix":""},{"dropping-particle":"","family":"Liu","given":"Shan-Shan","non-dropping-particle":"","parse-names":false,"suffix":""},{"dropping-particle":"","family":"Xing","given":"Qiu-Ju","non-dropping-particle":"","parse-names":false,"suffix":""},{"dropping-particle":"","family":"Dong","given":"Wen-Hua","non-dropping-particle":"","parse-names":false,"suffix":""},{"dropping-particle":"","family":"Luo","given":"Xu-Biao","non-dropping-particle":"","parse-names":false,"suffix":""},{"dropping-particle":"","family":"Dai","given":"Wei-Li","non-dropping-particle":"","parse-names":false,"suffix":""},{"dropping-particle":"","family":"Xiao","given":"Xiao","non-dropping-particle":"","parse-names":false,"suffix":""},{"dropping-particle":"","family":"Luo","given":"Jin-Ming","non-dropping-particle":"","parse-names":false,"suffix":""},{"dropping-particle":"","family":"Crittenden","given":"John","non-dropping-particle":"","parse-names":false,"suffix":""}],"container-title":"Water Research","id":"ITEM-1","issued":{"date-parts":[["2019","3"]]},"page":"330-339","title":"Electrochemical oxidation and advanced oxidation processes using a 3D hexagonal Co3O4 array anode for 4-nitrophenol decomposition coupled with simultaneous CO2 conversion to liquid fuels via a flower-like CuO cathode","type":"article-journal","volume":"150"},"uris":["http://www.mendeley.com/documents/?uuid=924ca57d-5d81-428b-bb28-34a047fae50c","http://www.mendeley.com/documents/?uuid=018b6116-2d99-4875-9eea-e5b4b8cadda9"]}],"mendeley":{"formattedCitation":"(Zou et al., 2019)","plainTextFormattedCitation":"(Zou et al., 2019)","previouslyFormattedCitation":"(Zou et al., 2019)"},"properties":{"noteIndex":0},"schema":"https://github.com/citation-style-language/schema/raw/master/csl-citation.json"}</w:instrText>
      </w:r>
      <w:r w:rsidRPr="0038343B">
        <w:rPr>
          <w:rFonts w:cs="Times New Roman"/>
          <w:bCs/>
          <w:lang w:val="en-IN"/>
        </w:rPr>
        <w:fldChar w:fldCharType="separate"/>
      </w:r>
      <w:r w:rsidRPr="00FB6D8C">
        <w:rPr>
          <w:rFonts w:cs="Times New Roman"/>
          <w:bCs/>
          <w:noProof/>
          <w:lang w:val="en-IN"/>
        </w:rPr>
        <w:t>(Zou et al., 2019)</w:t>
      </w:r>
      <w:r w:rsidRPr="0038343B">
        <w:rPr>
          <w:rFonts w:cs="Times New Roman"/>
          <w:bCs/>
          <w:lang w:val="en-IN"/>
        </w:rPr>
        <w:fldChar w:fldCharType="end"/>
      </w:r>
      <w:r w:rsidRPr="0038343B">
        <w:rPr>
          <w:rFonts w:cs="Times New Roman"/>
          <w:bCs/>
          <w:lang w:val="en-IN"/>
        </w:rPr>
        <w:t xml:space="preserve">. Efficient removal of the </w:t>
      </w:r>
      <w:r w:rsidRPr="0038343B">
        <w:rPr>
          <w:rFonts w:cs="Times New Roman"/>
          <w:bCs/>
        </w:rPr>
        <w:t>recalcitrant compounds from wastewater was also investigated by several researchers by employing direct anodic oxidation method and very high removal efficiency were observed (Table S</w:t>
      </w:r>
      <w:r w:rsidR="005E3449">
        <w:rPr>
          <w:rFonts w:cs="Times New Roman"/>
          <w:bCs/>
        </w:rPr>
        <w:t>6</w:t>
      </w:r>
      <w:r w:rsidRPr="0038343B">
        <w:rPr>
          <w:rFonts w:cs="Times New Roman"/>
          <w:bCs/>
        </w:rPr>
        <w:t>).</w:t>
      </w:r>
    </w:p>
    <w:p w14:paraId="54164C76" w14:textId="05FBDD88" w:rsidR="00E30F52" w:rsidRPr="0038343B" w:rsidRDefault="00E30F52" w:rsidP="00E30F52">
      <w:pPr>
        <w:pStyle w:val="Heading1"/>
        <w:jc w:val="center"/>
        <w:rPr>
          <w:b/>
          <w:lang w:val="en-IN"/>
        </w:rPr>
      </w:pPr>
      <w:bookmarkStart w:id="25" w:name="_Toc102395646"/>
      <w:r w:rsidRPr="0038343B">
        <w:rPr>
          <w:b/>
          <w:lang w:val="en-IN"/>
        </w:rPr>
        <w:lastRenderedPageBreak/>
        <w:t>Table S</w:t>
      </w:r>
      <w:r w:rsidR="00E1569B">
        <w:rPr>
          <w:b/>
          <w:lang w:val="en-IN"/>
        </w:rPr>
        <w:t>6</w:t>
      </w:r>
      <w:r w:rsidRPr="0038343B">
        <w:rPr>
          <w:b/>
          <w:lang w:val="en-IN"/>
        </w:rPr>
        <w:t xml:space="preserve">. </w:t>
      </w:r>
      <w:r w:rsidRPr="00CB0278">
        <w:rPr>
          <w:bCs/>
          <w:lang w:val="en-IN"/>
        </w:rPr>
        <w:t>Transformation of contaminants of emerging concern by</w:t>
      </w:r>
      <w:r w:rsidRPr="00CB0278">
        <w:rPr>
          <w:bCs/>
        </w:rPr>
        <w:t xml:space="preserve"> anodic oxidation</w:t>
      </w:r>
      <w:bookmarkEnd w:id="25"/>
    </w:p>
    <w:tbl>
      <w:tblPr>
        <w:tblStyle w:val="TableGrid"/>
        <w:tblW w:w="9885" w:type="dxa"/>
        <w:jc w:val="center"/>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623"/>
        <w:gridCol w:w="1888"/>
        <w:gridCol w:w="1079"/>
        <w:gridCol w:w="717"/>
        <w:gridCol w:w="144"/>
        <w:gridCol w:w="1434"/>
        <w:gridCol w:w="1195"/>
        <w:gridCol w:w="1805"/>
      </w:tblGrid>
      <w:tr w:rsidR="00E30F52" w:rsidRPr="00C82CA9" w14:paraId="3417FAEF" w14:textId="77777777" w:rsidTr="000B662C">
        <w:trPr>
          <w:trHeight w:val="818"/>
          <w:jc w:val="center"/>
        </w:trPr>
        <w:tc>
          <w:tcPr>
            <w:tcW w:w="1623" w:type="dxa"/>
            <w:tcBorders>
              <w:top w:val="single" w:sz="4" w:space="0" w:color="auto"/>
              <w:left w:val="nil"/>
              <w:bottom w:val="single" w:sz="4" w:space="0" w:color="auto"/>
              <w:right w:val="nil"/>
            </w:tcBorders>
            <w:vAlign w:val="center"/>
            <w:hideMark/>
          </w:tcPr>
          <w:p w14:paraId="76802228" w14:textId="77777777" w:rsidR="00E30F52" w:rsidRPr="00C82CA9" w:rsidRDefault="00E30F52" w:rsidP="000B662C">
            <w:pPr>
              <w:spacing w:after="0" w:line="240" w:lineRule="auto"/>
              <w:jc w:val="center"/>
              <w:rPr>
                <w:rFonts w:cs="Times New Roman"/>
                <w:b/>
                <w:sz w:val="22"/>
                <w:lang w:val="en-IN"/>
              </w:rPr>
            </w:pPr>
            <w:r w:rsidRPr="00C82CA9">
              <w:rPr>
                <w:rFonts w:cs="Times New Roman"/>
                <w:b/>
                <w:sz w:val="22"/>
                <w:lang w:val="en-IN"/>
              </w:rPr>
              <w:t>Anode</w:t>
            </w:r>
          </w:p>
        </w:tc>
        <w:tc>
          <w:tcPr>
            <w:tcW w:w="1888" w:type="dxa"/>
            <w:tcBorders>
              <w:top w:val="single" w:sz="4" w:space="0" w:color="auto"/>
              <w:left w:val="nil"/>
              <w:bottom w:val="single" w:sz="4" w:space="0" w:color="auto"/>
              <w:right w:val="nil"/>
            </w:tcBorders>
            <w:vAlign w:val="center"/>
            <w:hideMark/>
          </w:tcPr>
          <w:p w14:paraId="2CAB49D3" w14:textId="77777777" w:rsidR="00E30F52" w:rsidRPr="00C82CA9" w:rsidRDefault="00E30F52" w:rsidP="000B662C">
            <w:pPr>
              <w:spacing w:after="0" w:line="240" w:lineRule="auto"/>
              <w:jc w:val="center"/>
              <w:rPr>
                <w:rFonts w:cs="Times New Roman"/>
                <w:b/>
                <w:sz w:val="22"/>
                <w:lang w:val="en-IN"/>
              </w:rPr>
            </w:pPr>
            <w:r>
              <w:rPr>
                <w:rFonts w:cs="Times New Roman"/>
                <w:b/>
                <w:sz w:val="22"/>
                <w:lang w:val="en-IN"/>
              </w:rPr>
              <w:t>Contaminant</w:t>
            </w:r>
          </w:p>
        </w:tc>
        <w:tc>
          <w:tcPr>
            <w:tcW w:w="1079" w:type="dxa"/>
            <w:tcBorders>
              <w:top w:val="single" w:sz="4" w:space="0" w:color="auto"/>
              <w:left w:val="nil"/>
              <w:bottom w:val="single" w:sz="4" w:space="0" w:color="auto"/>
              <w:right w:val="nil"/>
            </w:tcBorders>
            <w:vAlign w:val="center"/>
            <w:hideMark/>
          </w:tcPr>
          <w:p w14:paraId="423BEFB4" w14:textId="77777777" w:rsidR="00E30F52" w:rsidRDefault="00E30F52" w:rsidP="000B662C">
            <w:pPr>
              <w:spacing w:after="0" w:line="240" w:lineRule="auto"/>
              <w:jc w:val="center"/>
              <w:rPr>
                <w:rFonts w:cs="Times New Roman"/>
                <w:b/>
                <w:bCs/>
                <w:i/>
                <w:iCs/>
                <w:sz w:val="22"/>
                <w:vertAlign w:val="subscript"/>
                <w:lang w:val="en-IN"/>
              </w:rPr>
            </w:pPr>
            <w:r w:rsidRPr="00C82CA9">
              <w:rPr>
                <w:rFonts w:cs="Times New Roman"/>
                <w:b/>
                <w:bCs/>
                <w:i/>
                <w:iCs/>
                <w:sz w:val="22"/>
                <w:lang w:val="en-IN"/>
              </w:rPr>
              <w:t>C</w:t>
            </w:r>
            <w:r w:rsidRPr="00C82CA9">
              <w:rPr>
                <w:rFonts w:cs="Times New Roman"/>
                <w:b/>
                <w:bCs/>
                <w:i/>
                <w:iCs/>
                <w:sz w:val="22"/>
                <w:vertAlign w:val="subscript"/>
                <w:lang w:val="en-IN"/>
              </w:rPr>
              <w:t xml:space="preserve">o </w:t>
            </w:r>
          </w:p>
          <w:p w14:paraId="1067B43F" w14:textId="77777777" w:rsidR="00E30F52" w:rsidRPr="00C82CA9" w:rsidRDefault="00E30F52" w:rsidP="000B662C">
            <w:pPr>
              <w:spacing w:after="0" w:line="240" w:lineRule="auto"/>
              <w:jc w:val="center"/>
              <w:rPr>
                <w:rFonts w:cs="Times New Roman"/>
                <w:b/>
                <w:bCs/>
                <w:iCs/>
                <w:sz w:val="22"/>
                <w:lang w:val="en-IN"/>
              </w:rPr>
            </w:pPr>
            <w:r w:rsidRPr="00C82CA9">
              <w:rPr>
                <w:rFonts w:cs="Times New Roman"/>
                <w:b/>
                <w:bCs/>
                <w:iCs/>
                <w:sz w:val="22"/>
                <w:lang w:val="en-IN"/>
              </w:rPr>
              <w:t>(mg</w:t>
            </w:r>
            <w:r>
              <w:rPr>
                <w:rFonts w:cs="Times New Roman"/>
                <w:b/>
                <w:bCs/>
                <w:iCs/>
                <w:sz w:val="22"/>
                <w:lang w:val="en-IN"/>
              </w:rPr>
              <w:t xml:space="preserve"> </w:t>
            </w:r>
            <w:r w:rsidRPr="00C82CA9">
              <w:rPr>
                <w:rFonts w:cs="Times New Roman"/>
                <w:b/>
                <w:bCs/>
                <w:iCs/>
                <w:sz w:val="22"/>
                <w:lang w:val="en-IN"/>
              </w:rPr>
              <w:t>L</w:t>
            </w:r>
            <w:r>
              <w:rPr>
                <w:rFonts w:cs="Times New Roman"/>
                <w:bCs/>
                <w:color w:val="000000" w:themeColor="text1"/>
                <w:szCs w:val="24"/>
                <w:vertAlign w:val="superscript"/>
                <w:lang w:val="en-IN"/>
              </w:rPr>
              <w:t>‒</w:t>
            </w:r>
            <w:r w:rsidRPr="005B2E24">
              <w:rPr>
                <w:rFonts w:cs="Times New Roman"/>
                <w:b/>
                <w:bCs/>
                <w:iCs/>
                <w:sz w:val="22"/>
                <w:vertAlign w:val="superscript"/>
                <w:lang w:val="en-IN"/>
              </w:rPr>
              <w:t>1</w:t>
            </w:r>
            <w:r w:rsidRPr="00C82CA9">
              <w:rPr>
                <w:rFonts w:cs="Times New Roman"/>
                <w:b/>
                <w:bCs/>
                <w:iCs/>
                <w:sz w:val="22"/>
                <w:lang w:val="en-IN"/>
              </w:rPr>
              <w:t>)</w:t>
            </w:r>
          </w:p>
        </w:tc>
        <w:tc>
          <w:tcPr>
            <w:tcW w:w="861" w:type="dxa"/>
            <w:gridSpan w:val="2"/>
            <w:tcBorders>
              <w:top w:val="single" w:sz="4" w:space="0" w:color="auto"/>
              <w:left w:val="nil"/>
              <w:bottom w:val="single" w:sz="4" w:space="0" w:color="auto"/>
              <w:right w:val="nil"/>
            </w:tcBorders>
            <w:vAlign w:val="center"/>
            <w:hideMark/>
          </w:tcPr>
          <w:p w14:paraId="757A7EEB" w14:textId="77777777" w:rsidR="00E30F52" w:rsidRPr="00C82CA9" w:rsidRDefault="00E30F52" w:rsidP="000B662C">
            <w:pPr>
              <w:spacing w:after="0" w:line="240" w:lineRule="auto"/>
              <w:jc w:val="center"/>
              <w:rPr>
                <w:rFonts w:cs="Times New Roman"/>
                <w:b/>
                <w:sz w:val="22"/>
                <w:lang w:val="en-IN"/>
              </w:rPr>
            </w:pPr>
            <w:r w:rsidRPr="00C82CA9">
              <w:rPr>
                <w:rFonts w:cs="Times New Roman"/>
                <w:b/>
                <w:sz w:val="22"/>
                <w:lang w:val="en-IN"/>
              </w:rPr>
              <w:t>Time (min)</w:t>
            </w:r>
          </w:p>
        </w:tc>
        <w:tc>
          <w:tcPr>
            <w:tcW w:w="1434" w:type="dxa"/>
            <w:tcBorders>
              <w:top w:val="single" w:sz="4" w:space="0" w:color="auto"/>
              <w:left w:val="nil"/>
              <w:bottom w:val="single" w:sz="4" w:space="0" w:color="auto"/>
              <w:right w:val="nil"/>
            </w:tcBorders>
            <w:vAlign w:val="center"/>
            <w:hideMark/>
          </w:tcPr>
          <w:p w14:paraId="7763F9C0" w14:textId="77777777" w:rsidR="00E30F52" w:rsidRDefault="00E30F52" w:rsidP="000B662C">
            <w:pPr>
              <w:spacing w:after="0" w:line="240" w:lineRule="auto"/>
              <w:jc w:val="center"/>
              <w:rPr>
                <w:rFonts w:cs="Times New Roman"/>
                <w:b/>
                <w:sz w:val="22"/>
                <w:lang w:val="en-IN"/>
              </w:rPr>
            </w:pPr>
            <w:r w:rsidRPr="005B2E24">
              <w:rPr>
                <w:rFonts w:cs="Times New Roman"/>
                <w:b/>
                <w:color w:val="000000"/>
                <w:sz w:val="22"/>
                <w:lang w:val="en-IN"/>
              </w:rPr>
              <w:t>Current density</w:t>
            </w:r>
            <w:r w:rsidRPr="00C82CA9">
              <w:rPr>
                <w:rFonts w:cs="Times New Roman"/>
                <w:b/>
                <w:sz w:val="22"/>
                <w:lang w:val="en-IN"/>
              </w:rPr>
              <w:t xml:space="preserve"> </w:t>
            </w:r>
          </w:p>
          <w:p w14:paraId="517128AB" w14:textId="77777777" w:rsidR="00E30F52" w:rsidRPr="00C82CA9" w:rsidRDefault="00E30F52" w:rsidP="000B662C">
            <w:pPr>
              <w:spacing w:after="0" w:line="240" w:lineRule="auto"/>
              <w:jc w:val="center"/>
              <w:rPr>
                <w:rFonts w:cs="Times New Roman"/>
                <w:b/>
                <w:sz w:val="22"/>
                <w:lang w:val="en-IN"/>
              </w:rPr>
            </w:pPr>
            <w:r w:rsidRPr="00C82CA9">
              <w:rPr>
                <w:rFonts w:cs="Times New Roman"/>
                <w:b/>
                <w:sz w:val="22"/>
                <w:lang w:val="en-IN"/>
              </w:rPr>
              <w:t>(mA</w:t>
            </w:r>
            <w:r>
              <w:rPr>
                <w:rFonts w:cs="Times New Roman"/>
                <w:b/>
                <w:sz w:val="22"/>
                <w:lang w:val="en-IN"/>
              </w:rPr>
              <w:t xml:space="preserve"> </w:t>
            </w:r>
            <w:r w:rsidRPr="00C82CA9">
              <w:rPr>
                <w:rFonts w:cs="Times New Roman"/>
                <w:b/>
                <w:sz w:val="22"/>
                <w:lang w:val="en-IN"/>
              </w:rPr>
              <w:t>cm</w:t>
            </w:r>
            <w:r>
              <w:rPr>
                <w:rFonts w:cs="Times New Roman"/>
                <w:bCs/>
                <w:color w:val="000000" w:themeColor="text1"/>
                <w:szCs w:val="24"/>
                <w:vertAlign w:val="superscript"/>
                <w:lang w:val="en-IN"/>
              </w:rPr>
              <w:t>‒</w:t>
            </w:r>
            <w:r w:rsidRPr="00CD6432">
              <w:rPr>
                <w:rFonts w:cs="Times New Roman"/>
                <w:b/>
                <w:sz w:val="22"/>
                <w:vertAlign w:val="superscript"/>
                <w:lang w:val="en-IN"/>
              </w:rPr>
              <w:t>2</w:t>
            </w:r>
            <w:r w:rsidRPr="00C82CA9">
              <w:rPr>
                <w:rFonts w:cs="Times New Roman"/>
                <w:b/>
                <w:sz w:val="22"/>
                <w:lang w:val="en-IN"/>
              </w:rPr>
              <w:t>)</w:t>
            </w:r>
          </w:p>
        </w:tc>
        <w:tc>
          <w:tcPr>
            <w:tcW w:w="1195" w:type="dxa"/>
            <w:tcBorders>
              <w:top w:val="single" w:sz="4" w:space="0" w:color="auto"/>
              <w:left w:val="nil"/>
              <w:bottom w:val="single" w:sz="4" w:space="0" w:color="auto"/>
              <w:right w:val="nil"/>
            </w:tcBorders>
            <w:vAlign w:val="center"/>
            <w:hideMark/>
          </w:tcPr>
          <w:p w14:paraId="7D3213F1" w14:textId="77777777" w:rsidR="00E30F52" w:rsidRPr="00C82CA9" w:rsidRDefault="00E30F52" w:rsidP="000B662C">
            <w:pPr>
              <w:spacing w:after="0" w:line="240" w:lineRule="auto"/>
              <w:jc w:val="center"/>
              <w:rPr>
                <w:rFonts w:cs="Times New Roman"/>
                <w:b/>
                <w:sz w:val="22"/>
                <w:lang w:val="en-IN"/>
              </w:rPr>
            </w:pPr>
            <w:r w:rsidRPr="00C82CA9">
              <w:rPr>
                <w:rFonts w:cs="Times New Roman"/>
                <w:b/>
                <w:sz w:val="22"/>
                <w:lang w:val="en-IN"/>
              </w:rPr>
              <w:t>Efficiency (%)</w:t>
            </w:r>
          </w:p>
        </w:tc>
        <w:tc>
          <w:tcPr>
            <w:tcW w:w="1805" w:type="dxa"/>
            <w:tcBorders>
              <w:top w:val="single" w:sz="4" w:space="0" w:color="auto"/>
              <w:left w:val="nil"/>
              <w:bottom w:val="single" w:sz="4" w:space="0" w:color="auto"/>
              <w:right w:val="nil"/>
            </w:tcBorders>
            <w:vAlign w:val="center"/>
            <w:hideMark/>
          </w:tcPr>
          <w:p w14:paraId="0533ED01" w14:textId="77777777" w:rsidR="00E30F52" w:rsidRPr="00C82CA9" w:rsidRDefault="00E30F52" w:rsidP="000B662C">
            <w:pPr>
              <w:spacing w:after="0" w:line="240" w:lineRule="auto"/>
              <w:jc w:val="center"/>
              <w:rPr>
                <w:rFonts w:cs="Times New Roman"/>
                <w:b/>
                <w:sz w:val="22"/>
                <w:lang w:val="en-IN"/>
              </w:rPr>
            </w:pPr>
            <w:r w:rsidRPr="00C82CA9">
              <w:rPr>
                <w:rFonts w:cs="Times New Roman"/>
                <w:b/>
                <w:sz w:val="22"/>
                <w:lang w:val="en-IN"/>
              </w:rPr>
              <w:t>Reference</w:t>
            </w:r>
          </w:p>
        </w:tc>
      </w:tr>
      <w:tr w:rsidR="00E30F52" w:rsidRPr="00C82CA9" w14:paraId="22EFD7CF" w14:textId="77777777" w:rsidTr="000B662C">
        <w:trPr>
          <w:trHeight w:val="207"/>
          <w:jc w:val="center"/>
        </w:trPr>
        <w:tc>
          <w:tcPr>
            <w:tcW w:w="1623" w:type="dxa"/>
            <w:tcBorders>
              <w:top w:val="single" w:sz="4" w:space="0" w:color="auto"/>
              <w:left w:val="nil"/>
              <w:bottom w:val="single" w:sz="4" w:space="0" w:color="auto"/>
              <w:right w:val="nil"/>
            </w:tcBorders>
            <w:vAlign w:val="center"/>
            <w:hideMark/>
          </w:tcPr>
          <w:p w14:paraId="170265D0"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Ce-PbO</w:t>
            </w:r>
            <w:r w:rsidRPr="00C82CA9">
              <w:rPr>
                <w:rFonts w:cs="Times New Roman"/>
                <w:sz w:val="22"/>
                <w:vertAlign w:val="subscript"/>
                <w:lang w:val="en-IN"/>
              </w:rPr>
              <w:t>2</w:t>
            </w:r>
            <w:r w:rsidRPr="00C82CA9">
              <w:rPr>
                <w:rFonts w:cs="Times New Roman"/>
                <w:sz w:val="22"/>
                <w:lang w:val="en-IN"/>
              </w:rPr>
              <w:t>/ZrO</w:t>
            </w:r>
            <w:r w:rsidRPr="00C82CA9">
              <w:rPr>
                <w:rFonts w:cs="Times New Roman"/>
                <w:sz w:val="22"/>
                <w:vertAlign w:val="subscript"/>
                <w:lang w:val="en-IN"/>
              </w:rPr>
              <w:t>2</w:t>
            </w:r>
          </w:p>
        </w:tc>
        <w:tc>
          <w:tcPr>
            <w:tcW w:w="1888" w:type="dxa"/>
            <w:tcBorders>
              <w:top w:val="single" w:sz="4" w:space="0" w:color="auto"/>
              <w:left w:val="nil"/>
              <w:bottom w:val="single" w:sz="4" w:space="0" w:color="auto"/>
              <w:right w:val="nil"/>
            </w:tcBorders>
            <w:vAlign w:val="center"/>
            <w:hideMark/>
          </w:tcPr>
          <w:p w14:paraId="52089EE0" w14:textId="77777777" w:rsidR="00E30F52" w:rsidRPr="00C82CA9" w:rsidRDefault="003E2EE4" w:rsidP="000B662C">
            <w:pPr>
              <w:spacing w:after="0" w:line="240" w:lineRule="auto"/>
              <w:jc w:val="center"/>
              <w:rPr>
                <w:rFonts w:cs="Times New Roman"/>
                <w:sz w:val="22"/>
                <w:lang w:val="en-IN"/>
              </w:rPr>
            </w:pPr>
            <w:hyperlink r:id="rId11" w:tooltip="Learn more about Acridine from ScienceDirect's AI-generated Topic Pages" w:history="1">
              <w:r w:rsidR="00E30F52" w:rsidRPr="00C82CA9">
                <w:rPr>
                  <w:rStyle w:val="Hyperlink"/>
                  <w:rFonts w:cs="Times New Roman"/>
                  <w:color w:val="auto"/>
                  <w:sz w:val="22"/>
                  <w:u w:val="none"/>
                  <w:lang w:val="en-IN"/>
                </w:rPr>
                <w:t>Acridine</w:t>
              </w:r>
            </w:hyperlink>
            <w:r w:rsidR="00E30F52" w:rsidRPr="00C82CA9">
              <w:rPr>
                <w:rFonts w:cs="Times New Roman"/>
                <w:sz w:val="22"/>
                <w:lang w:val="en-IN"/>
              </w:rPr>
              <w:t> orange</w:t>
            </w:r>
          </w:p>
        </w:tc>
        <w:tc>
          <w:tcPr>
            <w:tcW w:w="1079" w:type="dxa"/>
            <w:tcBorders>
              <w:top w:val="single" w:sz="4" w:space="0" w:color="auto"/>
              <w:left w:val="nil"/>
              <w:bottom w:val="single" w:sz="4" w:space="0" w:color="auto"/>
              <w:right w:val="nil"/>
            </w:tcBorders>
            <w:vAlign w:val="center"/>
            <w:hideMark/>
          </w:tcPr>
          <w:p w14:paraId="2FC3C7B3"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30</w:t>
            </w:r>
          </w:p>
        </w:tc>
        <w:tc>
          <w:tcPr>
            <w:tcW w:w="717" w:type="dxa"/>
            <w:tcBorders>
              <w:top w:val="single" w:sz="4" w:space="0" w:color="auto"/>
              <w:left w:val="nil"/>
              <w:bottom w:val="single" w:sz="4" w:space="0" w:color="auto"/>
              <w:right w:val="nil"/>
            </w:tcBorders>
            <w:vAlign w:val="center"/>
            <w:hideMark/>
          </w:tcPr>
          <w:p w14:paraId="04D0ED15"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90</w:t>
            </w:r>
          </w:p>
        </w:tc>
        <w:tc>
          <w:tcPr>
            <w:tcW w:w="1578" w:type="dxa"/>
            <w:gridSpan w:val="2"/>
            <w:tcBorders>
              <w:top w:val="single" w:sz="4" w:space="0" w:color="auto"/>
              <w:left w:val="nil"/>
              <w:bottom w:val="single" w:sz="4" w:space="0" w:color="auto"/>
              <w:right w:val="nil"/>
            </w:tcBorders>
            <w:vAlign w:val="center"/>
            <w:hideMark/>
          </w:tcPr>
          <w:p w14:paraId="5E23E3F1"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50</w:t>
            </w:r>
          </w:p>
        </w:tc>
        <w:tc>
          <w:tcPr>
            <w:tcW w:w="1195" w:type="dxa"/>
            <w:tcBorders>
              <w:top w:val="single" w:sz="4" w:space="0" w:color="auto"/>
              <w:left w:val="nil"/>
              <w:bottom w:val="single" w:sz="4" w:space="0" w:color="auto"/>
              <w:right w:val="nil"/>
            </w:tcBorders>
            <w:vAlign w:val="center"/>
            <w:hideMark/>
          </w:tcPr>
          <w:p w14:paraId="21EC7FED" w14:textId="77777777" w:rsidR="00E30F52" w:rsidRPr="00C82CA9" w:rsidRDefault="00E30F52" w:rsidP="000B662C">
            <w:pPr>
              <w:spacing w:after="0" w:line="240" w:lineRule="auto"/>
              <w:jc w:val="center"/>
              <w:rPr>
                <w:rFonts w:cs="Times New Roman"/>
                <w:sz w:val="22"/>
                <w:lang w:val="en-IN"/>
              </w:rPr>
            </w:pPr>
            <w:r w:rsidRPr="00C82CA9">
              <w:rPr>
                <w:rFonts w:cs="Times New Roman"/>
                <w:bCs/>
                <w:sz w:val="22"/>
              </w:rPr>
              <w:t>~</w:t>
            </w:r>
            <w:r w:rsidRPr="00C82CA9">
              <w:rPr>
                <w:rFonts w:cs="Times New Roman"/>
                <w:sz w:val="22"/>
                <w:lang w:val="en-IN"/>
              </w:rPr>
              <w:t>100</w:t>
            </w:r>
            <w:r w:rsidRPr="00EF4DDC">
              <w:rPr>
                <w:rFonts w:cs="Times New Roman"/>
                <w:sz w:val="22"/>
                <w:vertAlign w:val="superscript"/>
                <w:lang w:val="en-IN"/>
              </w:rPr>
              <w:t>b</w:t>
            </w:r>
          </w:p>
        </w:tc>
        <w:tc>
          <w:tcPr>
            <w:tcW w:w="1805" w:type="dxa"/>
            <w:tcBorders>
              <w:top w:val="single" w:sz="4" w:space="0" w:color="auto"/>
              <w:left w:val="nil"/>
              <w:bottom w:val="single" w:sz="4" w:space="0" w:color="auto"/>
              <w:right w:val="nil"/>
            </w:tcBorders>
            <w:vAlign w:val="center"/>
            <w:hideMark/>
          </w:tcPr>
          <w:p w14:paraId="08F465BE"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fldChar w:fldCharType="begin" w:fldLock="1"/>
            </w:r>
            <w:r>
              <w:rPr>
                <w:rFonts w:cs="Times New Roman"/>
                <w:sz w:val="22"/>
                <w:lang w:val="en-IN"/>
              </w:rPr>
              <w:instrText>ADDIN CSL_CITATION {"citationItems":[{"id":"ITEM-1","itemData":{"DOI":"10.1016/j.jhazmat.2018.08.081","ISSN":"03043894","PMID":"30179785","abstract":"Novel Ce-PbO2/ZrO2 composite electrodes were successfully fabricated in lead nitrate solution containing cerium ions and ZrO2 particles by composite electrodeposition method. SEM images and XRD results indicated that Ce-PbO2/ZrO2 composite electrodes have compact structure and fine grain size. Ce-PbO2/ZrO2 composite electrode has higher oxygen evolution overpotential and stability than Ce-PbO2 electrode. The service life of Ce-PbO2/ZrO2 composite electrode reaches 318 h, which is 4.2 times as that of Ce-PbO2 electrodes (74 h). The novel Ce-PbO2/ZrO2 composite electrode was employed as anode to decontaminate acridine orange (AO) by electrochemical oxidization methods. The effect of initial concentration of AO, current density, and initial pH values on the removal ratio of AO were analyzed. The results showed that AO could be completely removed after 90 min electrolysis under the optimal condition: initial AO concentration was 30 mg L−1, current density was 50 mA cm-2, and the initial pH value was 5.0. Moreover, the possible degradation pathway of AO was elucidated based on the identification of stable byproducts generated during the electrochemical degradation process by HPLC-MS, which revealed that AO and its byproducts could be effectively eliminated and mineralized into CO2, H2O, ammonium and nitrate ions.","author":[{"dropping-particle":"","family":"Yao","given":"Yingwu","non-dropping-particle":"","parse-names":false,"suffix":""},{"dropping-particle":"","family":"Ren","given":"Bingli","non-dropping-particle":"","parse-names":false,"suffix":""},{"dropping-particle":"","family":"Yang","given":"Yang","non-dropping-particle":"","parse-names":false,"suffix":""},{"dropping-particle":"","family":"Huang","given":"Chunjiao","non-dropping-particle":"","parse-names":false,"suffix":""},{"dropping-particle":"","family":"Li","given":"Mengyao","non-dropping-particle":"","parse-names":false,"suffix":""}],"container-title":"Journal of Hazardous Materials","id":"ITEM-1","issued":{"date-parts":[["2019","1"]]},"page":"141-151","title":"Preparation and electrochemical treatment application of Ce-PbO2/ZrO2 composite electrode in the degradation of acridine orange by electrochemical advanced oxidation process","type":"article-journal","volume":"361"},"uris":["http://www.mendeley.com/documents/?uuid=777e96a9-f304-4743-aaf3-bf32a4745c7c","http://www.mendeley.com/documents/?uuid=fb73560c-e07e-4a7c-ada1-1d51d9221e41"]}],"mendeley":{"formattedCitation":"(Yao et al., 2019)","plainTextFormattedCitation":"(Yao et al., 2019)","previouslyFormattedCitation":"(Yao et al., 2019)"},"properties":{"noteIndex":0},"schema":"https://github.com/citation-style-language/schema/raw/master/csl-citation.json"}</w:instrText>
            </w:r>
            <w:r w:rsidRPr="00C82CA9">
              <w:rPr>
                <w:rFonts w:cs="Times New Roman"/>
                <w:sz w:val="22"/>
                <w:lang w:val="en-IN"/>
              </w:rPr>
              <w:fldChar w:fldCharType="separate"/>
            </w:r>
            <w:r w:rsidRPr="00C82CA9">
              <w:rPr>
                <w:rFonts w:cs="Times New Roman"/>
                <w:noProof/>
                <w:sz w:val="22"/>
                <w:lang w:val="en-IN"/>
              </w:rPr>
              <w:t>(Yao et al., 2019)</w:t>
            </w:r>
            <w:r w:rsidRPr="00C82CA9">
              <w:rPr>
                <w:rFonts w:cs="Times New Roman"/>
                <w:sz w:val="22"/>
                <w:lang w:val="en-IN"/>
              </w:rPr>
              <w:fldChar w:fldCharType="end"/>
            </w:r>
          </w:p>
        </w:tc>
      </w:tr>
      <w:tr w:rsidR="00E30F52" w:rsidRPr="00C82CA9" w14:paraId="1301297F" w14:textId="77777777" w:rsidTr="000B662C">
        <w:trPr>
          <w:trHeight w:val="207"/>
          <w:jc w:val="center"/>
        </w:trPr>
        <w:tc>
          <w:tcPr>
            <w:tcW w:w="1623" w:type="dxa"/>
            <w:tcBorders>
              <w:top w:val="single" w:sz="4" w:space="0" w:color="auto"/>
              <w:left w:val="nil"/>
              <w:bottom w:val="single" w:sz="4" w:space="0" w:color="auto"/>
              <w:right w:val="nil"/>
            </w:tcBorders>
            <w:vAlign w:val="center"/>
            <w:hideMark/>
          </w:tcPr>
          <w:p w14:paraId="6636D300"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rPr>
              <w:t>Fe-doped PbO</w:t>
            </w:r>
            <w:r w:rsidRPr="00C82CA9">
              <w:rPr>
                <w:rFonts w:cs="Times New Roman"/>
                <w:sz w:val="22"/>
                <w:vertAlign w:val="subscript"/>
              </w:rPr>
              <w:t>2</w:t>
            </w:r>
          </w:p>
        </w:tc>
        <w:tc>
          <w:tcPr>
            <w:tcW w:w="1888" w:type="dxa"/>
            <w:tcBorders>
              <w:top w:val="single" w:sz="4" w:space="0" w:color="auto"/>
              <w:left w:val="nil"/>
              <w:bottom w:val="single" w:sz="4" w:space="0" w:color="auto"/>
              <w:right w:val="nil"/>
            </w:tcBorders>
            <w:vAlign w:val="center"/>
            <w:hideMark/>
          </w:tcPr>
          <w:p w14:paraId="604986AF" w14:textId="77777777" w:rsidR="00E30F52" w:rsidRPr="00C82CA9" w:rsidRDefault="00E30F52" w:rsidP="000B662C">
            <w:pPr>
              <w:spacing w:after="0" w:line="240" w:lineRule="auto"/>
              <w:jc w:val="center"/>
              <w:rPr>
                <w:rFonts w:cs="Times New Roman"/>
                <w:sz w:val="22"/>
              </w:rPr>
            </w:pPr>
            <w:r>
              <w:rPr>
                <w:rFonts w:cs="Times New Roman"/>
                <w:sz w:val="22"/>
              </w:rPr>
              <w:t>A</w:t>
            </w:r>
            <w:r w:rsidRPr="00C82CA9">
              <w:rPr>
                <w:rFonts w:cs="Times New Roman"/>
                <w:sz w:val="22"/>
              </w:rPr>
              <w:t>cid orange 7</w:t>
            </w:r>
          </w:p>
        </w:tc>
        <w:tc>
          <w:tcPr>
            <w:tcW w:w="1079" w:type="dxa"/>
            <w:tcBorders>
              <w:top w:val="single" w:sz="4" w:space="0" w:color="auto"/>
              <w:left w:val="nil"/>
              <w:bottom w:val="single" w:sz="4" w:space="0" w:color="auto"/>
              <w:right w:val="nil"/>
            </w:tcBorders>
            <w:vAlign w:val="center"/>
            <w:hideMark/>
          </w:tcPr>
          <w:p w14:paraId="7FC0BFB0"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100</w:t>
            </w:r>
          </w:p>
        </w:tc>
        <w:tc>
          <w:tcPr>
            <w:tcW w:w="717" w:type="dxa"/>
            <w:tcBorders>
              <w:top w:val="single" w:sz="4" w:space="0" w:color="auto"/>
              <w:left w:val="nil"/>
              <w:bottom w:val="single" w:sz="4" w:space="0" w:color="auto"/>
              <w:right w:val="nil"/>
            </w:tcBorders>
            <w:vAlign w:val="center"/>
            <w:hideMark/>
          </w:tcPr>
          <w:p w14:paraId="2086B428"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60</w:t>
            </w:r>
          </w:p>
        </w:tc>
        <w:tc>
          <w:tcPr>
            <w:tcW w:w="1578" w:type="dxa"/>
            <w:gridSpan w:val="2"/>
            <w:tcBorders>
              <w:top w:val="single" w:sz="4" w:space="0" w:color="auto"/>
              <w:left w:val="nil"/>
              <w:bottom w:val="single" w:sz="4" w:space="0" w:color="auto"/>
              <w:right w:val="nil"/>
            </w:tcBorders>
            <w:vAlign w:val="center"/>
            <w:hideMark/>
          </w:tcPr>
          <w:p w14:paraId="6ABA27B0"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20</w:t>
            </w:r>
          </w:p>
        </w:tc>
        <w:tc>
          <w:tcPr>
            <w:tcW w:w="1195" w:type="dxa"/>
            <w:tcBorders>
              <w:top w:val="single" w:sz="4" w:space="0" w:color="auto"/>
              <w:left w:val="nil"/>
              <w:bottom w:val="single" w:sz="4" w:space="0" w:color="auto"/>
              <w:right w:val="nil"/>
            </w:tcBorders>
            <w:vAlign w:val="center"/>
            <w:hideMark/>
          </w:tcPr>
          <w:p w14:paraId="02917DE2"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87.15</w:t>
            </w:r>
            <w:r w:rsidRPr="00C82CA9">
              <w:rPr>
                <w:rFonts w:cs="Times New Roman"/>
                <w:sz w:val="22"/>
                <w:vertAlign w:val="superscript"/>
                <w:lang w:val="en-IN"/>
              </w:rPr>
              <w:t xml:space="preserve">a </w:t>
            </w:r>
            <w:r w:rsidRPr="00C82CA9">
              <w:rPr>
                <w:rFonts w:cs="Times New Roman"/>
                <w:sz w:val="22"/>
                <w:lang w:val="en-IN"/>
              </w:rPr>
              <w:t xml:space="preserve">  </w:t>
            </w:r>
          </w:p>
        </w:tc>
        <w:tc>
          <w:tcPr>
            <w:tcW w:w="1805" w:type="dxa"/>
            <w:tcBorders>
              <w:top w:val="single" w:sz="4" w:space="0" w:color="auto"/>
              <w:left w:val="nil"/>
              <w:bottom w:val="single" w:sz="4" w:space="0" w:color="auto"/>
              <w:right w:val="nil"/>
            </w:tcBorders>
            <w:vAlign w:val="center"/>
            <w:hideMark/>
          </w:tcPr>
          <w:p w14:paraId="2296ECA5"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fldChar w:fldCharType="begin" w:fldLock="1"/>
            </w:r>
            <w:r>
              <w:rPr>
                <w:rFonts w:cs="Times New Roman"/>
                <w:sz w:val="22"/>
                <w:lang w:val="en-IN"/>
              </w:rPr>
              <w:instrText>ADDIN CSL_CITATION {"citationItems":[{"id":"ITEM-1","itemData":{"DOI":"10.1016/j.chemosphere.2019.125010","ISSN":"00456535","PMID":"31605993","abstract":"In this study, electrochemical oxidation of Acid Orange 7 (AO 7) azo dye has been investigated using a Fe-doped PbO2 electrode. The degradation of AO 7 followed pseudo-first-order reaction kinetics. The removals of AO 7, chemical oxygen demand (COD) and total organic carbon (TOC) were 87.15%, 49.88% and 44.94% after 60 min of electrolysis at the optimal conditions (Na2SO4 concentration 0.1 M, initial pH 5, initial AO 7 concentration 100 mg L−1 and applied current density 20 mA cm−2), respectively. And the corresponding degradation rate constant was 0.035 min−1. The intermediates formed during electrochemical process were identified, and a possible degradation pathway was proposed, which was initiated by the oxidation of azo bond (-N[dbnd]N-), hydroxylation and substitution reaction of –NH2 and –SO3H under the attack of [rad]OH, and ended with the formation of mineralization products such as NH4+, NO3−, SO42−, CO2 and H2O. The toxicity of treated AO 7 solution towards Vibrio fischeri increased slightly at first and then rapidly reduced to non-toxicity with prolonging time. The results indicate that electrochemical oxidation of AO 7 using Fe-doped PbO2 electrode is a promising way.","author":[{"dropping-particle":"","family":"Xia","given":"Yijing","non-dropping-particle":"","parse-names":false,"suffix":""},{"dropping-particle":"","family":"Wang","given":"Guoqin","non-dropping-particle":"","parse-names":false,"suffix":""},{"dropping-particle":"","family":"Guo","given":"Lidong","non-dropping-particle":"","parse-names":false,"suffix":""},{"dropping-particle":"","family":"Dai","given":"Qizhou","non-dropping-particle":"","parse-names":false,"suffix":""},{"dropping-particle":"","family":"Ma","given":"Xiangjuan","non-dropping-particle":"","parse-names":false,"suffix":""}],"container-title":"Chemosphere","id":"ITEM-1","issued":{"date-parts":[["2020","2"]]},"page":"125010","title":"Electrochemical oxidation of Acid Orange 7 azo dye using a PbO2 electrode: Parameter optimization, reaction mechanism and toxicity evaluation","type":"article-journal","volume":"241"},"uris":["http://www.mendeley.com/documents/?uuid=192e460b-b3d6-493e-8da6-c75e3e08e3cb","http://www.mendeley.com/documents/?uuid=f9117a0c-6bf9-4f71-9acb-1b5c9c161e42"]}],"mendeley":{"formattedCitation":"(Xia et al., 2020a)","plainTextFormattedCitation":"(Xia et al., 2020a)","previouslyFormattedCitation":"(Xia et al., 2020a)"},"properties":{"noteIndex":0},"schema":"https://github.com/citation-style-language/schema/raw/master/csl-citation.json"}</w:instrText>
            </w:r>
            <w:r w:rsidRPr="00C82CA9">
              <w:rPr>
                <w:rFonts w:cs="Times New Roman"/>
                <w:sz w:val="22"/>
                <w:lang w:val="en-IN"/>
              </w:rPr>
              <w:fldChar w:fldCharType="separate"/>
            </w:r>
            <w:r w:rsidRPr="00C82CA9">
              <w:rPr>
                <w:rFonts w:cs="Times New Roman"/>
                <w:noProof/>
                <w:sz w:val="22"/>
                <w:lang w:val="en-IN"/>
              </w:rPr>
              <w:t>(Xia et al., 2020a)</w:t>
            </w:r>
            <w:r w:rsidRPr="00C82CA9">
              <w:rPr>
                <w:rFonts w:cs="Times New Roman"/>
                <w:sz w:val="22"/>
                <w:lang w:val="en-IN"/>
              </w:rPr>
              <w:fldChar w:fldCharType="end"/>
            </w:r>
          </w:p>
        </w:tc>
      </w:tr>
      <w:tr w:rsidR="00E30F52" w:rsidRPr="00C82CA9" w14:paraId="5786D634" w14:textId="77777777" w:rsidTr="000B662C">
        <w:trPr>
          <w:trHeight w:val="155"/>
          <w:jc w:val="center"/>
        </w:trPr>
        <w:tc>
          <w:tcPr>
            <w:tcW w:w="1623" w:type="dxa"/>
            <w:tcBorders>
              <w:top w:val="single" w:sz="4" w:space="0" w:color="auto"/>
              <w:left w:val="nil"/>
              <w:bottom w:val="single" w:sz="4" w:space="0" w:color="auto"/>
              <w:right w:val="nil"/>
            </w:tcBorders>
            <w:vAlign w:val="center"/>
            <w:hideMark/>
          </w:tcPr>
          <w:p w14:paraId="2EA1B66B"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 xml:space="preserve"> BDD</w:t>
            </w:r>
          </w:p>
        </w:tc>
        <w:tc>
          <w:tcPr>
            <w:tcW w:w="1888" w:type="dxa"/>
            <w:tcBorders>
              <w:top w:val="single" w:sz="4" w:space="0" w:color="auto"/>
              <w:left w:val="nil"/>
              <w:bottom w:val="single" w:sz="4" w:space="0" w:color="auto"/>
              <w:right w:val="nil"/>
            </w:tcBorders>
            <w:vAlign w:val="center"/>
            <w:hideMark/>
          </w:tcPr>
          <w:p w14:paraId="0CDFF314"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Norfloxacin</w:t>
            </w:r>
          </w:p>
        </w:tc>
        <w:tc>
          <w:tcPr>
            <w:tcW w:w="1079" w:type="dxa"/>
            <w:tcBorders>
              <w:top w:val="single" w:sz="4" w:space="0" w:color="auto"/>
              <w:left w:val="nil"/>
              <w:bottom w:val="single" w:sz="4" w:space="0" w:color="auto"/>
              <w:right w:val="nil"/>
            </w:tcBorders>
            <w:vAlign w:val="center"/>
            <w:hideMark/>
          </w:tcPr>
          <w:p w14:paraId="067CEF55"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100</w:t>
            </w:r>
          </w:p>
        </w:tc>
        <w:tc>
          <w:tcPr>
            <w:tcW w:w="717" w:type="dxa"/>
            <w:tcBorders>
              <w:top w:val="single" w:sz="4" w:space="0" w:color="auto"/>
              <w:left w:val="nil"/>
              <w:bottom w:val="single" w:sz="4" w:space="0" w:color="auto"/>
              <w:right w:val="nil"/>
            </w:tcBorders>
            <w:vAlign w:val="center"/>
            <w:hideMark/>
          </w:tcPr>
          <w:p w14:paraId="01F631AD"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120</w:t>
            </w:r>
          </w:p>
        </w:tc>
        <w:tc>
          <w:tcPr>
            <w:tcW w:w="1578" w:type="dxa"/>
            <w:gridSpan w:val="2"/>
            <w:tcBorders>
              <w:top w:val="single" w:sz="4" w:space="0" w:color="auto"/>
              <w:left w:val="nil"/>
              <w:bottom w:val="single" w:sz="4" w:space="0" w:color="auto"/>
              <w:right w:val="nil"/>
            </w:tcBorders>
            <w:vAlign w:val="center"/>
            <w:hideMark/>
          </w:tcPr>
          <w:p w14:paraId="5CDC6A40"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83</w:t>
            </w:r>
          </w:p>
        </w:tc>
        <w:tc>
          <w:tcPr>
            <w:tcW w:w="1195" w:type="dxa"/>
            <w:tcBorders>
              <w:top w:val="single" w:sz="4" w:space="0" w:color="auto"/>
              <w:left w:val="nil"/>
              <w:bottom w:val="single" w:sz="4" w:space="0" w:color="auto"/>
              <w:right w:val="nil"/>
            </w:tcBorders>
            <w:vAlign w:val="center"/>
            <w:hideMark/>
          </w:tcPr>
          <w:p w14:paraId="0EE50022"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92</w:t>
            </w:r>
            <w:r w:rsidRPr="00494F78">
              <w:rPr>
                <w:rFonts w:cs="Times New Roman"/>
                <w:sz w:val="22"/>
                <w:vertAlign w:val="superscript"/>
                <w:lang w:val="en-IN"/>
              </w:rPr>
              <w:t xml:space="preserve"> b</w:t>
            </w:r>
          </w:p>
        </w:tc>
        <w:tc>
          <w:tcPr>
            <w:tcW w:w="1805" w:type="dxa"/>
            <w:tcBorders>
              <w:top w:val="single" w:sz="4" w:space="0" w:color="auto"/>
              <w:left w:val="nil"/>
              <w:bottom w:val="single" w:sz="4" w:space="0" w:color="auto"/>
              <w:right w:val="nil"/>
            </w:tcBorders>
            <w:vAlign w:val="center"/>
            <w:hideMark/>
          </w:tcPr>
          <w:p w14:paraId="0242CB88"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fldChar w:fldCharType="begin" w:fldLock="1"/>
            </w:r>
            <w:r>
              <w:rPr>
                <w:rFonts w:cs="Times New Roman"/>
                <w:sz w:val="22"/>
                <w:lang w:val="en-IN"/>
              </w:rPr>
              <w:instrText>ADDIN CSL_CITATION {"citationItems":[{"id":"ITEM-1","itemData":{"DOI":"10.1016/j.seppur.2018.05.017","ISSN":"13835866","abstract":"Electrochemical oxidation of Norfloxacin (NOR) in sodium sulphate media has been comparatively studied in an undivided and in a divided electrolytic cell both containing either a boron doped diamond (BDD) or a novel Sb-doped SnO2 ceramic anode under galvanostatic operation. The electro-oxidation was found to occur with first order kinetics mainly when using both anodes. The results showed the great oxidizing power of BDD in relation to the ceramic anode to convert NOR and all the intermediate accumulated into CO2. In the case of the BDD, although a 92% of TOC abatement was achieved, the complete mineralization was not possible probably due to the carboxylic acids still present in solution. On the contrary, for the ceramic electrode, which presented a maximum value of TOC removal of about 63%, the total mineralization of the aromatic oxidation intermediates was not reached under the experimental conditions. The use of a membrane divided cell showed positive aspects in terms of molecule degradation, degree of mineralization and current efficiency since prevents the intermediate products formed during the NOR oxidation process from being reduced on the cathode.","author":[{"dropping-particle":"","family":"Mora-Gomez","given":"J.","non-dropping-particle":"","parse-names":false,"suffix":""},{"dropping-particle":"","family":"Ortega","given":"E.","non-dropping-particle":"","parse-names":false,"suffix":""},{"dropping-particle":"","family":"Mestre","given":"S.","non-dropping-particle":"","parse-names":false,"suffix":""},{"dropping-particle":"","family":"Pérez-Herranz","given":"V.","non-dropping-particle":"","parse-names":false,"suffix":""},{"dropping-particle":"","family":"García-Gabaldón","given":"M.","non-dropping-particle":"","parse-names":false,"suffix":""}],"container-title":"Separation and Purification Technology","id":"ITEM-1","issued":{"date-parts":[["2019","1"]]},"page":"68-75","title":"Electrochemical degradation of norfloxacin using BDD and new Sb-doped SnO2 ceramic anodes in an electrochemical reactor in the presence and absence of a cation-exchange membrane","type":"article-journal","volume":"208"},"uris":["http://www.mendeley.com/documents/?uuid=07f9a195-3c47-4367-af71-891b6719b0c9","http://www.mendeley.com/documents/?uuid=9fa526a9-8e6f-4728-8047-ebe9c3837b51"]}],"mendeley":{"formattedCitation":"(Mora-Gomez et al., 2019)","plainTextFormattedCitation":"(Mora-Gomez et al., 2019)","previouslyFormattedCitation":"(Mora-Gomez et al., 2019)"},"properties":{"noteIndex":0},"schema":"https://github.com/citation-style-language/schema/raw/master/csl-citation.json"}</w:instrText>
            </w:r>
            <w:r w:rsidRPr="00C82CA9">
              <w:rPr>
                <w:rFonts w:cs="Times New Roman"/>
                <w:sz w:val="22"/>
                <w:lang w:val="en-IN"/>
              </w:rPr>
              <w:fldChar w:fldCharType="separate"/>
            </w:r>
            <w:r w:rsidRPr="00C82CA9">
              <w:rPr>
                <w:rFonts w:cs="Times New Roman"/>
                <w:noProof/>
                <w:sz w:val="22"/>
                <w:lang w:val="en-IN"/>
              </w:rPr>
              <w:t>(Mora-Gomez et al., 2019)</w:t>
            </w:r>
            <w:r w:rsidRPr="00C82CA9">
              <w:rPr>
                <w:rFonts w:cs="Times New Roman"/>
                <w:sz w:val="22"/>
                <w:lang w:val="en-IN"/>
              </w:rPr>
              <w:fldChar w:fldCharType="end"/>
            </w:r>
          </w:p>
        </w:tc>
      </w:tr>
      <w:tr w:rsidR="00E30F52" w:rsidRPr="00C82CA9" w14:paraId="7CE7C6A2" w14:textId="77777777" w:rsidTr="000B662C">
        <w:trPr>
          <w:trHeight w:val="604"/>
          <w:jc w:val="center"/>
        </w:trPr>
        <w:tc>
          <w:tcPr>
            <w:tcW w:w="1623" w:type="dxa"/>
            <w:tcBorders>
              <w:top w:val="single" w:sz="4" w:space="0" w:color="auto"/>
              <w:left w:val="nil"/>
              <w:bottom w:val="single" w:sz="4" w:space="0" w:color="auto"/>
              <w:right w:val="nil"/>
            </w:tcBorders>
            <w:vAlign w:val="center"/>
            <w:hideMark/>
          </w:tcPr>
          <w:p w14:paraId="6AD472C4"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rPr>
              <w:t>BDD</w:t>
            </w:r>
          </w:p>
        </w:tc>
        <w:tc>
          <w:tcPr>
            <w:tcW w:w="1888" w:type="dxa"/>
            <w:tcBorders>
              <w:top w:val="single" w:sz="4" w:space="0" w:color="auto"/>
              <w:left w:val="nil"/>
              <w:bottom w:val="single" w:sz="4" w:space="0" w:color="auto"/>
              <w:right w:val="nil"/>
            </w:tcBorders>
            <w:vAlign w:val="center"/>
            <w:hideMark/>
          </w:tcPr>
          <w:p w14:paraId="7343ACEE" w14:textId="77777777" w:rsidR="00E30F52" w:rsidRPr="00C82CA9" w:rsidRDefault="00E30F52" w:rsidP="000B662C">
            <w:pPr>
              <w:spacing w:after="0" w:line="240" w:lineRule="auto"/>
              <w:jc w:val="center"/>
              <w:rPr>
                <w:rFonts w:cs="Times New Roman"/>
                <w:sz w:val="22"/>
              </w:rPr>
            </w:pPr>
            <w:r w:rsidRPr="00C82CA9">
              <w:rPr>
                <w:rFonts w:cs="Times New Roman"/>
                <w:sz w:val="22"/>
              </w:rPr>
              <w:t>Phenol</w:t>
            </w:r>
          </w:p>
        </w:tc>
        <w:tc>
          <w:tcPr>
            <w:tcW w:w="1079" w:type="dxa"/>
            <w:tcBorders>
              <w:top w:val="single" w:sz="4" w:space="0" w:color="auto"/>
              <w:left w:val="nil"/>
              <w:bottom w:val="single" w:sz="4" w:space="0" w:color="auto"/>
              <w:right w:val="nil"/>
            </w:tcBorders>
            <w:vAlign w:val="center"/>
            <w:hideMark/>
          </w:tcPr>
          <w:p w14:paraId="064E1DAD"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1880</w:t>
            </w:r>
          </w:p>
        </w:tc>
        <w:tc>
          <w:tcPr>
            <w:tcW w:w="717" w:type="dxa"/>
            <w:tcBorders>
              <w:top w:val="single" w:sz="4" w:space="0" w:color="auto"/>
              <w:left w:val="nil"/>
              <w:bottom w:val="single" w:sz="4" w:space="0" w:color="auto"/>
              <w:right w:val="nil"/>
            </w:tcBorders>
            <w:vAlign w:val="center"/>
            <w:hideMark/>
          </w:tcPr>
          <w:p w14:paraId="7DD52905"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180</w:t>
            </w:r>
          </w:p>
        </w:tc>
        <w:tc>
          <w:tcPr>
            <w:tcW w:w="1578" w:type="dxa"/>
            <w:gridSpan w:val="2"/>
            <w:tcBorders>
              <w:top w:val="single" w:sz="4" w:space="0" w:color="auto"/>
              <w:left w:val="nil"/>
              <w:bottom w:val="single" w:sz="4" w:space="0" w:color="auto"/>
              <w:right w:val="nil"/>
            </w:tcBorders>
            <w:vAlign w:val="center"/>
            <w:hideMark/>
          </w:tcPr>
          <w:p w14:paraId="7593A757"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rPr>
              <w:t>5</w:t>
            </w:r>
          </w:p>
        </w:tc>
        <w:tc>
          <w:tcPr>
            <w:tcW w:w="1195" w:type="dxa"/>
            <w:tcBorders>
              <w:top w:val="single" w:sz="4" w:space="0" w:color="auto"/>
              <w:left w:val="nil"/>
              <w:bottom w:val="single" w:sz="4" w:space="0" w:color="auto"/>
              <w:right w:val="nil"/>
            </w:tcBorders>
            <w:vAlign w:val="center"/>
            <w:hideMark/>
          </w:tcPr>
          <w:p w14:paraId="3C879EA1"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rPr>
              <w:t>90</w:t>
            </w:r>
            <w:r w:rsidRPr="00494F78">
              <w:rPr>
                <w:rFonts w:cs="Times New Roman"/>
                <w:sz w:val="22"/>
                <w:vertAlign w:val="superscript"/>
                <w:lang w:val="en-IN"/>
              </w:rPr>
              <w:t xml:space="preserve"> b</w:t>
            </w:r>
          </w:p>
        </w:tc>
        <w:tc>
          <w:tcPr>
            <w:tcW w:w="1805" w:type="dxa"/>
            <w:tcBorders>
              <w:top w:val="single" w:sz="4" w:space="0" w:color="auto"/>
              <w:left w:val="nil"/>
              <w:bottom w:val="single" w:sz="4" w:space="0" w:color="auto"/>
              <w:right w:val="nil"/>
            </w:tcBorders>
            <w:vAlign w:val="center"/>
            <w:hideMark/>
          </w:tcPr>
          <w:p w14:paraId="39DD613A"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fldChar w:fldCharType="begin" w:fldLock="1"/>
            </w:r>
            <w:r>
              <w:rPr>
                <w:rFonts w:cs="Times New Roman"/>
                <w:sz w:val="22"/>
                <w:lang w:val="en-IN"/>
              </w:rPr>
              <w:instrText>ADDIN CSL_CITATION {"citationItems":[{"id":"ITEM-1","itemData":{"DOI":"10.1134/S102319351102011X","ISSN":"10231935","abstract":"The process of phenol oxidation on a boron-doped diamond electrode (BDD) is studied in acidic electrolytes under different conditions of generation of active oxygen forms (AOFs). The scheme of phenol oxidation known from the literature for other electrode materials is confirmed. Phenol is oxidized through a number of intermediates (benzoquinone, carboxylic acids) to carbon dioxide and water. Comparative analysis of phenol oxidation rate constants is performed as dependent on the electrolysis conditions: direct anodic oxidation, with oxygen bubbling, and addition of H2O2. A scheme is confirmed according to which active radicals (OH, HO2 HO -2 are formed on a BDD anode that can oxidize the substrate which leads to formation of organic radicals interacting with each other and forming condensation products. Processes with participation of free radicals (chain-radical mechanism) play an important role in electrochemical oxidation on BDD. Intermediates and polymeric substances (polyphenols, quinone structures, and resins) are formed. An excess of the oxidant (H 2O2) promotes a more effective oxidation of organic radicals and accordingly inhibition of the condensation process. © Pleiades Publishing, Ltd., 2011.","author":[{"dropping-particle":"V.","family":"Kornienko","given":"G.","non-dropping-particle":"","parse-names":false,"suffix":""},{"dropping-particle":"V.","family":"Chaenko","given":"N.","non-dropping-particle":"","parse-names":false,"suffix":""},{"dropping-particle":"","family":"Maksimov","given":"N. G.","non-dropping-particle":"","parse-names":false,"suffix":""},{"dropping-particle":"","family":"Kornienko","given":"V. L.","non-dropping-particle":"","parse-names":false,"suffix":""},{"dropping-particle":"","family":"Varnin","given":"V. P.","non-dropping-particle":"","parse-names":false,"suffix":""}],"container-title":"Russian Journal of Electrochemistry","id":"ITEM-1","issue":"2","issued":{"date-parts":[["2011"]]},"page":"225-229","title":"Electrochemical oxidation of phenol on boron-doped diamond electrode","type":"article-journal","volume":"47"},"uris":["http://www.mendeley.com/documents/?uuid=8d62bbf3-b784-451e-a4f7-ffaf2be1818d","http://www.mendeley.com/documents/?uuid=fe1f161c-d7f2-4b3d-b84f-219c240b9aa6"]}],"mendeley":{"formattedCitation":"(Kornienko et al., 2011)","plainTextFormattedCitation":"(Kornienko et al., 2011)","previouslyFormattedCitation":"(Kornienko et al., 2011)"},"properties":{"noteIndex":0},"schema":"https://github.com/citation-style-language/schema/raw/master/csl-citation.json"}</w:instrText>
            </w:r>
            <w:r w:rsidRPr="00C82CA9">
              <w:rPr>
                <w:rFonts w:cs="Times New Roman"/>
                <w:sz w:val="22"/>
                <w:lang w:val="en-IN"/>
              </w:rPr>
              <w:fldChar w:fldCharType="separate"/>
            </w:r>
            <w:r w:rsidRPr="00C82CA9">
              <w:rPr>
                <w:rFonts w:cs="Times New Roman"/>
                <w:noProof/>
                <w:sz w:val="22"/>
                <w:lang w:val="en-IN"/>
              </w:rPr>
              <w:t>(Kornienko et al., 2011)</w:t>
            </w:r>
            <w:r w:rsidRPr="00C82CA9">
              <w:rPr>
                <w:rFonts w:cs="Times New Roman"/>
                <w:sz w:val="22"/>
                <w:lang w:val="en-IN"/>
              </w:rPr>
              <w:fldChar w:fldCharType="end"/>
            </w:r>
          </w:p>
        </w:tc>
      </w:tr>
      <w:tr w:rsidR="00E30F52" w:rsidRPr="00C82CA9" w14:paraId="2069736C" w14:textId="77777777" w:rsidTr="000B662C">
        <w:trPr>
          <w:trHeight w:val="64"/>
          <w:jc w:val="center"/>
        </w:trPr>
        <w:tc>
          <w:tcPr>
            <w:tcW w:w="1623" w:type="dxa"/>
            <w:tcBorders>
              <w:top w:val="single" w:sz="4" w:space="0" w:color="auto"/>
              <w:left w:val="nil"/>
              <w:bottom w:val="single" w:sz="4" w:space="0" w:color="auto"/>
              <w:right w:val="nil"/>
            </w:tcBorders>
            <w:vAlign w:val="center"/>
            <w:hideMark/>
          </w:tcPr>
          <w:p w14:paraId="62BC2983"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rPr>
              <w:t>IrO</w:t>
            </w:r>
            <w:r w:rsidRPr="00C82CA9">
              <w:rPr>
                <w:rFonts w:cs="Times New Roman"/>
                <w:sz w:val="22"/>
                <w:vertAlign w:val="subscript"/>
              </w:rPr>
              <w:t>2</w:t>
            </w:r>
          </w:p>
        </w:tc>
        <w:tc>
          <w:tcPr>
            <w:tcW w:w="1888" w:type="dxa"/>
            <w:tcBorders>
              <w:top w:val="single" w:sz="4" w:space="0" w:color="auto"/>
              <w:left w:val="nil"/>
              <w:bottom w:val="single" w:sz="4" w:space="0" w:color="auto"/>
              <w:right w:val="nil"/>
            </w:tcBorders>
            <w:vAlign w:val="center"/>
            <w:hideMark/>
          </w:tcPr>
          <w:p w14:paraId="67917FBF" w14:textId="77777777" w:rsidR="00E30F52" w:rsidRPr="00C82CA9" w:rsidRDefault="00E30F52" w:rsidP="000B662C">
            <w:pPr>
              <w:spacing w:after="0" w:line="240" w:lineRule="auto"/>
              <w:jc w:val="center"/>
              <w:rPr>
                <w:rFonts w:cs="Times New Roman"/>
                <w:sz w:val="22"/>
                <w:lang w:val="en-IN"/>
              </w:rPr>
            </w:pPr>
            <w:proofErr w:type="spellStart"/>
            <w:r w:rsidRPr="00C82CA9">
              <w:rPr>
                <w:rFonts w:cs="Times New Roman"/>
                <w:sz w:val="22"/>
              </w:rPr>
              <w:t>Chloranilic</w:t>
            </w:r>
            <w:proofErr w:type="spellEnd"/>
            <w:r w:rsidRPr="00C82CA9">
              <w:rPr>
                <w:rFonts w:cs="Times New Roman"/>
                <w:sz w:val="22"/>
              </w:rPr>
              <w:t xml:space="preserve"> acid</w:t>
            </w:r>
          </w:p>
        </w:tc>
        <w:tc>
          <w:tcPr>
            <w:tcW w:w="1079" w:type="dxa"/>
            <w:tcBorders>
              <w:top w:val="single" w:sz="4" w:space="0" w:color="auto"/>
              <w:left w:val="nil"/>
              <w:bottom w:val="single" w:sz="4" w:space="0" w:color="auto"/>
              <w:right w:val="nil"/>
            </w:tcBorders>
            <w:vAlign w:val="center"/>
            <w:hideMark/>
          </w:tcPr>
          <w:p w14:paraId="53DEB793"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 xml:space="preserve">450 </w:t>
            </w:r>
          </w:p>
        </w:tc>
        <w:tc>
          <w:tcPr>
            <w:tcW w:w="717" w:type="dxa"/>
            <w:tcBorders>
              <w:top w:val="single" w:sz="4" w:space="0" w:color="auto"/>
              <w:left w:val="nil"/>
              <w:bottom w:val="single" w:sz="4" w:space="0" w:color="auto"/>
              <w:right w:val="nil"/>
            </w:tcBorders>
            <w:vAlign w:val="center"/>
            <w:hideMark/>
          </w:tcPr>
          <w:p w14:paraId="22355F8A"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225</w:t>
            </w:r>
          </w:p>
        </w:tc>
        <w:tc>
          <w:tcPr>
            <w:tcW w:w="1578" w:type="dxa"/>
            <w:gridSpan w:val="2"/>
            <w:tcBorders>
              <w:top w:val="single" w:sz="4" w:space="0" w:color="auto"/>
              <w:left w:val="nil"/>
              <w:bottom w:val="single" w:sz="4" w:space="0" w:color="auto"/>
              <w:right w:val="nil"/>
            </w:tcBorders>
            <w:vAlign w:val="center"/>
            <w:hideMark/>
          </w:tcPr>
          <w:p w14:paraId="749F0281"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rPr>
              <w:t>50</w:t>
            </w:r>
          </w:p>
        </w:tc>
        <w:tc>
          <w:tcPr>
            <w:tcW w:w="1195" w:type="dxa"/>
            <w:tcBorders>
              <w:top w:val="single" w:sz="4" w:space="0" w:color="auto"/>
              <w:left w:val="nil"/>
              <w:bottom w:val="single" w:sz="4" w:space="0" w:color="auto"/>
              <w:right w:val="nil"/>
            </w:tcBorders>
            <w:vAlign w:val="center"/>
            <w:hideMark/>
          </w:tcPr>
          <w:p w14:paraId="132FF2BF"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rPr>
              <w:t>90</w:t>
            </w:r>
            <w:r w:rsidRPr="00494F78">
              <w:rPr>
                <w:rFonts w:cs="Times New Roman"/>
                <w:sz w:val="22"/>
                <w:vertAlign w:val="superscript"/>
                <w:lang w:val="en-IN"/>
              </w:rPr>
              <w:t xml:space="preserve"> b</w:t>
            </w:r>
          </w:p>
        </w:tc>
        <w:tc>
          <w:tcPr>
            <w:tcW w:w="1805" w:type="dxa"/>
            <w:tcBorders>
              <w:top w:val="single" w:sz="4" w:space="0" w:color="auto"/>
              <w:left w:val="nil"/>
              <w:bottom w:val="single" w:sz="4" w:space="0" w:color="auto"/>
              <w:right w:val="nil"/>
            </w:tcBorders>
            <w:vAlign w:val="center"/>
            <w:hideMark/>
          </w:tcPr>
          <w:p w14:paraId="318041CF"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fldChar w:fldCharType="begin" w:fldLock="1"/>
            </w:r>
            <w:r>
              <w:rPr>
                <w:rFonts w:cs="Times New Roman"/>
                <w:sz w:val="22"/>
                <w:lang w:val="en-IN"/>
              </w:rPr>
              <w:instrText>ADDIN CSL_CITATION {"citationItems":[{"id":"ITEM-1","itemData":{"DOI":"10.1016/j.electacta.2004.07.035","ISSN":"00134686","abstract":"The electrochemical oxidation of chloranilic acid (CAA) has been studied in acidic media at Pb/PbO2, boron-doped diamond (Si/BDD) and Ti/IrO2 electrodes by bulk electrolysis experiments under galvanostatic control. The obtained results have clearly shown that the electrode material is an important parameter for the optimization of such processes, deciding of their mechanism and of the oxidation products. It has been observed that the oxidation of CAA generates several intermediates eventually leading to its complete mineralization. Different current efficiencies were obtained at Pb/PbO2 and BDD, depending on the applied current density in the range from 6.3 to 50mA cm-2. Also the effect of the temperature on Pb/PbO2 and BDD electrodes was studied. UV spectrometric measurements were carried out at all anodic materials, with applied current density of 25 and 50 mA cm-2. These results showed a faster CAA elimination at the BDD electrode. Finally, a mechanism for the electrochemical oxidation of CAA has been proposed according to the results obtained with the HPLC technique. © 2004 Elsevier Ltd. All rights reserved.","author":[{"dropping-particle":"","family":"Martínez-Huitle","given":"Carlos A.","non-dropping-particle":"","parse-names":false,"suffix":""},{"dropping-particle":"","family":"Quiroz","given":"Marco Antonio","non-dropping-particle":"","parse-names":false,"suffix":""},{"dropping-particle":"","family":"Comninellis","given":"Christos","non-dropping-particle":"","parse-names":false,"suffix":""},{"dropping-particle":"","family":"Ferro","given":"Sergio","non-dropping-particle":"","parse-names":false,"suffix":""},{"dropping-particle":"","family":"Battisti","given":"Achille","non-dropping-particle":"De","parse-names":false,"suffix":""}],"container-title":"Electrochimica Acta","id":"ITEM-1","issue":"4","issued":{"date-parts":[["2004"]]},"page":"949-956","title":"Electrochemical incineration of chloranilic acid using Ti/IrO2, Pb/PbO2 and Si/BDD electrodes","type":"article-journal","volume":"50"},"uris":["http://www.mendeley.com/documents/?uuid=cef64287-741d-407f-bd65-c65b8a771a3c","http://www.mendeley.com/documents/?uuid=8dc2fb2c-612c-4104-927e-73ded8947a47"]}],"mendeley":{"formattedCitation":"(Martínez-Huitle et al., 2004)","plainTextFormattedCitation":"(Martínez-Huitle et al., 2004)","previouslyFormattedCitation":"(Martínez-Huitle et al., 2004)"},"properties":{"noteIndex":0},"schema":"https://github.com/citation-style-language/schema/raw/master/csl-citation.json"}</w:instrText>
            </w:r>
            <w:r w:rsidRPr="00C82CA9">
              <w:rPr>
                <w:rFonts w:cs="Times New Roman"/>
                <w:sz w:val="22"/>
                <w:lang w:val="en-IN"/>
              </w:rPr>
              <w:fldChar w:fldCharType="separate"/>
            </w:r>
            <w:r w:rsidRPr="00C82CA9">
              <w:rPr>
                <w:rFonts w:cs="Times New Roman"/>
                <w:noProof/>
                <w:sz w:val="22"/>
                <w:lang w:val="en-IN"/>
              </w:rPr>
              <w:t>(Martínez-Huitle et al., 2004)</w:t>
            </w:r>
            <w:r w:rsidRPr="00C82CA9">
              <w:rPr>
                <w:rFonts w:cs="Times New Roman"/>
                <w:sz w:val="22"/>
                <w:lang w:val="en-IN"/>
              </w:rPr>
              <w:fldChar w:fldCharType="end"/>
            </w:r>
          </w:p>
        </w:tc>
      </w:tr>
      <w:tr w:rsidR="00E30F52" w:rsidRPr="00C82CA9" w14:paraId="34C8FBF7" w14:textId="77777777" w:rsidTr="000B662C">
        <w:trPr>
          <w:trHeight w:val="423"/>
          <w:jc w:val="center"/>
        </w:trPr>
        <w:tc>
          <w:tcPr>
            <w:tcW w:w="1623" w:type="dxa"/>
            <w:tcBorders>
              <w:top w:val="single" w:sz="4" w:space="0" w:color="auto"/>
              <w:left w:val="nil"/>
              <w:bottom w:val="single" w:sz="4" w:space="0" w:color="auto"/>
              <w:right w:val="nil"/>
            </w:tcBorders>
            <w:vAlign w:val="center"/>
            <w:hideMark/>
          </w:tcPr>
          <w:p w14:paraId="087DCC2E"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Cu doped PbO</w:t>
            </w:r>
            <w:r w:rsidRPr="00C82CA9">
              <w:rPr>
                <w:rFonts w:cs="Times New Roman"/>
                <w:sz w:val="22"/>
                <w:vertAlign w:val="subscript"/>
                <w:lang w:val="en-IN"/>
              </w:rPr>
              <w:t>2</w:t>
            </w:r>
          </w:p>
        </w:tc>
        <w:tc>
          <w:tcPr>
            <w:tcW w:w="1888" w:type="dxa"/>
            <w:tcBorders>
              <w:top w:val="single" w:sz="4" w:space="0" w:color="auto"/>
              <w:left w:val="nil"/>
              <w:bottom w:val="single" w:sz="4" w:space="0" w:color="auto"/>
              <w:right w:val="nil"/>
            </w:tcBorders>
            <w:vAlign w:val="center"/>
            <w:hideMark/>
          </w:tcPr>
          <w:p w14:paraId="5D0EC14C"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Amoxicillin</w:t>
            </w:r>
          </w:p>
        </w:tc>
        <w:tc>
          <w:tcPr>
            <w:tcW w:w="1079" w:type="dxa"/>
            <w:tcBorders>
              <w:top w:val="single" w:sz="4" w:space="0" w:color="auto"/>
              <w:left w:val="nil"/>
              <w:bottom w:val="single" w:sz="4" w:space="0" w:color="auto"/>
              <w:right w:val="nil"/>
            </w:tcBorders>
            <w:vAlign w:val="center"/>
            <w:hideMark/>
          </w:tcPr>
          <w:p w14:paraId="1A1A707B"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 xml:space="preserve">177.3 </w:t>
            </w:r>
          </w:p>
        </w:tc>
        <w:tc>
          <w:tcPr>
            <w:tcW w:w="717" w:type="dxa"/>
            <w:tcBorders>
              <w:top w:val="single" w:sz="4" w:space="0" w:color="auto"/>
              <w:left w:val="nil"/>
              <w:bottom w:val="single" w:sz="4" w:space="0" w:color="auto"/>
              <w:right w:val="nil"/>
            </w:tcBorders>
            <w:vAlign w:val="center"/>
            <w:hideMark/>
          </w:tcPr>
          <w:p w14:paraId="0359D96E"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30</w:t>
            </w:r>
          </w:p>
        </w:tc>
        <w:tc>
          <w:tcPr>
            <w:tcW w:w="1578" w:type="dxa"/>
            <w:gridSpan w:val="2"/>
            <w:tcBorders>
              <w:top w:val="single" w:sz="4" w:space="0" w:color="auto"/>
              <w:left w:val="nil"/>
              <w:bottom w:val="single" w:sz="4" w:space="0" w:color="auto"/>
              <w:right w:val="nil"/>
            </w:tcBorders>
            <w:vAlign w:val="center"/>
            <w:hideMark/>
          </w:tcPr>
          <w:p w14:paraId="28F71406"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46.1</w:t>
            </w:r>
          </w:p>
        </w:tc>
        <w:tc>
          <w:tcPr>
            <w:tcW w:w="1195" w:type="dxa"/>
            <w:tcBorders>
              <w:top w:val="single" w:sz="4" w:space="0" w:color="auto"/>
              <w:left w:val="nil"/>
              <w:bottom w:val="single" w:sz="4" w:space="0" w:color="auto"/>
              <w:right w:val="nil"/>
            </w:tcBorders>
            <w:vAlign w:val="center"/>
            <w:hideMark/>
          </w:tcPr>
          <w:p w14:paraId="29C7F376"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98.4</w:t>
            </w:r>
            <w:r w:rsidRPr="00494F78">
              <w:rPr>
                <w:rFonts w:cs="Times New Roman"/>
                <w:sz w:val="22"/>
                <w:vertAlign w:val="superscript"/>
                <w:lang w:val="en-IN"/>
              </w:rPr>
              <w:t xml:space="preserve"> b</w:t>
            </w:r>
          </w:p>
        </w:tc>
        <w:tc>
          <w:tcPr>
            <w:tcW w:w="1805" w:type="dxa"/>
            <w:tcBorders>
              <w:top w:val="single" w:sz="4" w:space="0" w:color="auto"/>
              <w:left w:val="nil"/>
              <w:bottom w:val="single" w:sz="4" w:space="0" w:color="auto"/>
              <w:right w:val="nil"/>
            </w:tcBorders>
            <w:vAlign w:val="center"/>
            <w:hideMark/>
          </w:tcPr>
          <w:p w14:paraId="76D3C211"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fldChar w:fldCharType="begin" w:fldLock="1"/>
            </w:r>
            <w:r>
              <w:rPr>
                <w:rFonts w:cs="Times New Roman"/>
                <w:sz w:val="22"/>
                <w:lang w:val="en-IN"/>
              </w:rPr>
              <w:instrText>ADDIN CSL_CITATION {"citationItems":[{"id":"ITEM-1","itemData":{"DOI":"10.1016/j.seppur.2020.117109","ISSN":"18733794","abstract":"In this study, Cu doped PbO2 electrode was prepared by electrodeposition and used for electrochemical oxidation degradation of amoxicillin (AMX), which showed that the effect of Cu doped PbO2 electrode was better than that of undoped PbO2 electrode in degrading amoxicillin. An optimized model was setup with the help of response surface method (RSM). The optimal values of experimental parameters and the interactions between the parameters were explored, including current density, pH and initial AMX concentration. The combustion efficiency was calculated in the electrochemical oxidation of amoxicillin in aqueous solution and the enhancement was found with Cu doped PbO2 electrode. The enhanced mechanism with Cu doped PbO2 electrode was discussed based on the analysis of hydroxyl radicals and the combustion efficiency. The mechanism of amoxicillin degradation was discussed. This paper can provide basic data and technique reference for amoxicillin pollution control.","author":[{"dropping-particle":"","family":"Hu","given":"Jun","non-dropping-particle":"","parse-names":false,"suffix":""},{"dropping-particle":"","family":"Bian","given":"Xinze","non-dropping-particle":"","parse-names":false,"suffix":""},{"dropping-particle":"","family":"Xia","given":"Yi","non-dropping-particle":"","parse-names":false,"suffix":""},{"dropping-particle":"","family":"Weng","given":"Mili","non-dropping-particle":"","parse-names":false,"suffix":""},{"dropping-particle":"","family":"Zhou","given":"Wan","non-dropping-particle":"","parse-names":false,"suffix":""},{"dropping-particle":"","family":"Dai","given":"Qizhou","non-dropping-particle":"","parse-names":false,"suffix":""}],"container-title":"Separation and Purification Technology","id":"ITEM-1","issue":"April","issued":{"date-parts":[["2020","11"]]},"page":"117109","title":"Application of response surface methodology in electrochemical degradation of amoxicillin with Cu-PbO2 electrode: Optimization and mechanism","type":"article-journal","volume":"250"},"uris":["http://www.mendeley.com/documents/?uuid=5e68e75e-5994-4c11-be1c-3c1fc26d889b","http://www.mendeley.com/documents/?uuid=d72ada40-f2dd-4947-979f-874e89d87ae3"]}],"mendeley":{"formattedCitation":"(Hu et al., 2020)","plainTextFormattedCitation":"(Hu et al., 2020)","previouslyFormattedCitation":"(Hu et al., 2020)"},"properties":{"noteIndex":0},"schema":"https://github.com/citation-style-language/schema/raw/master/csl-citation.json"}</w:instrText>
            </w:r>
            <w:r w:rsidRPr="00C82CA9">
              <w:rPr>
                <w:rFonts w:cs="Times New Roman"/>
                <w:sz w:val="22"/>
                <w:lang w:val="en-IN"/>
              </w:rPr>
              <w:fldChar w:fldCharType="separate"/>
            </w:r>
            <w:r w:rsidRPr="00C82CA9">
              <w:rPr>
                <w:rFonts w:cs="Times New Roman"/>
                <w:noProof/>
                <w:sz w:val="22"/>
                <w:lang w:val="en-IN"/>
              </w:rPr>
              <w:t>(Hu et al., 2020)</w:t>
            </w:r>
            <w:r w:rsidRPr="00C82CA9">
              <w:rPr>
                <w:rFonts w:cs="Times New Roman"/>
                <w:sz w:val="22"/>
                <w:lang w:val="en-IN"/>
              </w:rPr>
              <w:fldChar w:fldCharType="end"/>
            </w:r>
          </w:p>
        </w:tc>
      </w:tr>
      <w:tr w:rsidR="00E30F52" w:rsidRPr="00C82CA9" w14:paraId="040F011B" w14:textId="77777777" w:rsidTr="000B662C">
        <w:trPr>
          <w:trHeight w:val="528"/>
          <w:jc w:val="center"/>
        </w:trPr>
        <w:tc>
          <w:tcPr>
            <w:tcW w:w="1623" w:type="dxa"/>
            <w:tcBorders>
              <w:top w:val="single" w:sz="4" w:space="0" w:color="auto"/>
              <w:left w:val="nil"/>
              <w:bottom w:val="single" w:sz="4" w:space="0" w:color="auto"/>
              <w:right w:val="nil"/>
            </w:tcBorders>
            <w:vAlign w:val="center"/>
            <w:hideMark/>
          </w:tcPr>
          <w:p w14:paraId="1D76FAE4"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Titanium suboxide mesh</w:t>
            </w:r>
          </w:p>
        </w:tc>
        <w:tc>
          <w:tcPr>
            <w:tcW w:w="1888" w:type="dxa"/>
            <w:tcBorders>
              <w:top w:val="single" w:sz="4" w:space="0" w:color="auto"/>
              <w:left w:val="nil"/>
              <w:bottom w:val="single" w:sz="4" w:space="0" w:color="auto"/>
              <w:right w:val="nil"/>
            </w:tcBorders>
            <w:vAlign w:val="center"/>
            <w:hideMark/>
          </w:tcPr>
          <w:p w14:paraId="7883AD3B"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Sulfadiazine</w:t>
            </w:r>
          </w:p>
        </w:tc>
        <w:tc>
          <w:tcPr>
            <w:tcW w:w="1079" w:type="dxa"/>
            <w:tcBorders>
              <w:top w:val="single" w:sz="4" w:space="0" w:color="auto"/>
              <w:left w:val="nil"/>
              <w:bottom w:val="single" w:sz="4" w:space="0" w:color="auto"/>
              <w:right w:val="nil"/>
            </w:tcBorders>
            <w:vAlign w:val="center"/>
            <w:hideMark/>
          </w:tcPr>
          <w:p w14:paraId="6E99974F"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50</w:t>
            </w:r>
          </w:p>
        </w:tc>
        <w:tc>
          <w:tcPr>
            <w:tcW w:w="717" w:type="dxa"/>
            <w:tcBorders>
              <w:top w:val="single" w:sz="4" w:space="0" w:color="auto"/>
              <w:left w:val="nil"/>
              <w:bottom w:val="single" w:sz="4" w:space="0" w:color="auto"/>
              <w:right w:val="nil"/>
            </w:tcBorders>
            <w:vAlign w:val="center"/>
            <w:hideMark/>
          </w:tcPr>
          <w:p w14:paraId="154E9AAD"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60</w:t>
            </w:r>
          </w:p>
        </w:tc>
        <w:tc>
          <w:tcPr>
            <w:tcW w:w="1578" w:type="dxa"/>
            <w:gridSpan w:val="2"/>
            <w:tcBorders>
              <w:top w:val="single" w:sz="4" w:space="0" w:color="auto"/>
              <w:left w:val="nil"/>
              <w:bottom w:val="single" w:sz="4" w:space="0" w:color="auto"/>
              <w:right w:val="nil"/>
            </w:tcBorders>
            <w:vAlign w:val="center"/>
            <w:hideMark/>
          </w:tcPr>
          <w:p w14:paraId="0390A4C3"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t>10</w:t>
            </w:r>
          </w:p>
        </w:tc>
        <w:tc>
          <w:tcPr>
            <w:tcW w:w="1195" w:type="dxa"/>
            <w:tcBorders>
              <w:top w:val="single" w:sz="4" w:space="0" w:color="auto"/>
              <w:left w:val="nil"/>
              <w:bottom w:val="single" w:sz="4" w:space="0" w:color="auto"/>
              <w:right w:val="nil"/>
            </w:tcBorders>
            <w:vAlign w:val="center"/>
            <w:hideMark/>
          </w:tcPr>
          <w:p w14:paraId="5F0D6C02" w14:textId="77777777" w:rsidR="00E30F52" w:rsidRPr="00C82CA9" w:rsidRDefault="00E30F52" w:rsidP="000B662C">
            <w:pPr>
              <w:spacing w:after="0" w:line="240" w:lineRule="auto"/>
              <w:rPr>
                <w:rFonts w:cs="Times New Roman"/>
                <w:sz w:val="22"/>
                <w:lang w:val="en-IN"/>
              </w:rPr>
            </w:pPr>
            <w:r w:rsidRPr="00C82CA9">
              <w:rPr>
                <w:rFonts w:cs="Times New Roman"/>
                <w:sz w:val="22"/>
                <w:lang w:val="en-IN"/>
              </w:rPr>
              <w:t xml:space="preserve">      </w:t>
            </w:r>
            <w:r w:rsidRPr="00C82CA9">
              <w:rPr>
                <w:rFonts w:cs="Times New Roman"/>
                <w:bCs/>
                <w:sz w:val="22"/>
              </w:rPr>
              <w:t>~</w:t>
            </w:r>
            <w:r w:rsidRPr="00C82CA9">
              <w:rPr>
                <w:rFonts w:cs="Times New Roman"/>
                <w:sz w:val="22"/>
                <w:lang w:val="en-IN"/>
              </w:rPr>
              <w:t>100</w:t>
            </w:r>
            <w:r w:rsidRPr="00494F78">
              <w:rPr>
                <w:rFonts w:cs="Times New Roman"/>
                <w:sz w:val="22"/>
                <w:vertAlign w:val="superscript"/>
                <w:lang w:val="en-IN"/>
              </w:rPr>
              <w:t xml:space="preserve"> b</w:t>
            </w:r>
          </w:p>
        </w:tc>
        <w:tc>
          <w:tcPr>
            <w:tcW w:w="1805" w:type="dxa"/>
            <w:tcBorders>
              <w:top w:val="single" w:sz="4" w:space="0" w:color="auto"/>
              <w:left w:val="nil"/>
              <w:bottom w:val="single" w:sz="4" w:space="0" w:color="auto"/>
              <w:right w:val="nil"/>
            </w:tcBorders>
            <w:vAlign w:val="center"/>
            <w:hideMark/>
          </w:tcPr>
          <w:p w14:paraId="20F57826" w14:textId="77777777" w:rsidR="00E30F52" w:rsidRPr="00C82CA9" w:rsidRDefault="00E30F52" w:rsidP="000B662C">
            <w:pPr>
              <w:spacing w:after="0" w:line="240" w:lineRule="auto"/>
              <w:jc w:val="center"/>
              <w:rPr>
                <w:rFonts w:cs="Times New Roman"/>
                <w:sz w:val="22"/>
                <w:lang w:val="en-IN"/>
              </w:rPr>
            </w:pPr>
            <w:r w:rsidRPr="00C82CA9">
              <w:rPr>
                <w:rFonts w:cs="Times New Roman"/>
                <w:sz w:val="22"/>
                <w:lang w:val="en-IN"/>
              </w:rPr>
              <w:fldChar w:fldCharType="begin" w:fldLock="1"/>
            </w:r>
            <w:r>
              <w:rPr>
                <w:rFonts w:cs="Times New Roman"/>
                <w:sz w:val="22"/>
                <w:lang w:val="en-IN"/>
              </w:rPr>
              <w:instrText>ADDIN CSL_CITATION {"citationItems":[{"id":"ITEM-1","itemData":{"DOI":"10.1016/j.electacta.2019.135441","ISSN":"00134686","abstract":"Pharmaceutical wastewater needs to be treated properly before it can be discharged due to the presence of high-concentration antibiotic pollutants. Electrochemical oxidation is a promising process for decentralized treatment of pharmaceutical wastewater. In this study, electrochemical oxidation of a typical antibiotic, i. e. sulfadiazine (SDZ), was investigated by using titanium suboxide mesh (TiSOM) anode. The results showed that the 60 min electrolysis could achieve almost 100% removal of SDZ based on 0.05 mol L−1 Na2SO4, pH = 6.33, and current density of 10 mA cm−2. Under these conditions, the abatement of SDZ proceeded through indirect [rad]OH-mediated oxidation rather than direct electron transfer reaction, indicated by cyclic voltammetry (CV) and electron spin resonance (ESR) measurement. The TiSOM anode exhibited a high oxygen evolution potential (2.2 V vs standard hydrogen electrode, SHE) for [rad]OH formation and long-term stability in treatment of real pharmaceutical wastewater. The mesh structure of TiSOM anode enabled a large electrochemically active surface area (ECSA, 2517.3 cm2) derived from electrochemical impedance spectroscopy (EIS) measurement, and an improved mass transfer from bulk electrolyte to the anode under flow-through operation. This makes the TiSOM anode more advantageous than flat-plate anode. The degradation pathway of SDZ was underlined on a qualitative basis by using ion chromatography, ultra performance liquid chromatography-mass spectrometry/mass spectrometry (UPLC-MS/MS) and density functional theory (DFT) calculation. This study provides an effective manner for electrochemical treatment of pharmaceutical wastewater by using a mesh-structured TiSO anode material.","author":[{"dropping-particle":"","family":"Teng","given":"Jie","non-dropping-particle":"","parse-names":false,"suffix":""},{"dropping-particle":"","family":"Liu","given":"Guoshuai","non-dropping-particle":"","parse-names":false,"suffix":""},{"dropping-particle":"","family":"Liang","given":"Jiabin","non-dropping-particle":"","parse-names":false,"suffix":""},{"dropping-particle":"","family":"You","given":"Shijie","non-dropping-particle":"","parse-names":false,"suffix":""}],"container-title":"Electrochimica Acta","id":"ITEM-1","issued":{"date-parts":[["2020","1"]]},"page":"135441","title":"Electrochemical oxidation of sulfadiazine with titanium suboxide mesh anode","type":"article-journal","volume":"331"},"uris":["http://www.mendeley.com/documents/?uuid=7d4e3c20-0626-4cbb-a9af-b98d8941e8fd"]}],"mendeley":{"formattedCitation":"(Teng et al., 2020)","plainTextFormattedCitation":"(Teng et al., 2020)","previouslyFormattedCitation":"(Teng et al., 2020)"},"properties":{"noteIndex":0},"schema":"https://github.com/citation-style-language/schema/raw/master/csl-citation.json"}</w:instrText>
            </w:r>
            <w:r w:rsidRPr="00C82CA9">
              <w:rPr>
                <w:rFonts w:cs="Times New Roman"/>
                <w:sz w:val="22"/>
                <w:lang w:val="en-IN"/>
              </w:rPr>
              <w:fldChar w:fldCharType="separate"/>
            </w:r>
            <w:r w:rsidRPr="00C82CA9">
              <w:rPr>
                <w:rFonts w:cs="Times New Roman"/>
                <w:noProof/>
                <w:sz w:val="22"/>
                <w:lang w:val="en-IN"/>
              </w:rPr>
              <w:t>(Teng et al., 2020)</w:t>
            </w:r>
            <w:r w:rsidRPr="00C82CA9">
              <w:rPr>
                <w:rFonts w:cs="Times New Roman"/>
                <w:sz w:val="22"/>
                <w:lang w:val="en-IN"/>
              </w:rPr>
              <w:fldChar w:fldCharType="end"/>
            </w:r>
          </w:p>
        </w:tc>
      </w:tr>
    </w:tbl>
    <w:p w14:paraId="4EAA1E3B" w14:textId="77777777" w:rsidR="00E30F52" w:rsidRDefault="00E30F52" w:rsidP="00E30F52">
      <w:pPr>
        <w:spacing w:after="160" w:line="259" w:lineRule="auto"/>
        <w:jc w:val="left"/>
        <w:rPr>
          <w:color w:val="000000"/>
          <w:sz w:val="22"/>
        </w:rPr>
      </w:pPr>
      <w:r>
        <w:rPr>
          <w:color w:val="000000"/>
          <w:sz w:val="22"/>
        </w:rPr>
        <w:t>a</w:t>
      </w:r>
      <w:r w:rsidRPr="00B65095">
        <w:rPr>
          <w:color w:val="000000"/>
          <w:sz w:val="22"/>
        </w:rPr>
        <w:t>: as chemical oxygen demand</w:t>
      </w:r>
    </w:p>
    <w:p w14:paraId="5DA6B85D" w14:textId="5783F65F" w:rsidR="00E30F52" w:rsidRDefault="00E30F52" w:rsidP="00E30F52">
      <w:pPr>
        <w:spacing w:after="160" w:line="259" w:lineRule="auto"/>
        <w:jc w:val="left"/>
        <w:rPr>
          <w:color w:val="000000"/>
          <w:sz w:val="22"/>
        </w:rPr>
      </w:pPr>
      <w:r>
        <w:rPr>
          <w:color w:val="000000"/>
          <w:sz w:val="22"/>
        </w:rPr>
        <w:t>b: as contaminant removal</w:t>
      </w:r>
    </w:p>
    <w:p w14:paraId="7C8F84D5" w14:textId="77777777" w:rsidR="00E30F52" w:rsidRPr="00E30F52" w:rsidRDefault="00E30F52" w:rsidP="00E30F52">
      <w:pPr>
        <w:spacing w:after="160" w:line="259" w:lineRule="auto"/>
        <w:jc w:val="left"/>
        <w:rPr>
          <w:color w:val="000000"/>
          <w:sz w:val="22"/>
        </w:rPr>
      </w:pPr>
    </w:p>
    <w:p w14:paraId="7438260A" w14:textId="70FEC7D2" w:rsidR="008373D3" w:rsidRPr="007117C3" w:rsidRDefault="008373D3" w:rsidP="008373D3">
      <w:pPr>
        <w:spacing w:after="0" w:line="480" w:lineRule="auto"/>
        <w:rPr>
          <w:rFonts w:cs="Times New Roman"/>
          <w:b/>
          <w:bCs/>
          <w:i/>
        </w:rPr>
      </w:pPr>
      <w:r w:rsidRPr="007117C3">
        <w:rPr>
          <w:rFonts w:cs="Times New Roman"/>
          <w:b/>
          <w:bCs/>
          <w:i/>
        </w:rPr>
        <w:t>S.</w:t>
      </w:r>
      <w:r w:rsidR="00D31AA1">
        <w:rPr>
          <w:rFonts w:cs="Times New Roman"/>
          <w:b/>
          <w:bCs/>
          <w:i/>
        </w:rPr>
        <w:t>5</w:t>
      </w:r>
      <w:r w:rsidRPr="007117C3">
        <w:rPr>
          <w:rFonts w:cs="Times New Roman"/>
          <w:b/>
          <w:bCs/>
          <w:i/>
        </w:rPr>
        <w:t>.2. Indirect oxidation</w:t>
      </w:r>
    </w:p>
    <w:p w14:paraId="29184BBD" w14:textId="4AA9E57F" w:rsidR="008373D3" w:rsidRPr="0038343B" w:rsidRDefault="008373D3" w:rsidP="008373D3">
      <w:pPr>
        <w:spacing w:line="480" w:lineRule="auto"/>
        <w:rPr>
          <w:rFonts w:cs="Times New Roman"/>
        </w:rPr>
      </w:pPr>
      <w:r w:rsidRPr="0038343B">
        <w:rPr>
          <w:rFonts w:cs="Times New Roman"/>
        </w:rPr>
        <w:t xml:space="preserve">The indirect oxidation processes involve the in-situ electro-generation of highly reactive species on the electrode surface </w:t>
      </w:r>
      <w:r w:rsidRPr="0038343B">
        <w:rPr>
          <w:rFonts w:cs="Times New Roman"/>
        </w:rPr>
        <w:fldChar w:fldCharType="begin" w:fldLock="1"/>
      </w:r>
      <w:r w:rsidR="008666F9">
        <w:rPr>
          <w:rFonts w:cs="Times New Roman"/>
        </w:rPr>
        <w:instrText>ADDIN CSL_CITATION {"citationItems":[{"id":"ITEM-1","itemData":{"DOI":"10.1016/j.trac.2015.01.013","ISSN":"18793142","abstract":"Electrochemical technology has attracted increasing interest in recent years as an environment-friendly solution to many industrial problems and challenges. First, we give an overview on the fundamentals of electrochemical processes for the removal of pharmaceuticals from water, particularly electrochemical oxidation and Fenton-based processes, such as electro-Fenton and ultraviolet (UV) and solar photoelectro-Fenton, that have improved performance. We also mention other less studied methods, although the main focus is on reactivity elucidation by chromatography with UV or conductivity detection, especially by mass spectrometry techniques (e.g. coupled to gas chromatography or liquid chromatography), in order to discuss the degradation pathways of pharmaceuticals on the basis of the reactive species electrogenerated in each technology. In some cases, simultaneous assessment of toxicity adds crucial information for the future integration of these technologies in water-treatment facilities where pharmaceuticals and their byproducts can occur.","author":[{"dropping-particle":"","family":"Brillas","given":"Enric","non-dropping-particle":"","parse-names":false,"suffix":""},{"dropping-particle":"","family":"Sirés","given":"Ignasi","non-dropping-particle":"","parse-names":false,"suffix":""}],"container-title":"TrAC - Trends in Analytical Chemistry","id":"ITEM-1","issued":{"date-parts":[["2015"]]},"page":"112-121","title":"Electrochemical removal of pharmaceuticals from water streams: Reactivity elucidation by mass spectrometry","type":"article-journal","volume":"70"},"uris":["http://www.mendeley.com/documents/?uuid=f3e9b11c-bf0e-4dab-bdd3-060d9770f425","http://www.mendeley.com/documents/?uuid=e1117f95-2f35-4fa0-b7b6-16f6ddf4f70e"]}],"mendeley":{"formattedCitation":"(Brillas and Sirés, 2015)","plainTextFormattedCitation":"(Brillas and Sirés, 2015)","previouslyFormattedCitation":"(Brillas and Sirés, 2015)"},"properties":{"noteIndex":0},"schema":"https://github.com/citation-style-language/schema/raw/master/csl-citation.json"}</w:instrText>
      </w:r>
      <w:r w:rsidRPr="0038343B">
        <w:rPr>
          <w:rFonts w:cs="Times New Roman"/>
        </w:rPr>
        <w:fldChar w:fldCharType="separate"/>
      </w:r>
      <w:r w:rsidRPr="00FB6D8C">
        <w:rPr>
          <w:rFonts w:cs="Times New Roman"/>
          <w:noProof/>
        </w:rPr>
        <w:t>(Brillas and Sirés, 2015)</w:t>
      </w:r>
      <w:r w:rsidRPr="0038343B">
        <w:rPr>
          <w:rFonts w:cs="Times New Roman"/>
        </w:rPr>
        <w:fldChar w:fldCharType="end"/>
      </w:r>
      <w:r w:rsidRPr="0038343B">
        <w:rPr>
          <w:rFonts w:cs="Times New Roman"/>
        </w:rPr>
        <w:t xml:space="preserve">. These reactive species are produced by the addition of different chemicals like </w:t>
      </w:r>
      <w:r w:rsidRPr="0038343B">
        <w:rPr>
          <w:rFonts w:cs="Times New Roman"/>
          <w:color w:val="202124"/>
          <w:szCs w:val="24"/>
          <w:shd w:val="clear" w:color="auto" w:fill="FFFFFF"/>
        </w:rPr>
        <w:t>H</w:t>
      </w:r>
      <w:r w:rsidRPr="0038343B">
        <w:rPr>
          <w:rFonts w:cs="Times New Roman"/>
          <w:color w:val="202124"/>
          <w:szCs w:val="24"/>
          <w:shd w:val="clear" w:color="auto" w:fill="FFFFFF"/>
          <w:vertAlign w:val="subscript"/>
        </w:rPr>
        <w:t>2</w:t>
      </w:r>
      <w:r w:rsidRPr="0038343B">
        <w:rPr>
          <w:rFonts w:cs="Times New Roman"/>
          <w:color w:val="202124"/>
          <w:szCs w:val="24"/>
          <w:shd w:val="clear" w:color="auto" w:fill="FFFFFF"/>
        </w:rPr>
        <w:t>O</w:t>
      </w:r>
      <w:r w:rsidRPr="0038343B">
        <w:rPr>
          <w:rFonts w:cs="Times New Roman"/>
          <w:color w:val="202124"/>
          <w:szCs w:val="24"/>
          <w:shd w:val="clear" w:color="auto" w:fill="FFFFFF"/>
          <w:vertAlign w:val="subscript"/>
        </w:rPr>
        <w:t>2</w:t>
      </w:r>
      <w:r w:rsidRPr="0038343B">
        <w:rPr>
          <w:rFonts w:cs="Times New Roman"/>
        </w:rPr>
        <w:t>, Fenton’s reagent, Cl</w:t>
      </w:r>
      <w:r w:rsidRPr="0038343B">
        <w:rPr>
          <w:rFonts w:cs="Times New Roman"/>
          <w:vertAlign w:val="subscript"/>
        </w:rPr>
        <w:t>2</w:t>
      </w:r>
      <w:r w:rsidRPr="0038343B">
        <w:rPr>
          <w:rFonts w:cs="Times New Roman"/>
        </w:rPr>
        <w:t xml:space="preserve">, </w:t>
      </w:r>
      <w:proofErr w:type="spellStart"/>
      <w:r w:rsidRPr="0038343B">
        <w:rPr>
          <w:rFonts w:cs="Times New Roman"/>
        </w:rPr>
        <w:t>HClO</w:t>
      </w:r>
      <w:proofErr w:type="spellEnd"/>
      <w:r w:rsidRPr="0038343B">
        <w:rPr>
          <w:rFonts w:cs="Times New Roman"/>
        </w:rPr>
        <w:t>, S</w:t>
      </w:r>
      <w:r w:rsidRPr="0038343B">
        <w:rPr>
          <w:rFonts w:cs="Times New Roman"/>
          <w:vertAlign w:val="subscript"/>
        </w:rPr>
        <w:t>2</w:t>
      </w:r>
      <w:r w:rsidRPr="0038343B">
        <w:rPr>
          <w:rFonts w:cs="Times New Roman"/>
        </w:rPr>
        <w:t>O</w:t>
      </w:r>
      <w:r w:rsidRPr="0038343B">
        <w:rPr>
          <w:rFonts w:cs="Times New Roman"/>
          <w:vertAlign w:val="subscript"/>
        </w:rPr>
        <w:t>8</w:t>
      </w:r>
      <w:r w:rsidRPr="0038343B">
        <w:rPr>
          <w:rFonts w:cs="Times New Roman"/>
          <w:vertAlign w:val="superscript"/>
        </w:rPr>
        <w:t>2−</w:t>
      </w:r>
      <w:r w:rsidRPr="0038343B">
        <w:rPr>
          <w:rFonts w:cs="Times New Roman"/>
        </w:rPr>
        <w:t xml:space="preserve"> and O</w:t>
      </w:r>
      <w:r w:rsidRPr="0038343B">
        <w:rPr>
          <w:rFonts w:cs="Times New Roman"/>
          <w:vertAlign w:val="subscript"/>
        </w:rPr>
        <w:t>3</w:t>
      </w:r>
      <w:r w:rsidRPr="0038343B">
        <w:rPr>
          <w:rFonts w:cs="Times New Roman"/>
        </w:rPr>
        <w:t xml:space="preserve"> into the aqueous medium </w:t>
      </w:r>
      <w:r w:rsidRPr="0038343B">
        <w:rPr>
          <w:rFonts w:cs="Times New Roman"/>
        </w:rPr>
        <w:fldChar w:fldCharType="begin" w:fldLock="1"/>
      </w:r>
      <w:r w:rsidR="008666F9">
        <w:rPr>
          <w:rFonts w:cs="Times New Roman"/>
        </w:rPr>
        <w:instrText>ADDIN CSL_CITATION {"citationItems":[{"id":"ITEM-1","itemData":{"DOI":"10.1016/j.watres.2017.10.048","ISSN":"00431354","abstract":"The electrochemical degradation of tetracaine hydrochloride has been studied in urban wastewater. Treatments in simulated matrix with similar ionic composition as well as in 0.050 M Na2SO4 were comparatively performed. The cell contained an air-diffusion cathode for H2O2 electrogeneration and an anode selected among active Pt, IrO2-based and RuO2-based materials and non-active boron-doped diamond (BDD). Electrochemical oxidation with electrogenerated H2O2 (EO-H2O2), electro-Fenton (EF) and photoelectro-Fenton (PEF) were comparatively assessed at pH 3.0 and constant current density. The pharmaceutical and its byproducts were oxidized by [rad]OH formed from water oxidation at the anode surface and in the bulk from Fenton's reaction, which occurred upon addition of 0.50 mM Fe2+ in all media, along with active chlorine originated from the anodic oxidation of Cl− contained in the simulated matrix and urban wastewater. The PEF process was the most powerful treatment regardless of the electrolyte composition, owing to the additional photolysis of intermediates by UVA radiation. The use of BDD led to greater mineralization compared to other anodes, being feasible the total removal of all organics from urban wastewater by PEF at long electrolysis time. Chlorinated products were largely recalcitrant when Pt, IrO2-based or RuO2-based anodes were used, whereas they were effectively destroyed by BDD([rad]OH). Tetracaine decay always obeyed a pseudo-first-order kinetics, being slightly faster with the RuO2-based anode in Cl− media because of the higher amounts of active chlorine produced. Total nitrogen and concentrations of NH4+, NO3−, ClO3−, ClO4− and active chlorine were determined to clarify the behavior of the different electrodes in PEF. Eight intermediates were identified by GC-MS and fumaric and oxalic acids were quantified as final carboxylic acids by ion-exclusion HPLC, allowing the proposal of a plausible reaction sequence for tetracaine mineralization by PEF in Cl−-containing medium.","author":[{"dropping-particle":"","family":"Ridruejo","given":"Carlota","non-dropping-particle":"","parse-names":false,"suffix":""},{"dropping-particle":"","family":"Centellas","given":"Francesc","non-dropping-particle":"","parse-names":false,"suffix":""},{"dropping-particle":"","family":"Cabot","given":"Pere L.","non-dropping-particle":"","parse-names":false,"suffix":""},{"dropping-particle":"","family":"Sirés","given":"Ignasi","non-dropping-particle":"","parse-names":false,"suffix":""},{"dropping-particle":"","family":"Brillas","given":"Enric","non-dropping-particle":"","parse-names":false,"suffix":""}],"container-title":"Water Research","id":"ITEM-1","issued":{"date-parts":[["2018","1"]]},"page":"71-81","title":"Electrochemical Fenton-based treatment of tetracaine in synthetic and urban wastewater using active and non-active anodes","type":"article-journal","volume":"128"},"uris":["http://www.mendeley.com/documents/?uuid=dbdcea91-9095-4c4a-ac4f-bf331f5aa8a7","http://www.mendeley.com/documents/?uuid=350caa7c-483f-446d-8ee6-803d29f1ad45"]}],"mendeley":{"formattedCitation":"(Ridruejo et al., 2018)","plainTextFormattedCitation":"(Ridruejo et al., 2018)","previouslyFormattedCitation":"(Ridruejo et al., 2018)"},"properties":{"noteIndex":0},"schema":"https://github.com/citation-style-language/schema/raw/master/csl-citation.json"}</w:instrText>
      </w:r>
      <w:r w:rsidRPr="0038343B">
        <w:rPr>
          <w:rFonts w:cs="Times New Roman"/>
        </w:rPr>
        <w:fldChar w:fldCharType="separate"/>
      </w:r>
      <w:r w:rsidRPr="00FB6D8C">
        <w:rPr>
          <w:rFonts w:cs="Times New Roman"/>
          <w:noProof/>
        </w:rPr>
        <w:t>(Ridruejo et al., 2018)</w:t>
      </w:r>
      <w:r w:rsidRPr="0038343B">
        <w:rPr>
          <w:rFonts w:cs="Times New Roman"/>
        </w:rPr>
        <w:fldChar w:fldCharType="end"/>
      </w:r>
      <w:r w:rsidR="00123BD3">
        <w:rPr>
          <w:rFonts w:cs="Times New Roman"/>
        </w:rPr>
        <w:t>,</w:t>
      </w:r>
      <w:r w:rsidRPr="0038343B">
        <w:rPr>
          <w:rFonts w:cs="Times New Roman"/>
        </w:rPr>
        <w:t xml:space="preserve"> which was not required in direct oxidation process. Among them, Fenton’s reagent and Cl</w:t>
      </w:r>
      <w:r w:rsidRPr="0038343B">
        <w:rPr>
          <w:rFonts w:cs="Times New Roman"/>
          <w:vertAlign w:val="subscript"/>
        </w:rPr>
        <w:t>2</w:t>
      </w:r>
      <w:r w:rsidRPr="0038343B">
        <w:rPr>
          <w:rFonts w:cs="Times New Roman"/>
        </w:rPr>
        <w:t xml:space="preserve"> are the most known chemicals used for the production of reactive oxidants species by indirect involvement in the reaction process </w:t>
      </w:r>
      <w:r w:rsidRPr="0038343B">
        <w:rPr>
          <w:rFonts w:cs="Times New Roman"/>
        </w:rPr>
        <w:fldChar w:fldCharType="begin" w:fldLock="1"/>
      </w:r>
      <w:r w:rsidR="008666F9">
        <w:rPr>
          <w:rFonts w:cs="Times New Roman"/>
        </w:rPr>
        <w:instrText>ADDIN CSL_CITATION {"citationItems":[{"id":"ITEM-1","itemData":{"DOI":"10.1016/j.chemosphere.2004.09.028","ISSN":"00456535","PMID":"15620731","abstract":"The degradation of 100 ml of solutions with paracetamol (N-(4-hydroxyphenyl)acetamide) up to 1 g l -1 in the pH range 2.0-12.0 has been studied by anodic oxidation in a cell with a boron-doped diamond (BDD) anode and a graphite cathode, both of 3-cm 2 area, by applying a current of 100, 300 and 450 mA between 25 and 45°C. Complete mineralization is always achieved due to the great concentration of hydroxyl radical ( •OH) generated at the BDD surface, with release of NH4+ and NO3- ions. The mineralization rate is pH-independent, increases with increasing applied current and temperature, but decreases when drug concentration raises from 315 mg l -1. Reversed-phase chromatography revealed a similar complex paracetamol decay in acid and alkaline media. Ion-exclusion chromatography allowed the detection of oxalic and oxamic acids as ultimate carboxylic acids. When the same solutions have been comparatively treated with a Pt anode, a quite poor mineralization is found because of the production of much lower •OH concentration. Under these conditions, the degradation rate is enhanced in alkaline medium and polymerization of intermediates is favored in concentrated solutions. Paracetamol can be completely destroyed with Pt and its kinetics follows a pseudo-first-order reaction with a constant rate independent of pH. © 2004 Elsevier Ltd. All rights reserved.","author":[{"dropping-particle":"","family":"Brillas","given":"Enric","non-dropping-particle":"","parse-names":false,"suffix":""},{"dropping-particle":"","family":"Sirés","given":"Ignasi","non-dropping-particle":"","parse-names":false,"suffix":""},{"dropping-particle":"","family":"Arias","given":"Conchita","non-dropping-particle":"","parse-names":false,"suffix":""},{"dropping-particle":"","family":"Cabot","given":"Pere Lluís","non-dropping-particle":"","parse-names":false,"suffix":""},{"dropping-particle":"","family":"Centellas","given":"Francesc","non-dropping-particle":"","parse-names":false,"suffix":""},{"dropping-particle":"","family":"Rodríguez","given":"Rosa María","non-dropping-particle":"","parse-names":false,"suffix":""},{"dropping-particle":"","family":"Garrido","given":"José Antonio","non-dropping-particle":"","parse-names":false,"suffix":""}],"container-title":"Chemosphere","id":"ITEM-1","issue":"4","issued":{"date-parts":[["2005"]]},"page":"399-406","title":"Mineralization of paracetamol in aqueous medium by anodic oxidation with a boron-doped diamond electrode","type":"article-journal","volume":"58"},"uris":["http://www.mendeley.com/documents/?uuid=2d303d4e-c884-4725-b0bb-ad0b940b636e","http://www.mendeley.com/documents/?uuid=e9688499-3fde-494c-96f7-4930a44a2c13"]}],"mendeley":{"formattedCitation":"(Brillas et al., 2005)","plainTextFormattedCitation":"(Brillas et al., 2005)","previouslyFormattedCitation":"(Brillas et al., 2005)"},"properties":{"noteIndex":0},"schema":"https://github.com/citation-style-language/schema/raw/master/csl-citation.json"}</w:instrText>
      </w:r>
      <w:r w:rsidRPr="0038343B">
        <w:rPr>
          <w:rFonts w:cs="Times New Roman"/>
        </w:rPr>
        <w:fldChar w:fldCharType="separate"/>
      </w:r>
      <w:r w:rsidRPr="00FB6D8C">
        <w:rPr>
          <w:rFonts w:cs="Times New Roman"/>
          <w:noProof/>
        </w:rPr>
        <w:t>(Brillas et al., 2005)</w:t>
      </w:r>
      <w:r w:rsidRPr="0038343B">
        <w:rPr>
          <w:rFonts w:cs="Times New Roman"/>
        </w:rPr>
        <w:fldChar w:fldCharType="end"/>
      </w:r>
      <w:r w:rsidRPr="0038343B">
        <w:rPr>
          <w:rFonts w:cs="Times New Roman"/>
        </w:rPr>
        <w:t>.</w:t>
      </w:r>
    </w:p>
    <w:p w14:paraId="241E601D" w14:textId="5CF896EF" w:rsidR="008373D3" w:rsidRPr="00745323" w:rsidRDefault="00BD67D4" w:rsidP="008373D3">
      <w:pPr>
        <w:spacing w:after="0" w:line="480" w:lineRule="auto"/>
        <w:rPr>
          <w:rFonts w:cs="Times New Roman"/>
          <w:iCs/>
        </w:rPr>
      </w:pPr>
      <w:r w:rsidRPr="007117C3">
        <w:rPr>
          <w:rFonts w:cs="Times New Roman"/>
          <w:b/>
          <w:bCs/>
          <w:iCs/>
        </w:rPr>
        <w:t>S.</w:t>
      </w:r>
      <w:r w:rsidR="00D31AA1">
        <w:rPr>
          <w:rFonts w:cs="Times New Roman"/>
          <w:b/>
          <w:bCs/>
          <w:iCs/>
        </w:rPr>
        <w:t>5</w:t>
      </w:r>
      <w:r w:rsidRPr="007117C3">
        <w:rPr>
          <w:rFonts w:cs="Times New Roman"/>
          <w:b/>
          <w:bCs/>
          <w:iCs/>
        </w:rPr>
        <w:t>.2.1</w:t>
      </w:r>
      <w:r w:rsidRPr="00745323">
        <w:rPr>
          <w:rFonts w:cs="Times New Roman"/>
          <w:iCs/>
        </w:rPr>
        <w:t xml:space="preserve"> Electrochemical</w:t>
      </w:r>
      <w:r w:rsidR="008373D3" w:rsidRPr="00745323">
        <w:rPr>
          <w:rFonts w:cs="Times New Roman"/>
          <w:iCs/>
        </w:rPr>
        <w:t xml:space="preserve"> generation of reactive species by Fenton’s reagent/ Electro-Fenton process</w:t>
      </w:r>
    </w:p>
    <w:p w14:paraId="3C59F2D4" w14:textId="12CE2CDD" w:rsidR="008373D3" w:rsidRPr="0038343B" w:rsidRDefault="001D1E19" w:rsidP="008373D3">
      <w:pPr>
        <w:spacing w:after="0" w:line="480" w:lineRule="auto"/>
        <w:rPr>
          <w:rFonts w:cs="Times New Roman"/>
        </w:rPr>
      </w:pPr>
      <w:r>
        <w:rPr>
          <w:rFonts w:cs="Times New Roman"/>
        </w:rPr>
        <w:t>E</w:t>
      </w:r>
      <w:r w:rsidR="008373D3" w:rsidRPr="0038343B">
        <w:rPr>
          <w:rFonts w:cs="Times New Roman"/>
        </w:rPr>
        <w:t xml:space="preserve">lectro-Fenton based EAOPs was first </w:t>
      </w:r>
      <w:r w:rsidR="008373D3" w:rsidRPr="0038343B">
        <w:rPr>
          <w:rFonts w:cs="Times New Roman"/>
          <w:lang w:val="en-GB"/>
        </w:rPr>
        <w:t>conceived by</w:t>
      </w:r>
      <w:r w:rsidR="008373D3" w:rsidRPr="0038343B">
        <w:rPr>
          <w:rFonts w:cs="Times New Roman"/>
        </w:rPr>
        <w:t xml:space="preserve"> </w:t>
      </w:r>
      <w:proofErr w:type="spellStart"/>
      <w:r w:rsidR="008373D3" w:rsidRPr="0038343B">
        <w:rPr>
          <w:rFonts w:cs="Times New Roman"/>
        </w:rPr>
        <w:t>Brillas</w:t>
      </w:r>
      <w:proofErr w:type="spellEnd"/>
      <w:r w:rsidR="008373D3" w:rsidRPr="0038343B">
        <w:rPr>
          <w:rFonts w:cs="Times New Roman"/>
        </w:rPr>
        <w:t xml:space="preserve"> and </w:t>
      </w:r>
      <w:proofErr w:type="spellStart"/>
      <w:r w:rsidR="008373D3" w:rsidRPr="0038343B">
        <w:rPr>
          <w:rFonts w:cs="Times New Roman"/>
        </w:rPr>
        <w:t>Oturan’s</w:t>
      </w:r>
      <w:proofErr w:type="spellEnd"/>
      <w:r w:rsidR="008373D3" w:rsidRPr="0038343B">
        <w:rPr>
          <w:rFonts w:cs="Times New Roman"/>
        </w:rPr>
        <w:t xml:space="preserve"> groups in the year 2000, in which they discovered that </w:t>
      </w:r>
      <w:r w:rsidR="00CD0250" w:rsidRPr="00517A17">
        <w:rPr>
          <w:rFonts w:ascii="Calibri" w:hAnsi="Calibri" w:cs="Calibri"/>
          <w:color w:val="000000"/>
          <w:szCs w:val="24"/>
          <w:vertAlign w:val="superscript"/>
        </w:rPr>
        <w:t>•</w:t>
      </w:r>
      <w:r w:rsidR="00CD0250" w:rsidRPr="00517A17">
        <w:rPr>
          <w:color w:val="000000"/>
          <w:szCs w:val="24"/>
        </w:rPr>
        <w:t>OH</w:t>
      </w:r>
      <w:r w:rsidR="00CD0250" w:rsidRPr="0038343B">
        <w:rPr>
          <w:rFonts w:cs="Times New Roman"/>
          <w:b/>
        </w:rPr>
        <w:t xml:space="preserve"> </w:t>
      </w:r>
      <w:r w:rsidR="008373D3" w:rsidRPr="0038343B">
        <w:rPr>
          <w:rFonts w:cs="Times New Roman"/>
        </w:rPr>
        <w:t>can be produced electrochemically with the help of in-situ electro</w:t>
      </w:r>
      <w:r w:rsidR="00D86233">
        <w:rPr>
          <w:rFonts w:cs="Times New Roman"/>
        </w:rPr>
        <w:t>-</w:t>
      </w:r>
      <w:r w:rsidR="008373D3" w:rsidRPr="0038343B">
        <w:rPr>
          <w:rFonts w:cs="Times New Roman"/>
        </w:rPr>
        <w:t>generation of H</w:t>
      </w:r>
      <w:r w:rsidR="008373D3" w:rsidRPr="0038343B">
        <w:rPr>
          <w:rFonts w:cs="Times New Roman"/>
          <w:vertAlign w:val="subscript"/>
        </w:rPr>
        <w:t>2</w:t>
      </w:r>
      <w:r w:rsidR="008373D3" w:rsidRPr="0038343B">
        <w:rPr>
          <w:rFonts w:cs="Times New Roman"/>
        </w:rPr>
        <w:t>O</w:t>
      </w:r>
      <w:r w:rsidR="008373D3" w:rsidRPr="0038343B">
        <w:rPr>
          <w:rFonts w:cs="Times New Roman"/>
          <w:vertAlign w:val="subscript"/>
        </w:rPr>
        <w:t>2</w:t>
      </w:r>
      <w:r w:rsidR="008373D3" w:rsidRPr="0038343B">
        <w:rPr>
          <w:rFonts w:cs="Times New Roman"/>
        </w:rPr>
        <w:t xml:space="preserve"> and electro</w:t>
      </w:r>
      <w:r w:rsidR="00D86233">
        <w:rPr>
          <w:rFonts w:cs="Times New Roman"/>
        </w:rPr>
        <w:t>-</w:t>
      </w:r>
      <w:r w:rsidR="008373D3" w:rsidRPr="0038343B">
        <w:rPr>
          <w:rFonts w:cs="Times New Roman"/>
        </w:rPr>
        <w:t>regeneration of Fe</w:t>
      </w:r>
      <w:r w:rsidR="008373D3" w:rsidRPr="0038343B">
        <w:rPr>
          <w:rFonts w:cs="Times New Roman"/>
          <w:vertAlign w:val="superscript"/>
        </w:rPr>
        <w:t>2+</w:t>
      </w:r>
      <w:r w:rsidR="008373D3" w:rsidRPr="0038343B">
        <w:rPr>
          <w:rFonts w:cs="Times New Roman"/>
        </w:rPr>
        <w:t xml:space="preserve"> (</w:t>
      </w:r>
      <w:r w:rsidR="00B45BCB" w:rsidRPr="00B45BCB">
        <w:rPr>
          <w:rFonts w:cs="Times New Roman"/>
          <w:color w:val="000000"/>
        </w:rPr>
        <w:t>Eq.</w:t>
      </w:r>
      <w:r w:rsidR="008373D3" w:rsidRPr="0038343B">
        <w:rPr>
          <w:rFonts w:cs="Times New Roman"/>
        </w:rPr>
        <w:t xml:space="preserve"> </w:t>
      </w:r>
      <w:r w:rsidR="008373D3">
        <w:rPr>
          <w:rFonts w:cs="Times New Roman"/>
        </w:rPr>
        <w:t>15</w:t>
      </w:r>
      <w:r w:rsidR="008373D3" w:rsidRPr="0038343B">
        <w:rPr>
          <w:rFonts w:cs="Times New Roman"/>
        </w:rPr>
        <w:t xml:space="preserve">) </w:t>
      </w:r>
      <w:r w:rsidR="008373D3" w:rsidRPr="0038343B">
        <w:rPr>
          <w:rFonts w:cs="Times New Roman"/>
        </w:rPr>
        <w:fldChar w:fldCharType="begin" w:fldLock="1"/>
      </w:r>
      <w:r w:rsidR="008666F9">
        <w:rPr>
          <w:rFonts w:cs="Times New Roman"/>
        </w:rPr>
        <w:instrText>ADDIN CSL_CITATION {"citationItems":[{"id":"ITEM-1","itemData":{"DOI":"10.1016/S0043-1354(99)00396-6","ISSN":"00431354","abstract":"The mineralization process for 2,4-dichlorophenoxyacetic acid (2,4-D) at pH ca. 3 has been studied by advanced electrochemical oxidation processes (AEOPs), such as electro-Fenton and photoelectro-Fenton processes, in which a Pt anode and a carbon-polytetrafluoroethylene O2-fed cathode, for in situ production of H2O2 are used. A solution of 230 ppm 2,4-D with a low salt content can be completely mineralized by the photoelectro-Fenton process at low current, whereas the electro-Fenton process leads to ca. 90% of mineralization. In both methods, 2,4-D is quickly destroyed at the same rate. The high degradation power of these AEOPs is due to the large production of oxidizing hydroxyl radicals by reaction between electrogenerated H2O2 and Fe2+ added to the solution. The higher mineralization rate found for photoelectro-Fenton is accounted for by the fast photolytic decomposition of some intermediates by UV light. Classical anodic oxidation with a graphite cathode and anodic oxidation in the presence of electrogenerated H2O2 are much less efficient methods to degrade 2,4-D and its oxidation products. 2,4-Dichlorophenol, 4,6-dichlororesorcinol, chlorohydroquinone and chlorobenzoquinone have been identified as intermediates by GC-MS and their evolution for each process has been followed by reverse-phase chromatography. Chloride ion is released from these chloroderivatives and accumulates in the medium. Short-chain acids, as glycolic, glyoxylic, maleic, fumaric and oxalic, have been detected by ion-exclusion chromatography. A general reaction pathway involving all these intermediates is proposed.","author":[{"dropping-particle":"","family":"Brillas","given":"Enric","non-dropping-particle":"","parse-names":false,"suffix":""},{"dropping-particle":"","family":"Calpe","given":"Juan C.","non-dropping-particle":"","parse-names":false,"suffix":""},{"dropping-particle":"","family":"Casado","given":"Juan","non-dropping-particle":"","parse-names":false,"suffix":""}],"container-title":"Water Research","id":"ITEM-1","issue":"8","issued":{"date-parts":[["2000","6"]]},"page":"2253-2262","title":"Mineralization of 2,4-D by advanced electrochemical oxidation processes","type":"article-journal","volume":"34"},"uris":["http://www.mendeley.com/documents/?uuid=510bb02a-b91f-4ad3-80d3-bc6104a2f6da"]},{"id":"ITEM-2","itemData":{"DOI":"10.1023/A:1003994428571","ISSN":"0021891X","abstract":"The electrochemical production of Fenton's reagent by simultaneous reduction of dioxygen and ferric ions on a carbon felt electrode, permits a controlled, in situ generation of hydroxyl (OH·) radicals. The possibility of using electrochemically produced OH· radicals for solving environmental problems is investigated. Continuous and controlled production of hydroxyl radicals was achieved by electrochemical reduction of O2 in the presence of a catalytic amount of ferric or ferrous ion. These radicals are used for remediation of water containing toxic-persistent-bioaccumulative organic pollutants through their transformation into biodegradable compounds or through their mineralization into H2O and CO2. A widely used herbicide, 2,4-dichlorophenoxyacetic acid (2,4-D), was selected as a model for a toxic organic pollutant. High pressure liquid chromatography (HPLC) was used to quantify the distribution of the hydroxylated products obtained. Rate constants for the hydroxylation reactions of 2,4-D, 2,4-dichlorophenol (2,4-DCP), 2,4-dichlororesorcinol (2,4-DCR) and 4,6-dichlororesorcinol (4,6-DCR) were determined. The mineralization of 2,4-D and its derivatives was followed by total organic carbon (TOC) measurements. More than 95% of 2,4-D and the intermediates generated during the electrolysis can be mineralized.","author":[{"dropping-particle":"","family":"Oturan","given":"M. A.","non-dropping-particle":"","parse-names":false,"suffix":""}],"container-title":"Journal of Applied Electrochemistry","id":"ITEM-2","issue":"4","issued":{"date-parts":[["2000"]]},"page":"475-482","title":"Ecologically effective water treatment technique using electrochemically generated hydroxyl radicals for in situ destruction of organic pollutants: Application to herbicide 2,4-D","type":"article-journal","volume":"30"},"uris":["http://www.mendeley.com/documents/?uuid=722bae70-235d-4fd4-b70b-0a2539d0f8da","http://www.mendeley.com/documents/?uuid=7bc4ec54-7126-4206-b72a-cc075ee7e09a"]}],"mendeley":{"formattedCitation":"(Brillas et al., 2000; Oturan, 2000)","plainTextFormattedCitation":"(Brillas et al., 2000; Oturan, 2000)","previouslyFormattedCitation":"(Brillas et al., 2000; Oturan, 2000)"},"properties":{"noteIndex":0},"schema":"https://github.com/citation-style-language/schema/raw/master/csl-citation.json"}</w:instrText>
      </w:r>
      <w:r w:rsidR="008373D3" w:rsidRPr="0038343B">
        <w:rPr>
          <w:rFonts w:cs="Times New Roman"/>
        </w:rPr>
        <w:fldChar w:fldCharType="separate"/>
      </w:r>
      <w:r w:rsidR="008373D3" w:rsidRPr="00FB6D8C">
        <w:rPr>
          <w:rFonts w:cs="Times New Roman"/>
          <w:noProof/>
        </w:rPr>
        <w:t>(Brillas et al., 2000; Oturan, 2000)</w:t>
      </w:r>
      <w:r w:rsidR="008373D3" w:rsidRPr="0038343B">
        <w:rPr>
          <w:rFonts w:cs="Times New Roman"/>
        </w:rPr>
        <w:fldChar w:fldCharType="end"/>
      </w:r>
      <w:r w:rsidR="008373D3" w:rsidRPr="0038343B">
        <w:rPr>
          <w:rFonts w:cs="Times New Roman"/>
        </w:rPr>
        <w:t>. Although, the simultaneous generation of H</w:t>
      </w:r>
      <w:r w:rsidR="008373D3" w:rsidRPr="0038343B">
        <w:rPr>
          <w:rFonts w:cs="Times New Roman"/>
          <w:vertAlign w:val="subscript"/>
        </w:rPr>
        <w:t>2</w:t>
      </w:r>
      <w:r w:rsidR="008373D3" w:rsidRPr="0038343B">
        <w:rPr>
          <w:rFonts w:cs="Times New Roman"/>
        </w:rPr>
        <w:t>O</w:t>
      </w:r>
      <w:r w:rsidR="008373D3" w:rsidRPr="0038343B">
        <w:rPr>
          <w:rFonts w:cs="Times New Roman"/>
          <w:vertAlign w:val="subscript"/>
        </w:rPr>
        <w:t>2</w:t>
      </w:r>
      <w:r w:rsidR="008373D3" w:rsidRPr="0038343B">
        <w:rPr>
          <w:rFonts w:cs="Times New Roman"/>
        </w:rPr>
        <w:t xml:space="preserve"> and regeneration of Fe</w:t>
      </w:r>
      <w:r w:rsidR="008373D3" w:rsidRPr="0038343B">
        <w:rPr>
          <w:rFonts w:cs="Times New Roman"/>
          <w:vertAlign w:val="superscript"/>
        </w:rPr>
        <w:t xml:space="preserve">2+ </w:t>
      </w:r>
      <w:r w:rsidR="008373D3" w:rsidRPr="0038343B">
        <w:rPr>
          <w:rFonts w:cs="Times New Roman"/>
        </w:rPr>
        <w:t xml:space="preserve">at cathode surface </w:t>
      </w:r>
      <w:r w:rsidR="008373D3" w:rsidRPr="0038343B">
        <w:rPr>
          <w:rFonts w:cs="Times New Roman"/>
        </w:rPr>
        <w:lastRenderedPageBreak/>
        <w:t xml:space="preserve">accelerates the production of </w:t>
      </w:r>
      <w:r w:rsidR="0029294C" w:rsidRPr="00517A17">
        <w:rPr>
          <w:rFonts w:ascii="Calibri" w:hAnsi="Calibri" w:cs="Calibri"/>
          <w:color w:val="000000"/>
          <w:szCs w:val="24"/>
          <w:vertAlign w:val="superscript"/>
        </w:rPr>
        <w:t>•</w:t>
      </w:r>
      <w:r w:rsidR="0029294C" w:rsidRPr="00517A17">
        <w:rPr>
          <w:color w:val="000000"/>
          <w:szCs w:val="24"/>
        </w:rPr>
        <w:t>OH</w:t>
      </w:r>
      <w:r w:rsidR="0029294C" w:rsidRPr="0038343B">
        <w:rPr>
          <w:rFonts w:cs="Times New Roman"/>
        </w:rPr>
        <w:t xml:space="preserve"> </w:t>
      </w:r>
      <w:r w:rsidR="008373D3" w:rsidRPr="0038343B">
        <w:rPr>
          <w:rFonts w:cs="Times New Roman"/>
        </w:rPr>
        <w:t>in the reaction (</w:t>
      </w:r>
      <w:r w:rsidR="00B45BCB" w:rsidRPr="00B45BCB">
        <w:rPr>
          <w:rFonts w:cs="Times New Roman"/>
          <w:color w:val="000000"/>
        </w:rPr>
        <w:t>Eq.</w:t>
      </w:r>
      <w:r w:rsidR="008373D3" w:rsidRPr="0038343B">
        <w:rPr>
          <w:rFonts w:cs="Times New Roman"/>
        </w:rPr>
        <w:t xml:space="preserve"> </w:t>
      </w:r>
      <w:r w:rsidR="008373D3">
        <w:rPr>
          <w:rFonts w:cs="Times New Roman"/>
        </w:rPr>
        <w:t>16</w:t>
      </w:r>
      <w:r w:rsidR="008373D3" w:rsidRPr="0038343B">
        <w:rPr>
          <w:rFonts w:cs="Times New Roman"/>
        </w:rPr>
        <w:t>), which vigorously reacts with the organic pollutants and completely mineralize the organics into CO</w:t>
      </w:r>
      <w:r w:rsidR="008373D3" w:rsidRPr="0038343B">
        <w:rPr>
          <w:rFonts w:cs="Times New Roman"/>
          <w:vertAlign w:val="subscript"/>
        </w:rPr>
        <w:t>2</w:t>
      </w:r>
      <w:r w:rsidR="008373D3" w:rsidRPr="0038343B">
        <w:rPr>
          <w:rFonts w:cs="Times New Roman"/>
        </w:rPr>
        <w:t>, H</w:t>
      </w:r>
      <w:r w:rsidR="008373D3" w:rsidRPr="0038343B">
        <w:rPr>
          <w:rFonts w:cs="Times New Roman"/>
          <w:vertAlign w:val="subscript"/>
        </w:rPr>
        <w:t>2</w:t>
      </w:r>
      <w:r w:rsidR="008373D3" w:rsidRPr="0038343B">
        <w:rPr>
          <w:rFonts w:cs="Times New Roman"/>
        </w:rPr>
        <w:t>O and inorganic end products. In this method, the production H</w:t>
      </w:r>
      <w:r w:rsidR="008373D3" w:rsidRPr="0038343B">
        <w:rPr>
          <w:rFonts w:cs="Times New Roman"/>
          <w:vertAlign w:val="subscript"/>
        </w:rPr>
        <w:t>2</w:t>
      </w:r>
      <w:r w:rsidR="008373D3" w:rsidRPr="0038343B">
        <w:rPr>
          <w:rFonts w:cs="Times New Roman"/>
        </w:rPr>
        <w:t>O</w:t>
      </w:r>
      <w:r w:rsidR="008373D3" w:rsidRPr="0038343B">
        <w:rPr>
          <w:rFonts w:cs="Times New Roman"/>
          <w:vertAlign w:val="subscript"/>
        </w:rPr>
        <w:t>2</w:t>
      </w:r>
      <w:r w:rsidR="008373D3" w:rsidRPr="0038343B">
        <w:rPr>
          <w:rFonts w:cs="Times New Roman"/>
        </w:rPr>
        <w:t xml:space="preserve"> is a crucial parameter that influences the efficacy of the treatment system. Therefore, it is required to ensure continuous production of H</w:t>
      </w:r>
      <w:r w:rsidR="008373D3" w:rsidRPr="0038343B">
        <w:rPr>
          <w:rFonts w:cs="Times New Roman"/>
          <w:vertAlign w:val="subscript"/>
        </w:rPr>
        <w:t>2</w:t>
      </w:r>
      <w:r w:rsidR="008373D3" w:rsidRPr="0038343B">
        <w:rPr>
          <w:rFonts w:cs="Times New Roman"/>
        </w:rPr>
        <w:t>O</w:t>
      </w:r>
      <w:r w:rsidR="008373D3" w:rsidRPr="0038343B">
        <w:rPr>
          <w:rFonts w:cs="Times New Roman"/>
          <w:vertAlign w:val="subscript"/>
        </w:rPr>
        <w:t>2</w:t>
      </w:r>
      <w:r w:rsidR="008373D3" w:rsidRPr="0038343B">
        <w:rPr>
          <w:rFonts w:cs="Times New Roman"/>
        </w:rPr>
        <w:t xml:space="preserve"> via two-electron cathodic reduction of oxygen gas to sustainably treat wastewater in an electrochemical reactor (</w:t>
      </w:r>
      <w:r w:rsidR="00B45BCB" w:rsidRPr="00B45BCB">
        <w:rPr>
          <w:rFonts w:cs="Times New Roman"/>
          <w:color w:val="000000"/>
        </w:rPr>
        <w:t>Eq.</w:t>
      </w:r>
      <w:r w:rsidR="008373D3" w:rsidRPr="0038343B">
        <w:rPr>
          <w:rFonts w:cs="Times New Roman"/>
        </w:rPr>
        <w:t xml:space="preserve"> 1</w:t>
      </w:r>
      <w:r w:rsidR="008373D3">
        <w:rPr>
          <w:rFonts w:cs="Times New Roman"/>
        </w:rPr>
        <w:t>7</w:t>
      </w:r>
      <w:r w:rsidR="008373D3" w:rsidRPr="0038343B">
        <w:rPr>
          <w:rFonts w:cs="Times New Roman"/>
        </w:rPr>
        <w:t xml:space="preserve">). The oxygen gas can be directly injected into the electrochemical reactor as pure gaseous form or by purging bubbled air form into the reactor </w:t>
      </w:r>
      <w:r w:rsidR="008373D3" w:rsidRPr="0038343B">
        <w:rPr>
          <w:rFonts w:cs="Times New Roman"/>
        </w:rPr>
        <w:fldChar w:fldCharType="begin" w:fldLock="1"/>
      </w:r>
      <w:r w:rsidR="008666F9">
        <w:rPr>
          <w:rFonts w:cs="Times New Roman"/>
        </w:rPr>
        <w:instrText>ADDIN CSL_CITATION {"citationItems":[{"id":"ITEM-1","itemData":{"DOI":"10.1252/jcej.19.513","ISSN":"00219592","abstract":"A novel process of an oxidative degradation of aqueous phenol effluent with hydrogen peroxide produced by electroreduction of oxygen dissolved in the effluent was studied. Effects of operational conditions such as pH, cathode potential, ferrous ion concentration and phenol concentration on the degradation rate of phenol were clarified. Phenol was successively degraded to carbon dioxide at pH 3 with higher efficiency rather than the other pH's. The COD current efficiency at pH 3 was higher than that for the anodic oxidation process of phenol and was more than 60 % for complete degradation in the range of 260–2600 ppm of initial COD. © 1986, The Society of Chemical Engineers, Japan. All rights reserved.","author":[{"dropping-particle":"","family":"Sudoh","given":"Masao","non-dropping-particle":"","parse-names":false,"suffix":""},{"dropping-particle":"","family":"Kodera","given":"Takamasa","non-dropping-particle":"","parse-names":false,"suffix":""},{"dropping-particle":"","family":"Sakai","given":"Kunio","non-dropping-particle":"","parse-names":false,"suffix":""},{"dropping-particle":"","family":"Zhang","given":"Jing Quan","non-dropping-particle":"","parse-names":false,"suffix":""},{"dropping-particle":"","family":"Koide","given":"Kozo","non-dropping-particle":"","parse-names":false,"suffix":""}],"container-title":"Journal of Chemical Engineering of Japan","id":"ITEM-1","issue":"6","issued":{"date-parts":[["1986"]]},"page":"513-518","title":"Oxidative degradation of aqueous phenol effluent with electrogenerated fenton's reagent","type":"article-journal","volume":"19"},"uris":["http://www.mendeley.com/documents/?uuid=e29ed2af-a5ad-455f-b70b-1fb97edc1b78","http://www.mendeley.com/documents/?uuid=6b2b7f96-f1c2-4e0b-86f6-7ffa9f07dd5d"]}],"mendeley":{"formattedCitation":"(Sudoh et al., 1986)","plainTextFormattedCitation":"(Sudoh et al., 1986)","previouslyFormattedCitation":"(Sudoh et al., 1986)"},"properties":{"noteIndex":0},"schema":"https://github.com/citation-style-language/schema/raw/master/csl-citation.json"}</w:instrText>
      </w:r>
      <w:r w:rsidR="008373D3" w:rsidRPr="0038343B">
        <w:rPr>
          <w:rFonts w:cs="Times New Roman"/>
        </w:rPr>
        <w:fldChar w:fldCharType="separate"/>
      </w:r>
      <w:r w:rsidR="008373D3" w:rsidRPr="00FB6D8C">
        <w:rPr>
          <w:rFonts w:cs="Times New Roman"/>
          <w:noProof/>
        </w:rPr>
        <w:t>(Sudoh et al., 1986)</w:t>
      </w:r>
      <w:r w:rsidR="008373D3" w:rsidRPr="0038343B">
        <w:rPr>
          <w:rFonts w:cs="Times New Roman"/>
        </w:rPr>
        <w:fldChar w:fldCharType="end"/>
      </w:r>
      <w:r w:rsidR="008373D3" w:rsidRPr="0038343B">
        <w:rPr>
          <w:rFonts w:cs="Times New Roman"/>
        </w:rPr>
        <w:t xml:space="preserve">. </w:t>
      </w:r>
    </w:p>
    <w:p w14:paraId="61C594FE" w14:textId="5CAA95FE" w:rsidR="008373D3" w:rsidRPr="0038343B" w:rsidRDefault="008373D3" w:rsidP="008F2B8E">
      <w:pPr>
        <w:spacing w:after="0" w:line="480" w:lineRule="auto"/>
        <w:ind w:firstLine="720"/>
        <w:rPr>
          <w:rFonts w:cs="Times New Roman"/>
        </w:rPr>
      </w:pPr>
      <w:r w:rsidRPr="0038343B">
        <w:rPr>
          <w:rFonts w:cs="Times New Roman"/>
        </w:rPr>
        <w:t>Fe</w:t>
      </w:r>
      <w:r w:rsidRPr="0038343B">
        <w:rPr>
          <w:rFonts w:cs="Times New Roman"/>
          <w:vertAlign w:val="superscript"/>
        </w:rPr>
        <w:t>2+</w:t>
      </w:r>
      <w:r w:rsidRPr="0038343B">
        <w:rPr>
          <w:rFonts w:cs="Times New Roman"/>
        </w:rPr>
        <w:t xml:space="preserve"> + H</w:t>
      </w:r>
      <w:r w:rsidRPr="0038343B">
        <w:rPr>
          <w:rFonts w:cs="Times New Roman"/>
          <w:vertAlign w:val="subscript"/>
        </w:rPr>
        <w:t>2</w:t>
      </w:r>
      <w:r w:rsidRPr="0038343B">
        <w:rPr>
          <w:rFonts w:cs="Times New Roman"/>
        </w:rPr>
        <w:t>O</w:t>
      </w:r>
      <w:r w:rsidRPr="0038343B">
        <w:rPr>
          <w:rFonts w:cs="Times New Roman"/>
          <w:vertAlign w:val="subscript"/>
        </w:rPr>
        <w:t xml:space="preserve">2 </w:t>
      </w:r>
      <w:r w:rsidRPr="0038343B">
        <w:rPr>
          <w:rFonts w:cs="Times New Roman"/>
        </w:rPr>
        <w:t>→</w:t>
      </w:r>
      <w:r w:rsidRPr="0038343B">
        <w:rPr>
          <w:rFonts w:cs="Times New Roman"/>
          <w:vertAlign w:val="subscript"/>
        </w:rPr>
        <w:t xml:space="preserve"> </w:t>
      </w:r>
      <w:r w:rsidRPr="0038343B">
        <w:rPr>
          <w:rFonts w:cs="Times New Roman"/>
        </w:rPr>
        <w:t>Fe</w:t>
      </w:r>
      <w:r w:rsidRPr="0038343B">
        <w:rPr>
          <w:rFonts w:cs="Times New Roman"/>
          <w:vertAlign w:val="superscript"/>
        </w:rPr>
        <w:t>3+</w:t>
      </w:r>
      <w:r w:rsidRPr="0038343B">
        <w:rPr>
          <w:rFonts w:cs="Times New Roman"/>
        </w:rPr>
        <w:t xml:space="preserve"> + </w:t>
      </w:r>
      <w:r w:rsidR="00E553FA" w:rsidRPr="00517A17">
        <w:rPr>
          <w:rFonts w:ascii="Calibri" w:hAnsi="Calibri" w:cs="Calibri"/>
          <w:color w:val="000000"/>
          <w:szCs w:val="24"/>
          <w:vertAlign w:val="superscript"/>
        </w:rPr>
        <w:t>•</w:t>
      </w:r>
      <w:r w:rsidR="00E553FA" w:rsidRPr="00517A17">
        <w:rPr>
          <w:color w:val="000000"/>
          <w:szCs w:val="24"/>
        </w:rPr>
        <w:t>OH</w:t>
      </w:r>
      <w:r w:rsidRPr="0038343B">
        <w:rPr>
          <w:rFonts w:cs="Times New Roman"/>
          <w:b/>
        </w:rPr>
        <w:t xml:space="preserve"> </w:t>
      </w:r>
      <w:r w:rsidRPr="0038343B">
        <w:rPr>
          <w:rFonts w:cs="Times New Roman"/>
        </w:rPr>
        <w:t>+ OH</w:t>
      </w:r>
      <w:r w:rsidRPr="0038343B">
        <w:rPr>
          <w:rFonts w:cs="Times New Roman"/>
          <w:b/>
          <w:vertAlign w:val="superscript"/>
        </w:rPr>
        <w:t>−</w:t>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t>(</w:t>
      </w:r>
      <w:r w:rsidR="00B45BCB" w:rsidRPr="00B45BCB">
        <w:rPr>
          <w:rFonts w:cs="Times New Roman"/>
          <w:color w:val="000000"/>
        </w:rPr>
        <w:t>Eq.</w:t>
      </w:r>
      <w:r>
        <w:rPr>
          <w:rFonts w:cs="Times New Roman"/>
        </w:rPr>
        <w:t xml:space="preserve"> 15</w:t>
      </w:r>
      <w:r w:rsidRPr="0038343B">
        <w:rPr>
          <w:rFonts w:cs="Times New Roman"/>
        </w:rPr>
        <w:t>)</w:t>
      </w:r>
    </w:p>
    <w:p w14:paraId="73F1B647" w14:textId="0ED17D41" w:rsidR="008373D3" w:rsidRPr="0038343B" w:rsidRDefault="008373D3" w:rsidP="008F2B8E">
      <w:pPr>
        <w:spacing w:after="0" w:line="480" w:lineRule="auto"/>
        <w:ind w:firstLine="720"/>
        <w:rPr>
          <w:rFonts w:cs="Times New Roman"/>
        </w:rPr>
      </w:pPr>
      <w:r w:rsidRPr="0038343B">
        <w:rPr>
          <w:rFonts w:cs="Times New Roman"/>
        </w:rPr>
        <w:t>Fe</w:t>
      </w:r>
      <w:r w:rsidRPr="0038343B">
        <w:rPr>
          <w:rFonts w:cs="Times New Roman"/>
          <w:vertAlign w:val="superscript"/>
        </w:rPr>
        <w:t>3+</w:t>
      </w:r>
      <w:r w:rsidRPr="0038343B">
        <w:rPr>
          <w:rFonts w:cs="Times New Roman"/>
        </w:rPr>
        <w:t xml:space="preserve"> + e</w:t>
      </w:r>
      <w:r w:rsidRPr="0038343B">
        <w:rPr>
          <w:rFonts w:cs="Times New Roman"/>
          <w:b/>
          <w:vertAlign w:val="superscript"/>
        </w:rPr>
        <w:t>−</w:t>
      </w:r>
      <w:r w:rsidRPr="0038343B">
        <w:rPr>
          <w:rFonts w:cs="Times New Roman"/>
          <w:b/>
        </w:rPr>
        <w:t xml:space="preserve"> </w:t>
      </w:r>
      <w:r w:rsidRPr="0038343B">
        <w:rPr>
          <w:rFonts w:cs="Times New Roman"/>
        </w:rPr>
        <w:t>→ Fe</w:t>
      </w:r>
      <w:r w:rsidRPr="0038343B">
        <w:rPr>
          <w:rFonts w:cs="Times New Roman"/>
          <w:vertAlign w:val="superscript"/>
        </w:rPr>
        <w:t>2+</w:t>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t>(</w:t>
      </w:r>
      <w:r w:rsidR="00B45BCB" w:rsidRPr="00B45BCB">
        <w:rPr>
          <w:rFonts w:cs="Times New Roman"/>
          <w:color w:val="000000"/>
        </w:rPr>
        <w:t>Eq.</w:t>
      </w:r>
      <w:r>
        <w:rPr>
          <w:rFonts w:cs="Times New Roman"/>
        </w:rPr>
        <w:t xml:space="preserve"> 16</w:t>
      </w:r>
      <w:r w:rsidRPr="0038343B">
        <w:rPr>
          <w:rFonts w:cs="Times New Roman"/>
        </w:rPr>
        <w:t>)</w:t>
      </w:r>
    </w:p>
    <w:p w14:paraId="1AEAB21D" w14:textId="6CFBE1CA" w:rsidR="008373D3" w:rsidRPr="0038343B" w:rsidRDefault="008373D3" w:rsidP="008F2B8E">
      <w:pPr>
        <w:spacing w:after="0" w:line="480" w:lineRule="auto"/>
        <w:ind w:firstLine="720"/>
        <w:rPr>
          <w:rFonts w:cs="Times New Roman"/>
        </w:rPr>
      </w:pPr>
      <w:r w:rsidRPr="0038343B">
        <w:rPr>
          <w:rFonts w:cs="Times New Roman"/>
        </w:rPr>
        <w:t>O</w:t>
      </w:r>
      <w:r w:rsidRPr="0038343B">
        <w:rPr>
          <w:rFonts w:cs="Times New Roman"/>
          <w:vertAlign w:val="subscript"/>
        </w:rPr>
        <w:t>2</w:t>
      </w:r>
      <w:r w:rsidRPr="0038343B">
        <w:rPr>
          <w:rFonts w:cs="Times New Roman"/>
        </w:rPr>
        <w:t xml:space="preserve"> + 2H</w:t>
      </w:r>
      <w:r w:rsidRPr="0038343B">
        <w:rPr>
          <w:rFonts w:cs="Times New Roman"/>
          <w:vertAlign w:val="superscript"/>
        </w:rPr>
        <w:t>+</w:t>
      </w:r>
      <w:r w:rsidRPr="0038343B">
        <w:rPr>
          <w:rFonts w:cs="Times New Roman"/>
        </w:rPr>
        <w:t xml:space="preserve"> + 2e</w:t>
      </w:r>
      <w:r w:rsidRPr="0038343B">
        <w:rPr>
          <w:rFonts w:cs="Times New Roman"/>
          <w:b/>
          <w:vertAlign w:val="superscript"/>
        </w:rPr>
        <w:t>−</w:t>
      </w:r>
      <w:r w:rsidRPr="0038343B">
        <w:rPr>
          <w:rFonts w:cs="Times New Roman"/>
          <w:b/>
        </w:rPr>
        <w:t xml:space="preserve"> </w:t>
      </w:r>
      <w:r w:rsidRPr="0038343B">
        <w:rPr>
          <w:rFonts w:cs="Times New Roman"/>
        </w:rPr>
        <w:t>→ 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t>(</w:t>
      </w:r>
      <w:r w:rsidR="00B45BCB" w:rsidRPr="00B45BCB">
        <w:rPr>
          <w:rFonts w:cs="Times New Roman"/>
          <w:color w:val="000000"/>
        </w:rPr>
        <w:t>Eq.</w:t>
      </w:r>
      <w:r>
        <w:rPr>
          <w:rFonts w:cs="Times New Roman"/>
          <w:color w:val="000000"/>
        </w:rPr>
        <w:t xml:space="preserve"> </w:t>
      </w:r>
      <w:r w:rsidRPr="0038343B">
        <w:rPr>
          <w:rFonts w:cs="Times New Roman"/>
        </w:rPr>
        <w:t>1</w:t>
      </w:r>
      <w:r>
        <w:rPr>
          <w:rFonts w:cs="Times New Roman"/>
        </w:rPr>
        <w:t>7</w:t>
      </w:r>
      <w:r w:rsidRPr="0038343B">
        <w:rPr>
          <w:rFonts w:cs="Times New Roman"/>
        </w:rPr>
        <w:t xml:space="preserve">) </w:t>
      </w:r>
    </w:p>
    <w:p w14:paraId="38BFC0CD" w14:textId="78C29F01" w:rsidR="008373D3" w:rsidRPr="0038343B" w:rsidRDefault="008373D3" w:rsidP="008373D3">
      <w:pPr>
        <w:spacing w:line="480" w:lineRule="auto"/>
        <w:rPr>
          <w:rFonts w:cs="Times New Roman"/>
          <w:color w:val="000000"/>
          <w:szCs w:val="24"/>
        </w:rPr>
      </w:pPr>
      <w:r w:rsidRPr="0038343B">
        <w:rPr>
          <w:rFonts w:cs="Times New Roman"/>
        </w:rPr>
        <w:t xml:space="preserve">The efficiency and flexibility of indirect EAOPs were successfully reported in investigations </w:t>
      </w:r>
      <w:r w:rsidR="00D86233">
        <w:rPr>
          <w:rFonts w:cs="Times New Roman"/>
        </w:rPr>
        <w:t>on</w:t>
      </w:r>
      <w:r w:rsidRPr="0038343B">
        <w:rPr>
          <w:rFonts w:cs="Times New Roman"/>
        </w:rPr>
        <w:t xml:space="preserve"> the decontamination of pollutants from the wastewater. For example, a low cost </w:t>
      </w:r>
      <w:r w:rsidRPr="0038343B">
        <w:rPr>
          <w:rFonts w:cs="Times New Roman"/>
          <w:lang w:val="en-IN"/>
        </w:rPr>
        <w:t xml:space="preserve">multi-walled carbon nanotubes and carbon black co-modified graphite felt cathode was fabricated for </w:t>
      </w:r>
      <w:r w:rsidR="0029294C">
        <w:rPr>
          <w:rFonts w:cs="Times New Roman"/>
          <w:lang w:val="en-IN"/>
        </w:rPr>
        <w:t>100 mg L</w:t>
      </w:r>
      <w:r w:rsidR="00123BD3">
        <w:rPr>
          <w:rFonts w:cs="Times New Roman"/>
          <w:bCs/>
          <w:color w:val="000000" w:themeColor="text1"/>
          <w:szCs w:val="24"/>
          <w:vertAlign w:val="superscript"/>
          <w:lang w:val="en-IN"/>
        </w:rPr>
        <w:t>‒</w:t>
      </w:r>
      <w:r w:rsidR="0029294C" w:rsidRPr="0029294C">
        <w:rPr>
          <w:rFonts w:cs="Times New Roman"/>
          <w:vertAlign w:val="superscript"/>
          <w:lang w:val="en-IN"/>
        </w:rPr>
        <w:t>1</w:t>
      </w:r>
      <w:r w:rsidR="0029294C">
        <w:rPr>
          <w:rFonts w:cs="Times New Roman"/>
          <w:lang w:val="en-IN"/>
        </w:rPr>
        <w:t xml:space="preserve"> </w:t>
      </w:r>
      <w:r w:rsidRPr="0038343B">
        <w:rPr>
          <w:rFonts w:cs="Times New Roman"/>
          <w:lang w:val="en-IN"/>
        </w:rPr>
        <w:t>amoxicillin removal from wastewater and the as-fabricated cathode showed higher H</w:t>
      </w:r>
      <w:r w:rsidRPr="0038343B">
        <w:rPr>
          <w:rFonts w:cs="Times New Roman"/>
          <w:vertAlign w:val="subscript"/>
          <w:lang w:val="en-IN"/>
        </w:rPr>
        <w:t>2</w:t>
      </w:r>
      <w:r w:rsidRPr="0038343B">
        <w:rPr>
          <w:rFonts w:cs="Times New Roman"/>
          <w:lang w:val="en-IN"/>
        </w:rPr>
        <w:t>O</w:t>
      </w:r>
      <w:r w:rsidRPr="0038343B">
        <w:rPr>
          <w:rFonts w:cs="Times New Roman"/>
          <w:vertAlign w:val="subscript"/>
          <w:lang w:val="en-IN"/>
        </w:rPr>
        <w:t>2</w:t>
      </w:r>
      <w:r w:rsidRPr="0038343B">
        <w:rPr>
          <w:rFonts w:cs="Times New Roman"/>
          <w:lang w:val="en-IN"/>
        </w:rPr>
        <w:t xml:space="preserve"> generation of 309.0 </w:t>
      </w:r>
      <w:r w:rsidR="001C24D2">
        <w:rPr>
          <w:rFonts w:cs="Times New Roman"/>
          <w:lang w:val="en-IN"/>
        </w:rPr>
        <w:t>mg L</w:t>
      </w:r>
      <w:r w:rsidR="00123BD3">
        <w:rPr>
          <w:rFonts w:cs="Times New Roman"/>
          <w:bCs/>
          <w:color w:val="000000" w:themeColor="text1"/>
          <w:szCs w:val="24"/>
          <w:vertAlign w:val="superscript"/>
          <w:lang w:val="en-IN"/>
        </w:rPr>
        <w:t>‒</w:t>
      </w:r>
      <w:r w:rsidR="001C24D2" w:rsidRPr="0029294C">
        <w:rPr>
          <w:rFonts w:cs="Times New Roman"/>
          <w:vertAlign w:val="superscript"/>
          <w:lang w:val="en-IN"/>
        </w:rPr>
        <w:t>1</w:t>
      </w:r>
      <w:r w:rsidR="001C24D2">
        <w:rPr>
          <w:rFonts w:cs="Times New Roman"/>
          <w:lang w:val="en-IN"/>
        </w:rPr>
        <w:t xml:space="preserve"> </w:t>
      </w:r>
      <w:r w:rsidRPr="0038343B">
        <w:rPr>
          <w:rFonts w:cs="Times New Roman"/>
          <w:lang w:val="en-IN"/>
        </w:rPr>
        <w:t xml:space="preserve">and simultaneously removed almost 98.7% of </w:t>
      </w:r>
      <w:r w:rsidR="00955DCD" w:rsidRPr="0038343B">
        <w:rPr>
          <w:rFonts w:cs="Times New Roman"/>
          <w:lang w:val="en-IN"/>
        </w:rPr>
        <w:t>amoxicillin</w:t>
      </w:r>
      <w:r w:rsidRPr="0038343B">
        <w:rPr>
          <w:rFonts w:cs="Times New Roman"/>
          <w:lang w:val="en-IN"/>
        </w:rPr>
        <w:t xml:space="preserve"> by adopting 0.5 mM of Fe</w:t>
      </w:r>
      <w:r w:rsidRPr="0038343B">
        <w:rPr>
          <w:rFonts w:cs="Times New Roman"/>
          <w:vertAlign w:val="superscript"/>
          <w:lang w:val="en-IN"/>
        </w:rPr>
        <w:t>2+</w:t>
      </w:r>
      <w:r w:rsidRPr="0038343B">
        <w:rPr>
          <w:rFonts w:cs="Times New Roman"/>
          <w:lang w:val="en-IN"/>
        </w:rPr>
        <w:t xml:space="preserve"> catalyst and </w:t>
      </w:r>
      <w:r w:rsidR="00955DCD">
        <w:rPr>
          <w:rFonts w:cs="Times New Roman"/>
          <w:lang w:val="en-IN"/>
        </w:rPr>
        <w:t xml:space="preserve">current density </w:t>
      </w:r>
      <w:r w:rsidRPr="0038343B">
        <w:rPr>
          <w:rFonts w:cs="Times New Roman"/>
          <w:lang w:val="en-IN"/>
        </w:rPr>
        <w:t>of 15 mA</w:t>
      </w:r>
      <w:r w:rsidR="00955DCD">
        <w:rPr>
          <w:rFonts w:cs="Times New Roman"/>
          <w:lang w:val="en-IN"/>
        </w:rPr>
        <w:t xml:space="preserve"> </w:t>
      </w:r>
      <w:r w:rsidRPr="0038343B">
        <w:rPr>
          <w:rFonts w:cs="Times New Roman"/>
          <w:lang w:val="en-IN"/>
        </w:rPr>
        <w:t>cm</w:t>
      </w:r>
      <w:r w:rsidR="00123BD3">
        <w:rPr>
          <w:rFonts w:cs="Times New Roman"/>
          <w:bCs/>
          <w:color w:val="000000" w:themeColor="text1"/>
          <w:szCs w:val="24"/>
          <w:vertAlign w:val="superscript"/>
          <w:lang w:val="en-IN"/>
        </w:rPr>
        <w:t>‒</w:t>
      </w:r>
      <w:r w:rsidRPr="00955DCD">
        <w:rPr>
          <w:rFonts w:cs="Times New Roman"/>
          <w:vertAlign w:val="superscript"/>
          <w:lang w:val="en-IN"/>
        </w:rPr>
        <w:t>2</w:t>
      </w:r>
      <w:r w:rsidRPr="0038343B">
        <w:rPr>
          <w:rFonts w:cs="Times New Roman"/>
          <w:lang w:val="en-IN"/>
        </w:rPr>
        <w:t xml:space="preserve"> within 30 min of electrolysis </w:t>
      </w:r>
      <w:r w:rsidRPr="0038343B">
        <w:rPr>
          <w:rFonts w:cs="Times New Roman"/>
          <w:lang w:val="en-IN"/>
        </w:rPr>
        <w:fldChar w:fldCharType="begin" w:fldLock="1"/>
      </w:r>
      <w:r w:rsidR="008666F9">
        <w:rPr>
          <w:rFonts w:cs="Times New Roman"/>
          <w:lang w:val="en-IN"/>
        </w:rPr>
        <w:instrText>ADDIN CSL_CITATION {"citationItems":[{"id":"ITEM-1","itemData":{"DOI":"10.1007/s11356-019-07358-2","ISSN":"16147499","PMID":"31900780","abstract":"Hydrogen peroxide (H2O2) electrogenerated via two-electron oxygen reduction reaction at cathode plays an important role in electrochemical advanced oxidation processes for organic pollutants removal from wastewater. Herein, multi-walled carbon nanotubes and carbon black co-modified graphite felt electrode (MWCNTs-CB/GF) was prepared as an efficient cathode for H2O2 electrogeneration and amoxicillin removal by anodic oxidation with hydrogen peroxide (AO-H2O2) and electro-Fenton (EF) under mild pH condition. Besides, the physicochemical and electrochemical properties of MWCNTs-CB/GF were characterized by scanning electron microscopy, N2 adsorption and desorption experiment, contact angle measurement, X-ray photoelectron spectroscopy, and linear sweep voltammetry. Compared with GF, MWCNTs-CB/GF showed a higher H2O2 generation of 309.0 mg L−1 with a current efficiency of 60.9% (after 120 min) and more effective amoxicillin removal efficiencies of 97.5% (after 120 min) and 98.7% (after 30 min) in AO-H2O2 and EF (with 0.5 mM Fe2+) processes, under the condition of current density 12 mA cm−2 and initial pH 5.5. Meanwhile, the TOC removal efficiency was 45.2% during EF process after 120 min. Anodic oxidation, H2O2 oxidation, and methanol capture indicated that ∙OH generated via electro-activation reaction at MWCNTs-CB/GF and Fenton reaction in solution played the dominant role in amoxicillin removal. Moreover, the TOC removal was associated with ∙OH generated during Fenton reaction in the solution. The major intermediates of AMX degradation by EF process were identified using LC-MS and the possible degradation pathways were proposed containing of β-lactam ring opening, hydroxylation reaction, decarboxylation reaction, methyl groups in the thiazolidine ring oxidation reaction, bond cleavage, and rearrangement processes. All of the above results proved that MWCNTs-CB/GF was an excellent cathode for AMX degradation under mild pH condition.","author":[{"dropping-particle":"","family":"Pan","given":"Guifang","non-dropping-particle":"","parse-names":false,"suffix":""},{"dropping-particle":"","family":"Sun","given":"Xiuping","non-dropping-particle":"","parse-names":false,"suffix":""},{"dropping-particle":"","family":"Sun","given":"Zhirong","non-dropping-particle":"","parse-names":false,"suffix":""}],"container-title":"Environmental Science and Pollution Research","id":"ITEM-1","issue":"8","issued":{"date-parts":[["2020"]]},"page":"8231-8247","title":"Fabrication of multi-walled carbon nanotubes and carbon black co-modified graphite felt cathode for amoxicillin removal by electrochemical advanced oxidation processes under mild pH condition","type":"article-journal","volume":"27"},"uris":["http://www.mendeley.com/documents/?uuid=d760aa06-2cfd-4099-afa4-dfe4d7b8ece9"]}],"mendeley":{"formattedCitation":"(Pan et al., 2020)","plainTextFormattedCitation":"(Pan et al., 2020)","previouslyFormattedCitation":"(Pan et al., 2020)"},"properties":{"noteIndex":0},"schema":"https://github.com/citation-style-language/schema/raw/master/csl-citation.json"}</w:instrText>
      </w:r>
      <w:r w:rsidRPr="0038343B">
        <w:rPr>
          <w:rFonts w:cs="Times New Roman"/>
          <w:lang w:val="en-IN"/>
        </w:rPr>
        <w:fldChar w:fldCharType="separate"/>
      </w:r>
      <w:r w:rsidRPr="00FB6D8C">
        <w:rPr>
          <w:rFonts w:cs="Times New Roman"/>
          <w:noProof/>
          <w:lang w:val="en-IN"/>
        </w:rPr>
        <w:t>(Pan et al., 2020)</w:t>
      </w:r>
      <w:r w:rsidRPr="0038343B">
        <w:rPr>
          <w:rFonts w:cs="Times New Roman"/>
          <w:lang w:val="en-IN"/>
        </w:rPr>
        <w:fldChar w:fldCharType="end"/>
      </w:r>
      <w:r w:rsidRPr="0038343B">
        <w:rPr>
          <w:rFonts w:cs="Times New Roman"/>
          <w:lang w:val="en-IN"/>
        </w:rPr>
        <w:t xml:space="preserve">. Similarly, a sacrificial iron anode was used for the removal of malachite green having an initial concentration of 1000 </w:t>
      </w:r>
      <w:r w:rsidR="000D51B4">
        <w:rPr>
          <w:rFonts w:cs="Times New Roman"/>
          <w:lang w:val="en-IN"/>
        </w:rPr>
        <w:t>mg L</w:t>
      </w:r>
      <w:r w:rsidR="00123BD3">
        <w:rPr>
          <w:rFonts w:cs="Times New Roman"/>
          <w:bCs/>
          <w:color w:val="000000" w:themeColor="text1"/>
          <w:szCs w:val="24"/>
          <w:vertAlign w:val="superscript"/>
          <w:lang w:val="en-IN"/>
        </w:rPr>
        <w:t>‒</w:t>
      </w:r>
      <w:r w:rsidR="000D51B4" w:rsidRPr="0029294C">
        <w:rPr>
          <w:rFonts w:cs="Times New Roman"/>
          <w:vertAlign w:val="superscript"/>
          <w:lang w:val="en-IN"/>
        </w:rPr>
        <w:t>1</w:t>
      </w:r>
      <w:r w:rsidR="000D51B4">
        <w:rPr>
          <w:rFonts w:cs="Times New Roman"/>
          <w:lang w:val="en-IN"/>
        </w:rPr>
        <w:t xml:space="preserve"> </w:t>
      </w:r>
      <w:r w:rsidRPr="0038343B">
        <w:rPr>
          <w:rFonts w:cs="Times New Roman"/>
          <w:lang w:val="en-IN"/>
        </w:rPr>
        <w:t>from wastewater and almost 95.3% of TOC removal was observed by using 0.3</w:t>
      </w:r>
      <w:r w:rsidR="000D51B4">
        <w:rPr>
          <w:rFonts w:cs="Times New Roman"/>
          <w:lang w:val="en-IN"/>
        </w:rPr>
        <w:t xml:space="preserve"> g L</w:t>
      </w:r>
      <w:r w:rsidR="00123BD3">
        <w:rPr>
          <w:rFonts w:cs="Times New Roman"/>
          <w:bCs/>
          <w:color w:val="000000" w:themeColor="text1"/>
          <w:szCs w:val="24"/>
          <w:vertAlign w:val="superscript"/>
          <w:lang w:val="en-IN"/>
        </w:rPr>
        <w:t>‒</w:t>
      </w:r>
      <w:r w:rsidR="000D51B4" w:rsidRPr="0029294C">
        <w:rPr>
          <w:rFonts w:cs="Times New Roman"/>
          <w:vertAlign w:val="superscript"/>
          <w:lang w:val="en-IN"/>
        </w:rPr>
        <w:t>1</w:t>
      </w:r>
      <w:r w:rsidR="000D51B4">
        <w:rPr>
          <w:rFonts w:cs="Times New Roman"/>
          <w:lang w:val="en-IN"/>
        </w:rPr>
        <w:t xml:space="preserve"> </w:t>
      </w:r>
      <w:r w:rsidRPr="0038343B">
        <w:rPr>
          <w:rFonts w:cs="Times New Roman"/>
          <w:lang w:val="en-IN"/>
        </w:rPr>
        <w:t>of Fe</w:t>
      </w:r>
      <w:r w:rsidRPr="0038343B">
        <w:rPr>
          <w:rFonts w:cs="Times New Roman"/>
          <w:vertAlign w:val="superscript"/>
          <w:lang w:val="en-IN"/>
        </w:rPr>
        <w:t>2+</w:t>
      </w:r>
      <w:r w:rsidRPr="0038343B">
        <w:rPr>
          <w:rFonts w:cs="Times New Roman"/>
          <w:lang w:val="en-IN"/>
        </w:rPr>
        <w:t xml:space="preserve"> and </w:t>
      </w:r>
      <w:r w:rsidR="000D51B4">
        <w:rPr>
          <w:rFonts w:cs="Times New Roman"/>
          <w:lang w:val="en-IN"/>
        </w:rPr>
        <w:t>current density</w:t>
      </w:r>
      <w:r w:rsidRPr="0038343B">
        <w:rPr>
          <w:rFonts w:cs="Times New Roman"/>
          <w:lang w:val="en-IN"/>
        </w:rPr>
        <w:t xml:space="preserve"> of 10 </w:t>
      </w:r>
      <w:r w:rsidR="000D51B4" w:rsidRPr="0038343B">
        <w:rPr>
          <w:rFonts w:cs="Times New Roman"/>
          <w:lang w:val="en-IN"/>
        </w:rPr>
        <w:t>mA</w:t>
      </w:r>
      <w:r w:rsidR="000D51B4">
        <w:rPr>
          <w:rFonts w:cs="Times New Roman"/>
          <w:lang w:val="en-IN"/>
        </w:rPr>
        <w:t xml:space="preserve"> </w:t>
      </w:r>
      <w:r w:rsidR="000D51B4" w:rsidRPr="0038343B">
        <w:rPr>
          <w:rFonts w:cs="Times New Roman"/>
          <w:lang w:val="en-IN"/>
        </w:rPr>
        <w:t>cm</w:t>
      </w:r>
      <w:r w:rsidR="00123BD3">
        <w:rPr>
          <w:rFonts w:cs="Times New Roman"/>
          <w:bCs/>
          <w:color w:val="000000" w:themeColor="text1"/>
          <w:szCs w:val="24"/>
          <w:vertAlign w:val="superscript"/>
          <w:lang w:val="en-IN"/>
        </w:rPr>
        <w:t>‒</w:t>
      </w:r>
      <w:r w:rsidR="000D51B4" w:rsidRPr="00955DCD">
        <w:rPr>
          <w:rFonts w:cs="Times New Roman"/>
          <w:vertAlign w:val="superscript"/>
          <w:lang w:val="en-IN"/>
        </w:rPr>
        <w:t>2</w:t>
      </w:r>
      <w:r w:rsidR="000D51B4" w:rsidRPr="0038343B">
        <w:rPr>
          <w:rFonts w:cs="Times New Roman"/>
          <w:lang w:val="en-IN"/>
        </w:rPr>
        <w:t xml:space="preserve"> </w:t>
      </w:r>
      <w:r w:rsidRPr="0038343B">
        <w:rPr>
          <w:rFonts w:cs="Times New Roman"/>
          <w:lang w:val="en-IN"/>
        </w:rPr>
        <w:t xml:space="preserve">within 30 min of electrolysis </w:t>
      </w:r>
      <w:r w:rsidRPr="0038343B">
        <w:rPr>
          <w:rFonts w:cs="Times New Roman"/>
          <w:lang w:val="en-IN"/>
        </w:rPr>
        <w:fldChar w:fldCharType="begin" w:fldLock="1"/>
      </w:r>
      <w:r w:rsidR="008666F9">
        <w:rPr>
          <w:rFonts w:cs="Times New Roman"/>
          <w:lang w:val="en-IN"/>
        </w:rPr>
        <w:instrText xml:space="preserve">ADDIN CSL_CITATION {"citationItems":[{"id":"ITEM-1","itemData":{"DOI":"10.1007/s13201-019-1123-5","ISBN":"0123456789","ISSN":"2190-5487","abstract":"This study aims to evaluate the degradation and mineralization of Malachite Green (MG) in an electro-Fenton process (EFP). We studied the influence of several important parameters including solution pH (2-11), current density (0-20 mA/cm 2), H 2 O 2 concentration (0-200 mg/L) and MG concentrations (200, 600, 1000, 1500, 2000, 3000 mg/L) at different reaction time (2.5-30 min). The intermediates produced during the degradation were determined by GC-MS. The optimum pH, current density and H 2 O 2 concentration were found to be approximately 3, 10 mA/cm 2 and 50 mg/L, respectively. It was concluded that acidic pH was required to increase the efficiency of the EFP. At optimum conditions and a reaction time of 15 min, MG was completely removed without any significant variation in the corresponding maximum wavelengths or new absorption bands. Due to formation of intermediates, almost all the organic compounds were completely mineralized (95.3%) to CO 2 and water at reaction time of 30 min. Results indicated the effect of hydroxyl radical (· OH) on MG degradation is greater than that of superoxide radical scavenger (O </w:instrText>
      </w:r>
      <w:r w:rsidR="008666F9">
        <w:rPr>
          <w:rFonts w:ascii="Cambria Math" w:hAnsi="Cambria Math" w:cs="Cambria Math"/>
          <w:lang w:val="en-IN"/>
        </w:rPr>
        <w:instrText>⋅</w:instrText>
      </w:r>
      <w:r w:rsidR="008666F9">
        <w:rPr>
          <w:rFonts w:cs="Times New Roman"/>
          <w:lang w:val="en-IN"/>
        </w:rPr>
        <w:instrText>− 2). The results showed that the degradation process of MG followed pseudo-first-order kinetic model and the treatment time required in EFP was 4.6 times lower than ECP. Furthermore, the results showed that EFP was an extremely efficient process for degradation and mineralization of a high concentration of MG (1000 mg/L) at a short reaction time (30 min).","author":[{"dropping-particle":"","family":"Teymori","given":"Maryam","non-dropping-particle":"","parse-names":false,"suffix":""},{"dropping-particle":"","family":"Khorsandi","given":"Hassan","non-dropping-particle":"","parse-names":false,"suffix":""},{"dropping-particle":"","family":"Aghapour","given":"Ali Ahmad","non-dropping-particle":"","parse-names":false,"suffix":""},{"dropping-particle":"","family":"Jafari","given":"Seyed Javad","non-dropping-particle":"","parse-names":false,"suffix":""},{"dropping-particle":"","family":"Maleki","given":"Ramin","non-dropping-particle":"","parse-names":false,"suffix":""}],"container-title":"Applied Water Science","id":"ITEM-1","issue":"1","issued":{"date-parts":[["2020","1","24"]]},"page":"39","title":"Electro-Fenton method for the removal of Malachite Green: effect of operational parameters","type":"article-journal","volume":"10"},"uris":["http://www.mendeley.com/documents/?uuid=f945f8e4-192c-4329-9527-975b723e2f9e","http://www.mendeley.com/documents/?uuid=130da343-80e8-42ff-a67b-2176a083851b"]}],"mendeley":{"formattedCitation":"(Teymori et al., 2020)","plainTextFormattedCitation":"(Teymori et al., 2020)","previouslyFormattedCitation":"(Teymori et al., 2020)"},"properties":{"noteIndex":0},"schema":"https://github.com/citation-style-language/schema/raw/master/csl-citation.json"}</w:instrText>
      </w:r>
      <w:r w:rsidRPr="0038343B">
        <w:rPr>
          <w:rFonts w:cs="Times New Roman"/>
          <w:lang w:val="en-IN"/>
        </w:rPr>
        <w:fldChar w:fldCharType="separate"/>
      </w:r>
      <w:r w:rsidRPr="00FB6D8C">
        <w:rPr>
          <w:rFonts w:cs="Times New Roman"/>
          <w:noProof/>
          <w:lang w:val="en-IN"/>
        </w:rPr>
        <w:t>(Teymori et al., 2020)</w:t>
      </w:r>
      <w:r w:rsidRPr="0038343B">
        <w:rPr>
          <w:rFonts w:cs="Times New Roman"/>
          <w:lang w:val="en-IN"/>
        </w:rPr>
        <w:fldChar w:fldCharType="end"/>
      </w:r>
      <w:r w:rsidRPr="0038343B">
        <w:rPr>
          <w:rFonts w:cs="Times New Roman"/>
          <w:lang w:val="en-IN"/>
        </w:rPr>
        <w:t>.</w:t>
      </w:r>
      <w:r w:rsidRPr="0038343B">
        <w:rPr>
          <w:rFonts w:cs="Times New Roman"/>
          <w:color w:val="000000"/>
          <w:szCs w:val="24"/>
        </w:rPr>
        <w:t xml:space="preserve"> </w:t>
      </w:r>
      <w:r w:rsidR="00D86233">
        <w:rPr>
          <w:rFonts w:cs="Times New Roman"/>
          <w:color w:val="000000"/>
          <w:szCs w:val="24"/>
        </w:rPr>
        <w:t>Other</w:t>
      </w:r>
      <w:r w:rsidRPr="0038343B">
        <w:rPr>
          <w:rFonts w:cs="Times New Roman"/>
          <w:color w:val="000000"/>
          <w:szCs w:val="24"/>
        </w:rPr>
        <w:t xml:space="preserve"> 115 articles also addressed the decontamination of organic pollutants by indirect EAOPs according to Scopus database.</w:t>
      </w:r>
    </w:p>
    <w:p w14:paraId="2F545024" w14:textId="08D8C7CE" w:rsidR="008373D3" w:rsidRPr="0038343B" w:rsidRDefault="008373D3" w:rsidP="008373D3">
      <w:pPr>
        <w:spacing w:after="0" w:line="480" w:lineRule="auto"/>
        <w:rPr>
          <w:rFonts w:cs="Times New Roman"/>
        </w:rPr>
      </w:pPr>
      <w:r w:rsidRPr="0038343B">
        <w:rPr>
          <w:rFonts w:cs="Times New Roman"/>
        </w:rPr>
        <w:t>In electro-Fenton process</w:t>
      </w:r>
      <w:r w:rsidR="00D86233">
        <w:rPr>
          <w:rFonts w:cs="Times New Roman"/>
        </w:rPr>
        <w:t>,</w:t>
      </w:r>
      <w:r w:rsidRPr="0038343B">
        <w:rPr>
          <w:rFonts w:cs="Times New Roman"/>
        </w:rPr>
        <w:t xml:space="preserve"> the </w:t>
      </w:r>
      <w:r w:rsidR="00E553FA" w:rsidRPr="00517A17">
        <w:rPr>
          <w:rFonts w:ascii="Calibri" w:hAnsi="Calibri" w:cs="Calibri"/>
          <w:color w:val="000000"/>
          <w:szCs w:val="24"/>
          <w:vertAlign w:val="superscript"/>
        </w:rPr>
        <w:t>•</w:t>
      </w:r>
      <w:r w:rsidR="00E553FA" w:rsidRPr="00517A17">
        <w:rPr>
          <w:color w:val="000000"/>
          <w:szCs w:val="24"/>
        </w:rPr>
        <w:t>OH</w:t>
      </w:r>
      <w:r w:rsidR="00E553FA" w:rsidRPr="0038343B">
        <w:rPr>
          <w:rFonts w:cs="Times New Roman"/>
        </w:rPr>
        <w:t xml:space="preserve"> </w:t>
      </w:r>
      <w:r w:rsidRPr="0038343B">
        <w:rPr>
          <w:rFonts w:cs="Times New Roman"/>
        </w:rPr>
        <w:t>can be produced electrochemically with the help of in situ electro</w:t>
      </w:r>
      <w:r w:rsidR="00D86233">
        <w:rPr>
          <w:rFonts w:cs="Times New Roman"/>
        </w:rPr>
        <w:t>-</w:t>
      </w:r>
      <w:r w:rsidRPr="0038343B">
        <w:rPr>
          <w:rFonts w:cs="Times New Roman"/>
        </w:rPr>
        <w:t>generated of 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and electro</w:t>
      </w:r>
      <w:r w:rsidR="00D86233">
        <w:rPr>
          <w:rFonts w:cs="Times New Roman"/>
        </w:rPr>
        <w:t>-</w:t>
      </w:r>
      <w:r w:rsidRPr="0038343B">
        <w:rPr>
          <w:rFonts w:cs="Times New Roman"/>
        </w:rPr>
        <w:t>regeneration of Fe</w:t>
      </w:r>
      <w:r w:rsidRPr="0038343B">
        <w:rPr>
          <w:rFonts w:cs="Times New Roman"/>
          <w:vertAlign w:val="superscript"/>
        </w:rPr>
        <w:t>2+</w:t>
      </w:r>
      <w:r w:rsidRPr="0038343B">
        <w:rPr>
          <w:rFonts w:cs="Times New Roman"/>
        </w:rPr>
        <w:t xml:space="preserve"> ions. However, production of these </w:t>
      </w:r>
      <w:r w:rsidRPr="0038343B">
        <w:rPr>
          <w:rFonts w:cs="Times New Roman"/>
        </w:rPr>
        <w:lastRenderedPageBreak/>
        <w:t>reagent’s depends upon many parameters</w:t>
      </w:r>
      <w:r w:rsidR="00123BD3">
        <w:rPr>
          <w:rFonts w:cs="Times New Roman"/>
        </w:rPr>
        <w:t>,</w:t>
      </w:r>
      <w:r w:rsidRPr="0038343B">
        <w:rPr>
          <w:rFonts w:cs="Times New Roman"/>
        </w:rPr>
        <w:t xml:space="preserve"> such as electrochemical cell configuration, solution conditions, nature of the electrodes and applied current or potential </w:t>
      </w:r>
      <w:r w:rsidRPr="0038343B">
        <w:rPr>
          <w:rFonts w:cs="Times New Roman"/>
        </w:rPr>
        <w:fldChar w:fldCharType="begin" w:fldLock="1"/>
      </w:r>
      <w:r w:rsidR="008666F9">
        <w:rPr>
          <w:rFonts w:cs="Times New Roman"/>
        </w:rPr>
        <w:instrText>ADDIN CSL_CITATION {"citationItems":[{"id":"ITEM-1","itemData":{"DOI":"10.1021/acs.est.8b01894","ISSN":"15205851","abstract":"The removal of low-concentration antibiotics from water to alleviate the potential threat of antibiotic-resistant bacteria and genes calls for the development of advanced treatment technologies with high efficiency. In this study, a novel graphene modified electro-Fenton (e-Fenton) catalytic membrane (EFCM) was fabricated for in situ degradation of low-concentration antibiotic florfenicol. The removal efficiency was 90%, much higher than that of electrochemical filtration (50%) and single filtration process (27%). This demonstrated that EFCM acted not only as a cathode for e-Fenton oxidation process in a continuous mode but also as a membrane barrier to concentrate and enhance the mass transfer of florfenicol, which increased its oxidation chances. The removal rate of florfenicol by EFCM was much higher (10.2 ± 0.1 mg m-2 h-1) than single filtration (2.5 ± 0.1 mg m-2 h-1) or batch e-Fenton processes (4.3 ± 0.05 mg m-2 h-1). Long-term operation and fouling experiment further demonstrated the durability and antifouling property of EFCM. Four main degradation pathways of florfenicol were proposed by tracking the degradation byproducts. The above results highlighted the feasibility of this integrated membrane catalysis process for advanced water purification.","author":[{"dropping-particle":"","family":"Jiang","given":"Wen Li","non-dropping-particle":"","parse-names":false,"suffix":""},{"dropping-particle":"","family":"Xia","given":"Xue","non-dropping-particle":"","parse-names":false,"suffix":""},{"dropping-particle":"","family":"Han","given":"Jing Long","non-dropping-particle":"","parse-names":false,"suffix":""},{"dropping-particle":"","family":"Ding","given":"Yang Cheng","non-dropping-particle":"","parse-names":false,"suffix":""},{"dropping-particle":"","family":"Haider","given":"Muhammad Rizwan","non-dropping-particle":"","parse-names":false,"suffix":""},{"dropping-particle":"","family":"Wang","given":"Ai Jie","non-dropping-particle":"","parse-names":false,"suffix":""}],"container-title":"Environmental Science and Technology","id":"ITEM-1","issue":"17","issued":{"date-parts":[["2018"]]},"page":"9972-9982","title":"Graphene Modified Electro-Fenton Catalytic Membrane for in Situ Degradation of Antibiotic Florfenicol","type":"article-journal","volume":"52"},"uris":["http://www.mendeley.com/documents/?uuid=9907f861-1209-4109-a2a1-4b67f33bd8f0","http://www.mendeley.com/documents/?uuid=e60d177d-479a-4a65-bb79-ffb71053ff19"]}],"mendeley":{"formattedCitation":"(Jiang et al., 2018)","plainTextFormattedCitation":"(Jiang et al., 2018)","previouslyFormattedCitation":"(Jiang et al., 2018)"},"properties":{"noteIndex":0},"schema":"https://github.com/citation-style-language/schema/raw/master/csl-citation.json"}</w:instrText>
      </w:r>
      <w:r w:rsidRPr="0038343B">
        <w:rPr>
          <w:rFonts w:cs="Times New Roman"/>
        </w:rPr>
        <w:fldChar w:fldCharType="separate"/>
      </w:r>
      <w:r w:rsidRPr="00FB6D8C">
        <w:rPr>
          <w:rFonts w:cs="Times New Roman"/>
          <w:noProof/>
        </w:rPr>
        <w:t>(Jiang et al., 2018)</w:t>
      </w:r>
      <w:r w:rsidRPr="0038343B">
        <w:rPr>
          <w:rFonts w:cs="Times New Roman"/>
        </w:rPr>
        <w:fldChar w:fldCharType="end"/>
      </w:r>
      <w:r w:rsidRPr="0038343B">
        <w:rPr>
          <w:rFonts w:cs="Times New Roman"/>
        </w:rPr>
        <w:t>.</w:t>
      </w:r>
      <w:r w:rsidRPr="0038343B">
        <w:rPr>
          <w:rFonts w:cs="Times New Roman"/>
          <w:bCs/>
        </w:rPr>
        <w:t xml:space="preserve"> Depending on Fenton’s reagent addition or formation, </w:t>
      </w:r>
      <w:r w:rsidRPr="0038343B">
        <w:rPr>
          <w:rFonts w:cs="Times New Roman"/>
          <w:lang w:val="en-IN"/>
        </w:rPr>
        <w:t>electro-Fenton process is classified into four types</w:t>
      </w:r>
      <w:r w:rsidR="00D86233">
        <w:rPr>
          <w:rFonts w:cs="Times New Roman"/>
          <w:lang w:val="en-IN"/>
        </w:rPr>
        <w:t>, such as:</w:t>
      </w:r>
      <w:r w:rsidRPr="0038343B">
        <w:rPr>
          <w:rFonts w:cs="Times New Roman"/>
          <w:lang w:val="en-IN"/>
        </w:rPr>
        <w:t xml:space="preserve"> (1) cathode electro-Fenton process (EF-H</w:t>
      </w:r>
      <w:r w:rsidRPr="0038343B">
        <w:rPr>
          <w:rFonts w:cs="Times New Roman"/>
          <w:vertAlign w:val="subscript"/>
          <w:lang w:val="en-IN"/>
        </w:rPr>
        <w:t>2</w:t>
      </w:r>
      <w:r w:rsidRPr="0038343B">
        <w:rPr>
          <w:rFonts w:cs="Times New Roman"/>
          <w:lang w:val="en-IN"/>
        </w:rPr>
        <w:t>O</w:t>
      </w:r>
      <w:r w:rsidRPr="0038343B">
        <w:rPr>
          <w:rFonts w:cs="Times New Roman"/>
          <w:vertAlign w:val="subscript"/>
          <w:lang w:val="en-IN"/>
        </w:rPr>
        <w:t>2</w:t>
      </w:r>
      <w:r w:rsidRPr="0038343B">
        <w:rPr>
          <w:rFonts w:cs="Times New Roman"/>
          <w:lang w:val="en-IN"/>
        </w:rPr>
        <w:t>)</w:t>
      </w:r>
      <w:r w:rsidR="00D86233">
        <w:rPr>
          <w:rFonts w:cs="Times New Roman"/>
          <w:lang w:val="en-IN"/>
        </w:rPr>
        <w:t>;</w:t>
      </w:r>
      <w:r w:rsidRPr="0038343B">
        <w:rPr>
          <w:rFonts w:cs="Times New Roman"/>
          <w:lang w:val="en-IN"/>
        </w:rPr>
        <w:t xml:space="preserve"> (2) Fe</w:t>
      </w:r>
      <w:r w:rsidRPr="0038343B">
        <w:rPr>
          <w:rFonts w:cs="Times New Roman"/>
          <w:vertAlign w:val="superscript"/>
          <w:lang w:val="en-IN"/>
        </w:rPr>
        <w:t>2+</w:t>
      </w:r>
      <w:r w:rsidRPr="0038343B">
        <w:rPr>
          <w:rFonts w:cs="Times New Roman"/>
          <w:lang w:val="en-IN"/>
        </w:rPr>
        <w:t xml:space="preserve"> cycling electro-Fenton process (EF-Fere)</w:t>
      </w:r>
      <w:r w:rsidR="00C962B1">
        <w:rPr>
          <w:rFonts w:cs="Times New Roman"/>
          <w:lang w:val="en-IN"/>
        </w:rPr>
        <w:t>;</w:t>
      </w:r>
      <w:r w:rsidRPr="0038343B">
        <w:rPr>
          <w:rFonts w:cs="Times New Roman"/>
          <w:lang w:val="en-IN"/>
        </w:rPr>
        <w:t xml:space="preserve"> (3) cathode and Fe</w:t>
      </w:r>
      <w:r w:rsidRPr="0038343B">
        <w:rPr>
          <w:rFonts w:cs="Times New Roman"/>
          <w:vertAlign w:val="superscript"/>
          <w:lang w:val="en-IN"/>
        </w:rPr>
        <w:t>2+</w:t>
      </w:r>
      <w:r w:rsidRPr="0038343B">
        <w:rPr>
          <w:rFonts w:cs="Times New Roman"/>
          <w:lang w:val="en-IN"/>
        </w:rPr>
        <w:t xml:space="preserve"> cycling electro-Fenton process (EF-H</w:t>
      </w:r>
      <w:r w:rsidRPr="0038343B">
        <w:rPr>
          <w:rFonts w:cs="Times New Roman"/>
          <w:vertAlign w:val="subscript"/>
          <w:lang w:val="en-IN"/>
        </w:rPr>
        <w:t>2</w:t>
      </w:r>
      <w:r w:rsidRPr="0038343B">
        <w:rPr>
          <w:rFonts w:cs="Times New Roman"/>
          <w:lang w:val="en-IN"/>
        </w:rPr>
        <w:t>O</w:t>
      </w:r>
      <w:r w:rsidRPr="0038343B">
        <w:rPr>
          <w:rFonts w:cs="Times New Roman"/>
          <w:vertAlign w:val="subscript"/>
          <w:lang w:val="en-IN"/>
        </w:rPr>
        <w:t>2</w:t>
      </w:r>
      <w:r w:rsidRPr="0038343B">
        <w:rPr>
          <w:rFonts w:cs="Times New Roman"/>
          <w:lang w:val="en-IN"/>
        </w:rPr>
        <w:t>-Fere)</w:t>
      </w:r>
      <w:r w:rsidR="00C962B1">
        <w:rPr>
          <w:rFonts w:cs="Times New Roman"/>
          <w:lang w:val="en-IN"/>
        </w:rPr>
        <w:t>;</w:t>
      </w:r>
      <w:r w:rsidRPr="0038343B">
        <w:rPr>
          <w:rFonts w:cs="Times New Roman"/>
          <w:lang w:val="en-IN"/>
        </w:rPr>
        <w:t xml:space="preserve"> and (4) sacrificial anode electro-Fenton process (EF-Feox) </w:t>
      </w:r>
      <w:r w:rsidRPr="0038343B">
        <w:rPr>
          <w:rFonts w:cs="Times New Roman"/>
          <w:lang w:val="en-IN"/>
        </w:rPr>
        <w:fldChar w:fldCharType="begin" w:fldLock="1"/>
      </w:r>
      <w:r w:rsidR="008666F9">
        <w:rPr>
          <w:rFonts w:cs="Times New Roman"/>
          <w:lang w:val="en-IN"/>
        </w:rPr>
        <w:instrText>ADDIN CSL_CITATION {"citationItems":[{"id":"ITEM-1","itemData":{"DOI":"10.1016/j.jece.2013.10.011","ISSN":"22133437","abstract":"The increase in the disposal of refractory organics demands for newer technologies for the complete mineralization of these wastewaters. Advanced oxidation processes (AOPs) constitute a promising technology for the treatment of such wastewaters and this study presents a general review on such processes developed to decolorize and/or degrade organic pollutants. Fundamentals and main applications of typical methods such as Fenton, electro-Fenton, photo-Fenton, sono-Fenton, sono-photo-Fenton, sono-electro-Fenton and photo-electro-Fenton are discussed. This review also highlights the application of nano-zero valent iron in treating refractory compounds. © 2013 Elsevier Ltd.","author":[{"dropping-particle":"","family":"Babuponnusami","given":"Arjunan","non-dropping-particle":"","parse-names":false,"suffix":""},{"dropping-particle":"","family":"Muthukumar","given":"Karuppan","non-dropping-particle":"","parse-names":false,"suffix":""}],"container-title":"Journal of Environmental Chemical Engineering","id":"ITEM-1","issue":"1","issued":{"date-parts":[["2014","3"]]},"page":"557-572","title":"A review on Fenton and improvements to the Fenton process for wastewater treatment","type":"article-journal","volume":"2"},"uris":["http://www.mendeley.com/documents/?uuid=69a01c5e-8014-4280-99a6-24807cb30121","http://www.mendeley.com/documents/?uuid=1aaa61f7-3c09-4384-aa45-acd8fcbef838"]}],"mendeley":{"formattedCitation":"(Babuponnusami and Muthukumar, 2014)","plainTextFormattedCitation":"(Babuponnusami and Muthukumar, 2014)","previouslyFormattedCitation":"(Babuponnusami and Muthukumar, 2014)"},"properties":{"noteIndex":0},"schema":"https://github.com/citation-style-language/schema/raw/master/csl-citation.json"}</w:instrText>
      </w:r>
      <w:r w:rsidRPr="0038343B">
        <w:rPr>
          <w:rFonts w:cs="Times New Roman"/>
          <w:lang w:val="en-IN"/>
        </w:rPr>
        <w:fldChar w:fldCharType="separate"/>
      </w:r>
      <w:r w:rsidRPr="00FB6D8C">
        <w:rPr>
          <w:rFonts w:cs="Times New Roman"/>
          <w:noProof/>
          <w:lang w:val="en-IN"/>
        </w:rPr>
        <w:t>(Babuponnusami and Muthukumar, 2014)</w:t>
      </w:r>
      <w:r w:rsidRPr="0038343B">
        <w:rPr>
          <w:rFonts w:cs="Times New Roman"/>
          <w:lang w:val="en-IN"/>
        </w:rPr>
        <w:fldChar w:fldCharType="end"/>
      </w:r>
      <w:r w:rsidRPr="0038343B">
        <w:rPr>
          <w:rFonts w:cs="Times New Roman"/>
          <w:lang w:val="en-IN"/>
        </w:rPr>
        <w:t>. In EF-H</w:t>
      </w:r>
      <w:r w:rsidRPr="0038343B">
        <w:rPr>
          <w:rFonts w:cs="Times New Roman"/>
          <w:vertAlign w:val="subscript"/>
          <w:lang w:val="en-IN"/>
        </w:rPr>
        <w:t>2</w:t>
      </w:r>
      <w:r w:rsidRPr="0038343B">
        <w:rPr>
          <w:rFonts w:cs="Times New Roman"/>
          <w:lang w:val="en-IN"/>
        </w:rPr>
        <w:t>O</w:t>
      </w:r>
      <w:r w:rsidRPr="0038343B">
        <w:rPr>
          <w:rFonts w:cs="Times New Roman"/>
          <w:vertAlign w:val="subscript"/>
          <w:lang w:val="en-IN"/>
        </w:rPr>
        <w:t>2</w:t>
      </w:r>
      <w:r w:rsidRPr="0038343B">
        <w:rPr>
          <w:rFonts w:cs="Times New Roman"/>
          <w:lang w:val="en-IN"/>
        </w:rPr>
        <w:t xml:space="preserve"> process, Fe</w:t>
      </w:r>
      <w:r w:rsidRPr="0038343B">
        <w:rPr>
          <w:rFonts w:cs="Times New Roman"/>
          <w:vertAlign w:val="superscript"/>
          <w:lang w:val="en-IN"/>
        </w:rPr>
        <w:t>2+</w:t>
      </w:r>
      <w:r w:rsidRPr="0038343B">
        <w:rPr>
          <w:rFonts w:cs="Times New Roman"/>
          <w:lang w:val="en-IN"/>
        </w:rPr>
        <w:t xml:space="preserve"> ions are externally added to the system and in situ </w:t>
      </w:r>
      <w:r w:rsidRPr="0038343B">
        <w:rPr>
          <w:rFonts w:cs="Times New Roman"/>
        </w:rPr>
        <w:t>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w:t>
      </w:r>
      <w:r w:rsidR="00C962B1">
        <w:rPr>
          <w:rFonts w:cs="Times New Roman"/>
        </w:rPr>
        <w:t>is</w:t>
      </w:r>
      <w:r w:rsidRPr="0038343B">
        <w:rPr>
          <w:rFonts w:cs="Times New Roman"/>
        </w:rPr>
        <w:t xml:space="preserve"> generated by the electrochemical reduction of O</w:t>
      </w:r>
      <w:r w:rsidRPr="0038343B">
        <w:rPr>
          <w:rFonts w:cs="Times New Roman"/>
          <w:vertAlign w:val="subscript"/>
        </w:rPr>
        <w:t>2</w:t>
      </w:r>
      <w:r w:rsidRPr="0038343B">
        <w:rPr>
          <w:rFonts w:cs="Times New Roman"/>
        </w:rPr>
        <w:t xml:space="preserve"> on the cathode surface. Therefore, it can reduce the costs and the risk associated with the transport, handling and storage of 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w:t>
      </w:r>
      <w:r w:rsidRPr="0038343B">
        <w:rPr>
          <w:rFonts w:cs="Times New Roman"/>
        </w:rPr>
        <w:fldChar w:fldCharType="begin" w:fldLock="1"/>
      </w:r>
      <w:r w:rsidR="008666F9">
        <w:rPr>
          <w:rFonts w:cs="Times New Roman"/>
        </w:rPr>
        <w:instrText>ADDIN CSL_CITATION {"citationItems":[{"id":"ITEM-1","itemData":{"DOI":"10.1016/j.jhazmat.2006.03.035","ISSN":"03043894","PMID":"16707213","abstract":"This paper reports an investigation on the performance of the H2O2 electrogeneration process on a rotating RVC cylinder cathode, and the optimization of the O2 reduction rate relative to cell potential. A study for the simultaneous oxidation of the herbicide 2,4-dichlorophenoxyacetic acid (2,4-D) by the in situ electrogenerated H2O2 is also reported. Experiments were performed in 0.3 M of K2SO4, pH of 10 and 3.5. Oxygen concentration in solution was kept in 25 mg L-1. Maximum hydrogen peroxide generation rate was reached at -1.6 V versus SCE for both, acidic and alkaline solutions. Then, 100 mg L-1 of 2,4-D was added to the solution. First order apparent rate constants for 2,4-D degradation ranged from 0.9 to 6.3 × 10-5 m s-1, depending on the catalyst used (UV or UV + Fe(II)). TOC reduction was favored in acidic medium where a decreasing of 69% of the initial concentration was observed in the process catalyzed by UV + Fe(II). This figure was an indication that some of the intermediates derived from 2,4-D decomposition remained in solution, mainly as lighter aliphatic compounds. © 2006 Elsevier B.V. All rights reserved.","author":[{"dropping-particle":"","family":"Badellino","given":"Carla","non-dropping-particle":"","parse-names":false,"suffix":""},{"dropping-particle":"","family":"Rodrigues","given":"Christiane Arruda","non-dropping-particle":"","parse-names":false,"suffix":""},{"dropping-particle":"","family":"Bertazzoli","given":"Rodnei","non-dropping-particle":"","parse-names":false,"suffix":""}],"container-title":"Journal of Hazardous Materials","id":"ITEM-1","issue":"2","issued":{"date-parts":[["2006","9","21"]]},"page":"856-864","title":"Oxidation of pesticides by in situ electrogenerated hydrogen peroxide: Study for the degradation of 2,4-dichlorophenoxyacetic acid","type":"article-journal","volume":"137"},"uris":["http://www.mendeley.com/documents/?uuid=41123e88-2e83-4a13-8bd0-1e8fdc6e0e56"]}],"mendeley":{"formattedCitation":"(Badellino et al., 2006)","plainTextFormattedCitation":"(Badellino et al., 2006)","previouslyFormattedCitation":"(Badellino et al., 2006)"},"properties":{"noteIndex":0},"schema":"https://github.com/citation-style-language/schema/raw/master/csl-citation.json"}</w:instrText>
      </w:r>
      <w:r w:rsidRPr="0038343B">
        <w:rPr>
          <w:rFonts w:cs="Times New Roman"/>
        </w:rPr>
        <w:fldChar w:fldCharType="separate"/>
      </w:r>
      <w:r w:rsidRPr="00FB6D8C">
        <w:rPr>
          <w:rFonts w:cs="Times New Roman"/>
          <w:noProof/>
        </w:rPr>
        <w:t>(Badellino et al., 2006)</w:t>
      </w:r>
      <w:r w:rsidRPr="0038343B">
        <w:rPr>
          <w:rFonts w:cs="Times New Roman"/>
        </w:rPr>
        <w:fldChar w:fldCharType="end"/>
      </w:r>
      <w:r w:rsidRPr="0038343B">
        <w:rPr>
          <w:rFonts w:cs="Times New Roman"/>
        </w:rPr>
        <w:t xml:space="preserve">. In </w:t>
      </w:r>
      <w:r w:rsidRPr="0038343B">
        <w:rPr>
          <w:rFonts w:cs="Times New Roman"/>
          <w:lang w:val="en-IN"/>
        </w:rPr>
        <w:t xml:space="preserve">EF-Feox process, the </w:t>
      </w:r>
      <w:r w:rsidRPr="0038343B">
        <w:rPr>
          <w:rFonts w:cs="Times New Roman"/>
        </w:rPr>
        <w:t>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w:t>
      </w:r>
      <w:r w:rsidR="00C962B1">
        <w:rPr>
          <w:rFonts w:cs="Times New Roman"/>
        </w:rPr>
        <w:t>is</w:t>
      </w:r>
      <w:r w:rsidRPr="0038343B">
        <w:rPr>
          <w:rFonts w:cs="Times New Roman"/>
        </w:rPr>
        <w:t xml:space="preserve"> externally added to the system while </w:t>
      </w:r>
      <w:r w:rsidRPr="0038343B">
        <w:rPr>
          <w:rFonts w:cs="Times New Roman"/>
          <w:lang w:val="en-IN"/>
        </w:rPr>
        <w:t>Fe</w:t>
      </w:r>
      <w:r w:rsidRPr="0038343B">
        <w:rPr>
          <w:rFonts w:cs="Times New Roman"/>
          <w:vertAlign w:val="superscript"/>
          <w:lang w:val="en-IN"/>
        </w:rPr>
        <w:t>2+</w:t>
      </w:r>
      <w:r w:rsidRPr="0038343B">
        <w:rPr>
          <w:rFonts w:cs="Times New Roman"/>
          <w:lang w:val="en-IN"/>
        </w:rPr>
        <w:t xml:space="preserve"> ions are electro-generated from sacrificial anode (</w:t>
      </w:r>
      <w:r w:rsidR="00F95BF7" w:rsidRPr="00F95BF7">
        <w:rPr>
          <w:rFonts w:cs="Times New Roman"/>
          <w:color w:val="000000"/>
        </w:rPr>
        <w:t>Eq.</w:t>
      </w:r>
      <w:r>
        <w:rPr>
          <w:rFonts w:cs="Times New Roman"/>
          <w:color w:val="000000"/>
        </w:rPr>
        <w:t xml:space="preserve"> </w:t>
      </w:r>
      <w:r w:rsidRPr="0038343B">
        <w:rPr>
          <w:rFonts w:cs="Times New Roman"/>
        </w:rPr>
        <w:t>1</w:t>
      </w:r>
      <w:r>
        <w:rPr>
          <w:rFonts w:cs="Times New Roman"/>
        </w:rPr>
        <w:t>8</w:t>
      </w:r>
      <w:r w:rsidRPr="0038343B">
        <w:rPr>
          <w:rFonts w:cs="Times New Roman"/>
          <w:lang w:val="en-IN"/>
        </w:rPr>
        <w:t>)</w:t>
      </w:r>
      <w:r w:rsidR="00C962B1">
        <w:rPr>
          <w:rFonts w:cs="Times New Roman"/>
          <w:lang w:val="en-IN"/>
        </w:rPr>
        <w:t>;</w:t>
      </w:r>
      <w:r w:rsidRPr="0038343B">
        <w:rPr>
          <w:rFonts w:cs="Times New Roman"/>
          <w:lang w:val="en-IN"/>
        </w:rPr>
        <w:t xml:space="preserve"> whereas in EF-Fere process, both </w:t>
      </w:r>
      <w:r w:rsidRPr="0038343B">
        <w:rPr>
          <w:rFonts w:cs="Times New Roman"/>
        </w:rPr>
        <w:t>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and </w:t>
      </w:r>
      <w:r w:rsidRPr="0038343B">
        <w:rPr>
          <w:rFonts w:cs="Times New Roman"/>
          <w:lang w:val="en-IN"/>
        </w:rPr>
        <w:t>Fe</w:t>
      </w:r>
      <w:r w:rsidRPr="0038343B">
        <w:rPr>
          <w:rFonts w:cs="Times New Roman"/>
          <w:vertAlign w:val="superscript"/>
          <w:lang w:val="en-IN"/>
        </w:rPr>
        <w:t>2+</w:t>
      </w:r>
      <w:r w:rsidRPr="0038343B">
        <w:rPr>
          <w:rFonts w:cs="Times New Roman"/>
          <w:lang w:val="en-IN"/>
        </w:rPr>
        <w:t xml:space="preserve"> ions are externally added in the electrolytic cell and Fe</w:t>
      </w:r>
      <w:r w:rsidRPr="0038343B">
        <w:rPr>
          <w:rFonts w:cs="Times New Roman"/>
          <w:vertAlign w:val="superscript"/>
          <w:lang w:val="en-IN"/>
        </w:rPr>
        <w:t>2+</w:t>
      </w:r>
      <w:r w:rsidRPr="0038343B">
        <w:rPr>
          <w:rFonts w:cs="Times New Roman"/>
          <w:lang w:val="en-IN"/>
        </w:rPr>
        <w:t xml:space="preserve"> ions are regenerated through the reduction of Fe</w:t>
      </w:r>
      <w:r w:rsidRPr="0038343B">
        <w:rPr>
          <w:rFonts w:cs="Times New Roman"/>
          <w:vertAlign w:val="superscript"/>
          <w:lang w:val="en-IN"/>
        </w:rPr>
        <w:t>3+</w:t>
      </w:r>
      <w:r w:rsidRPr="0038343B">
        <w:rPr>
          <w:rFonts w:cs="Times New Roman"/>
          <w:lang w:val="en-IN"/>
        </w:rPr>
        <w:t xml:space="preserve"> ions on the cathode (</w:t>
      </w:r>
      <w:r w:rsidR="00F95BF7" w:rsidRPr="00F95BF7">
        <w:rPr>
          <w:rFonts w:cs="Times New Roman"/>
          <w:color w:val="000000"/>
        </w:rPr>
        <w:t>Eq.</w:t>
      </w:r>
      <w:r w:rsidRPr="0038343B">
        <w:rPr>
          <w:rFonts w:cs="Times New Roman"/>
          <w:lang w:val="en-IN"/>
        </w:rPr>
        <w:t xml:space="preserve"> </w:t>
      </w:r>
      <w:r w:rsidR="009174B9">
        <w:rPr>
          <w:rFonts w:cs="Times New Roman"/>
          <w:lang w:val="en-IN"/>
        </w:rPr>
        <w:t>16</w:t>
      </w:r>
      <w:r w:rsidRPr="0038343B">
        <w:rPr>
          <w:rFonts w:cs="Times New Roman"/>
          <w:lang w:val="en-IN"/>
        </w:rPr>
        <w:t xml:space="preserve">) </w:t>
      </w:r>
      <w:r w:rsidRPr="0038343B">
        <w:rPr>
          <w:rFonts w:cs="Times New Roman"/>
          <w:lang w:val="en-IN"/>
        </w:rPr>
        <w:fldChar w:fldCharType="begin" w:fldLock="1"/>
      </w:r>
      <w:r w:rsidR="008666F9">
        <w:rPr>
          <w:rFonts w:cs="Times New Roman"/>
          <w:lang w:val="en-IN"/>
        </w:rPr>
        <w:instrText>ADDIN CSL_CITATION {"citationItems":[{"id":"ITEM-1","itemData":{"DOI":"10.1016/j.jhazmat.2006.08.065","ISSN":"03043894","abstract":"Advanced oxidation processes (AOPs) have led the way in the treatment of aqueous waste and are rapidly becoming the chosen technology for many applications. In this paper, COD reduction potential of leather tanning industry wastewaters by Electro-Fenton (EF) oxidation, as one of the AOPs, was experimentally evaluated. The wastewater sample was taken from an outlet of an equalization basin in a common treatment plant of an organized tannery industrial region in Istanbul, Turkey. Treatment of the wastewater was carried out by an electrochemical batch reactor equipped with two iron electrodes, which were connected parallel to each other. The oxidation process was studied for optimization of H2O2 and the electricity consumptions were observed at different contact times under different pH conditions (3.0, 5.0 and 7.2). In each case, electricity consumption for decreased COD mass was estimated. In this process, COD was reduced by 60-70% within 10 min. By taking into consideration the local sewerage discharge limit, applicability of EF process for the tannery wastewaters was evaluated. © 2006 Elsevier B.V. All rights reserved.","author":[{"dropping-particle":"","family":"Kurt","given":"Ugur","non-dropping-particle":"","parse-names":false,"suffix":""},{"dropping-particle":"","family":"Apaydin","given":"Omer","non-dropping-particle":"","parse-names":false,"suffix":""},{"dropping-particle":"","family":"Gonullu","given":"M. Talha","non-dropping-particle":"","parse-names":false,"suffix":""}],"container-title":"Journal of Hazardous Materials","id":"ITEM-1","issue":"1-2","issued":{"date-parts":[["2007"]]},"page":"33-40","title":"Reduction of COD in wastewater from an organized tannery industrial region by Electro-Fenton process","type":"article-journal","volume":"143"},"uris":["http://www.mendeley.com/documents/?uuid=e61d33ff-626f-45a0-b9e6-2d8671e526db","http://www.mendeley.com/documents/?uuid=af129cc8-7204-4a72-96d1-ee91772a7fc1"]}],"mendeley":{"formattedCitation":"(Kurt et al., 2007)","plainTextFormattedCitation":"(Kurt et al., 2007)","previouslyFormattedCitation":"(Kurt et al., 2007)"},"properties":{"noteIndex":0},"schema":"https://github.com/citation-style-language/schema/raw/master/csl-citation.json"}</w:instrText>
      </w:r>
      <w:r w:rsidRPr="0038343B">
        <w:rPr>
          <w:rFonts w:cs="Times New Roman"/>
          <w:lang w:val="en-IN"/>
        </w:rPr>
        <w:fldChar w:fldCharType="separate"/>
      </w:r>
      <w:r w:rsidRPr="00FB6D8C">
        <w:rPr>
          <w:rFonts w:cs="Times New Roman"/>
          <w:noProof/>
          <w:lang w:val="en-IN"/>
        </w:rPr>
        <w:t>(Kurt et al., 2007)</w:t>
      </w:r>
      <w:r w:rsidRPr="0038343B">
        <w:rPr>
          <w:rFonts w:cs="Times New Roman"/>
          <w:lang w:val="en-IN"/>
        </w:rPr>
        <w:fldChar w:fldCharType="end"/>
      </w:r>
      <w:r w:rsidRPr="0038343B">
        <w:rPr>
          <w:rFonts w:cs="Times New Roman"/>
          <w:lang w:val="en-IN"/>
        </w:rPr>
        <w:t>. Similarly, EF-H</w:t>
      </w:r>
      <w:r w:rsidRPr="0038343B">
        <w:rPr>
          <w:rFonts w:cs="Times New Roman"/>
          <w:vertAlign w:val="subscript"/>
          <w:lang w:val="en-IN"/>
        </w:rPr>
        <w:t>2</w:t>
      </w:r>
      <w:r w:rsidRPr="0038343B">
        <w:rPr>
          <w:rFonts w:cs="Times New Roman"/>
          <w:lang w:val="en-IN"/>
        </w:rPr>
        <w:t>O</w:t>
      </w:r>
      <w:r w:rsidRPr="0038343B">
        <w:rPr>
          <w:rFonts w:cs="Times New Roman"/>
          <w:vertAlign w:val="subscript"/>
          <w:lang w:val="en-IN"/>
        </w:rPr>
        <w:t>2</w:t>
      </w:r>
      <w:r w:rsidRPr="0038343B">
        <w:rPr>
          <w:rFonts w:cs="Times New Roman"/>
          <w:lang w:val="en-IN"/>
        </w:rPr>
        <w:t>-Fere process is the combination of EF-H</w:t>
      </w:r>
      <w:r w:rsidRPr="0038343B">
        <w:rPr>
          <w:rFonts w:cs="Times New Roman"/>
          <w:vertAlign w:val="subscript"/>
          <w:lang w:val="en-IN"/>
        </w:rPr>
        <w:t>2</w:t>
      </w:r>
      <w:r w:rsidRPr="0038343B">
        <w:rPr>
          <w:rFonts w:cs="Times New Roman"/>
          <w:lang w:val="en-IN"/>
        </w:rPr>
        <w:t>O</w:t>
      </w:r>
      <w:r w:rsidRPr="0038343B">
        <w:rPr>
          <w:rFonts w:cs="Times New Roman"/>
          <w:vertAlign w:val="subscript"/>
          <w:lang w:val="en-IN"/>
        </w:rPr>
        <w:t>2</w:t>
      </w:r>
      <w:r w:rsidRPr="0038343B">
        <w:rPr>
          <w:rFonts w:cs="Times New Roman"/>
          <w:lang w:val="en-IN"/>
        </w:rPr>
        <w:t xml:space="preserve"> and electro-Fenton process, where in situ </w:t>
      </w:r>
      <w:r w:rsidRPr="0038343B">
        <w:rPr>
          <w:rFonts w:cs="Times New Roman"/>
        </w:rPr>
        <w:t>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w:t>
      </w:r>
      <w:r w:rsidR="00C962B1">
        <w:rPr>
          <w:rFonts w:cs="Times New Roman"/>
        </w:rPr>
        <w:t>is</w:t>
      </w:r>
      <w:r w:rsidRPr="0038343B">
        <w:rPr>
          <w:rFonts w:cs="Times New Roman"/>
        </w:rPr>
        <w:t xml:space="preserve"> generated by cathodic reduction of O</w:t>
      </w:r>
      <w:r w:rsidRPr="0038343B">
        <w:rPr>
          <w:rFonts w:cs="Times New Roman"/>
          <w:vertAlign w:val="subscript"/>
        </w:rPr>
        <w:t>2</w:t>
      </w:r>
      <w:r w:rsidRPr="0038343B">
        <w:rPr>
          <w:rFonts w:cs="Times New Roman"/>
        </w:rPr>
        <w:t xml:space="preserve"> and Fe</w:t>
      </w:r>
      <w:r w:rsidRPr="0038343B">
        <w:rPr>
          <w:rFonts w:cs="Times New Roman"/>
          <w:vertAlign w:val="superscript"/>
        </w:rPr>
        <w:t>2+</w:t>
      </w:r>
      <w:r w:rsidRPr="0038343B">
        <w:rPr>
          <w:rFonts w:cs="Times New Roman"/>
        </w:rPr>
        <w:t xml:space="preserve"> ions are regenerated through the reduction of Fe</w:t>
      </w:r>
      <w:r w:rsidRPr="0038343B">
        <w:rPr>
          <w:rFonts w:cs="Times New Roman"/>
          <w:vertAlign w:val="superscript"/>
        </w:rPr>
        <w:t>3+</w:t>
      </w:r>
      <w:r w:rsidRPr="0038343B">
        <w:rPr>
          <w:rFonts w:cs="Times New Roman"/>
        </w:rPr>
        <w:t xml:space="preserve"> ions on the cathode surface </w:t>
      </w:r>
      <w:r w:rsidRPr="0038343B">
        <w:rPr>
          <w:rFonts w:cs="Times New Roman"/>
        </w:rPr>
        <w:fldChar w:fldCharType="begin" w:fldLock="1"/>
      </w:r>
      <w:r w:rsidR="008666F9">
        <w:rPr>
          <w:rFonts w:cs="Times New Roman"/>
        </w:rPr>
        <w:instrText>ADDIN CSL_CITATION {"citationItems":[{"id":"ITEM-1","itemData":{"DOI":"10.1016/j.jiec.2014.05.005","ISSN":"22345957","abstract":"This paper reviews the main advances in photo-Fenton oxidation treatment for recalcitrant wastewaters. This oxidation method is able to produce biodegradable intermediates and mineralize such pollutants effectively when the main operational conditions are at optimum level. However, cost of the process is one of the main limitations. Several strategies have been put in practice to minimize cost and improve photo-Fenton efficiency primarily through application of heterogeneous catalysts and/or chelating agents. In addition, cost can be further reduced by applying solar energy and integrating biological treatment technologies in the treatment process.","author":[{"dropping-particle":"","family":"Rahim Pouran","given":"Shima","non-dropping-particle":"","parse-names":false,"suffix":""},{"dropping-particle":"","family":"Abdul Aziz","given":"A. R.","non-dropping-particle":"","parse-names":false,"suffix":""},{"dropping-particle":"","family":"Wan Daud","given":"Wan Mohd Ashri","non-dropping-particle":"","parse-names":false,"suffix":""}],"container-title":"Journal of Industrial and Engineering Chemistry","id":"ITEM-1","issued":{"date-parts":[["2015"]]},"page":"53-69","title":"Review on the main advances in photo-Fenton oxidation system for recalcitrant wastewaters","type":"article-journal","volume":"21"},"uris":["http://www.mendeley.com/documents/?uuid=188212d9-266d-4eb2-9253-eb2c46a8c832","http://www.mendeley.com/documents/?uuid=218ee7ba-d906-4aeb-a86f-a29c17d8920c"]}],"mendeley":{"formattedCitation":"(Rahim Pouran et al., 2015)","plainTextFormattedCitation":"(Rahim Pouran et al., 2015)","previouslyFormattedCitation":"(Rahim Pouran et al., 2015)"},"properties":{"noteIndex":0},"schema":"https://github.com/citation-style-language/schema/raw/master/csl-citation.json"}</w:instrText>
      </w:r>
      <w:r w:rsidRPr="0038343B">
        <w:rPr>
          <w:rFonts w:cs="Times New Roman"/>
        </w:rPr>
        <w:fldChar w:fldCharType="separate"/>
      </w:r>
      <w:r w:rsidRPr="00FB6D8C">
        <w:rPr>
          <w:rFonts w:cs="Times New Roman"/>
          <w:noProof/>
        </w:rPr>
        <w:t>(Rahim Pouran et al., 2015)</w:t>
      </w:r>
      <w:r w:rsidRPr="0038343B">
        <w:rPr>
          <w:rFonts w:cs="Times New Roman"/>
        </w:rPr>
        <w:fldChar w:fldCharType="end"/>
      </w:r>
      <w:r w:rsidRPr="0038343B">
        <w:rPr>
          <w:rFonts w:cs="Times New Roman"/>
        </w:rPr>
        <w:t xml:space="preserve"> .</w:t>
      </w:r>
      <w:r w:rsidRPr="0038343B">
        <w:rPr>
          <w:rFonts w:cs="Times New Roman"/>
          <w:lang w:val="en-IN"/>
        </w:rPr>
        <w:t xml:space="preserve"> </w:t>
      </w:r>
    </w:p>
    <w:p w14:paraId="50933C7C" w14:textId="6CE14323" w:rsidR="008373D3" w:rsidRPr="0038343B" w:rsidRDefault="008373D3" w:rsidP="008F2B8E">
      <w:pPr>
        <w:spacing w:after="0" w:line="480" w:lineRule="auto"/>
        <w:ind w:firstLine="720"/>
        <w:rPr>
          <w:rFonts w:cs="Times New Roman"/>
        </w:rPr>
      </w:pPr>
      <w:r w:rsidRPr="0038343B">
        <w:rPr>
          <w:rFonts w:cs="Times New Roman"/>
          <w:lang w:val="en-IN"/>
        </w:rPr>
        <w:t xml:space="preserve">Fe </w:t>
      </w:r>
      <w:r w:rsidRPr="0038343B">
        <w:rPr>
          <w:rFonts w:cs="Times New Roman"/>
        </w:rPr>
        <w:t>→</w:t>
      </w:r>
      <w:r w:rsidRPr="0038343B">
        <w:rPr>
          <w:rFonts w:cs="Times New Roman"/>
          <w:lang w:val="en-IN"/>
        </w:rPr>
        <w:t xml:space="preserve"> </w:t>
      </w:r>
      <w:r w:rsidRPr="0038343B">
        <w:rPr>
          <w:rFonts w:cs="Times New Roman"/>
        </w:rPr>
        <w:t>Fe</w:t>
      </w:r>
      <w:r w:rsidRPr="0038343B">
        <w:rPr>
          <w:rFonts w:cs="Times New Roman"/>
          <w:vertAlign w:val="superscript"/>
        </w:rPr>
        <w:t>2+</w:t>
      </w:r>
      <w:r w:rsidRPr="0038343B">
        <w:rPr>
          <w:rFonts w:cs="Times New Roman"/>
        </w:rPr>
        <w:t xml:space="preserve"> + 2e</w:t>
      </w:r>
      <w:r w:rsidRPr="0038343B">
        <w:rPr>
          <w:rFonts w:cs="Times New Roman"/>
          <w:b/>
          <w:vertAlign w:val="superscript"/>
        </w:rPr>
        <w:t>−</w:t>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r>
      <w:r w:rsidRPr="0038343B">
        <w:rPr>
          <w:rFonts w:cs="Times New Roman"/>
        </w:rPr>
        <w:tab/>
        <w:t>(</w:t>
      </w:r>
      <w:r w:rsidR="00F95BF7" w:rsidRPr="00F95BF7">
        <w:rPr>
          <w:rFonts w:cs="Times New Roman"/>
          <w:color w:val="000000"/>
        </w:rPr>
        <w:t>Eq.</w:t>
      </w:r>
      <w:r>
        <w:rPr>
          <w:rFonts w:cs="Times New Roman"/>
          <w:color w:val="000000"/>
        </w:rPr>
        <w:t xml:space="preserve"> </w:t>
      </w:r>
      <w:r w:rsidRPr="0038343B">
        <w:rPr>
          <w:rFonts w:cs="Times New Roman"/>
        </w:rPr>
        <w:t>1</w:t>
      </w:r>
      <w:r>
        <w:rPr>
          <w:rFonts w:cs="Times New Roman"/>
        </w:rPr>
        <w:t>8</w:t>
      </w:r>
      <w:r w:rsidRPr="0038343B">
        <w:rPr>
          <w:rFonts w:cs="Times New Roman"/>
        </w:rPr>
        <w:t>)</w:t>
      </w:r>
    </w:p>
    <w:p w14:paraId="3B843EDC" w14:textId="31DB2A11" w:rsidR="008373D3" w:rsidRPr="0038343B" w:rsidRDefault="008373D3" w:rsidP="008373D3">
      <w:pPr>
        <w:spacing w:line="480" w:lineRule="auto"/>
        <w:rPr>
          <w:rFonts w:cs="Times New Roman"/>
          <w:bCs/>
          <w:iCs/>
          <w:lang w:val="en-IN"/>
        </w:rPr>
      </w:pPr>
      <w:r w:rsidRPr="0038343B">
        <w:rPr>
          <w:rFonts w:cs="Times New Roman"/>
        </w:rPr>
        <w:t>In electro Fenton process, cathode material also plays a significant role to degrade the refractory organic pollutants present in water and wastewater. The efficiency of degradation of refractory organic pollutants majorly depends upon the in-situ 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production on cathode. Scientists have reported that the production of 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can be enhanced by using gas diffusion electrode because of their porous structure which can quickly transfer oxygen and air to the electrode surface </w:t>
      </w:r>
      <w:r w:rsidRPr="0038343B">
        <w:rPr>
          <w:rFonts w:cs="Times New Roman"/>
        </w:rPr>
        <w:fldChar w:fldCharType="begin" w:fldLock="1"/>
      </w:r>
      <w:r w:rsidR="008666F9">
        <w:rPr>
          <w:rFonts w:cs="Times New Roman"/>
        </w:rPr>
        <w:instrText>ADDIN CSL_CITATION {"citationItems":[{"id":"ITEM-1","itemData":{"DOI":"10.1016/j.jhazmat.2018.12.037","ISSN":"03043894","abstract":"This study investigated the direct and indirect electro-oxidation of amine-containing pharmaceuticals (acetaminophen (ACT), diclofenac (DIC), and sulfamethoxazole (SMX)) by using graphite electrodes, and to compare the influence by using different electrolytes (Na2SO4 and NaCl). Under the optimum conditions of current (I) at 0.5 A, in direct system, 74.3%, 90.0%, 81.6% of ACT, DIC, and SMX were respectively removed after 60 min (k = 0.023, 0.037, 0.027 min−1), 48.9%, 85.9%, 68.2% of TOC respectively removed after reaction time. In contrast, at the same current intensity, in indirect system, ACT, DIC, and SMX were eliminated within 30 min (k = 0.117, 0.307, 0.170 min−1), 89.6%, 92.6%, 99.6% of TOC respectively removed after reaction time. The results indicated that the dissociated compounds were attracted to the anode due to electrostatic forces and had higher mass transformation rates in the direct electro-oxidation process. According to the cyclic voltammogram, indirect oxidation occurred when active chlorine species were generated from chloride ions anodically to destroy pollutants. Based on intermediates detected during electro-oxidation treatment by ultra performance liquid chromatography-quadrupole time-of-flight mass spectrometry (UPLC-Q-TOF-MS), only oxidized intermediates were found in the direct oxidation system, while both oxidized and chlorinated intermediates were found in the indirect oxidation system.","author":[{"dropping-particle":"","family":"Liu","given":"Yu-Jung","non-dropping-particle":"","parse-names":false,"suffix":""},{"dropping-particle":"","family":"Hu","given":"Ching-Yao","non-dropping-particle":"","parse-names":false,"suffix":""},{"dropping-particle":"","family":"Lo","given":"Shang-Lien","non-dropping-particle":"","parse-names":false,"suffix":""}],"container-title":"Journal of Hazardous Materials","id":"ITEM-1","issue":"December 2018","issued":{"date-parts":[["2019","3"]]},"page":"592-605","title":"Direct and indirect electrochemical oxidation of amine-containing pharmaceuticals using graphite electrodes","type":"article-journal","volume":"366"},"uris":["http://www.mendeley.com/documents/?uuid=0337bf90-62a0-4e9b-bd72-d2a7a1fe8413","http://www.mendeley.com/documents/?uuid=a4853ea0-6574-462d-95f8-6cbd8b33a597"]}],"mendeley":{"formattedCitation":"(Liu et al., 2019)","plainTextFormattedCitation":"(Liu et al., 2019)","previouslyFormattedCitation":"(Liu et al., 2019)"},"properties":{"noteIndex":0},"schema":"https://github.com/citation-style-language/schema/raw/master/csl-citation.json"}</w:instrText>
      </w:r>
      <w:r w:rsidRPr="0038343B">
        <w:rPr>
          <w:rFonts w:cs="Times New Roman"/>
        </w:rPr>
        <w:fldChar w:fldCharType="separate"/>
      </w:r>
      <w:r w:rsidRPr="00FB6D8C">
        <w:rPr>
          <w:rFonts w:cs="Times New Roman"/>
          <w:noProof/>
        </w:rPr>
        <w:t>(Liu et al., 2019)</w:t>
      </w:r>
      <w:r w:rsidRPr="0038343B">
        <w:rPr>
          <w:rFonts w:cs="Times New Roman"/>
        </w:rPr>
        <w:fldChar w:fldCharType="end"/>
      </w:r>
      <w:r w:rsidRPr="0038343B">
        <w:rPr>
          <w:rFonts w:cs="Times New Roman"/>
        </w:rPr>
        <w:t>. A low-cost dual gas diffusion cathode was fabricated for efficient H</w:t>
      </w:r>
      <w:r w:rsidRPr="0038343B">
        <w:rPr>
          <w:rFonts w:cs="Times New Roman"/>
          <w:vertAlign w:val="subscript"/>
        </w:rPr>
        <w:t>2</w:t>
      </w:r>
      <w:r w:rsidRPr="0038343B">
        <w:rPr>
          <w:rFonts w:cs="Times New Roman"/>
        </w:rPr>
        <w:t>O</w:t>
      </w:r>
      <w:r w:rsidRPr="0038343B">
        <w:rPr>
          <w:rFonts w:cs="Times New Roman"/>
          <w:vertAlign w:val="subscript"/>
        </w:rPr>
        <w:t>2</w:t>
      </w:r>
      <w:r w:rsidRPr="0038343B">
        <w:rPr>
          <w:rFonts w:cs="Times New Roman"/>
        </w:rPr>
        <w:t xml:space="preserve"> generation and </w:t>
      </w:r>
      <w:r w:rsidRPr="0038343B">
        <w:rPr>
          <w:rFonts w:cs="Times New Roman"/>
        </w:rPr>
        <w:lastRenderedPageBreak/>
        <w:t xml:space="preserve">to degrade </w:t>
      </w:r>
      <w:r w:rsidR="00230170">
        <w:rPr>
          <w:rFonts w:cs="Times New Roman"/>
        </w:rPr>
        <w:t>1000 mg L</w:t>
      </w:r>
      <w:r w:rsidR="00AD4543">
        <w:rPr>
          <w:rFonts w:cs="Times New Roman"/>
          <w:bCs/>
          <w:color w:val="000000" w:themeColor="text1"/>
          <w:szCs w:val="24"/>
          <w:vertAlign w:val="superscript"/>
          <w:lang w:val="en-IN"/>
        </w:rPr>
        <w:t>‒</w:t>
      </w:r>
      <w:r w:rsidR="00230170" w:rsidRPr="00F44AA0">
        <w:rPr>
          <w:rFonts w:cs="Times New Roman"/>
          <w:vertAlign w:val="superscript"/>
        </w:rPr>
        <w:t>1</w:t>
      </w:r>
      <w:r w:rsidR="00F44AA0">
        <w:rPr>
          <w:rFonts w:cs="Times New Roman"/>
        </w:rPr>
        <w:t xml:space="preserve"> </w:t>
      </w:r>
      <w:r w:rsidRPr="0038343B">
        <w:rPr>
          <w:rFonts w:cs="Times New Roman"/>
        </w:rPr>
        <w:t xml:space="preserve">tartrazine </w:t>
      </w:r>
      <w:r w:rsidRPr="0038343B">
        <w:rPr>
          <w:rFonts w:cs="Times New Roman"/>
          <w:bCs/>
          <w:iCs/>
          <w:lang w:val="en-IN"/>
        </w:rPr>
        <w:t>from wastewater. The results explained that H</w:t>
      </w:r>
      <w:r w:rsidRPr="0038343B">
        <w:rPr>
          <w:rFonts w:cs="Times New Roman"/>
          <w:bCs/>
          <w:iCs/>
          <w:vertAlign w:val="subscript"/>
          <w:lang w:val="en-IN"/>
        </w:rPr>
        <w:t>2</w:t>
      </w:r>
      <w:r w:rsidRPr="0038343B">
        <w:rPr>
          <w:rFonts w:cs="Times New Roman"/>
          <w:bCs/>
          <w:iCs/>
          <w:lang w:val="en-IN"/>
        </w:rPr>
        <w:t>O</w:t>
      </w:r>
      <w:r w:rsidRPr="0038343B">
        <w:rPr>
          <w:rFonts w:cs="Times New Roman"/>
          <w:bCs/>
          <w:iCs/>
          <w:vertAlign w:val="subscript"/>
          <w:lang w:val="en-IN"/>
        </w:rPr>
        <w:t>2</w:t>
      </w:r>
      <w:r w:rsidRPr="0038343B">
        <w:rPr>
          <w:rFonts w:cs="Times New Roman"/>
          <w:bCs/>
          <w:iCs/>
          <w:lang w:val="en-IN"/>
        </w:rPr>
        <w:t xml:space="preserve"> generation of 566 </w:t>
      </w:r>
      <w:r w:rsidR="00BE48AE">
        <w:rPr>
          <w:rFonts w:cs="Times New Roman"/>
        </w:rPr>
        <w:t>mg L</w:t>
      </w:r>
      <w:r w:rsidR="00AD4543">
        <w:rPr>
          <w:rFonts w:cs="Times New Roman"/>
          <w:bCs/>
          <w:color w:val="000000" w:themeColor="text1"/>
          <w:szCs w:val="24"/>
          <w:vertAlign w:val="superscript"/>
          <w:lang w:val="en-IN"/>
        </w:rPr>
        <w:t>‒</w:t>
      </w:r>
      <w:r w:rsidR="00BE48AE" w:rsidRPr="00F44AA0">
        <w:rPr>
          <w:rFonts w:cs="Times New Roman"/>
          <w:vertAlign w:val="superscript"/>
        </w:rPr>
        <w:t>1</w:t>
      </w:r>
      <w:r w:rsidR="00BE48AE">
        <w:rPr>
          <w:rFonts w:cs="Times New Roman"/>
        </w:rPr>
        <w:t xml:space="preserve"> </w:t>
      </w:r>
      <w:r w:rsidRPr="0038343B">
        <w:rPr>
          <w:rFonts w:cs="Times New Roman"/>
          <w:bCs/>
          <w:iCs/>
          <w:lang w:val="en-IN"/>
        </w:rPr>
        <w:t>and almost 66.1 % of TOC removal can be achieved by adopting 0.4 mM of Fe</w:t>
      </w:r>
      <w:r w:rsidRPr="0038343B">
        <w:rPr>
          <w:rFonts w:cs="Times New Roman"/>
          <w:bCs/>
          <w:iCs/>
          <w:vertAlign w:val="superscript"/>
          <w:lang w:val="en-IN"/>
        </w:rPr>
        <w:t>2+</w:t>
      </w:r>
      <w:r w:rsidRPr="0038343B">
        <w:rPr>
          <w:rFonts w:cs="Times New Roman"/>
          <w:bCs/>
          <w:iCs/>
          <w:lang w:val="en-IN"/>
        </w:rPr>
        <w:t xml:space="preserve"> catalyst </w:t>
      </w:r>
      <w:r w:rsidR="00C962B1">
        <w:rPr>
          <w:rFonts w:cs="Times New Roman"/>
          <w:bCs/>
          <w:iCs/>
          <w:lang w:val="en-IN"/>
        </w:rPr>
        <w:t>at the</w:t>
      </w:r>
      <w:r w:rsidRPr="0038343B">
        <w:rPr>
          <w:rFonts w:cs="Times New Roman"/>
          <w:bCs/>
          <w:iCs/>
          <w:lang w:val="en-IN"/>
        </w:rPr>
        <w:t xml:space="preserve"> </w:t>
      </w:r>
      <w:r w:rsidR="00BE48AE">
        <w:rPr>
          <w:rFonts w:cs="Times New Roman"/>
          <w:bCs/>
          <w:iCs/>
          <w:lang w:val="en-IN"/>
        </w:rPr>
        <w:t xml:space="preserve">current density </w:t>
      </w:r>
      <w:r w:rsidRPr="0038343B">
        <w:rPr>
          <w:rFonts w:cs="Times New Roman"/>
          <w:bCs/>
          <w:iCs/>
          <w:lang w:val="en-IN"/>
        </w:rPr>
        <w:t xml:space="preserve">of 7.1 </w:t>
      </w:r>
      <w:bookmarkStart w:id="26" w:name="_Hlk94048345"/>
      <w:r w:rsidRPr="0038343B">
        <w:rPr>
          <w:rFonts w:cs="Times New Roman"/>
          <w:bCs/>
          <w:iCs/>
          <w:lang w:val="en-IN"/>
        </w:rPr>
        <w:t>mA</w:t>
      </w:r>
      <w:r w:rsidR="00BE48AE">
        <w:rPr>
          <w:rFonts w:cs="Times New Roman"/>
          <w:bCs/>
          <w:iCs/>
          <w:lang w:val="en-IN"/>
        </w:rPr>
        <w:t xml:space="preserve"> </w:t>
      </w:r>
      <w:r w:rsidRPr="0038343B">
        <w:rPr>
          <w:rFonts w:cs="Times New Roman"/>
          <w:bCs/>
          <w:iCs/>
          <w:lang w:val="en-IN"/>
        </w:rPr>
        <w:t>cm</w:t>
      </w:r>
      <w:r w:rsidR="00AD4543">
        <w:rPr>
          <w:rFonts w:cs="Times New Roman"/>
          <w:bCs/>
          <w:color w:val="000000" w:themeColor="text1"/>
          <w:szCs w:val="24"/>
          <w:vertAlign w:val="superscript"/>
          <w:lang w:val="en-IN"/>
        </w:rPr>
        <w:t>‒</w:t>
      </w:r>
      <w:r w:rsidRPr="00BE48AE">
        <w:rPr>
          <w:rFonts w:cs="Times New Roman"/>
          <w:bCs/>
          <w:iCs/>
          <w:vertAlign w:val="superscript"/>
          <w:lang w:val="en-IN"/>
        </w:rPr>
        <w:t>2</w:t>
      </w:r>
      <w:r w:rsidRPr="0038343B">
        <w:rPr>
          <w:rFonts w:cs="Times New Roman"/>
          <w:bCs/>
          <w:iCs/>
          <w:lang w:val="en-IN"/>
        </w:rPr>
        <w:t xml:space="preserve"> </w:t>
      </w:r>
      <w:bookmarkEnd w:id="26"/>
      <w:r w:rsidRPr="0038343B">
        <w:rPr>
          <w:rFonts w:cs="Times New Roman"/>
          <w:bCs/>
          <w:iCs/>
          <w:lang w:val="en-IN"/>
        </w:rPr>
        <w:t xml:space="preserve">after 120 min of treatment </w:t>
      </w:r>
      <w:r w:rsidRPr="0038343B">
        <w:rPr>
          <w:rFonts w:cs="Times New Roman"/>
          <w:bCs/>
          <w:iCs/>
          <w:lang w:val="en-IN"/>
        </w:rPr>
        <w:fldChar w:fldCharType="begin" w:fldLock="1"/>
      </w:r>
      <w:r w:rsidR="008666F9">
        <w:rPr>
          <w:rFonts w:cs="Times New Roman"/>
          <w:bCs/>
          <w:iCs/>
          <w:lang w:val="en-IN"/>
        </w:rPr>
        <w:instrText>ADDIN CSL_CITATION {"citationItems":[{"id":"ITEM-1","itemData":{"DOI":"10.1016/j.cej.2014.11.053","ISSN":"13858947","abstract":"Highly efficient H2O2 generation is greatly demanded in electro-Fenton process for organic pollutants degradation. In the present work, a novel H2O2 generation reactor using dual gas diffusion electrodes (GDEs) as cathodes was put forward, which was confirmed to be more cost-effective in H2O2 generation rate, O2 utilization efficiency and energy consumption in comparison with other carbonaceous materials and reactors. The catalyst layer in GDE was characterized and optimized, and the accumulation of H2O2 reached to 566mg/L in 0.05M Na2SO4 at a current density of 7.1mA/cm2 and air flow rate of 0.5L/min after 180min. The operational parameters such as current density, pH and air flow rate were optimized, and after 10 times used the production of H2O2 was confirmed to be stable. This novel reactor was tested to degrade tartrazine, and even for a high initial concentration of 1000mg/L, it could be completely decolorized within 60min while the TOC removal efficiency could reach 66.1% within 120min with a mineralization current efficiency of 65.1%, indicating its potential for the treatment of high-concentrated wastewaters.","author":[{"dropping-particle":"","family":"Yu","given":"Xinmin","non-dropping-particle":"","parse-names":false,"suffix":""},{"dropping-particle":"","family":"Zhou","given":"Minghua","non-dropping-particle":"","parse-names":false,"suffix":""},{"dropping-particle":"","family":"Ren","given":"Gengbo","non-dropping-particle":"","parse-names":false,"suffix":""},{"dropping-particle":"","family":"Ma","given":"Liang","non-dropping-particle":"","parse-names":false,"suffix":""}],"container-title":"Chemical Engineering Journal","id":"ITEM-1","issued":{"date-parts":[["2015"]]},"page":"92-100","title":"A novel dual gas diffusion electrodes system for efficient hydrogen peroxide generation used in electro-Fenton","type":"article-journal","volume":"263"},"uris":["http://www.mendeley.com/documents/?uuid=723e0127-6e45-4c4a-910e-680189e1d478","http://www.mendeley.com/documents/?uuid=830c41f4-301a-49e6-9af1-f874ee867984"]}],"mendeley":{"formattedCitation":"(Yu et al., 2015)","plainTextFormattedCitation":"(Yu et al., 2015)","previouslyFormattedCitation":"(Yu et al., 2015)"},"properties":{"noteIndex":0},"schema":"https://github.com/citation-style-language/schema/raw/master/csl-citation.json"}</w:instrText>
      </w:r>
      <w:r w:rsidRPr="0038343B">
        <w:rPr>
          <w:rFonts w:cs="Times New Roman"/>
          <w:bCs/>
          <w:iCs/>
          <w:lang w:val="en-IN"/>
        </w:rPr>
        <w:fldChar w:fldCharType="separate"/>
      </w:r>
      <w:r w:rsidRPr="00FB6D8C">
        <w:rPr>
          <w:rFonts w:cs="Times New Roman"/>
          <w:bCs/>
          <w:iCs/>
          <w:noProof/>
          <w:lang w:val="en-IN"/>
        </w:rPr>
        <w:t>(Yu et al., 2015)</w:t>
      </w:r>
      <w:r w:rsidRPr="0038343B">
        <w:rPr>
          <w:rFonts w:cs="Times New Roman"/>
          <w:bCs/>
          <w:iCs/>
          <w:lang w:val="en-IN"/>
        </w:rPr>
        <w:fldChar w:fldCharType="end"/>
      </w:r>
      <w:r w:rsidRPr="0038343B">
        <w:rPr>
          <w:rFonts w:cs="Times New Roman"/>
          <w:bCs/>
          <w:iCs/>
          <w:lang w:val="en-IN"/>
        </w:rPr>
        <w:t xml:space="preserve">. During another experimentation, activated carbon fiber felt cathode was fabricated for the degradation of antibiotic levofloxacin </w:t>
      </w:r>
      <w:r w:rsidR="00C962B1">
        <w:rPr>
          <w:rFonts w:cs="Times New Roman"/>
          <w:bCs/>
          <w:iCs/>
          <w:lang w:val="en-IN"/>
        </w:rPr>
        <w:t>(200 mg L</w:t>
      </w:r>
      <w:r w:rsidR="00C962B1">
        <w:rPr>
          <w:rFonts w:cs="Times New Roman"/>
          <w:bCs/>
          <w:color w:val="000000" w:themeColor="text1"/>
          <w:szCs w:val="24"/>
          <w:vertAlign w:val="superscript"/>
          <w:lang w:val="en-IN"/>
        </w:rPr>
        <w:t>‒</w:t>
      </w:r>
      <w:r w:rsidR="00C962B1" w:rsidRPr="00BE48AE">
        <w:rPr>
          <w:rFonts w:cs="Times New Roman"/>
          <w:bCs/>
          <w:iCs/>
          <w:vertAlign w:val="superscript"/>
          <w:lang w:val="en-IN"/>
        </w:rPr>
        <w:t>1</w:t>
      </w:r>
      <w:r w:rsidR="00C962B1">
        <w:rPr>
          <w:rFonts w:cs="Times New Roman"/>
          <w:bCs/>
          <w:iCs/>
          <w:lang w:val="en-IN"/>
        </w:rPr>
        <w:t xml:space="preserve">) </w:t>
      </w:r>
      <w:r w:rsidRPr="0038343B">
        <w:rPr>
          <w:rFonts w:cs="Times New Roman"/>
          <w:bCs/>
          <w:iCs/>
          <w:lang w:val="en-IN"/>
        </w:rPr>
        <w:t>from wastewater. The as-fabricated cathode showed COD and TOC removal rates of 79.6% and 61% by employing 1.0 mM of Fe</w:t>
      </w:r>
      <w:r w:rsidRPr="0038343B">
        <w:rPr>
          <w:rFonts w:cs="Times New Roman"/>
          <w:bCs/>
          <w:iCs/>
          <w:vertAlign w:val="superscript"/>
          <w:lang w:val="en-IN"/>
        </w:rPr>
        <w:t>2+</w:t>
      </w:r>
      <w:r w:rsidRPr="0038343B">
        <w:rPr>
          <w:rFonts w:cs="Times New Roman"/>
          <w:bCs/>
          <w:iCs/>
          <w:lang w:val="en-IN"/>
        </w:rPr>
        <w:t xml:space="preserve"> catalyst at a </w:t>
      </w:r>
      <w:r w:rsidR="006F08EF">
        <w:rPr>
          <w:rFonts w:cs="Times New Roman"/>
          <w:bCs/>
          <w:iCs/>
          <w:lang w:val="en-IN"/>
        </w:rPr>
        <w:t>current density</w:t>
      </w:r>
      <w:r w:rsidRPr="0038343B">
        <w:rPr>
          <w:rFonts w:cs="Times New Roman"/>
          <w:bCs/>
          <w:iCs/>
          <w:lang w:val="en-IN"/>
        </w:rPr>
        <w:t xml:space="preserve"> of 6.67 </w:t>
      </w:r>
      <w:r w:rsidR="006F08EF" w:rsidRPr="0038343B">
        <w:rPr>
          <w:rFonts w:cs="Times New Roman"/>
          <w:bCs/>
          <w:iCs/>
          <w:lang w:val="en-IN"/>
        </w:rPr>
        <w:t>mA</w:t>
      </w:r>
      <w:r w:rsidR="006F08EF">
        <w:rPr>
          <w:rFonts w:cs="Times New Roman"/>
          <w:bCs/>
          <w:iCs/>
          <w:lang w:val="en-IN"/>
        </w:rPr>
        <w:t xml:space="preserve"> </w:t>
      </w:r>
      <w:r w:rsidR="006F08EF" w:rsidRPr="0038343B">
        <w:rPr>
          <w:rFonts w:cs="Times New Roman"/>
          <w:bCs/>
          <w:iCs/>
          <w:lang w:val="en-IN"/>
        </w:rPr>
        <w:t>cm</w:t>
      </w:r>
      <w:r w:rsidR="00AD4543">
        <w:rPr>
          <w:rFonts w:cs="Times New Roman"/>
          <w:bCs/>
          <w:color w:val="000000" w:themeColor="text1"/>
          <w:szCs w:val="24"/>
          <w:vertAlign w:val="superscript"/>
          <w:lang w:val="en-IN"/>
        </w:rPr>
        <w:t>‒</w:t>
      </w:r>
      <w:r w:rsidR="006F08EF" w:rsidRPr="00BE48AE">
        <w:rPr>
          <w:rFonts w:cs="Times New Roman"/>
          <w:bCs/>
          <w:iCs/>
          <w:vertAlign w:val="superscript"/>
          <w:lang w:val="en-IN"/>
        </w:rPr>
        <w:t>2</w:t>
      </w:r>
      <w:r w:rsidR="006F08EF">
        <w:rPr>
          <w:rFonts w:cs="Times New Roman"/>
          <w:bCs/>
          <w:iCs/>
          <w:lang w:val="en-IN"/>
        </w:rPr>
        <w:t xml:space="preserve"> </w:t>
      </w:r>
      <w:r w:rsidRPr="0038343B">
        <w:rPr>
          <w:rFonts w:cs="Times New Roman"/>
          <w:bCs/>
          <w:iCs/>
          <w:lang w:val="en-IN"/>
        </w:rPr>
        <w:t xml:space="preserve">after 120 min of wastewater treatment </w:t>
      </w:r>
      <w:r w:rsidRPr="0038343B">
        <w:rPr>
          <w:rFonts w:cs="Times New Roman"/>
          <w:bCs/>
          <w:iCs/>
          <w:lang w:val="en-IN"/>
        </w:rPr>
        <w:fldChar w:fldCharType="begin" w:fldLock="1"/>
      </w:r>
      <w:r w:rsidR="008666F9">
        <w:rPr>
          <w:rFonts w:cs="Times New Roman"/>
          <w:bCs/>
          <w:iCs/>
          <w:lang w:val="en-IN"/>
        </w:rPr>
        <w:instrText>ADDIN CSL_CITATION {"citationItems":[{"id":"ITEM-1","itemData":{"DOI":"10.1016/j.jhazmat.2015.10.064","ISSN":"18733336","abstract":"Solutions of 500mL 200mgL-1 fluoroquinolone antibiotic levofloxacin (LEVO) have been degraded by anodic oxidation (AO), AO with electrogenerated H2O2 (AO-H2O2) and electro-Fenton (EF) processes using an activated carbon fiber (ACF) felt cathode from the point view of not only LEVO disappearance and mineralization, but also biodegradability enhancement. The LEVO decay by EF process followed a pseudo-first-order reaction with an apparent rate constant of 2.37×10-2min-1, which is much higher than that of AO or AO-H2O2 processes. The LEVO mineralization also evidences the order EF&gt;AO-H2O2&gt;AO. The biodegradability (BOD5/COD) increased from 0 initially to 0.24, 0.09, and 0.03 for EF, AO-H2O2 and AO processes after 360min treatment, respectively. Effects of several parameters such as current density, initial pH and Fe2+ concentration on the EF degradation have also been examined. Three carboxylic acids including oxalic, formic and acetic acid were detected, as well as the released inorganic ions NH4+, NO3- and F-. At last, an ultra-performance liquid chromatography coupled with time-of-flight mass spectrometry was used to identify about eight aromatic intermediates formed in 60min of EF treatment, and a plausible mineralization pathway for LEVO by EF treatment was proposed.","author":[{"dropping-particle":"","family":"Gong","given":"Yuexiang","non-dropping-particle":"","parse-names":false,"suffix":""},{"dropping-particle":"","family":"Li","given":"Jiuyi","non-dropping-particle":"","parse-names":false,"suffix":""},{"dropping-particle":"","family":"Zhang","given":"Yanyu","non-dropping-particle":"","parse-names":false,"suffix":""},{"dropping-particle":"","family":"Zhang","given":"Meng","non-dropping-particle":"","parse-names":false,"suffix":""},{"dropping-particle":"","family":"Tian","given":"Xiujun","non-dropping-particle":"","parse-names":false,"suffix":""},{"dropping-particle":"","family":"Wang","given":"Aimin","non-dropping-particle":"","parse-names":false,"suffix":""}],"container-title":"Journal of Hazardous Materials","id":"ITEM-1","issued":{"date-parts":[["2016"]]},"page":"320-328","title":"Partial degradation of levofloxacin for biodegradability improvement by electro-Fenton process using an activated carbon fiber felt cathode","type":"article-journal","volume":"304"},"uris":["http://www.mendeley.com/documents/?uuid=b27d53d2-0529-496a-ae72-5a352ad208a9","http://www.mendeley.com/documents/?uuid=9ba366da-8b70-4b7e-b316-c7729263b2a4"]}],"mendeley":{"formattedCitation":"(Gong et al., 2016)","plainTextFormattedCitation":"(Gong et al., 2016)","previouslyFormattedCitation":"(Gong et al., 2016)"},"properties":{"noteIndex":0},"schema":"https://github.com/citation-style-language/schema/raw/master/csl-citation.json"}</w:instrText>
      </w:r>
      <w:r w:rsidRPr="0038343B">
        <w:rPr>
          <w:rFonts w:cs="Times New Roman"/>
          <w:bCs/>
          <w:iCs/>
          <w:lang w:val="en-IN"/>
        </w:rPr>
        <w:fldChar w:fldCharType="separate"/>
      </w:r>
      <w:r w:rsidRPr="00FB6D8C">
        <w:rPr>
          <w:rFonts w:cs="Times New Roman"/>
          <w:bCs/>
          <w:iCs/>
          <w:noProof/>
          <w:lang w:val="en-IN"/>
        </w:rPr>
        <w:t>(Gong et al., 2016)</w:t>
      </w:r>
      <w:r w:rsidRPr="0038343B">
        <w:rPr>
          <w:rFonts w:cs="Times New Roman"/>
          <w:bCs/>
          <w:iCs/>
          <w:lang w:val="en-IN"/>
        </w:rPr>
        <w:fldChar w:fldCharType="end"/>
      </w:r>
      <w:r w:rsidRPr="0038343B">
        <w:rPr>
          <w:rFonts w:cs="Times New Roman"/>
          <w:bCs/>
          <w:iCs/>
          <w:lang w:val="en-IN"/>
        </w:rPr>
        <w:t>. However, several other materials such as carbon nanotube, graphite, graphite felt etc. have been widely used as cathode in electro-</w:t>
      </w:r>
      <w:r w:rsidR="00BD67D4">
        <w:rPr>
          <w:rFonts w:cs="Times New Roman"/>
          <w:bCs/>
          <w:iCs/>
          <w:lang w:val="en-IN"/>
        </w:rPr>
        <w:t>F</w:t>
      </w:r>
      <w:r w:rsidRPr="0038343B">
        <w:rPr>
          <w:rFonts w:cs="Times New Roman"/>
          <w:bCs/>
          <w:iCs/>
          <w:lang w:val="en-IN"/>
        </w:rPr>
        <w:t>enton process for treatment of organic pollutants.</w:t>
      </w:r>
    </w:p>
    <w:p w14:paraId="5B6C4148" w14:textId="53C4A2B2" w:rsidR="008373D3" w:rsidRPr="00C82CA9" w:rsidRDefault="008373D3" w:rsidP="008373D3">
      <w:pPr>
        <w:spacing w:line="480" w:lineRule="auto"/>
        <w:rPr>
          <w:rFonts w:cs="Times New Roman"/>
          <w:b/>
          <w:bCs/>
          <w:lang w:val="en-IN"/>
        </w:rPr>
      </w:pPr>
      <w:r w:rsidRPr="0038343B">
        <w:rPr>
          <w:rFonts w:cs="Times New Roman"/>
          <w:bCs/>
          <w:iCs/>
          <w:lang w:val="en-IN"/>
        </w:rPr>
        <w:t>Electro-Fenton process have significant advantages over the conventional Fenton process</w:t>
      </w:r>
      <w:r w:rsidR="00C962B1">
        <w:rPr>
          <w:rFonts w:cs="Times New Roman"/>
          <w:bCs/>
          <w:iCs/>
          <w:lang w:val="en-IN"/>
        </w:rPr>
        <w:t>,</w:t>
      </w:r>
      <w:r w:rsidRPr="0038343B">
        <w:rPr>
          <w:rFonts w:cs="Times New Roman"/>
          <w:bCs/>
          <w:iCs/>
          <w:lang w:val="en-IN"/>
        </w:rPr>
        <w:t xml:space="preserve"> such as</w:t>
      </w:r>
      <w:r w:rsidR="00C962B1">
        <w:rPr>
          <w:rFonts w:cs="Times New Roman"/>
          <w:bCs/>
          <w:iCs/>
          <w:lang w:val="en-IN"/>
        </w:rPr>
        <w:t>:</w:t>
      </w:r>
      <w:r w:rsidRPr="0038343B">
        <w:rPr>
          <w:rFonts w:cs="Times New Roman"/>
          <w:bCs/>
          <w:iCs/>
          <w:lang w:val="en-IN"/>
        </w:rPr>
        <w:t xml:space="preserve"> (1) rapid regeneration of </w:t>
      </w:r>
      <w:r w:rsidRPr="0038343B">
        <w:rPr>
          <w:rFonts w:cs="Times New Roman"/>
          <w:bCs/>
          <w:iCs/>
        </w:rPr>
        <w:t>Fe</w:t>
      </w:r>
      <w:r w:rsidRPr="0038343B">
        <w:rPr>
          <w:rFonts w:cs="Times New Roman"/>
          <w:bCs/>
          <w:iCs/>
          <w:vertAlign w:val="superscript"/>
        </w:rPr>
        <w:t>2+</w:t>
      </w:r>
      <w:r w:rsidRPr="0038343B">
        <w:rPr>
          <w:rFonts w:cs="Times New Roman"/>
          <w:bCs/>
          <w:iCs/>
        </w:rPr>
        <w:t xml:space="preserve"> ions on the cathode reduces the iron sludge production and enhance the degradation efficiency, </w:t>
      </w:r>
      <w:r w:rsidR="00C962B1">
        <w:rPr>
          <w:rFonts w:cs="Times New Roman"/>
          <w:bCs/>
          <w:iCs/>
        </w:rPr>
        <w:t xml:space="preserve">and </w:t>
      </w:r>
      <w:r w:rsidRPr="0038343B">
        <w:rPr>
          <w:rFonts w:cs="Times New Roman"/>
          <w:bCs/>
          <w:iCs/>
        </w:rPr>
        <w:t>(2) on-site generation of H</w:t>
      </w:r>
      <w:r w:rsidRPr="0038343B">
        <w:rPr>
          <w:rFonts w:cs="Times New Roman"/>
          <w:bCs/>
          <w:iCs/>
          <w:vertAlign w:val="subscript"/>
        </w:rPr>
        <w:t>2</w:t>
      </w:r>
      <w:r w:rsidRPr="0038343B">
        <w:rPr>
          <w:rFonts w:cs="Times New Roman"/>
          <w:bCs/>
          <w:iCs/>
        </w:rPr>
        <w:t>O</w:t>
      </w:r>
      <w:r w:rsidRPr="0038343B">
        <w:rPr>
          <w:rFonts w:cs="Times New Roman"/>
          <w:bCs/>
          <w:iCs/>
          <w:vertAlign w:val="subscript"/>
        </w:rPr>
        <w:t>2</w:t>
      </w:r>
      <w:r w:rsidRPr="0038343B">
        <w:rPr>
          <w:rFonts w:cs="Times New Roman"/>
          <w:bCs/>
          <w:iCs/>
        </w:rPr>
        <w:t xml:space="preserve"> minimize</w:t>
      </w:r>
      <w:r w:rsidR="00C962B1">
        <w:rPr>
          <w:rFonts w:cs="Times New Roman"/>
          <w:bCs/>
          <w:iCs/>
        </w:rPr>
        <w:t>s</w:t>
      </w:r>
      <w:r w:rsidRPr="0038343B">
        <w:rPr>
          <w:rFonts w:cs="Times New Roman"/>
          <w:bCs/>
          <w:iCs/>
        </w:rPr>
        <w:t xml:space="preserve"> the cost and risk associated with the transport, handling and storage of H</w:t>
      </w:r>
      <w:r w:rsidRPr="0038343B">
        <w:rPr>
          <w:rFonts w:cs="Times New Roman"/>
          <w:bCs/>
          <w:iCs/>
          <w:vertAlign w:val="subscript"/>
        </w:rPr>
        <w:t>2</w:t>
      </w:r>
      <w:r w:rsidRPr="0038343B">
        <w:rPr>
          <w:rFonts w:cs="Times New Roman"/>
          <w:bCs/>
          <w:iCs/>
        </w:rPr>
        <w:t>O</w:t>
      </w:r>
      <w:r w:rsidRPr="0038343B">
        <w:rPr>
          <w:rFonts w:cs="Times New Roman"/>
          <w:bCs/>
          <w:iCs/>
          <w:vertAlign w:val="subscript"/>
        </w:rPr>
        <w:t>2</w:t>
      </w:r>
      <w:r w:rsidRPr="0038343B">
        <w:rPr>
          <w:rFonts w:cs="Times New Roman"/>
          <w:bCs/>
          <w:iCs/>
        </w:rPr>
        <w:t xml:space="preserve"> </w:t>
      </w:r>
      <w:r w:rsidRPr="0038343B">
        <w:rPr>
          <w:rFonts w:cs="Times New Roman"/>
          <w:bCs/>
          <w:iCs/>
        </w:rPr>
        <w:fldChar w:fldCharType="begin" w:fldLock="1"/>
      </w:r>
      <w:r w:rsidR="008666F9">
        <w:rPr>
          <w:rFonts w:cs="Times New Roman"/>
          <w:bCs/>
          <w:iCs/>
        </w:rPr>
        <w:instrText>ADDIN CSL_CITATION {"citationItems":[{"id":"ITEM-1","itemData":{"DOI":"10.1007/s11356-014-2783-1","ISSN":"16147499","PMID":"24687788","abstract":"In recent years, new advanced oxidation processes based on the electrochemical technology, the so-called electrochemical advanced oxidation processes (EAOPs), have been developed for the prevention and remediation of environmental pollution, especially focusing on water streams. These methods are based on the electrochemical generation of a very powerful oxidizing agent, such as the hydroxyl radical (•OH) in solution, which is then able to destroy organics up to their mineralization. EAOPs include heterogeneous processes like anodic oxidation and photoelectrocatalysis methods, in which •OH are generated at the anode surface either electrochemically or photochemically, and homogeneous processes like electro-Fenton, photoelectro-Fenton, and sonoelectrolysis, in which •OH are produced in the bulk solution. This paper presents a general overview of the application of EAOPs on the removal of aqueous organic pollutants, first reviewing the most recent works and then looking to the future. A global perspective on the fundamentals and experimental setups is offered, and laboratory-scale and pilot-scale experiments are examined and discussed. © 2014 Springer-Verlag Berlin Heidelberg.","author":[{"dropping-particle":"","family":"Sirés","given":"Ignasi","non-dropping-particle":"","parse-names":false,"suffix":""},{"dropping-particle":"","family":"Brillas","given":"Enric","non-dropping-particle":"","parse-names":false,"suffix":""},{"dropping-particle":"","family":"Oturan","given":"Mehmet A.","non-dropping-particle":"","parse-names":false,"suffix":""},{"dropping-particle":"","family":"Rodrigo","given":"Manuel A.","non-dropping-particle":"","parse-names":false,"suffix":""},{"dropping-particle":"","family":"Panizza","given":"Marco","non-dropping-particle":"","parse-names":false,"suffix":""}],"container-title":"Environmental Science and Pollution Research","id":"ITEM-1","issue":"14","issued":{"date-parts":[["2014"]]},"page":"8336-8367","title":"Electrochemical advanced oxidation processes: Today and tomorrow. A review","type":"article-journal","volume":"21"},"uris":["http://www.mendeley.com/documents/?uuid=a392e107-09bd-4a77-a6ea-b485b0fa61e1"]}],"mendeley":{"formattedCitation":"(Sirés et al., 2014)","plainTextFormattedCitation":"(Sirés et al., 2014)","previouslyFormattedCitation":"(Sirés et al., 2014)"},"properties":{"noteIndex":0},"schema":"https://github.com/citation-style-language/schema/raw/master/csl-citation.json"}</w:instrText>
      </w:r>
      <w:r w:rsidRPr="0038343B">
        <w:rPr>
          <w:rFonts w:cs="Times New Roman"/>
          <w:bCs/>
          <w:iCs/>
        </w:rPr>
        <w:fldChar w:fldCharType="separate"/>
      </w:r>
      <w:r w:rsidRPr="00FB6D8C">
        <w:rPr>
          <w:rFonts w:cs="Times New Roman"/>
          <w:bCs/>
          <w:iCs/>
          <w:noProof/>
        </w:rPr>
        <w:t>(Sirés et al., 2014)</w:t>
      </w:r>
      <w:r w:rsidRPr="0038343B">
        <w:rPr>
          <w:rFonts w:cs="Times New Roman"/>
          <w:bCs/>
          <w:iCs/>
        </w:rPr>
        <w:fldChar w:fldCharType="end"/>
      </w:r>
      <w:r w:rsidRPr="0038343B">
        <w:rPr>
          <w:rFonts w:cs="Times New Roman"/>
          <w:bCs/>
          <w:iCs/>
        </w:rPr>
        <w:t xml:space="preserve">. </w:t>
      </w:r>
      <w:r w:rsidR="00E97254">
        <w:rPr>
          <w:rFonts w:cs="Times New Roman"/>
          <w:bCs/>
          <w:iCs/>
        </w:rPr>
        <w:t>However</w:t>
      </w:r>
      <w:r w:rsidRPr="0038343B">
        <w:rPr>
          <w:rFonts w:cs="Times New Roman"/>
          <w:bCs/>
          <w:iCs/>
        </w:rPr>
        <w:t>, most of the investigation</w:t>
      </w:r>
      <w:r w:rsidR="00C962B1">
        <w:rPr>
          <w:rFonts w:cs="Times New Roman"/>
          <w:bCs/>
          <w:iCs/>
        </w:rPr>
        <w:t>s</w:t>
      </w:r>
      <w:r w:rsidRPr="0038343B">
        <w:rPr>
          <w:rFonts w:cs="Times New Roman"/>
          <w:bCs/>
          <w:iCs/>
        </w:rPr>
        <w:t xml:space="preserve"> on electro-Fenton process </w:t>
      </w:r>
      <w:r w:rsidR="00C962B1">
        <w:rPr>
          <w:rFonts w:cs="Times New Roman"/>
          <w:bCs/>
          <w:iCs/>
        </w:rPr>
        <w:t>are</w:t>
      </w:r>
      <w:r w:rsidRPr="0038343B">
        <w:rPr>
          <w:rFonts w:cs="Times New Roman"/>
          <w:bCs/>
          <w:iCs/>
        </w:rPr>
        <w:t xml:space="preserve"> conducted in lab</w:t>
      </w:r>
      <w:r w:rsidR="00C962B1">
        <w:rPr>
          <w:rFonts w:cs="Times New Roman"/>
          <w:bCs/>
          <w:iCs/>
        </w:rPr>
        <w:t>-</w:t>
      </w:r>
      <w:r w:rsidRPr="0038343B">
        <w:rPr>
          <w:rFonts w:cs="Times New Roman"/>
          <w:bCs/>
          <w:iCs/>
        </w:rPr>
        <w:t>scale and its industrial promotion is limited due to many disadvantages such as low conductivity, low H</w:t>
      </w:r>
      <w:r w:rsidRPr="0038343B">
        <w:rPr>
          <w:rFonts w:cs="Times New Roman"/>
          <w:bCs/>
          <w:iCs/>
          <w:vertAlign w:val="subscript"/>
        </w:rPr>
        <w:t>2</w:t>
      </w:r>
      <w:r w:rsidRPr="0038343B">
        <w:rPr>
          <w:rFonts w:cs="Times New Roman"/>
          <w:bCs/>
          <w:iCs/>
        </w:rPr>
        <w:t>O</w:t>
      </w:r>
      <w:r w:rsidRPr="0038343B">
        <w:rPr>
          <w:rFonts w:cs="Times New Roman"/>
          <w:bCs/>
          <w:iCs/>
          <w:vertAlign w:val="subscript"/>
        </w:rPr>
        <w:t>2</w:t>
      </w:r>
      <w:r w:rsidRPr="0038343B">
        <w:rPr>
          <w:rFonts w:cs="Times New Roman"/>
          <w:bCs/>
          <w:iCs/>
        </w:rPr>
        <w:t xml:space="preserve"> generation and concentration polarization in the electrodes </w:t>
      </w:r>
      <w:r w:rsidRPr="0038343B">
        <w:rPr>
          <w:rFonts w:cs="Times New Roman"/>
          <w:bCs/>
          <w:iCs/>
        </w:rPr>
        <w:fldChar w:fldCharType="begin" w:fldLock="1"/>
      </w:r>
      <w:r w:rsidR="008666F9">
        <w:rPr>
          <w:rFonts w:cs="Times New Roman"/>
          <w:bCs/>
          <w:iCs/>
        </w:rPr>
        <w:instrText>ADDIN CSL_CITATION {"citationItems":[{"id":"ITEM-1","itemData":{"DOI":"10.1021/es2022939","ISSN":"0013936X","PMID":"21866953","abstract":"A novel electro-Fenton process was developed for wastewater treatment using a modified divided electrolytic system in which H 2O 2 was generated in situ from electro-generated H 2 and O 2 in the presence of Pd/C catalyst. Appropriate pH conditions were obtained by the excessive H + produced at the anode. The performance of the novel process was assessed by Rhodamine B (RhB) degradation in an aqueous solution. Experimental results showed that the accumulation of H 2O 2 occurred when the pH decreased and time elapsed. The maximum concentration of H 2O 2 reached 53.1 mg/L within 120 min at pH 2 and a current of 100 mA. Upon the formation of the Fenton reagent by the addition of Fe 2+, RhB degraded completely within 30 min at pH 2 with a pseudo first order rate constant of 0.109 ± 0.009 min -1. An insignificant decline in H 2O 2 generation and RhB degradation was found after six repetitions. RhB degradation was achieved by the chemisorption of H 2O 2 on the Pd/C surface, which subsequently decomposed into •OH upon catalysis by Pd 0 and Fe 2+. The catalytic decomposition of H 2O 2 to •OH by Fe 2+ was more powerful than that by Pd 0, which was responsible for the high efficiency of this novel electro-Fenton process. © 2011 American Chemical Society.","author":[{"dropping-particle":"","family":"Yuan","given":"Songhu","non-dropping-particle":"","parse-names":false,"suffix":""},{"dropping-particle":"","family":"Fan","given":"Ye","non-dropping-particle":"","parse-names":false,"suffix":""},{"dropping-particle":"","family":"Zhang","given":"Yucheng","non-dropping-particle":"","parse-names":false,"suffix":""},{"dropping-particle":"","family":"Tong","given":"Man","non-dropping-particle":"","parse-names":false,"suffix":""},{"dropping-particle":"","family":"Liao","given":"Peng","non-dropping-particle":"","parse-names":false,"suffix":""}],"container-title":"Environmental Science and Technology","id":"ITEM-1","issue":"19","issued":{"date-parts":[["2011"]]},"page":"8514-8520","title":"Pd-catalytic in situ generation of H 2O 2 from H 2 and O 2 produced by water electrolysis for the efficient electro-fenton degradation of Rhodamine B","type":"article-journal","volume":"45"},"uris":["http://www.mendeley.com/documents/?uuid=e877560e-dcd8-4725-8ae0-b110471181cc","http://www.mendeley.com/documents/?uuid=e22f54e0-4def-459d-9e81-f18faaf2e2ce"]}],"mendeley":{"formattedCitation":"(Yuan et al., 2011)","plainTextFormattedCitation":"(Yuan et al., 2011)","previouslyFormattedCitation":"(Yuan et al., 2011)"},"properties":{"noteIndex":0},"schema":"https://github.com/citation-style-language/schema/raw/master/csl-citation.json"}</w:instrText>
      </w:r>
      <w:r w:rsidRPr="0038343B">
        <w:rPr>
          <w:rFonts w:cs="Times New Roman"/>
          <w:bCs/>
          <w:iCs/>
        </w:rPr>
        <w:fldChar w:fldCharType="separate"/>
      </w:r>
      <w:r w:rsidRPr="00FB6D8C">
        <w:rPr>
          <w:rFonts w:cs="Times New Roman"/>
          <w:bCs/>
          <w:iCs/>
          <w:noProof/>
        </w:rPr>
        <w:t>(Yuan et al., 2011)</w:t>
      </w:r>
      <w:r w:rsidRPr="0038343B">
        <w:rPr>
          <w:rFonts w:cs="Times New Roman"/>
          <w:bCs/>
          <w:iCs/>
        </w:rPr>
        <w:fldChar w:fldCharType="end"/>
      </w:r>
      <w:r w:rsidR="001F4558">
        <w:rPr>
          <w:rFonts w:cs="Times New Roman"/>
          <w:bCs/>
          <w:iCs/>
        </w:rPr>
        <w:t>.</w:t>
      </w:r>
      <w:r w:rsidRPr="0038343B">
        <w:rPr>
          <w:rFonts w:cs="Times New Roman"/>
          <w:bCs/>
          <w:iCs/>
          <w:lang w:val="en-IN"/>
        </w:rPr>
        <w:t xml:space="preserve"> </w:t>
      </w:r>
    </w:p>
    <w:p w14:paraId="6DF6B491" w14:textId="77777777" w:rsidR="008373D3" w:rsidRPr="00B65095" w:rsidRDefault="008373D3" w:rsidP="0090400A">
      <w:pPr>
        <w:spacing w:after="160" w:line="259" w:lineRule="auto"/>
        <w:jc w:val="left"/>
        <w:rPr>
          <w:color w:val="000000"/>
          <w:sz w:val="22"/>
        </w:rPr>
      </w:pPr>
    </w:p>
    <w:p w14:paraId="41FA59CC" w14:textId="0AC01286" w:rsidR="0090400A" w:rsidRPr="00D97623" w:rsidRDefault="0090400A" w:rsidP="00D97623">
      <w:pPr>
        <w:spacing w:after="160" w:line="259" w:lineRule="auto"/>
        <w:jc w:val="left"/>
        <w:rPr>
          <w:rFonts w:eastAsia="Times New Roman" w:cs="Times New Roman"/>
          <w:color w:val="000000"/>
          <w:sz w:val="22"/>
          <w:szCs w:val="24"/>
        </w:rPr>
        <w:sectPr w:rsidR="0090400A" w:rsidRPr="00D97623">
          <w:pgSz w:w="12240" w:h="15840"/>
          <w:pgMar w:top="1440" w:right="1440" w:bottom="1440" w:left="1440" w:header="720" w:footer="720" w:gutter="0"/>
          <w:cols w:space="720"/>
        </w:sectPr>
      </w:pPr>
    </w:p>
    <w:p w14:paraId="43F8FFC9" w14:textId="407691C5" w:rsidR="00353D49" w:rsidRPr="0038343B" w:rsidRDefault="00353D49" w:rsidP="006D2C1C">
      <w:pPr>
        <w:pStyle w:val="Heading1"/>
        <w:rPr>
          <w:b/>
        </w:rPr>
      </w:pPr>
      <w:bookmarkStart w:id="27" w:name="_Toc102395647"/>
      <w:r w:rsidRPr="0038343B">
        <w:rPr>
          <w:b/>
        </w:rPr>
        <w:lastRenderedPageBreak/>
        <w:t xml:space="preserve">Supplementary </w:t>
      </w:r>
      <w:r w:rsidR="0013236E" w:rsidRPr="0038343B">
        <w:rPr>
          <w:b/>
        </w:rPr>
        <w:t>S5</w:t>
      </w:r>
      <w:bookmarkEnd w:id="27"/>
    </w:p>
    <w:p w14:paraId="0E01D441" w14:textId="679E7290" w:rsidR="006A1E67" w:rsidRPr="0038343B" w:rsidRDefault="006A1E67" w:rsidP="000D50CC">
      <w:pPr>
        <w:pStyle w:val="Heading1"/>
        <w:spacing w:before="0" w:line="480" w:lineRule="auto"/>
        <w:jc w:val="center"/>
        <w:rPr>
          <w:b/>
        </w:rPr>
      </w:pPr>
      <w:bookmarkStart w:id="28" w:name="_Toc102395648"/>
      <w:r w:rsidRPr="0038343B">
        <w:rPr>
          <w:b/>
        </w:rPr>
        <w:t xml:space="preserve">Table </w:t>
      </w:r>
      <w:r w:rsidR="0013236E" w:rsidRPr="0038343B">
        <w:rPr>
          <w:b/>
        </w:rPr>
        <w:t>S</w:t>
      </w:r>
      <w:r w:rsidR="00E1569B">
        <w:rPr>
          <w:b/>
        </w:rPr>
        <w:t>7</w:t>
      </w:r>
      <w:r w:rsidR="009874EF" w:rsidRPr="0038343B">
        <w:rPr>
          <w:b/>
        </w:rPr>
        <w:t>.</w:t>
      </w:r>
      <w:r w:rsidR="00402837" w:rsidRPr="0038343B">
        <w:rPr>
          <w:b/>
        </w:rPr>
        <w:t xml:space="preserve"> </w:t>
      </w:r>
      <w:r w:rsidR="00D43A30" w:rsidRPr="00D43A30">
        <w:rPr>
          <w:bCs/>
        </w:rPr>
        <w:t>Degradation of contaminants of emerging concern</w:t>
      </w:r>
      <w:r w:rsidR="00D43A30" w:rsidRPr="00D43A30">
        <w:rPr>
          <w:b/>
        </w:rPr>
        <w:t xml:space="preserve"> </w:t>
      </w:r>
      <w:r w:rsidRPr="0038343B">
        <w:rPr>
          <w:lang w:val="en-IN"/>
        </w:rPr>
        <w:t>by</w:t>
      </w:r>
      <w:r w:rsidRPr="0038343B">
        <w:t xml:space="preserve"> various Fenton process</w:t>
      </w:r>
      <w:bookmarkEnd w:id="28"/>
    </w:p>
    <w:tbl>
      <w:tblPr>
        <w:tblStyle w:val="TableGrid"/>
        <w:tblW w:w="13603" w:type="dxa"/>
        <w:jc w:val="center"/>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903"/>
        <w:gridCol w:w="2103"/>
        <w:gridCol w:w="1101"/>
        <w:gridCol w:w="1803"/>
        <w:gridCol w:w="3105"/>
        <w:gridCol w:w="1485"/>
        <w:gridCol w:w="2103"/>
      </w:tblGrid>
      <w:tr w:rsidR="004C6915" w:rsidRPr="00EE6A8D" w14:paraId="776C8B56" w14:textId="77777777" w:rsidTr="00F43064">
        <w:trPr>
          <w:trHeight w:val="18"/>
          <w:jc w:val="center"/>
        </w:trPr>
        <w:tc>
          <w:tcPr>
            <w:tcW w:w="1903" w:type="dxa"/>
            <w:tcBorders>
              <w:top w:val="single" w:sz="4" w:space="0" w:color="auto"/>
              <w:left w:val="nil"/>
              <w:bottom w:val="single" w:sz="4" w:space="0" w:color="auto"/>
              <w:right w:val="nil"/>
            </w:tcBorders>
            <w:vAlign w:val="center"/>
            <w:hideMark/>
          </w:tcPr>
          <w:p w14:paraId="77388139" w14:textId="77777777" w:rsidR="004C6915" w:rsidRPr="00EE6A8D" w:rsidRDefault="004C6915" w:rsidP="00F43064">
            <w:pPr>
              <w:spacing w:after="0" w:line="240" w:lineRule="auto"/>
              <w:jc w:val="center"/>
              <w:rPr>
                <w:rFonts w:cs="Times New Roman"/>
                <w:b/>
                <w:sz w:val="22"/>
                <w:lang w:val="en-IN"/>
              </w:rPr>
            </w:pPr>
            <w:bookmarkStart w:id="29" w:name="_Hlk56364596"/>
            <w:r w:rsidRPr="00EE6A8D">
              <w:rPr>
                <w:rFonts w:cs="Times New Roman"/>
                <w:b/>
                <w:sz w:val="22"/>
                <w:lang w:val="en-IN"/>
              </w:rPr>
              <w:t>Process</w:t>
            </w:r>
          </w:p>
        </w:tc>
        <w:tc>
          <w:tcPr>
            <w:tcW w:w="2103" w:type="dxa"/>
            <w:tcBorders>
              <w:top w:val="single" w:sz="4" w:space="0" w:color="auto"/>
              <w:left w:val="nil"/>
              <w:bottom w:val="single" w:sz="4" w:space="0" w:color="auto"/>
              <w:right w:val="nil"/>
            </w:tcBorders>
            <w:vAlign w:val="center"/>
            <w:hideMark/>
          </w:tcPr>
          <w:p w14:paraId="4DC27013" w14:textId="3F7E29FD" w:rsidR="004C6915" w:rsidRPr="00EE6A8D" w:rsidRDefault="004C6915" w:rsidP="00F43064">
            <w:pPr>
              <w:spacing w:after="0" w:line="240" w:lineRule="auto"/>
              <w:jc w:val="center"/>
              <w:rPr>
                <w:rFonts w:cs="Times New Roman"/>
                <w:b/>
                <w:sz w:val="22"/>
                <w:lang w:val="en-IN"/>
              </w:rPr>
            </w:pPr>
            <w:r>
              <w:rPr>
                <w:rFonts w:cs="Times New Roman"/>
                <w:b/>
                <w:sz w:val="22"/>
                <w:lang w:val="en-IN"/>
              </w:rPr>
              <w:t>Contaminant</w:t>
            </w:r>
          </w:p>
        </w:tc>
        <w:tc>
          <w:tcPr>
            <w:tcW w:w="1101" w:type="dxa"/>
            <w:tcBorders>
              <w:top w:val="single" w:sz="4" w:space="0" w:color="auto"/>
              <w:left w:val="nil"/>
              <w:bottom w:val="single" w:sz="4" w:space="0" w:color="auto"/>
              <w:right w:val="nil"/>
            </w:tcBorders>
            <w:vAlign w:val="center"/>
            <w:hideMark/>
          </w:tcPr>
          <w:p w14:paraId="5B4E5C01" w14:textId="26D2043C" w:rsidR="004C6915" w:rsidRDefault="004C6915" w:rsidP="00F43064">
            <w:pPr>
              <w:spacing w:after="0" w:line="240" w:lineRule="auto"/>
              <w:jc w:val="center"/>
              <w:rPr>
                <w:rFonts w:cs="Times New Roman"/>
                <w:b/>
                <w:bCs/>
                <w:iCs/>
                <w:sz w:val="22"/>
                <w:lang w:val="en-IN"/>
              </w:rPr>
            </w:pPr>
            <w:r w:rsidRPr="00EE6A8D">
              <w:rPr>
                <w:rFonts w:cs="Times New Roman"/>
                <w:b/>
                <w:bCs/>
                <w:i/>
                <w:iCs/>
                <w:sz w:val="22"/>
                <w:lang w:val="en-IN"/>
              </w:rPr>
              <w:t>C</w:t>
            </w:r>
            <w:r w:rsidRPr="00EE6A8D">
              <w:rPr>
                <w:rFonts w:cs="Times New Roman"/>
                <w:b/>
                <w:bCs/>
                <w:i/>
                <w:iCs/>
                <w:sz w:val="22"/>
                <w:vertAlign w:val="subscript"/>
                <w:lang w:val="en-IN"/>
              </w:rPr>
              <w:t>o</w:t>
            </w:r>
          </w:p>
          <w:p w14:paraId="37527939" w14:textId="2D8101A5" w:rsidR="004C6915" w:rsidRPr="00EE6A8D" w:rsidRDefault="004C6915" w:rsidP="00F43064">
            <w:pPr>
              <w:spacing w:after="0" w:line="240" w:lineRule="auto"/>
              <w:jc w:val="center"/>
              <w:rPr>
                <w:rFonts w:cs="Times New Roman"/>
                <w:b/>
                <w:bCs/>
                <w:iCs/>
                <w:sz w:val="22"/>
                <w:lang w:val="en-IN"/>
              </w:rPr>
            </w:pPr>
            <w:r w:rsidRPr="00EE6A8D">
              <w:rPr>
                <w:rFonts w:cs="Times New Roman"/>
                <w:b/>
                <w:bCs/>
                <w:iCs/>
                <w:sz w:val="22"/>
                <w:lang w:val="en-IN"/>
              </w:rPr>
              <w:t>(</w:t>
            </w:r>
            <w:r w:rsidRPr="00C82CA9">
              <w:rPr>
                <w:rFonts w:cs="Times New Roman"/>
                <w:b/>
                <w:bCs/>
                <w:iCs/>
                <w:sz w:val="22"/>
                <w:lang w:val="en-IN"/>
              </w:rPr>
              <w:t>mg</w:t>
            </w:r>
            <w:r>
              <w:rPr>
                <w:rFonts w:cs="Times New Roman"/>
                <w:b/>
                <w:bCs/>
                <w:iCs/>
                <w:sz w:val="22"/>
                <w:lang w:val="en-IN"/>
              </w:rPr>
              <w:t xml:space="preserve"> </w:t>
            </w:r>
            <w:r w:rsidRPr="00C82CA9">
              <w:rPr>
                <w:rFonts w:cs="Times New Roman"/>
                <w:b/>
                <w:bCs/>
                <w:iCs/>
                <w:sz w:val="22"/>
                <w:lang w:val="en-IN"/>
              </w:rPr>
              <w:t>L</w:t>
            </w:r>
            <w:r w:rsidR="00AD4543">
              <w:rPr>
                <w:rFonts w:cs="Times New Roman"/>
                <w:bCs/>
                <w:color w:val="000000" w:themeColor="text1"/>
                <w:szCs w:val="24"/>
                <w:vertAlign w:val="superscript"/>
                <w:lang w:val="en-IN"/>
              </w:rPr>
              <w:t>‒</w:t>
            </w:r>
            <w:r w:rsidRPr="005B2E24">
              <w:rPr>
                <w:rFonts w:cs="Times New Roman"/>
                <w:b/>
                <w:bCs/>
                <w:iCs/>
                <w:sz w:val="22"/>
                <w:vertAlign w:val="superscript"/>
                <w:lang w:val="en-IN"/>
              </w:rPr>
              <w:t>1</w:t>
            </w:r>
            <w:r w:rsidRPr="00EE6A8D">
              <w:rPr>
                <w:rFonts w:cs="Times New Roman"/>
                <w:b/>
                <w:bCs/>
                <w:iCs/>
                <w:sz w:val="22"/>
                <w:lang w:val="en-IN"/>
              </w:rPr>
              <w:t>)</w:t>
            </w:r>
          </w:p>
        </w:tc>
        <w:tc>
          <w:tcPr>
            <w:tcW w:w="1803" w:type="dxa"/>
            <w:tcBorders>
              <w:top w:val="single" w:sz="4" w:space="0" w:color="auto"/>
              <w:left w:val="nil"/>
              <w:bottom w:val="single" w:sz="4" w:space="0" w:color="auto"/>
              <w:right w:val="nil"/>
            </w:tcBorders>
            <w:vAlign w:val="center"/>
            <w:hideMark/>
          </w:tcPr>
          <w:p w14:paraId="72013DE5" w14:textId="77777777" w:rsidR="004C6915" w:rsidRPr="00EE6A8D" w:rsidRDefault="004C6915" w:rsidP="00F43064">
            <w:pPr>
              <w:spacing w:after="0" w:line="240" w:lineRule="auto"/>
              <w:jc w:val="center"/>
              <w:rPr>
                <w:rFonts w:cs="Times New Roman"/>
                <w:b/>
                <w:sz w:val="22"/>
                <w:lang w:val="en-IN"/>
              </w:rPr>
            </w:pPr>
            <w:r w:rsidRPr="00EE6A8D">
              <w:rPr>
                <w:rFonts w:cs="Times New Roman"/>
                <w:b/>
                <w:sz w:val="22"/>
                <w:lang w:val="en-IN"/>
              </w:rPr>
              <w:t>Type of Catalyst</w:t>
            </w:r>
          </w:p>
        </w:tc>
        <w:tc>
          <w:tcPr>
            <w:tcW w:w="3105" w:type="dxa"/>
            <w:tcBorders>
              <w:top w:val="single" w:sz="4" w:space="0" w:color="auto"/>
              <w:left w:val="nil"/>
              <w:bottom w:val="single" w:sz="4" w:space="0" w:color="auto"/>
              <w:right w:val="nil"/>
            </w:tcBorders>
            <w:vAlign w:val="center"/>
            <w:hideMark/>
          </w:tcPr>
          <w:p w14:paraId="34B07141" w14:textId="77777777" w:rsidR="004C6915" w:rsidRPr="00EE6A8D" w:rsidRDefault="004C6915" w:rsidP="00F43064">
            <w:pPr>
              <w:spacing w:after="0" w:line="240" w:lineRule="auto"/>
              <w:jc w:val="center"/>
              <w:rPr>
                <w:rFonts w:cs="Times New Roman"/>
                <w:b/>
                <w:sz w:val="22"/>
                <w:lang w:val="en-IN"/>
              </w:rPr>
            </w:pPr>
            <w:r w:rsidRPr="00EE6A8D">
              <w:rPr>
                <w:rFonts w:cs="Times New Roman"/>
                <w:b/>
                <w:sz w:val="22"/>
                <w:lang w:val="en-IN"/>
              </w:rPr>
              <w:t>Experimental Conditions</w:t>
            </w:r>
          </w:p>
        </w:tc>
        <w:tc>
          <w:tcPr>
            <w:tcW w:w="1485" w:type="dxa"/>
            <w:tcBorders>
              <w:top w:val="single" w:sz="4" w:space="0" w:color="auto"/>
              <w:left w:val="nil"/>
              <w:bottom w:val="single" w:sz="4" w:space="0" w:color="auto"/>
              <w:right w:val="nil"/>
            </w:tcBorders>
            <w:vAlign w:val="center"/>
            <w:hideMark/>
          </w:tcPr>
          <w:p w14:paraId="3B90A063" w14:textId="77777777" w:rsidR="004C6915" w:rsidRPr="00EE6A8D" w:rsidRDefault="004C6915" w:rsidP="00F43064">
            <w:pPr>
              <w:spacing w:after="0" w:line="240" w:lineRule="auto"/>
              <w:jc w:val="center"/>
              <w:rPr>
                <w:rFonts w:cs="Times New Roman"/>
                <w:b/>
                <w:sz w:val="22"/>
                <w:lang w:val="en-IN"/>
              </w:rPr>
            </w:pPr>
            <w:r w:rsidRPr="00EE6A8D">
              <w:rPr>
                <w:rFonts w:cs="Times New Roman"/>
                <w:b/>
                <w:sz w:val="22"/>
                <w:lang w:val="en-IN"/>
              </w:rPr>
              <w:t>Efficiency (%)</w:t>
            </w:r>
          </w:p>
        </w:tc>
        <w:tc>
          <w:tcPr>
            <w:tcW w:w="2103" w:type="dxa"/>
            <w:tcBorders>
              <w:top w:val="single" w:sz="4" w:space="0" w:color="auto"/>
              <w:left w:val="nil"/>
              <w:bottom w:val="single" w:sz="4" w:space="0" w:color="auto"/>
              <w:right w:val="nil"/>
            </w:tcBorders>
            <w:vAlign w:val="center"/>
            <w:hideMark/>
          </w:tcPr>
          <w:p w14:paraId="3665B8BA" w14:textId="77777777" w:rsidR="004C6915" w:rsidRPr="00EE6A8D" w:rsidRDefault="004C6915" w:rsidP="00F43064">
            <w:pPr>
              <w:spacing w:after="0" w:line="240" w:lineRule="auto"/>
              <w:jc w:val="center"/>
              <w:rPr>
                <w:rFonts w:cs="Times New Roman"/>
                <w:b/>
                <w:sz w:val="22"/>
                <w:lang w:val="en-IN"/>
              </w:rPr>
            </w:pPr>
            <w:r w:rsidRPr="00EE6A8D">
              <w:rPr>
                <w:rFonts w:cs="Times New Roman"/>
                <w:b/>
                <w:sz w:val="22"/>
                <w:lang w:val="en-IN"/>
              </w:rPr>
              <w:t>Reference</w:t>
            </w:r>
          </w:p>
        </w:tc>
        <w:bookmarkEnd w:id="29"/>
      </w:tr>
      <w:tr w:rsidR="004C6915" w:rsidRPr="00EE6A8D" w14:paraId="7CA75633" w14:textId="77777777" w:rsidTr="00F43064">
        <w:trPr>
          <w:trHeight w:val="18"/>
          <w:jc w:val="center"/>
        </w:trPr>
        <w:tc>
          <w:tcPr>
            <w:tcW w:w="1903" w:type="dxa"/>
            <w:vMerge w:val="restart"/>
            <w:tcBorders>
              <w:top w:val="single" w:sz="4" w:space="0" w:color="auto"/>
              <w:left w:val="nil"/>
              <w:bottom w:val="single" w:sz="4" w:space="0" w:color="auto"/>
              <w:right w:val="nil"/>
            </w:tcBorders>
            <w:vAlign w:val="center"/>
          </w:tcPr>
          <w:p w14:paraId="1A2A654B"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Heterogeneous Fenton process</w:t>
            </w:r>
          </w:p>
          <w:p w14:paraId="677CBC3F"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374E9A19" w14:textId="0BDBB2D5" w:rsidR="004C6915" w:rsidRPr="00EE6A8D" w:rsidRDefault="004C6915" w:rsidP="00F43064">
            <w:pPr>
              <w:spacing w:after="0" w:line="240" w:lineRule="auto"/>
              <w:jc w:val="center"/>
              <w:rPr>
                <w:rFonts w:cs="Times New Roman"/>
                <w:sz w:val="22"/>
                <w:lang w:val="en-IN"/>
              </w:rPr>
            </w:pPr>
            <w:r w:rsidRPr="00EE6A8D">
              <w:rPr>
                <w:rFonts w:cs="Times New Roman"/>
                <w:sz w:val="22"/>
              </w:rPr>
              <w:t>p-</w:t>
            </w:r>
            <w:proofErr w:type="spellStart"/>
            <w:r w:rsidR="006C10EC">
              <w:rPr>
                <w:rFonts w:cs="Times New Roman"/>
                <w:sz w:val="22"/>
              </w:rPr>
              <w:t>A</w:t>
            </w:r>
            <w:r w:rsidRPr="00EE6A8D">
              <w:rPr>
                <w:rFonts w:cs="Times New Roman"/>
                <w:sz w:val="22"/>
              </w:rPr>
              <w:t>rsanilic</w:t>
            </w:r>
            <w:proofErr w:type="spellEnd"/>
            <w:r w:rsidRPr="00EE6A8D">
              <w:rPr>
                <w:rFonts w:cs="Times New Roman"/>
                <w:sz w:val="22"/>
              </w:rPr>
              <w:t xml:space="preserve"> acid</w:t>
            </w:r>
          </w:p>
        </w:tc>
        <w:tc>
          <w:tcPr>
            <w:tcW w:w="1101" w:type="dxa"/>
            <w:tcBorders>
              <w:top w:val="single" w:sz="4" w:space="0" w:color="auto"/>
              <w:left w:val="nil"/>
              <w:bottom w:val="single" w:sz="4" w:space="0" w:color="auto"/>
              <w:right w:val="nil"/>
            </w:tcBorders>
            <w:vAlign w:val="center"/>
            <w:hideMark/>
          </w:tcPr>
          <w:p w14:paraId="5D7A896C"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10</w:t>
            </w:r>
          </w:p>
        </w:tc>
        <w:tc>
          <w:tcPr>
            <w:tcW w:w="1803" w:type="dxa"/>
            <w:tcBorders>
              <w:top w:val="single" w:sz="4" w:space="0" w:color="auto"/>
              <w:left w:val="nil"/>
              <w:bottom w:val="single" w:sz="4" w:space="0" w:color="auto"/>
              <w:right w:val="nil"/>
            </w:tcBorders>
            <w:vAlign w:val="center"/>
            <w:hideMark/>
          </w:tcPr>
          <w:p w14:paraId="40F6D3FE"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SiO</w:t>
            </w:r>
            <w:r w:rsidRPr="00EE6A8D">
              <w:rPr>
                <w:rFonts w:cs="Times New Roman"/>
                <w:sz w:val="22"/>
                <w:vertAlign w:val="subscript"/>
              </w:rPr>
              <w:t>2</w:t>
            </w:r>
            <w:r w:rsidRPr="00EE6A8D">
              <w:rPr>
                <w:rFonts w:cs="Times New Roman"/>
                <w:sz w:val="22"/>
              </w:rPr>
              <w:t xml:space="preserve">- </w:t>
            </w:r>
            <w:proofErr w:type="spellStart"/>
            <w:r w:rsidRPr="00EE6A8D">
              <w:rPr>
                <w:rFonts w:cs="Times New Roman"/>
                <w:sz w:val="22"/>
              </w:rPr>
              <w:t>nZVI</w:t>
            </w:r>
            <w:proofErr w:type="spellEnd"/>
          </w:p>
        </w:tc>
        <w:tc>
          <w:tcPr>
            <w:tcW w:w="3105" w:type="dxa"/>
            <w:tcBorders>
              <w:top w:val="single" w:sz="4" w:space="0" w:color="auto"/>
              <w:left w:val="nil"/>
              <w:bottom w:val="single" w:sz="4" w:space="0" w:color="auto"/>
              <w:right w:val="nil"/>
            </w:tcBorders>
            <w:vAlign w:val="center"/>
            <w:hideMark/>
          </w:tcPr>
          <w:p w14:paraId="582F965B" w14:textId="4928F1FB"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Pr>
                <w:rFonts w:cs="Times New Roman"/>
                <w:sz w:val="22"/>
                <w:lang w:val="en-IN"/>
              </w:rPr>
              <w:t xml:space="preserve"> </w:t>
            </w:r>
            <w:r w:rsidRPr="00EE6A8D">
              <w:rPr>
                <w:rFonts w:cs="Times New Roman"/>
                <w:sz w:val="22"/>
                <w:lang w:val="en-IN"/>
              </w:rPr>
              <w:t>=</w:t>
            </w:r>
            <w:r>
              <w:rPr>
                <w:rFonts w:cs="Times New Roman"/>
                <w:sz w:val="22"/>
                <w:lang w:val="en-IN"/>
              </w:rPr>
              <w:t xml:space="preserve"> </w:t>
            </w:r>
            <w:r w:rsidRPr="00EE6A8D">
              <w:rPr>
                <w:rFonts w:cs="Times New Roman"/>
                <w:sz w:val="22"/>
              </w:rPr>
              <w:t xml:space="preserve">300 </w:t>
            </w:r>
            <w:r w:rsidRPr="006615AD">
              <w:rPr>
                <w:rFonts w:cs="Times New Roman"/>
                <w:sz w:val="22"/>
              </w:rPr>
              <w:t>mg L</w:t>
            </w:r>
            <w:r w:rsidR="00AD4543">
              <w:rPr>
                <w:rFonts w:cs="Times New Roman"/>
                <w:bCs/>
                <w:color w:val="000000" w:themeColor="text1"/>
                <w:szCs w:val="24"/>
                <w:vertAlign w:val="superscript"/>
                <w:lang w:val="en-IN"/>
              </w:rPr>
              <w:t>‒</w:t>
            </w:r>
            <w:r w:rsidRPr="006615AD">
              <w:rPr>
                <w:rFonts w:cs="Times New Roman"/>
                <w:sz w:val="22"/>
                <w:vertAlign w:val="superscript"/>
              </w:rPr>
              <w:t>1</w:t>
            </w:r>
            <w:r w:rsidRPr="00EE6A8D">
              <w:rPr>
                <w:rFonts w:cs="Times New Roman"/>
                <w:sz w:val="22"/>
              </w:rPr>
              <w:t>, Time</w:t>
            </w:r>
            <w:r>
              <w:rPr>
                <w:rFonts w:cs="Times New Roman"/>
                <w:sz w:val="22"/>
              </w:rPr>
              <w:t xml:space="preserve"> </w:t>
            </w:r>
            <w:r w:rsidRPr="00EE6A8D">
              <w:rPr>
                <w:rFonts w:cs="Times New Roman"/>
                <w:sz w:val="22"/>
              </w:rPr>
              <w:t>=</w:t>
            </w:r>
            <w:r w:rsidRPr="00EE6A8D">
              <w:rPr>
                <w:rFonts w:cs="Times New Roman"/>
                <w:sz w:val="22"/>
                <w:lang w:val="en-IN"/>
              </w:rPr>
              <w:t xml:space="preserve"> 60 min</w:t>
            </w:r>
          </w:p>
        </w:tc>
        <w:tc>
          <w:tcPr>
            <w:tcW w:w="1485" w:type="dxa"/>
            <w:tcBorders>
              <w:top w:val="single" w:sz="4" w:space="0" w:color="auto"/>
              <w:left w:val="nil"/>
              <w:bottom w:val="single" w:sz="4" w:space="0" w:color="auto"/>
              <w:right w:val="nil"/>
            </w:tcBorders>
            <w:vAlign w:val="center"/>
            <w:hideMark/>
          </w:tcPr>
          <w:p w14:paraId="2E33D9FE"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99.6</w:t>
            </w:r>
          </w:p>
        </w:tc>
        <w:tc>
          <w:tcPr>
            <w:tcW w:w="2103" w:type="dxa"/>
            <w:tcBorders>
              <w:top w:val="single" w:sz="4" w:space="0" w:color="auto"/>
              <w:left w:val="nil"/>
              <w:bottom w:val="single" w:sz="4" w:space="0" w:color="auto"/>
              <w:right w:val="nil"/>
            </w:tcBorders>
            <w:vAlign w:val="center"/>
            <w:hideMark/>
          </w:tcPr>
          <w:p w14:paraId="163EA75D" w14:textId="5DE66CAC"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{"citationItems":[{"id":"ITEM-1","itemData":{"DOI":"10.1007/s11356-020-07808-2","ISSN":"16147499","PMID":"31983004","abstract":"Given their considerable solubility in water and potentially high toxicity to human health, organoarsenic compounds have become an emerging contaminant. Herein, a heterogeneous Fenton process mediated by SiO2-coated nano zero-valent iron (SiO2-nZVI) was employed to simultaneously remove the p-arsanilic acid (p-ASA, a typical organoarsenic compound) and the released arsenic. The initial pH value significantly influenced on the degradation of p-ASA and at the optimal pH (3.0), p-ASA (10 mg L−1) could be completely oxidized to As(V), NH4+, and plentiful phenolic compounds such as phenol and p-hydroquinone via the cleavage of C–N and C–As bonds within 60 min in pure water. Meanwhile, although the formed lepidocrocite and magnetite on the surface of SiO2-nZVI significantly limited the reutilization, they played a vital role in the adsorption of the released As(V) and the residual arsenic levels in the effluent were as low as 0.031 mg L−1, meeting both the drinking water standard of the World Health Organization (WHO) and the surface water standard of China (0.05 mg L−1). Furthermore, high-level dissolved organic matters (DOM) (&gt; 2 mg C L−1) exhibited strong interference with both the oxidation of p-ASA and adsorption of arsenic, but the interference could be eliminated by increasing the SiO2-nZVI dosage or adding H2O2. Importantly, this system could completely remediate p-ASA in a short time and simultaneously avoid the secondary pollution caused by inorganic arsenic, which was significant for the remediation of organoarsenic pollutants in swine wastewater.","author":[{"dropping-particle":"","family":"Lv","given":"Yuancai","non-dropping-particle":"","parse-names":false,"suffix":""},{"dropping-particle":"","family":"Huang","given":"Siyi","non-dropping-particle":"","parse-names":false,"suffix":""},{"dropping-particle":"","family":"Huang","given":"Guofu","non-dropping-particle":"","parse-names":false,"suffix":""},{"dropping-particle":"","family":"Liu","given":"Yifan","non-dropping-particle":"","parse-names":false,"suffix":""},{"dropping-particle":"","family":"Yang","given":"Guifang","non-dropping-particle":"","parse-names":false,"suffix":""},{"dropping-particle":"","family":"Lin","given":"Chunxiang","non-dropping-particle":"","parse-names":false,"suffix":""},{"dropping-particle":"","family":"Xiao","given":"Gao","non-dropping-particle":"","parse-names":false,"suffix":""},{"dropping-particle":"","family":"Wang","given":"Yonghao","non-dropping-particle":"","parse-names":false,"suffix":""},{"dropping-particle":"","family":"Liu","given":"Minghua","non-dropping-particle":"","parse-names":false,"suffix":""}],"container-title":"Environmental Science and Pollution Research","id":"ITEM-1","issue":"11","issued":{"date-parts":[["2020"]]},"page":"12017-12029","title":"Remediation of organic arsenic contaminants with heterogeneous Fenton process mediated by SiO2-coated nano zero-valent iron","type":"article-journal","volume":"27"},"uris":["http://www.mendeley.com/documents/?uuid=a39c2448-bde4-463c-bb9b-21eb8feb20f9","http://www.mendeley.com/documents/?uuid=89062db8-e79c-4cfd-b46c-c67be69b1323"]}],"mendeley":{"formattedCitation":"(Lv et al., 2020)","plainTextFormattedCitation":"(Lv et al., 2020)","previouslyFormattedCitation":"(Lv et al., 2020)"},"properties":{"noteIndex":0},"schema":"https://github.com/citation-style-language/schema/raw/master/csl-citation.json"}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(Lv et al., 2020)</w:t>
            </w:r>
            <w:r w:rsidRPr="00EE6A8D">
              <w:rPr>
                <w:rFonts w:cs="Times New Roman"/>
                <w:sz w:val="22"/>
                <w:lang w:val="en-IN"/>
              </w:rPr>
              <w:fldChar w:fldCharType="end"/>
            </w:r>
          </w:p>
        </w:tc>
      </w:tr>
      <w:tr w:rsidR="004C6915" w:rsidRPr="00EE6A8D" w14:paraId="3C0BD527"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3AA2E44E"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161D4EE4" w14:textId="77777777" w:rsidR="004C6915" w:rsidRPr="00EE6A8D" w:rsidRDefault="004C6915" w:rsidP="00F43064">
            <w:pPr>
              <w:spacing w:after="0" w:line="240" w:lineRule="auto"/>
              <w:jc w:val="center"/>
              <w:rPr>
                <w:rFonts w:cs="Times New Roman"/>
                <w:bCs/>
                <w:sz w:val="22"/>
                <w:lang w:val="en-IN"/>
              </w:rPr>
            </w:pPr>
            <w:r w:rsidRPr="00EE6A8D">
              <w:rPr>
                <w:rFonts w:cs="Times New Roman"/>
                <w:bCs/>
                <w:iCs/>
                <w:sz w:val="22"/>
              </w:rPr>
              <w:t>p</w:t>
            </w:r>
            <w:r w:rsidRPr="00EE6A8D">
              <w:rPr>
                <w:rFonts w:cs="Times New Roman"/>
                <w:bCs/>
                <w:sz w:val="22"/>
              </w:rPr>
              <w:t>-Nitrophenol</w:t>
            </w:r>
          </w:p>
        </w:tc>
        <w:tc>
          <w:tcPr>
            <w:tcW w:w="1101" w:type="dxa"/>
            <w:tcBorders>
              <w:top w:val="single" w:sz="4" w:space="0" w:color="auto"/>
              <w:left w:val="nil"/>
              <w:bottom w:val="single" w:sz="4" w:space="0" w:color="auto"/>
              <w:right w:val="nil"/>
            </w:tcBorders>
            <w:vAlign w:val="center"/>
            <w:hideMark/>
          </w:tcPr>
          <w:p w14:paraId="7D685066"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20.9</w:t>
            </w:r>
          </w:p>
        </w:tc>
        <w:tc>
          <w:tcPr>
            <w:tcW w:w="1803" w:type="dxa"/>
            <w:tcBorders>
              <w:top w:val="single" w:sz="4" w:space="0" w:color="auto"/>
              <w:left w:val="nil"/>
              <w:bottom w:val="single" w:sz="4" w:space="0" w:color="auto"/>
              <w:right w:val="nil"/>
            </w:tcBorders>
            <w:vAlign w:val="center"/>
            <w:hideMark/>
          </w:tcPr>
          <w:p w14:paraId="25E15583"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Ferrihydrite</w:t>
            </w:r>
          </w:p>
        </w:tc>
        <w:tc>
          <w:tcPr>
            <w:tcW w:w="3105" w:type="dxa"/>
            <w:tcBorders>
              <w:top w:val="single" w:sz="4" w:space="0" w:color="auto"/>
              <w:left w:val="nil"/>
              <w:bottom w:val="single" w:sz="4" w:space="0" w:color="auto"/>
              <w:right w:val="nil"/>
            </w:tcBorders>
            <w:vAlign w:val="center"/>
            <w:hideMark/>
          </w:tcPr>
          <w:p w14:paraId="509A5130" w14:textId="42D7F842" w:rsidR="004C6915" w:rsidRPr="00EE6A8D" w:rsidRDefault="004C6915" w:rsidP="00F43064">
            <w:pPr>
              <w:spacing w:after="0" w:line="240" w:lineRule="auto"/>
              <w:jc w:val="center"/>
              <w:rPr>
                <w:rFonts w:cs="Times New Roman"/>
                <w:sz w:val="22"/>
                <w:lang w:val="en-IN"/>
              </w:rPr>
            </w:pPr>
            <w:r w:rsidRPr="00EE6A8D">
              <w:rPr>
                <w:rFonts w:cs="Times New Roman"/>
                <w:sz w:val="22"/>
              </w:rPr>
              <w:t>Catalyst dosage</w:t>
            </w:r>
            <w:r>
              <w:rPr>
                <w:rFonts w:cs="Times New Roman"/>
                <w:sz w:val="22"/>
              </w:rPr>
              <w:t xml:space="preserve"> </w:t>
            </w:r>
            <w:r w:rsidRPr="00EE6A8D">
              <w:rPr>
                <w:rFonts w:cs="Times New Roman"/>
                <w:sz w:val="22"/>
              </w:rPr>
              <w:t>=</w:t>
            </w:r>
            <w:r>
              <w:rPr>
                <w:rFonts w:cs="Times New Roman"/>
                <w:sz w:val="22"/>
              </w:rPr>
              <w:t xml:space="preserve"> </w:t>
            </w:r>
            <w:r w:rsidRPr="00EE6A8D">
              <w:rPr>
                <w:rFonts w:cs="Times New Roman"/>
                <w:sz w:val="22"/>
              </w:rPr>
              <w:t>0.2</w:t>
            </w:r>
            <w:r>
              <w:rPr>
                <w:rFonts w:cs="Times New Roman"/>
                <w:sz w:val="22"/>
              </w:rPr>
              <w:t xml:space="preserve"> </w:t>
            </w:r>
            <w:r w:rsidRPr="006615AD">
              <w:rPr>
                <w:rFonts w:cs="Times New Roman"/>
                <w:sz w:val="22"/>
              </w:rPr>
              <w:t>g L</w:t>
            </w:r>
            <w:r w:rsidR="00AD4543">
              <w:rPr>
                <w:rFonts w:cs="Times New Roman"/>
                <w:bCs/>
                <w:color w:val="000000" w:themeColor="text1"/>
                <w:szCs w:val="24"/>
                <w:vertAlign w:val="superscript"/>
                <w:lang w:val="en-IN"/>
              </w:rPr>
              <w:t>‒</w:t>
            </w:r>
            <w:r w:rsidRPr="006615AD">
              <w:rPr>
                <w:rFonts w:cs="Times New Roman"/>
                <w:sz w:val="22"/>
                <w:vertAlign w:val="superscript"/>
              </w:rPr>
              <w:t>1</w:t>
            </w:r>
            <w:r w:rsidRPr="00EE6A8D">
              <w:rPr>
                <w:rFonts w:cs="Times New Roman"/>
                <w:sz w:val="22"/>
              </w:rPr>
              <w:t>, Time</w:t>
            </w:r>
            <w:r>
              <w:rPr>
                <w:rFonts w:cs="Times New Roman"/>
                <w:sz w:val="22"/>
              </w:rPr>
              <w:t xml:space="preserve"> </w:t>
            </w:r>
            <w:r w:rsidRPr="00EE6A8D">
              <w:rPr>
                <w:rFonts w:cs="Times New Roman"/>
                <w:sz w:val="22"/>
              </w:rPr>
              <w:t>= 5</w:t>
            </w:r>
            <w:r>
              <w:rPr>
                <w:rFonts w:cs="Times New Roman"/>
                <w:sz w:val="22"/>
              </w:rPr>
              <w:t xml:space="preserve"> </w:t>
            </w:r>
            <w:r w:rsidRPr="00EE6A8D">
              <w:rPr>
                <w:rFonts w:cs="Times New Roman"/>
                <w:sz w:val="22"/>
              </w:rPr>
              <w:t>h</w:t>
            </w:r>
          </w:p>
        </w:tc>
        <w:tc>
          <w:tcPr>
            <w:tcW w:w="1485" w:type="dxa"/>
            <w:tcBorders>
              <w:top w:val="single" w:sz="4" w:space="0" w:color="auto"/>
              <w:left w:val="nil"/>
              <w:bottom w:val="single" w:sz="4" w:space="0" w:color="auto"/>
              <w:right w:val="nil"/>
            </w:tcBorders>
            <w:vAlign w:val="center"/>
            <w:hideMark/>
          </w:tcPr>
          <w:p w14:paraId="141449A5" w14:textId="1C2ADF9C" w:rsidR="004C6915" w:rsidRPr="00EE6A8D" w:rsidRDefault="004C6915" w:rsidP="00F43064">
            <w:pPr>
              <w:spacing w:after="0" w:line="240" w:lineRule="auto"/>
              <w:jc w:val="center"/>
              <w:rPr>
                <w:rFonts w:cs="Times New Roman"/>
                <w:sz w:val="22"/>
                <w:lang w:val="en-IN"/>
              </w:rPr>
            </w:pPr>
            <w:r w:rsidRPr="00EE6A8D">
              <w:rPr>
                <w:rFonts w:cs="Times New Roman"/>
                <w:sz w:val="22"/>
              </w:rPr>
              <w:t>94.5</w:t>
            </w:r>
            <w:r w:rsidRPr="00EE6A8D">
              <w:rPr>
                <w:rFonts w:cs="Times New Roman"/>
                <w:sz w:val="22"/>
                <w:vertAlign w:val="superscript"/>
              </w:rPr>
              <w:t>a</w:t>
            </w:r>
          </w:p>
        </w:tc>
        <w:tc>
          <w:tcPr>
            <w:tcW w:w="2103" w:type="dxa"/>
            <w:tcBorders>
              <w:top w:val="single" w:sz="4" w:space="0" w:color="auto"/>
              <w:left w:val="nil"/>
              <w:bottom w:val="single" w:sz="4" w:space="0" w:color="auto"/>
              <w:right w:val="nil"/>
            </w:tcBorders>
            <w:vAlign w:val="center"/>
            <w:hideMark/>
          </w:tcPr>
          <w:p w14:paraId="6959FB55" w14:textId="48385675"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{"citationItems":[{"id":"ITEM-1","itemData":{"DOI":"10.1007/s11144-013-0571-4","ISBN":"1114401305714","ISSN":"18785190","abstract":"This investigation illustrates the fact that the effective decomposition of p-nitrophenol (p-NP) in H2O2/ferrihydrite (FH) dispersion under irradiation is a homogeneous Fenton-like reaction in a heterogeneous system. The decomposition of p-NP is initiated from the photo-dissolution of FH into aqueous Fe(III) that reacts slowly with H2O2 to generate hydroxyl radical. Hydroquinone, the initial intermediate of p-NP decomposition, auto-accelerates the subsequent decomposition of p- NP due to its acceleration of the photo-reductive dissolution of FH. The effect of key operating parameters such as FH dosage, initial solution pH and H 2O2 dosage was also studied on the photo-induced decomposition of p-NP. The results indicate that the combination of FH and H2O2 with a molar ratio of 1:0.225 is highly efficient for the decomposition of p-NP (0.15 mM) at pH 2.5-3.0. © Akadémiai Kiadó, Budapest, Hungary 2013.","author":[{"dropping-particle":"","family":"Wu","given":"Yongjuan","non-dropping-particle":"","parse-names":false,"suffix":""},{"dropping-particle":"","family":"Chen","given":"Rufen","non-dropping-particle":"","parse-names":false,"suffix":""},{"dropping-particle":"","family":"Liu","given":"Hui","non-dropping-particle":"","parse-names":false,"suffix":""},{"dropping-particle":"","family":"Wei","given":"Yu","non-dropping-particle":"","parse-names":false,"suffix":""},{"dropping-particle":"","family":"Wu","given":"Dong","non-dropping-particle":"","parse-names":false,"suffix":""}],"container-title":"Reaction Kinetics, Mechanisms and Catalysis","id":"ITEM-1","issue":"1","issued":{"date-parts":[["2013"]]},"page":"87-99","title":"Feasibility and mechanism of p-nitrophenol decomposition in aqueous dispersions of ferrihydrite and H2O2 under irradiation","type":"article-journal","volume":"110"},"uris":["http://www.mendeley.com/documents/?uuid=0da9b432-597e-43b3-88f3-45830281c3f4","http://www.mendeley.com/documents/?uuid=502be12d-dd97-487d-8408-2ad637f1200b"]}],"mendeley":{"formattedCitation":"(Wu et al., 2013)","plainTextFormattedCitation":"(Wu et al., 2013)","previouslyFormattedCitation":"(Wu et al., 2013)"},"properties":{"noteIndex":0},"schema":"https://github.com/citation-style-language/schema/raw/master/csl-citation.json"}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(Wu et al., 2013)</w:t>
            </w:r>
            <w:r w:rsidRPr="00EE6A8D">
              <w:rPr>
                <w:rFonts w:cs="Times New Roman"/>
                <w:sz w:val="22"/>
                <w:lang w:val="en-IN"/>
              </w:rPr>
              <w:fldChar w:fldCharType="end"/>
            </w:r>
          </w:p>
        </w:tc>
      </w:tr>
      <w:tr w:rsidR="004C6915" w:rsidRPr="00EE6A8D" w14:paraId="1FAD60B2"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2CFD1AE0"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04FCD7D3" w14:textId="77777777" w:rsidR="004C6915" w:rsidRPr="00EE6A8D" w:rsidRDefault="004C6915" w:rsidP="00F43064">
            <w:pPr>
              <w:spacing w:after="0" w:line="240" w:lineRule="auto"/>
              <w:jc w:val="center"/>
              <w:rPr>
                <w:rFonts w:cs="Times New Roman"/>
                <w:bCs/>
                <w:sz w:val="22"/>
                <w:lang w:val="en-IN"/>
              </w:rPr>
            </w:pPr>
            <w:r w:rsidRPr="00EE6A8D">
              <w:rPr>
                <w:rFonts w:cs="Times New Roman"/>
                <w:bCs/>
                <w:sz w:val="22"/>
              </w:rPr>
              <w:t>Methylene blue</w:t>
            </w:r>
          </w:p>
        </w:tc>
        <w:tc>
          <w:tcPr>
            <w:tcW w:w="1101" w:type="dxa"/>
            <w:tcBorders>
              <w:top w:val="single" w:sz="4" w:space="0" w:color="auto"/>
              <w:left w:val="nil"/>
              <w:bottom w:val="single" w:sz="4" w:space="0" w:color="auto"/>
              <w:right w:val="nil"/>
            </w:tcBorders>
            <w:vAlign w:val="center"/>
            <w:hideMark/>
          </w:tcPr>
          <w:p w14:paraId="72F061F6"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10</w:t>
            </w:r>
          </w:p>
        </w:tc>
        <w:tc>
          <w:tcPr>
            <w:tcW w:w="1803" w:type="dxa"/>
            <w:tcBorders>
              <w:top w:val="single" w:sz="4" w:space="0" w:color="auto"/>
              <w:left w:val="nil"/>
              <w:bottom w:val="single" w:sz="4" w:space="0" w:color="auto"/>
              <w:right w:val="nil"/>
            </w:tcBorders>
            <w:vAlign w:val="center"/>
            <w:hideMark/>
          </w:tcPr>
          <w:p w14:paraId="0AEB0FEF"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Nb-doped hematite</w:t>
            </w:r>
          </w:p>
        </w:tc>
        <w:tc>
          <w:tcPr>
            <w:tcW w:w="3105" w:type="dxa"/>
            <w:tcBorders>
              <w:top w:val="single" w:sz="4" w:space="0" w:color="auto"/>
              <w:left w:val="nil"/>
              <w:bottom w:val="single" w:sz="4" w:space="0" w:color="auto"/>
              <w:right w:val="nil"/>
            </w:tcBorders>
            <w:vAlign w:val="center"/>
            <w:hideMark/>
          </w:tcPr>
          <w:p w14:paraId="76CEF726" w14:textId="725BE027" w:rsidR="004C6915" w:rsidRPr="00EE6A8D" w:rsidRDefault="004C6915" w:rsidP="00F43064">
            <w:pPr>
              <w:spacing w:after="0" w:line="240" w:lineRule="auto"/>
              <w:jc w:val="center"/>
              <w:rPr>
                <w:rFonts w:cs="Times New Roman"/>
                <w:sz w:val="22"/>
                <w:lang w:val="en-IN"/>
              </w:rPr>
            </w:pPr>
            <w:r w:rsidRPr="00EE6A8D">
              <w:rPr>
                <w:rFonts w:cs="Times New Roman"/>
                <w:sz w:val="22"/>
              </w:rPr>
              <w:t>Catalyst dosage</w:t>
            </w:r>
            <w:r>
              <w:rPr>
                <w:rFonts w:cs="Times New Roman"/>
                <w:sz w:val="22"/>
              </w:rPr>
              <w:t xml:space="preserve"> </w:t>
            </w:r>
            <w:r w:rsidRPr="00EE6A8D">
              <w:rPr>
                <w:rFonts w:cs="Times New Roman"/>
                <w:sz w:val="22"/>
              </w:rPr>
              <w:t xml:space="preserve">= 10 </w:t>
            </w:r>
            <w:r w:rsidRPr="006615AD">
              <w:rPr>
                <w:rFonts w:cs="Times New Roman"/>
                <w:sz w:val="22"/>
              </w:rPr>
              <w:t>mg L</w:t>
            </w:r>
            <w:r w:rsidR="00AD4543">
              <w:rPr>
                <w:rFonts w:cs="Times New Roman"/>
                <w:bCs/>
                <w:color w:val="000000" w:themeColor="text1"/>
                <w:szCs w:val="24"/>
                <w:vertAlign w:val="superscript"/>
                <w:lang w:val="en-IN"/>
              </w:rPr>
              <w:t>‒</w:t>
            </w:r>
            <w:r w:rsidRPr="006615AD">
              <w:rPr>
                <w:rFonts w:cs="Times New Roman"/>
                <w:sz w:val="22"/>
                <w:vertAlign w:val="superscript"/>
              </w:rPr>
              <w:t>1</w:t>
            </w:r>
            <w:r w:rsidRPr="00EE6A8D">
              <w:rPr>
                <w:rFonts w:cs="Times New Roman"/>
                <w:sz w:val="22"/>
              </w:rPr>
              <w:t>, Time</w:t>
            </w:r>
            <w:r>
              <w:rPr>
                <w:rFonts w:cs="Times New Roman"/>
                <w:sz w:val="22"/>
              </w:rPr>
              <w:t xml:space="preserve"> </w:t>
            </w:r>
            <w:r w:rsidRPr="00EE6A8D">
              <w:rPr>
                <w:rFonts w:cs="Times New Roman"/>
                <w:sz w:val="22"/>
              </w:rPr>
              <w:t>= 120 min</w:t>
            </w:r>
          </w:p>
        </w:tc>
        <w:tc>
          <w:tcPr>
            <w:tcW w:w="1485" w:type="dxa"/>
            <w:tcBorders>
              <w:top w:val="single" w:sz="4" w:space="0" w:color="auto"/>
              <w:left w:val="nil"/>
              <w:bottom w:val="single" w:sz="4" w:space="0" w:color="auto"/>
              <w:right w:val="nil"/>
            </w:tcBorders>
            <w:vAlign w:val="center"/>
            <w:hideMark/>
          </w:tcPr>
          <w:p w14:paraId="11CEBD8D"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75</w:t>
            </w:r>
          </w:p>
        </w:tc>
        <w:tc>
          <w:tcPr>
            <w:tcW w:w="2103" w:type="dxa"/>
            <w:tcBorders>
              <w:top w:val="single" w:sz="4" w:space="0" w:color="auto"/>
              <w:left w:val="nil"/>
              <w:bottom w:val="single" w:sz="4" w:space="0" w:color="auto"/>
              <w:right w:val="nil"/>
            </w:tcBorders>
            <w:vAlign w:val="center"/>
            <w:hideMark/>
          </w:tcPr>
          <w:p w14:paraId="434A97C6" w14:textId="6C9D5753"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{"citationItems":[{"id":"ITEM-1","itemData":{"DOI":"10.1016/j.cattod.2014.07.016","ISSN":"09205861","abstract":"The use of iron oxides as materials for advanced oxidation processes has been widely reported, however the hematite phase has been poorly studied. Catalytic cycles show the importance of the redox states of the Fe2+/Fe3+, although hematite has only Fe3+. The introduction of dopant ion, such as 3% niobium in the hematite structure, is able to make it an effective material for treatment of polluted water. In our work it was possible to verify a removal of approximately 45% of a methylene blue (MB) solution (10 mg L-1) using Nb-doped hematite and 75% of the same MB solution using the oxide after a previous treatment with H2O2 to generate surface peroxo groups.","author":[{"dropping-particle":"","family":"Oliveira","given":"Henrique S.","non-dropping-particle":"","parse-names":false,"suffix":""},{"dropping-particle":"","family":"Almeida","given":"Leandro D.","non-dropping-particle":"","parse-names":false,"suffix":""},{"dropping-particle":"","family":"Freitas","given":"Victor A.A.","non-dropping-particle":"De","parse-names":false,"suffix":""},{"dropping-particle":"","family":"Moura","given":"Flávia C.C.","non-dropping-particle":"","parse-names":false,"suffix":""},{"dropping-particle":"","family":"Souza","given":"Patterson P.","non-dropping-particle":"","parse-names":false,"suffix":""},{"dropping-particle":"","family":"Oliveira","given":"Luiz C.A.","non-dropping-particle":"","parse-names":false,"suffix":""}],"container-title":"Catalysis Today","id":"ITEM-1","issue":"PA","issued":{"date-parts":[["2015"]]},"page":"176-181","title":"Nb-doped hematite: Highly active catalyst for the oxidation of organic dyes in water","type":"article-journal","volume":"240"},"uris":["http://www.mendeley.com/documents/?uuid=cb9d5756-7d1f-4d3f-b5da-4a51ae4254d2","http://www.mendeley.com/documents/?uuid=7dd68a50-d391-4a5d-ad61-6084c2f45b08"]}],"mendeley":{"formattedCitation":"(Oliveira et al., 2015)","plainTextFormattedCitation":"(Oliveira et al., 2015)","previouslyFormattedCitation":"(Oliveira et al., 2015)"},"properties":{"noteIndex":0},"schema":"https://github.com/citation-style-language/schema/raw/master/csl-citation.json"}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(Oliveira et al., 2015)</w:t>
            </w:r>
            <w:r w:rsidRPr="00EE6A8D">
              <w:rPr>
                <w:rFonts w:cs="Times New Roman"/>
                <w:sz w:val="22"/>
                <w:lang w:val="en-IN"/>
              </w:rPr>
              <w:fldChar w:fldCharType="end"/>
            </w:r>
          </w:p>
        </w:tc>
      </w:tr>
      <w:tr w:rsidR="004C6915" w:rsidRPr="00EE6A8D" w14:paraId="0C96C065"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5963575E"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531B8EA8" w14:textId="77777777" w:rsidR="004C6915" w:rsidRPr="00EE6A8D" w:rsidRDefault="004C6915" w:rsidP="00F43064">
            <w:pPr>
              <w:spacing w:after="0" w:line="240" w:lineRule="auto"/>
              <w:jc w:val="center"/>
              <w:rPr>
                <w:rFonts w:cs="Times New Roman"/>
                <w:bCs/>
                <w:sz w:val="22"/>
              </w:rPr>
            </w:pPr>
            <w:r w:rsidRPr="00EE6A8D">
              <w:rPr>
                <w:rFonts w:cs="Times New Roman"/>
                <w:bCs/>
                <w:sz w:val="22"/>
              </w:rPr>
              <w:t>Phenol</w:t>
            </w:r>
          </w:p>
        </w:tc>
        <w:tc>
          <w:tcPr>
            <w:tcW w:w="1101" w:type="dxa"/>
            <w:tcBorders>
              <w:top w:val="single" w:sz="4" w:space="0" w:color="auto"/>
              <w:left w:val="nil"/>
              <w:bottom w:val="single" w:sz="4" w:space="0" w:color="auto"/>
              <w:right w:val="nil"/>
            </w:tcBorders>
            <w:vAlign w:val="center"/>
            <w:hideMark/>
          </w:tcPr>
          <w:p w14:paraId="633CB73E" w14:textId="77777777" w:rsidR="004C6915" w:rsidRPr="00EE6A8D" w:rsidRDefault="004C6915" w:rsidP="00F43064">
            <w:pPr>
              <w:spacing w:after="0" w:line="240" w:lineRule="auto"/>
              <w:jc w:val="center"/>
              <w:rPr>
                <w:rFonts w:cs="Times New Roman"/>
                <w:sz w:val="22"/>
              </w:rPr>
            </w:pPr>
            <w:r w:rsidRPr="00EE6A8D">
              <w:rPr>
                <w:rFonts w:cs="Times New Roman"/>
                <w:sz w:val="22"/>
              </w:rPr>
              <w:t>47</w:t>
            </w:r>
          </w:p>
        </w:tc>
        <w:tc>
          <w:tcPr>
            <w:tcW w:w="1803" w:type="dxa"/>
            <w:tcBorders>
              <w:top w:val="single" w:sz="4" w:space="0" w:color="auto"/>
              <w:left w:val="nil"/>
              <w:bottom w:val="single" w:sz="4" w:space="0" w:color="auto"/>
              <w:right w:val="nil"/>
            </w:tcBorders>
            <w:vAlign w:val="center"/>
            <w:hideMark/>
          </w:tcPr>
          <w:p w14:paraId="2B4EBB2A" w14:textId="77777777" w:rsidR="004C6915" w:rsidRPr="00EE6A8D" w:rsidRDefault="004C6915" w:rsidP="00F43064">
            <w:pPr>
              <w:spacing w:after="0" w:line="240" w:lineRule="auto"/>
              <w:jc w:val="center"/>
              <w:rPr>
                <w:rFonts w:cs="Times New Roman"/>
                <w:sz w:val="22"/>
              </w:rPr>
            </w:pPr>
            <w:r w:rsidRPr="00EE6A8D">
              <w:rPr>
                <w:rFonts w:cs="Times New Roman"/>
                <w:sz w:val="22"/>
              </w:rPr>
              <w:t>Natural Fe clay</w:t>
            </w:r>
          </w:p>
        </w:tc>
        <w:tc>
          <w:tcPr>
            <w:tcW w:w="3105" w:type="dxa"/>
            <w:tcBorders>
              <w:top w:val="single" w:sz="4" w:space="0" w:color="auto"/>
              <w:left w:val="nil"/>
              <w:bottom w:val="single" w:sz="4" w:space="0" w:color="auto"/>
              <w:right w:val="nil"/>
            </w:tcBorders>
            <w:vAlign w:val="center"/>
            <w:hideMark/>
          </w:tcPr>
          <w:p w14:paraId="066EF47B" w14:textId="49B332C0" w:rsidR="004C6915" w:rsidRPr="00EE6A8D" w:rsidRDefault="004C6915" w:rsidP="00F43064">
            <w:pPr>
              <w:spacing w:after="0" w:line="240" w:lineRule="auto"/>
              <w:jc w:val="center"/>
              <w:rPr>
                <w:rFonts w:cs="Times New Roman"/>
                <w:sz w:val="22"/>
              </w:rPr>
            </w:pPr>
            <w:r w:rsidRPr="00EE6A8D">
              <w:rPr>
                <w:rFonts w:cs="Times New Roman"/>
                <w:sz w:val="22"/>
              </w:rPr>
              <w:t>Catalyst dosage</w:t>
            </w:r>
            <w:r>
              <w:rPr>
                <w:rFonts w:cs="Times New Roman"/>
                <w:sz w:val="22"/>
              </w:rPr>
              <w:t xml:space="preserve"> </w:t>
            </w:r>
            <w:r w:rsidRPr="00EE6A8D">
              <w:rPr>
                <w:rFonts w:cs="Times New Roman"/>
                <w:sz w:val="22"/>
              </w:rPr>
              <w:t xml:space="preserve">=1 </w:t>
            </w:r>
            <w:r w:rsidRPr="006615AD">
              <w:rPr>
                <w:rFonts w:cs="Times New Roman"/>
                <w:sz w:val="22"/>
              </w:rPr>
              <w:t>g L</w:t>
            </w:r>
            <w:r w:rsidR="00AD4543">
              <w:rPr>
                <w:rFonts w:cs="Times New Roman"/>
                <w:bCs/>
                <w:color w:val="000000" w:themeColor="text1"/>
                <w:szCs w:val="24"/>
                <w:vertAlign w:val="superscript"/>
                <w:lang w:val="en-IN"/>
              </w:rPr>
              <w:t>‒</w:t>
            </w:r>
            <w:r w:rsidRPr="006615AD">
              <w:rPr>
                <w:rFonts w:cs="Times New Roman"/>
                <w:sz w:val="22"/>
                <w:vertAlign w:val="superscript"/>
              </w:rPr>
              <w:t>1</w:t>
            </w:r>
            <w:r w:rsidRPr="00EE6A8D">
              <w:rPr>
                <w:rFonts w:cs="Times New Roman"/>
                <w:sz w:val="22"/>
              </w:rPr>
              <w:t>,</w:t>
            </w:r>
            <w:r>
              <w:rPr>
                <w:rFonts w:cs="Times New Roman"/>
                <w:sz w:val="22"/>
              </w:rPr>
              <w:t xml:space="preserve"> </w:t>
            </w:r>
            <w:r w:rsidRPr="00EE6A8D">
              <w:rPr>
                <w:rFonts w:cs="Times New Roman"/>
                <w:sz w:val="22"/>
              </w:rPr>
              <w:t>Time</w:t>
            </w:r>
            <w:r>
              <w:rPr>
                <w:rFonts w:cs="Times New Roman"/>
                <w:sz w:val="22"/>
              </w:rPr>
              <w:t xml:space="preserve"> </w:t>
            </w:r>
            <w:r w:rsidRPr="00EE6A8D">
              <w:rPr>
                <w:rFonts w:cs="Times New Roman"/>
                <w:sz w:val="22"/>
              </w:rPr>
              <w:t>=</w:t>
            </w:r>
            <w:r>
              <w:rPr>
                <w:rFonts w:cs="Times New Roman"/>
                <w:sz w:val="22"/>
              </w:rPr>
              <w:t xml:space="preserve"> </w:t>
            </w:r>
            <w:r w:rsidRPr="00EE6A8D">
              <w:rPr>
                <w:rFonts w:cs="Times New Roman"/>
                <w:sz w:val="22"/>
              </w:rPr>
              <w:t>6 h</w:t>
            </w:r>
          </w:p>
        </w:tc>
        <w:tc>
          <w:tcPr>
            <w:tcW w:w="1485" w:type="dxa"/>
            <w:tcBorders>
              <w:top w:val="single" w:sz="4" w:space="0" w:color="auto"/>
              <w:left w:val="nil"/>
              <w:bottom w:val="single" w:sz="4" w:space="0" w:color="auto"/>
              <w:right w:val="nil"/>
            </w:tcBorders>
            <w:vAlign w:val="center"/>
            <w:hideMark/>
          </w:tcPr>
          <w:p w14:paraId="18763BA5" w14:textId="33D13618" w:rsidR="004C6915" w:rsidRPr="00EE6A8D" w:rsidRDefault="004C6915" w:rsidP="00F43064">
            <w:pPr>
              <w:spacing w:after="0" w:line="240" w:lineRule="auto"/>
              <w:jc w:val="center"/>
              <w:rPr>
                <w:rFonts w:cs="Times New Roman"/>
                <w:sz w:val="22"/>
              </w:rPr>
            </w:pPr>
            <w:r w:rsidRPr="00EE6A8D">
              <w:rPr>
                <w:rFonts w:cs="Times New Roman"/>
                <w:sz w:val="22"/>
              </w:rPr>
              <w:t>70</w:t>
            </w:r>
            <w:r w:rsidRPr="00EE6A8D">
              <w:rPr>
                <w:rFonts w:cs="Times New Roman"/>
                <w:sz w:val="22"/>
                <w:vertAlign w:val="superscript"/>
              </w:rPr>
              <w:t>a</w:t>
            </w:r>
          </w:p>
        </w:tc>
        <w:tc>
          <w:tcPr>
            <w:tcW w:w="2103" w:type="dxa"/>
            <w:tcBorders>
              <w:top w:val="single" w:sz="4" w:space="0" w:color="auto"/>
              <w:left w:val="nil"/>
              <w:bottom w:val="single" w:sz="4" w:space="0" w:color="auto"/>
              <w:right w:val="nil"/>
            </w:tcBorders>
            <w:vAlign w:val="center"/>
            <w:hideMark/>
          </w:tcPr>
          <w:p w14:paraId="0ADAF286" w14:textId="50B0232E"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{"citationItems":[{"id":"ITEM-1","itemData":{"DOI":"10.1007/s11356-013-2278-5","ISSN":"09441344","PMID":"24234759","abstract":"A natural containing Fe-clay (NRC) was used for the Fenton-like oxidation of phenol. This new catalyst was very efficient in phenol elimination in aqueous medium under mild experimental conditions (20 °C, atmospheric pressure and low concentration of hydrogen peroxide). The influence of different parameters like calcination's temperature, particle size, initial phenol and H2O2 concentrations were examined considering both phenol conversion and total organic carbon (TOC) removal. NRC was characterized by several complementary methods including chemical analysis, X-ray diffraction (XRD), Mössbauer spectroscopy, thermogravimetry-differential thermal analysis (TG-DTA), temperature programmed reduction (TPR) and BET. The experimental results showed that 100 % phenol conversion and 70 % TOC removal can be achieved using sieved and calcined NRC (d &lt; 50 μm/450 °C). Catalytic activity of NRC was mainly attributed to the amount of iron oxide species (12.15 wt.%) present naturally in the clay. © 2013 Springer-Verlag Berlin Heidelberg.","author":[{"dropping-particle":"","family":"Djeffal","given":"Lemya","non-dropping-particle":"","parse-names":false,"suffix":""},{"dropping-particle":"","family":"Abderrahmane","given":"Sihem","non-dropping-particle":"","parse-names":false,"suffix":""},{"dropping-particle":"","family":"Benzina","given":"Mourad","non-dropping-particle":"","parse-names":false,"suffix":""},{"dropping-particle":"","family":"Fourmentin","given":"Marc","non-dropping-particle":"","parse-names":false,"suffix":""},{"dropping-particle":"","family":"Siffert","given":"Stéphane","non-dropping-particle":"","parse-names":false,"suffix":""},{"dropping-particle":"","family":"Fourmentin","given":"Sophie","non-dropping-particle":"","parse-names":false,"suffix":""}],"container-title":"Environmental Science and Pollution Research","id":"ITEM-1","issue":"5","issued":{"date-parts":[["2014"]]},"page":"3331-3338","title":"Efficient degradation of phenol using natural clay as heterogeneous Fenton-like catalyst","type":"article-journal","volume":"21"},"uris":["http://www.mendeley.com/documents/?uuid=e8d02b87-9554-4c99-b080-5c465223759d","http://www.mendeley.com/documents/?uuid=edb3e7a5-7b50-43cc-b114-a3661006dc01"]}],"mendeley":{"formattedCitation":"(Djeffal et al., 2014)","plainTextFormattedCitation":"(Djeffal et al., 2014)","previouslyFormattedCitation":"(Djeffal et al., 2014)"},"properties":{"noteIndex":0},"schema":"https://github.com/citation-style-language/schema/raw/master/csl-citation.json"}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(Djeffal et al., 2014)</w:t>
            </w:r>
            <w:r w:rsidRPr="00EE6A8D">
              <w:rPr>
                <w:rFonts w:cs="Times New Roman"/>
                <w:sz w:val="22"/>
                <w:lang w:val="en-IN"/>
              </w:rPr>
              <w:fldChar w:fldCharType="end"/>
            </w:r>
          </w:p>
        </w:tc>
      </w:tr>
      <w:tr w:rsidR="004C6915" w:rsidRPr="00EE6A8D" w14:paraId="51D0BE52" w14:textId="77777777" w:rsidTr="00F43064">
        <w:trPr>
          <w:trHeight w:val="18"/>
          <w:jc w:val="center"/>
        </w:trPr>
        <w:tc>
          <w:tcPr>
            <w:tcW w:w="1903" w:type="dxa"/>
            <w:vMerge w:val="restart"/>
            <w:tcBorders>
              <w:top w:val="single" w:sz="4" w:space="0" w:color="auto"/>
              <w:left w:val="nil"/>
              <w:bottom w:val="single" w:sz="4" w:space="0" w:color="auto"/>
              <w:right w:val="nil"/>
            </w:tcBorders>
            <w:vAlign w:val="center"/>
          </w:tcPr>
          <w:p w14:paraId="0E5FA1A2"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Photo-Fenton process</w:t>
            </w:r>
          </w:p>
          <w:p w14:paraId="05C88D83"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79E97CE7" w14:textId="77777777"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Flutamide</w:t>
            </w:r>
          </w:p>
        </w:tc>
        <w:tc>
          <w:tcPr>
            <w:tcW w:w="1101" w:type="dxa"/>
            <w:tcBorders>
              <w:top w:val="single" w:sz="4" w:space="0" w:color="auto"/>
              <w:left w:val="nil"/>
              <w:bottom w:val="single" w:sz="4" w:space="0" w:color="auto"/>
              <w:right w:val="nil"/>
            </w:tcBorders>
            <w:vAlign w:val="center"/>
            <w:hideMark/>
          </w:tcPr>
          <w:p w14:paraId="0D69B177"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5</w:t>
            </w:r>
          </w:p>
        </w:tc>
        <w:tc>
          <w:tcPr>
            <w:tcW w:w="1803" w:type="dxa"/>
            <w:tcBorders>
              <w:top w:val="single" w:sz="4" w:space="0" w:color="auto"/>
              <w:left w:val="nil"/>
              <w:bottom w:val="single" w:sz="4" w:space="0" w:color="auto"/>
              <w:right w:val="nil"/>
            </w:tcBorders>
            <w:vAlign w:val="center"/>
            <w:hideMark/>
          </w:tcPr>
          <w:p w14:paraId="2AC9EC56"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FeSO</w:t>
            </w:r>
            <w:r w:rsidRPr="00EE6A8D">
              <w:rPr>
                <w:rFonts w:cs="Times New Roman"/>
                <w:sz w:val="22"/>
                <w:vertAlign w:val="subscript"/>
                <w:lang w:val="en-IN"/>
              </w:rPr>
              <w:t>4</w:t>
            </w:r>
            <w:r w:rsidRPr="00EE6A8D">
              <w:rPr>
                <w:rFonts w:cs="Times New Roman"/>
                <w:sz w:val="22"/>
                <w:lang w:val="en-IN"/>
              </w:rPr>
              <w:t>.7H</w:t>
            </w:r>
            <w:r w:rsidRPr="00EE6A8D">
              <w:rPr>
                <w:rFonts w:cs="Times New Roman"/>
                <w:sz w:val="22"/>
                <w:vertAlign w:val="subscript"/>
                <w:lang w:val="en-IN"/>
              </w:rPr>
              <w:t>2</w:t>
            </w:r>
            <w:r w:rsidRPr="00EE6A8D">
              <w:rPr>
                <w:rFonts w:cs="Times New Roman"/>
                <w:sz w:val="22"/>
                <w:lang w:val="en-IN"/>
              </w:rPr>
              <w:t>O</w:t>
            </w:r>
          </w:p>
        </w:tc>
        <w:tc>
          <w:tcPr>
            <w:tcW w:w="3105" w:type="dxa"/>
            <w:tcBorders>
              <w:top w:val="single" w:sz="4" w:space="0" w:color="auto"/>
              <w:left w:val="nil"/>
              <w:bottom w:val="single" w:sz="4" w:space="0" w:color="auto"/>
              <w:right w:val="nil"/>
            </w:tcBorders>
            <w:vAlign w:val="center"/>
            <w:hideMark/>
          </w:tcPr>
          <w:p w14:paraId="1F7C6B5F" w14:textId="7AAECFE1" w:rsidR="004C6915" w:rsidRPr="00EE6A8D" w:rsidRDefault="004C6915" w:rsidP="00F43064">
            <w:pPr>
              <w:spacing w:after="0" w:line="240" w:lineRule="auto"/>
              <w:jc w:val="center"/>
              <w:rPr>
                <w:rFonts w:cs="Times New Roman"/>
                <w:sz w:val="22"/>
                <w:lang w:val="en-IN"/>
              </w:rPr>
            </w:pPr>
            <w:r w:rsidRPr="00EE6A8D">
              <w:rPr>
                <w:rFonts w:cs="Times New Roman"/>
                <w:sz w:val="22"/>
              </w:rPr>
              <w:t>Catalyst dosage</w:t>
            </w:r>
            <w:r>
              <w:rPr>
                <w:rFonts w:cs="Times New Roman"/>
                <w:sz w:val="22"/>
              </w:rPr>
              <w:t xml:space="preserve"> </w:t>
            </w:r>
            <w:r w:rsidRPr="00EE6A8D">
              <w:rPr>
                <w:rFonts w:cs="Times New Roman"/>
                <w:sz w:val="22"/>
              </w:rPr>
              <w:t>= 5</w:t>
            </w:r>
            <w:r>
              <w:rPr>
                <w:rFonts w:cs="Times New Roman"/>
                <w:sz w:val="22"/>
              </w:rPr>
              <w:t xml:space="preserve"> </w:t>
            </w:r>
            <w:r w:rsidRPr="006615AD">
              <w:rPr>
                <w:rFonts w:cs="Times New Roman"/>
                <w:sz w:val="22"/>
              </w:rPr>
              <w:t>mg L</w:t>
            </w:r>
            <w:r w:rsidR="00AD4543">
              <w:rPr>
                <w:rFonts w:cs="Times New Roman"/>
                <w:bCs/>
                <w:color w:val="000000" w:themeColor="text1"/>
                <w:szCs w:val="24"/>
                <w:vertAlign w:val="superscript"/>
                <w:lang w:val="en-IN"/>
              </w:rPr>
              <w:t>‒</w:t>
            </w:r>
            <w:r w:rsidRPr="006615AD">
              <w:rPr>
                <w:rFonts w:cs="Times New Roman"/>
                <w:sz w:val="22"/>
                <w:vertAlign w:val="superscript"/>
              </w:rPr>
              <w:t>1</w:t>
            </w:r>
            <w:r w:rsidRPr="00EE6A8D">
              <w:rPr>
                <w:rFonts w:cs="Times New Roman"/>
                <w:sz w:val="22"/>
                <w:lang w:val="en-IN"/>
              </w:rPr>
              <w:t>, Time</w:t>
            </w:r>
            <w:r>
              <w:rPr>
                <w:rFonts w:cs="Times New Roman"/>
                <w:sz w:val="22"/>
                <w:lang w:val="en-IN"/>
              </w:rPr>
              <w:t xml:space="preserve"> </w:t>
            </w:r>
            <w:r w:rsidRPr="00EE6A8D">
              <w:rPr>
                <w:rFonts w:cs="Times New Roman"/>
                <w:sz w:val="22"/>
                <w:lang w:val="en-IN"/>
              </w:rPr>
              <w:t>=</w:t>
            </w:r>
            <w:r>
              <w:rPr>
                <w:rFonts w:cs="Times New Roman"/>
                <w:sz w:val="22"/>
                <w:lang w:val="en-IN"/>
              </w:rPr>
              <w:t xml:space="preserve"> </w:t>
            </w:r>
            <w:r w:rsidRPr="00EE6A8D">
              <w:rPr>
                <w:rFonts w:cs="Times New Roman"/>
                <w:sz w:val="22"/>
                <w:lang w:val="en-IN"/>
              </w:rPr>
              <w:t>120 min</w:t>
            </w:r>
          </w:p>
        </w:tc>
        <w:tc>
          <w:tcPr>
            <w:tcW w:w="1485" w:type="dxa"/>
            <w:tcBorders>
              <w:top w:val="single" w:sz="4" w:space="0" w:color="auto"/>
              <w:left w:val="nil"/>
              <w:bottom w:val="single" w:sz="4" w:space="0" w:color="auto"/>
              <w:right w:val="nil"/>
            </w:tcBorders>
            <w:vAlign w:val="center"/>
            <w:hideMark/>
          </w:tcPr>
          <w:p w14:paraId="5F496D5F"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58</w:t>
            </w:r>
          </w:p>
        </w:tc>
        <w:tc>
          <w:tcPr>
            <w:tcW w:w="2103" w:type="dxa"/>
            <w:tcBorders>
              <w:top w:val="single" w:sz="4" w:space="0" w:color="auto"/>
              <w:left w:val="nil"/>
              <w:bottom w:val="single" w:sz="4" w:space="0" w:color="auto"/>
              <w:right w:val="nil"/>
            </w:tcBorders>
            <w:vAlign w:val="center"/>
            <w:hideMark/>
          </w:tcPr>
          <w:p w14:paraId="1EF5ABE9" w14:textId="6DE13BFF"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{"citationItems":[{"id":"ITEM-1","itemData":{"DOI":"10.1016/j.jhazmat.2020.122699","ISSN":"03043894","PMID":"32344362","abstract":"The anti-cancer drug Flutamide (FLUT) is widely used and is of great environmental concern. The solar photo-Fenton (SPF) process can be an effective treatment for the removal of this type of micropollutant. The use of a single addition of 5 mg L-1 of Fe2+ and 50 mg L-1 of H2O2 achieved 20% primary degradation and only 3.05% mineralization. By using three additions of 5 mg L-1 Fe2+, with an initial H2O2 concentration of 150 mg L-1, 58% primary degradation was achieved, together with 12.07% mineralization. Consequently, thirteen transformation products (TPs) were formed. The SPF process was further combined with adsorption onto avocado seed activated carbon (ASAC) as an environmentally friendly approach for the removal of remained FLUT and the TPs. Doehlert design was used to assess the behavior of 13 TPs by optimizing the contact time and the adsorbent mass load. The optimal conditions for removal of FLUT and the TPs were 14 mg of ASAC and a contact time of 40 min. Remained FLUT and the TPs were totally removed using the adsorption process. The mechanisms of adsorption of FLUT and the TPs were strongly influenced by their polarity and π-π interactions of the TPs onto ASAC.","author":[{"dropping-particle":"","family":"Della-Flora","given":"Alexandre","non-dropping-particle":"","parse-names":false,"suffix":""},{"dropping-particle":"","family":"Wilde","given":"Marcelo L.","non-dropping-particle":"","parse-names":false,"suffix":""},{"dropping-particle":"","family":"Thue","given":"Pascal S.","non-dropping-particle":"","parse-names":false,"suffix":""},{"dropping-particle":"","family":"Lima","given":"Diana","non-dropping-particle":"","parse-names":false,"suffix":""},{"dropping-particle":"","family":"Lima","given":"Eder C.","non-dropping-particle":"","parse-names":false,"suffix":""},{"dropping-particle":"","family":"Sirtori","given":"Carla","non-dropping-particle":"","parse-names":false,"suffix":""}],"container-title":"Journal of Hazardous Materials","id":"ITEM-1","issued":{"date-parts":[["2020","9"]]},"page":"122699","title":"Combination of solar photo-Fenton and adsorption process for removal of the anticancer drug Flutamide and its transformation products from hospital wastewater","type":"article-journal","volume":"396"},"uris":["http://www.mendeley.com/documents/?uuid=07b04ec8-efd0-40ba-8db7-88efbbbe98f1","http://www.mendeley.com/documents/?uuid=b8a1ca12-ece6-4d4e-aee0-ed15f0c0b239"]}],"mendeley":{"formattedCitation":"(Della-Flora et al., 2020)","plainTextFormattedCitation":"(Della-Flora et al., 2020)","previouslyFormattedCitation":"(Della-Flora et al., 2020)"},"properties":{"noteIndex":0},"schema":"https://github.com/citation-style-language/schema/raw/master/csl-citation.json"}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(Della-Flora et al., 2020)</w:t>
            </w:r>
            <w:r w:rsidRPr="00EE6A8D">
              <w:rPr>
                <w:rFonts w:cs="Times New Roman"/>
                <w:sz w:val="22"/>
                <w:lang w:val="en-IN"/>
              </w:rPr>
              <w:fldChar w:fldCharType="end"/>
            </w:r>
          </w:p>
        </w:tc>
      </w:tr>
      <w:tr w:rsidR="004C6915" w:rsidRPr="00EE6A8D" w14:paraId="02A48864"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50221DDD"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tcPr>
          <w:p w14:paraId="47E08B77" w14:textId="418367C0"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2-</w:t>
            </w:r>
            <w:r w:rsidR="006C10EC">
              <w:rPr>
                <w:rFonts w:cs="Times New Roman"/>
                <w:bCs/>
                <w:sz w:val="22"/>
                <w:lang w:val="en-IN"/>
              </w:rPr>
              <w:t>C</w:t>
            </w:r>
            <w:r w:rsidRPr="00EE6A8D">
              <w:rPr>
                <w:rFonts w:cs="Times New Roman"/>
                <w:bCs/>
                <w:sz w:val="22"/>
                <w:lang w:val="en-IN"/>
              </w:rPr>
              <w:t>hlorophenol</w:t>
            </w:r>
          </w:p>
          <w:p w14:paraId="0C532874" w14:textId="77777777" w:rsidR="004C6915" w:rsidRPr="00EE6A8D" w:rsidRDefault="004C6915" w:rsidP="00F43064">
            <w:pPr>
              <w:spacing w:after="0" w:line="240" w:lineRule="auto"/>
              <w:jc w:val="center"/>
              <w:rPr>
                <w:rFonts w:cs="Times New Roman"/>
                <w:bCs/>
                <w:sz w:val="22"/>
                <w:lang w:val="en-IN"/>
              </w:rPr>
            </w:pPr>
          </w:p>
        </w:tc>
        <w:tc>
          <w:tcPr>
            <w:tcW w:w="1101" w:type="dxa"/>
            <w:tcBorders>
              <w:top w:val="single" w:sz="4" w:space="0" w:color="auto"/>
              <w:left w:val="nil"/>
              <w:bottom w:val="single" w:sz="4" w:space="0" w:color="auto"/>
              <w:right w:val="nil"/>
            </w:tcBorders>
            <w:vAlign w:val="center"/>
            <w:hideMark/>
          </w:tcPr>
          <w:p w14:paraId="6D43A3E8"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1500</w:t>
            </w:r>
          </w:p>
        </w:tc>
        <w:tc>
          <w:tcPr>
            <w:tcW w:w="1803" w:type="dxa"/>
            <w:tcBorders>
              <w:top w:val="single" w:sz="4" w:space="0" w:color="auto"/>
              <w:left w:val="nil"/>
              <w:bottom w:val="single" w:sz="4" w:space="0" w:color="auto"/>
              <w:right w:val="nil"/>
            </w:tcBorders>
            <w:vAlign w:val="center"/>
            <w:hideMark/>
          </w:tcPr>
          <w:p w14:paraId="56F3FD35"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FeCl</w:t>
            </w:r>
            <w:r w:rsidRPr="00EE6A8D">
              <w:rPr>
                <w:rFonts w:cs="Times New Roman"/>
                <w:sz w:val="22"/>
                <w:vertAlign w:val="subscript"/>
              </w:rPr>
              <w:t>3</w:t>
            </w:r>
            <w:r w:rsidRPr="00EE6A8D">
              <w:rPr>
                <w:rFonts w:cs="Times New Roman"/>
                <w:sz w:val="22"/>
              </w:rPr>
              <w:t>·6H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6945B2E4" w14:textId="1F69ECAB"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Pr>
                <w:rFonts w:cs="Times New Roman"/>
                <w:sz w:val="22"/>
                <w:lang w:val="en-IN"/>
              </w:rPr>
              <w:t xml:space="preserve"> </w:t>
            </w:r>
            <w:r w:rsidRPr="00EE6A8D">
              <w:rPr>
                <w:rFonts w:cs="Times New Roman"/>
                <w:sz w:val="22"/>
                <w:lang w:val="en-IN"/>
              </w:rPr>
              <w:t>= 28</w:t>
            </w:r>
            <w:r>
              <w:rPr>
                <w:rFonts w:cs="Times New Roman"/>
                <w:sz w:val="22"/>
                <w:lang w:val="en-IN"/>
              </w:rPr>
              <w:t xml:space="preserve"> </w:t>
            </w:r>
            <w:r w:rsidRPr="006615AD">
              <w:rPr>
                <w:rFonts w:cs="Times New Roman"/>
                <w:sz w:val="22"/>
              </w:rPr>
              <w:t>mg L</w:t>
            </w:r>
            <w:r w:rsidR="00AD4543">
              <w:rPr>
                <w:rFonts w:cs="Times New Roman"/>
                <w:bCs/>
                <w:color w:val="000000" w:themeColor="text1"/>
                <w:szCs w:val="24"/>
                <w:vertAlign w:val="superscript"/>
                <w:lang w:val="en-IN"/>
              </w:rPr>
              <w:t>‒</w:t>
            </w:r>
            <w:r w:rsidRPr="006615AD">
              <w:rPr>
                <w:rFonts w:cs="Times New Roman"/>
                <w:sz w:val="22"/>
                <w:vertAlign w:val="superscript"/>
              </w:rPr>
              <w:t>1</w:t>
            </w:r>
            <w:r w:rsidRPr="00EE6A8D">
              <w:rPr>
                <w:rFonts w:cs="Times New Roman"/>
                <w:sz w:val="22"/>
                <w:lang w:val="en-IN"/>
              </w:rPr>
              <w:t>, Time</w:t>
            </w:r>
            <w:r>
              <w:rPr>
                <w:rFonts w:cs="Times New Roman"/>
                <w:sz w:val="22"/>
                <w:lang w:val="en-IN"/>
              </w:rPr>
              <w:t xml:space="preserve"> </w:t>
            </w:r>
            <w:r w:rsidRPr="00EE6A8D">
              <w:rPr>
                <w:rFonts w:cs="Times New Roman"/>
                <w:sz w:val="22"/>
                <w:lang w:val="en-IN"/>
              </w:rPr>
              <w:t>=</w:t>
            </w:r>
            <w:r>
              <w:rPr>
                <w:rFonts w:cs="Times New Roman"/>
                <w:sz w:val="22"/>
                <w:lang w:val="en-IN"/>
              </w:rPr>
              <w:t xml:space="preserve"> </w:t>
            </w:r>
            <w:r w:rsidRPr="00EE6A8D">
              <w:rPr>
                <w:rFonts w:cs="Times New Roman"/>
                <w:sz w:val="22"/>
                <w:lang w:val="en-IN"/>
              </w:rPr>
              <w:t>150 min</w:t>
            </w:r>
          </w:p>
        </w:tc>
        <w:tc>
          <w:tcPr>
            <w:tcW w:w="1485" w:type="dxa"/>
            <w:tcBorders>
              <w:top w:val="single" w:sz="4" w:space="0" w:color="auto"/>
              <w:left w:val="nil"/>
              <w:bottom w:val="single" w:sz="4" w:space="0" w:color="auto"/>
              <w:right w:val="nil"/>
            </w:tcBorders>
            <w:vAlign w:val="center"/>
            <w:hideMark/>
          </w:tcPr>
          <w:p w14:paraId="65060D77" w14:textId="7C150910"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95</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343F7CD3" w14:textId="1572A084"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{"citationItems":[{"id":"ITEM-1","itemData":{"DOI":"10.1016/j.jhazmat.2007.09.002","ISSN":"03043894","abstract":"In the present work, the photochemical oxidation of 2-chlorophenol aqueous solutions in a batch recycle photochemical reactor using ultraviolet irradiation and hydrogen peroxide was studied. Specifically, the effect of hydrogen peroxide initial concentration (0-10316 mg L-1) and 2-chlorophenol initial concentration (150-3000 mg L-1) was examined. The process was attended via total organic carbon (TOC), 2-chlorophenol, chloride ion, acetic acid, formic acid and pH measurements. The conversion of 2-chlorophenol observed was always much higher than the corresponding total organic carbon removal, whereas the increase in hydrogen peroxide amount in the solution led to higher values of 2-chlorophenol conversion and total organic carbon removal. Finally, the photo-Fenton reaction was applied to the oxidation of 2-chlorophenol, leading to a higher degree of mineralization of the parent compound. © 2007 Elsevier B.V. All rights reserved.","author":[{"dropping-particle":"","family":"Poulopoulos","given":"S G","non-dropping-particle":"","parse-names":false,"suffix":""},{"dropping-particle":"","family":"Nikolaki","given":"M","non-dropping-particle":"","parse-names":false,"suffix":""},{"dropping-particle":"","family":"Karampetsos","given":"D","non-dropping-particle":"","parse-names":false,"suffix":""},{"dropping-particle":"","family":"Philippopoulos","given":"C J","non-dropping-particle":"","parse-names":false,"suffix":""}],"container-title":"Journal of Hazardous Materials","id":"ITEM-1","issue":"1-2","issued":{"date-parts":[["2008"]]},"page":"582-587","title":"Photochemical treatment of 2-chlorophenol aqueous solutions using ultraviolet radiation, hydrogen peroxide and photo-Fenton reaction","type":"article-journal","volume":"153"},"uris":["http://www.mendeley.com/documents/?uuid=66fcdc32-2a2a-42d2-813c-22119169c79b"]}],"mendeley":{"formattedCitation":"(Poulopoulos et al., 2008)","plainTextFormattedCitation":"(Poulopoulos et al., 2008)","previouslyFormattedCitation":"(Poulopoulos et al., 2008)"},"properties":{"noteIndex":0},"schema":"https://github.com/citation-style-language/schema/raw/master/csl-citation.json"}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(Poulopoulos et al., 2008)</w:t>
            </w:r>
            <w:r w:rsidRPr="00EE6A8D">
              <w:rPr>
                <w:rFonts w:cs="Times New Roman"/>
                <w:sz w:val="22"/>
                <w:lang w:val="en-IN"/>
              </w:rPr>
              <w:fldChar w:fldCharType="end"/>
            </w:r>
          </w:p>
        </w:tc>
      </w:tr>
      <w:tr w:rsidR="004C6915" w:rsidRPr="00EE6A8D" w14:paraId="2ADC1E9E"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7D1120B8"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15211C20" w14:textId="77777777" w:rsidR="004C6915" w:rsidRPr="00EE6A8D" w:rsidRDefault="004C6915" w:rsidP="00F43064">
            <w:pPr>
              <w:spacing w:after="0" w:line="240" w:lineRule="auto"/>
              <w:jc w:val="center"/>
              <w:rPr>
                <w:rFonts w:cs="Times New Roman"/>
                <w:bCs/>
                <w:sz w:val="22"/>
                <w:lang w:val="en-IN"/>
              </w:rPr>
            </w:pPr>
            <w:r w:rsidRPr="00EE6A8D">
              <w:rPr>
                <w:rFonts w:cs="Times New Roman"/>
                <w:bCs/>
                <w:sz w:val="22"/>
              </w:rPr>
              <w:t>Phenol</w:t>
            </w:r>
          </w:p>
        </w:tc>
        <w:tc>
          <w:tcPr>
            <w:tcW w:w="1101" w:type="dxa"/>
            <w:tcBorders>
              <w:top w:val="single" w:sz="4" w:space="0" w:color="auto"/>
              <w:left w:val="nil"/>
              <w:bottom w:val="single" w:sz="4" w:space="0" w:color="auto"/>
              <w:right w:val="nil"/>
            </w:tcBorders>
            <w:vAlign w:val="center"/>
            <w:hideMark/>
          </w:tcPr>
          <w:p w14:paraId="3240A39C"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50</w:t>
            </w:r>
          </w:p>
        </w:tc>
        <w:tc>
          <w:tcPr>
            <w:tcW w:w="1803" w:type="dxa"/>
            <w:tcBorders>
              <w:top w:val="single" w:sz="4" w:space="0" w:color="auto"/>
              <w:left w:val="nil"/>
              <w:bottom w:val="single" w:sz="4" w:space="0" w:color="auto"/>
              <w:right w:val="nil"/>
            </w:tcBorders>
            <w:vAlign w:val="center"/>
            <w:hideMark/>
          </w:tcPr>
          <w:p w14:paraId="74D1630C"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Fe-zeolites</w:t>
            </w:r>
          </w:p>
        </w:tc>
        <w:tc>
          <w:tcPr>
            <w:tcW w:w="3105" w:type="dxa"/>
            <w:tcBorders>
              <w:top w:val="single" w:sz="4" w:space="0" w:color="auto"/>
              <w:left w:val="nil"/>
              <w:bottom w:val="single" w:sz="4" w:space="0" w:color="auto"/>
              <w:right w:val="nil"/>
            </w:tcBorders>
            <w:vAlign w:val="center"/>
            <w:hideMark/>
          </w:tcPr>
          <w:p w14:paraId="1FD1B939" w14:textId="3DA90E66"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Pr>
                <w:rFonts w:cs="Times New Roman"/>
                <w:sz w:val="22"/>
                <w:lang w:val="en-IN"/>
              </w:rPr>
              <w:t xml:space="preserve"> </w:t>
            </w:r>
            <w:r w:rsidRPr="00EE6A8D">
              <w:rPr>
                <w:rFonts w:cs="Times New Roman"/>
                <w:sz w:val="22"/>
                <w:lang w:val="en-IN"/>
              </w:rPr>
              <w:t>=</w:t>
            </w:r>
            <w:r w:rsidRPr="00EE6A8D">
              <w:rPr>
                <w:rFonts w:cs="Times New Roman"/>
                <w:sz w:val="22"/>
              </w:rPr>
              <w:t xml:space="preserve"> 2 </w:t>
            </w:r>
            <w:r w:rsidRPr="006615AD">
              <w:rPr>
                <w:rFonts w:cs="Times New Roman"/>
                <w:sz w:val="22"/>
              </w:rPr>
              <w:t>g L</w:t>
            </w:r>
            <w:r w:rsidR="00AD4543">
              <w:rPr>
                <w:rFonts w:cs="Times New Roman"/>
                <w:bCs/>
                <w:color w:val="000000" w:themeColor="text1"/>
                <w:szCs w:val="24"/>
                <w:vertAlign w:val="superscript"/>
                <w:lang w:val="en-IN"/>
              </w:rPr>
              <w:t>‒</w:t>
            </w:r>
            <w:r w:rsidRPr="006615AD">
              <w:rPr>
                <w:rFonts w:cs="Times New Roman"/>
                <w:sz w:val="22"/>
                <w:vertAlign w:val="superscript"/>
              </w:rPr>
              <w:t>1</w:t>
            </w:r>
            <w:r w:rsidRPr="00EE6A8D">
              <w:rPr>
                <w:rFonts w:cs="Times New Roman"/>
                <w:sz w:val="22"/>
                <w:lang w:val="en-IN"/>
              </w:rPr>
              <w:t>, Time</w:t>
            </w:r>
            <w:r>
              <w:rPr>
                <w:rFonts w:cs="Times New Roman"/>
                <w:sz w:val="22"/>
                <w:lang w:val="en-IN"/>
              </w:rPr>
              <w:t xml:space="preserve"> </w:t>
            </w:r>
            <w:r w:rsidRPr="00EE6A8D">
              <w:rPr>
                <w:rFonts w:cs="Times New Roman"/>
                <w:sz w:val="22"/>
              </w:rPr>
              <w:t>=</w:t>
            </w:r>
            <w:r>
              <w:rPr>
                <w:rFonts w:cs="Times New Roman"/>
                <w:sz w:val="22"/>
              </w:rPr>
              <w:t xml:space="preserve"> </w:t>
            </w:r>
            <w:r w:rsidRPr="00EE6A8D">
              <w:rPr>
                <w:rFonts w:cs="Times New Roman"/>
                <w:sz w:val="22"/>
              </w:rPr>
              <w:t>90 min</w:t>
            </w:r>
          </w:p>
        </w:tc>
        <w:tc>
          <w:tcPr>
            <w:tcW w:w="1485" w:type="dxa"/>
            <w:tcBorders>
              <w:top w:val="single" w:sz="4" w:space="0" w:color="auto"/>
              <w:left w:val="nil"/>
              <w:bottom w:val="single" w:sz="4" w:space="0" w:color="auto"/>
              <w:right w:val="nil"/>
            </w:tcBorders>
            <w:vAlign w:val="center"/>
            <w:hideMark/>
          </w:tcPr>
          <w:p w14:paraId="756633E4" w14:textId="4E099C8E"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90</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6CE1BB52" w14:textId="4AED15EA"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{"citationItems":[{"id":"ITEM-1","itemData":{"DOI":"10.1016/j.apcatb.2012.05.022","ISSN":"09263373","abstract":"This paper focuses on the study of photo-Fenton-like processes using two types of Fe-zeolites (Fe-ZSM5 and Fe-Beta) as heterogeneous catalysts in order to treat contaminated effluents with organic compounds at neutral pH. It was proved that light (solar and artificial) improves significantly the DOC removal in this kind of processes. A possible contribution by homogeneous photo-Fenton reaction catalyzed by the iron leached during the reaction was insignificant. This study also proves that the catalytic activity of Fe-zeolites is improved by photo Fenton-like processes using solar light in a pilot plant equipped with compound parabolic collectors (CPC). © 2012 Elsevier B.V.","author":[{"dropping-particle":"","family":"Gonzalez-Olmos","given":"Rafael","non-dropping-particle":"","parse-names":false,"suffix":""},{"dropping-particle":"","family":"Martin","given":"Maria J.","non-dropping-particle":"","parse-names":false,"suffix":""},{"dropping-particle":"","family":"Georgi","given":"Anett","non-dropping-particle":"","parse-names":false,"suffix":""},{"dropping-particle":"","family":"Kopinke","given":"Frank Dieter","non-dropping-particle":"","parse-names":false,"suffix":""},{"dropping-particle":"","family":"Oller","given":"Isabel","non-dropping-particle":"","parse-names":false,"suffix":""},{"dropping-particle":"","family":"Malato","given":"Sixto","non-dropping-particle":"","parse-names":false,"suffix":""}],"container-title":"Applied Catalysis B: Environmental","id":"ITEM-1","issued":{"date-parts":[["2012"]]},"page":"51-58","title":"Fe-zeolites as heterogeneous catalysts in solar Fenton-like reactions at neutral pH","type":"article-journal","volume":"125"},"uris":["http://www.mendeley.com/documents/?uuid=15798d50-84c1-4f6b-89af-fc81a8404025","http://www.mendeley.com/documents/?uuid=57db0816-3f62-40ae-8931-631987f4fbab"]}],"mendeley":{"formattedCitation":"(Gonzalez-Olmos et al., 2012)","plainTextFormattedCitation":"(Gonzalez-Olmos et al., 2012)","previouslyFormattedCitation":"(Gonzalez-Olmos et al., 2012)"},"properties":{"noteIndex":0},"schema":"https://github.com/citation-style-language/schema/raw/master/csl-citation.json"}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(Gonzalez-Olmos et al., 2012)</w:t>
            </w:r>
            <w:r w:rsidRPr="00EE6A8D">
              <w:rPr>
                <w:rFonts w:cs="Times New Roman"/>
                <w:sz w:val="22"/>
                <w:lang w:val="en-IN"/>
              </w:rPr>
              <w:fldChar w:fldCharType="end"/>
            </w:r>
          </w:p>
        </w:tc>
      </w:tr>
      <w:tr w:rsidR="004C6915" w:rsidRPr="00EE6A8D" w14:paraId="649C3264" w14:textId="77777777" w:rsidTr="00F43064">
        <w:trPr>
          <w:trHeight w:val="18"/>
          <w:jc w:val="center"/>
        </w:trPr>
        <w:tc>
          <w:tcPr>
            <w:tcW w:w="1903" w:type="dxa"/>
            <w:vMerge w:val="restart"/>
            <w:tcBorders>
              <w:top w:val="single" w:sz="4" w:space="0" w:color="auto"/>
              <w:left w:val="nil"/>
              <w:bottom w:val="single" w:sz="4" w:space="0" w:color="auto"/>
              <w:right w:val="nil"/>
            </w:tcBorders>
            <w:vAlign w:val="center"/>
          </w:tcPr>
          <w:p w14:paraId="598F678B"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Electro-Fenton process</w:t>
            </w:r>
          </w:p>
          <w:p w14:paraId="6D8418A9"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7FB2EB13" w14:textId="77777777" w:rsidR="004C6915" w:rsidRPr="00EE6A8D" w:rsidRDefault="004C6915" w:rsidP="00F43064">
            <w:pPr>
              <w:spacing w:after="0" w:line="240" w:lineRule="auto"/>
              <w:jc w:val="center"/>
              <w:rPr>
                <w:rFonts w:cs="Times New Roman"/>
                <w:bCs/>
                <w:sz w:val="22"/>
                <w:lang w:val="en-IN"/>
              </w:rPr>
            </w:pPr>
            <w:r w:rsidRPr="00EE6A8D">
              <w:rPr>
                <w:rFonts w:cs="Times New Roman"/>
                <w:bCs/>
                <w:sz w:val="22"/>
              </w:rPr>
              <w:t>Florfenicol</w:t>
            </w:r>
          </w:p>
        </w:tc>
        <w:tc>
          <w:tcPr>
            <w:tcW w:w="1101" w:type="dxa"/>
            <w:tcBorders>
              <w:top w:val="single" w:sz="4" w:space="0" w:color="auto"/>
              <w:left w:val="nil"/>
              <w:bottom w:val="single" w:sz="4" w:space="0" w:color="auto"/>
              <w:right w:val="nil"/>
            </w:tcBorders>
            <w:vAlign w:val="center"/>
            <w:hideMark/>
          </w:tcPr>
          <w:p w14:paraId="0DF13676"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1</w:t>
            </w:r>
          </w:p>
        </w:tc>
        <w:tc>
          <w:tcPr>
            <w:tcW w:w="1803" w:type="dxa"/>
            <w:tcBorders>
              <w:top w:val="single" w:sz="4" w:space="0" w:color="auto"/>
              <w:left w:val="nil"/>
              <w:bottom w:val="single" w:sz="4" w:space="0" w:color="auto"/>
              <w:right w:val="nil"/>
            </w:tcBorders>
            <w:vAlign w:val="center"/>
            <w:hideMark/>
          </w:tcPr>
          <w:p w14:paraId="79C2F866"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FeCl</w:t>
            </w:r>
            <w:r w:rsidRPr="00EE6A8D">
              <w:rPr>
                <w:rFonts w:cs="Times New Roman"/>
                <w:sz w:val="22"/>
                <w:vertAlign w:val="subscript"/>
                <w:lang w:val="en-IN"/>
              </w:rPr>
              <w:t>3</w:t>
            </w:r>
          </w:p>
        </w:tc>
        <w:tc>
          <w:tcPr>
            <w:tcW w:w="3105" w:type="dxa"/>
            <w:tcBorders>
              <w:top w:val="single" w:sz="4" w:space="0" w:color="auto"/>
              <w:left w:val="nil"/>
              <w:bottom w:val="single" w:sz="4" w:space="0" w:color="auto"/>
              <w:right w:val="nil"/>
            </w:tcBorders>
            <w:vAlign w:val="center"/>
            <w:hideMark/>
          </w:tcPr>
          <w:p w14:paraId="47C04F59" w14:textId="716D1EFB"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Pr>
                <w:rFonts w:cs="Times New Roman"/>
                <w:sz w:val="22"/>
                <w:lang w:val="en-IN"/>
              </w:rPr>
              <w:t xml:space="preserve"> </w:t>
            </w:r>
            <w:r w:rsidRPr="00EE6A8D">
              <w:rPr>
                <w:rFonts w:cs="Times New Roman"/>
                <w:sz w:val="22"/>
                <w:lang w:val="en-IN"/>
              </w:rPr>
              <w:t>=</w:t>
            </w:r>
            <w:r>
              <w:rPr>
                <w:rFonts w:cs="Times New Roman"/>
                <w:sz w:val="22"/>
              </w:rPr>
              <w:t xml:space="preserve"> </w:t>
            </w:r>
            <w:proofErr w:type="spellStart"/>
            <w:r>
              <w:rPr>
                <w:rFonts w:cs="Times New Roman"/>
                <w:sz w:val="22"/>
              </w:rPr>
              <w:t>n.a.</w:t>
            </w:r>
            <w:r w:rsidRPr="00463D33">
              <w:rPr>
                <w:rFonts w:cs="Times New Roman"/>
                <w:sz w:val="22"/>
                <w:vertAlign w:val="superscript"/>
              </w:rPr>
              <w:t>c</w:t>
            </w:r>
            <w:proofErr w:type="spellEnd"/>
            <w:r w:rsidRPr="00EE6A8D">
              <w:rPr>
                <w:rFonts w:cs="Times New Roman"/>
                <w:sz w:val="22"/>
              </w:rPr>
              <w:t>,</w:t>
            </w:r>
            <w:r w:rsidRPr="00EE6A8D">
              <w:rPr>
                <w:rFonts w:cs="Times New Roman"/>
                <w:sz w:val="22"/>
                <w:lang w:val="en-IN"/>
              </w:rPr>
              <w:t xml:space="preserve"> Time</w:t>
            </w:r>
            <w:r>
              <w:rPr>
                <w:rFonts w:cs="Times New Roman"/>
                <w:sz w:val="22"/>
                <w:lang w:val="en-IN"/>
              </w:rPr>
              <w:t xml:space="preserve"> </w:t>
            </w:r>
            <w:r w:rsidRPr="00EE6A8D">
              <w:rPr>
                <w:rFonts w:cs="Times New Roman"/>
                <w:sz w:val="22"/>
                <w:lang w:val="en-IN"/>
              </w:rPr>
              <w:t>=</w:t>
            </w:r>
            <w:r>
              <w:rPr>
                <w:rFonts w:cs="Times New Roman"/>
                <w:sz w:val="22"/>
                <w:lang w:val="en-IN"/>
              </w:rPr>
              <w:t xml:space="preserve"> </w:t>
            </w:r>
            <w:r w:rsidRPr="00EE6A8D">
              <w:rPr>
                <w:rFonts w:cs="Times New Roman"/>
                <w:sz w:val="22"/>
                <w:lang w:val="en-IN"/>
              </w:rPr>
              <w:t>5</w:t>
            </w:r>
            <w:r>
              <w:rPr>
                <w:rFonts w:cs="Times New Roman"/>
                <w:sz w:val="22"/>
                <w:lang w:val="en-IN"/>
              </w:rPr>
              <w:t xml:space="preserve"> </w:t>
            </w:r>
            <w:r w:rsidRPr="00EE6A8D">
              <w:rPr>
                <w:rFonts w:cs="Times New Roman"/>
                <w:sz w:val="22"/>
                <w:lang w:val="en-IN"/>
              </w:rPr>
              <w:t>h</w:t>
            </w:r>
          </w:p>
        </w:tc>
        <w:tc>
          <w:tcPr>
            <w:tcW w:w="1485" w:type="dxa"/>
            <w:tcBorders>
              <w:top w:val="single" w:sz="4" w:space="0" w:color="auto"/>
              <w:left w:val="nil"/>
              <w:bottom w:val="single" w:sz="4" w:space="0" w:color="auto"/>
              <w:right w:val="nil"/>
            </w:tcBorders>
            <w:vAlign w:val="center"/>
            <w:hideMark/>
          </w:tcPr>
          <w:p w14:paraId="1A2FC7D4" w14:textId="61C7C33C"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90</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3611D16E" w14:textId="4D5491E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{"citationItems":[{"id":"ITEM-1","itemData":{"DOI":"10.1021/acs.est.8b01894","ISSN":"15205851","abstract":"The removal of low-concentration antibiotics from water to alleviate the potential threat of antibiotic-resistant bacteria and genes calls for the development of advanced treatment technologies with high efficiency. In this study, a novel graphene modified electro-Fenton (e-Fenton) catalytic membrane (EFCM) was fabricated for in situ degradation of low-concentration antibiotic florfenicol. The removal efficiency was 90%, much higher than that of electrochemical filtration (50%) and single filtration process (27%). This demonstrated that EFCM acted not only as a cathode for e-Fenton oxidation process in a continuous mode but also as a membrane barrier to concentrate and enhance the mass transfer of florfenicol, which increased its oxidation chances. The removal rate of florfenicol by EFCM was much higher (10.2 ± 0.1 mg m-2 h-1) than single filtration (2.5 ± 0.1 mg m-2 h-1) or batch e-Fenton processes (4.3 ± 0.05 mg m-2 h-1). Long-term operation and fouling experiment further demonstrated the durability and antifouling property of EFCM. Four main degradation pathways of florfenicol were proposed by tracking the degradation byproducts. The above results highlighted the feasibility of this integrated membrane catalysis process for advanced water purification.","author":[{"dropping-particle":"","family":"Jiang","given":"Wen Li","non-dropping-particle":"","parse-names":false,"suffix":""},{"dropping-particle":"","family":"Xia","given":"Xue","non-dropping-particle":"","parse-names":false,"suffix":""},{"dropping-particle":"","family":"Han","given":"Jing Long","non-dropping-particle":"","parse-names":false,"suffix":""},{"dropping-particle":"","family":"Ding","given":"Yang Cheng","non-dropping-particle":"","parse-names":false,"suffix":""},{"dropping-particle":"","family":"Haider","given":"Muhammad Rizwan","non-dropping-particle":"","parse-names":false,"suffix":""},{"dropping-particle":"","family":"Wang","given":"Ai Jie","non-dropping-particle":"","parse-names":false,"suffix":""}],"container-title":"Environmental Science and Technology","id":"ITEM-1","issue":"17","issued":{"date-parts":[["2018"]]},"page":"9972-9982","title":"Graphene Modified Electro-Fenton Catalytic Membrane for in Situ Degradation of Antibiotic Florfenicol","type":"article-journal","volume":"52"},"uris":["http://www.mendeley.com/documents/?uuid=e60d177d-479a-4a65-bb79-ffb71053ff19","http://www.mendeley.com/documents/?uuid=9907f861-1209-4109-a2a1-4b67f33bd8f0"]}],"mendeley":{"formattedCitation":"(Jiang et al., 2018)","plainTextFormattedCitation":"(Jiang et al., 2018)","previouslyFormattedCitation":"(Jiang et al., 2018)"},"properties":{"noteIndex":0},"schema":"https://github.com/citation-style-language/schema/raw/master/csl-citation.json"}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(Jiang et al., 2018)</w:t>
            </w:r>
            <w:r w:rsidRPr="00EE6A8D">
              <w:rPr>
                <w:rFonts w:cs="Times New Roman"/>
                <w:sz w:val="22"/>
                <w:lang w:val="en-IN"/>
              </w:rPr>
              <w:fldChar w:fldCharType="end"/>
            </w:r>
          </w:p>
        </w:tc>
      </w:tr>
      <w:tr w:rsidR="004C6915" w:rsidRPr="00EE6A8D" w14:paraId="09E80EDD"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57460077"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338CC2C7" w14:textId="77777777" w:rsidR="004C6915" w:rsidRPr="00EE6A8D" w:rsidRDefault="004C6915" w:rsidP="00F43064">
            <w:pPr>
              <w:spacing w:after="0" w:line="240" w:lineRule="auto"/>
              <w:jc w:val="center"/>
              <w:rPr>
                <w:rFonts w:cs="Times New Roman"/>
                <w:bCs/>
                <w:sz w:val="22"/>
              </w:rPr>
            </w:pPr>
            <w:r w:rsidRPr="00EE6A8D">
              <w:rPr>
                <w:rFonts w:cs="Times New Roman"/>
                <w:bCs/>
                <w:sz w:val="22"/>
              </w:rPr>
              <w:t>Phenol</w:t>
            </w:r>
          </w:p>
        </w:tc>
        <w:tc>
          <w:tcPr>
            <w:tcW w:w="1101" w:type="dxa"/>
            <w:tcBorders>
              <w:top w:val="single" w:sz="4" w:space="0" w:color="auto"/>
              <w:left w:val="nil"/>
              <w:bottom w:val="single" w:sz="4" w:space="0" w:color="auto"/>
              <w:right w:val="nil"/>
            </w:tcBorders>
            <w:vAlign w:val="center"/>
            <w:hideMark/>
          </w:tcPr>
          <w:p w14:paraId="3A191533"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100</w:t>
            </w:r>
          </w:p>
        </w:tc>
        <w:tc>
          <w:tcPr>
            <w:tcW w:w="1803" w:type="dxa"/>
            <w:tcBorders>
              <w:top w:val="single" w:sz="4" w:space="0" w:color="auto"/>
              <w:left w:val="nil"/>
              <w:bottom w:val="single" w:sz="4" w:space="0" w:color="auto"/>
              <w:right w:val="nil"/>
            </w:tcBorders>
            <w:vAlign w:val="center"/>
            <w:hideMark/>
          </w:tcPr>
          <w:p w14:paraId="6F4F1540"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47EF1C47" w14:textId="0A283C73"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Pr>
                <w:rFonts w:cs="Times New Roman"/>
                <w:sz w:val="22"/>
                <w:lang w:val="en-IN"/>
              </w:rPr>
              <w:t xml:space="preserve"> </w:t>
            </w:r>
            <w:r w:rsidRPr="00EE6A8D">
              <w:rPr>
                <w:rFonts w:cs="Times New Roman"/>
                <w:sz w:val="22"/>
                <w:lang w:val="en-IN"/>
              </w:rPr>
              <w:t xml:space="preserve">= 0.1 mM, </w:t>
            </w:r>
            <w:r w:rsidRPr="00EE6A8D">
              <w:rPr>
                <w:rFonts w:cs="Times New Roman"/>
                <w:sz w:val="22"/>
              </w:rPr>
              <w:t>Time</w:t>
            </w:r>
            <w:r>
              <w:rPr>
                <w:rFonts w:cs="Times New Roman"/>
                <w:sz w:val="22"/>
              </w:rPr>
              <w:t xml:space="preserve"> </w:t>
            </w:r>
            <w:r w:rsidRPr="00EE6A8D">
              <w:rPr>
                <w:rFonts w:cs="Times New Roman"/>
                <w:sz w:val="22"/>
              </w:rPr>
              <w:t xml:space="preserve">= </w:t>
            </w:r>
            <w:r>
              <w:rPr>
                <w:rFonts w:cs="Times New Roman"/>
                <w:sz w:val="22"/>
              </w:rPr>
              <w:t>60 min</w:t>
            </w:r>
          </w:p>
        </w:tc>
        <w:tc>
          <w:tcPr>
            <w:tcW w:w="1485" w:type="dxa"/>
            <w:tcBorders>
              <w:top w:val="single" w:sz="4" w:space="0" w:color="auto"/>
              <w:left w:val="nil"/>
              <w:bottom w:val="single" w:sz="4" w:space="0" w:color="auto"/>
              <w:right w:val="nil"/>
            </w:tcBorders>
            <w:vAlign w:val="center"/>
            <w:hideMark/>
          </w:tcPr>
          <w:p w14:paraId="5878DCEF"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93</w:t>
            </w:r>
          </w:p>
        </w:tc>
        <w:tc>
          <w:tcPr>
            <w:tcW w:w="2103" w:type="dxa"/>
            <w:tcBorders>
              <w:top w:val="single" w:sz="4" w:space="0" w:color="auto"/>
              <w:left w:val="nil"/>
              <w:bottom w:val="single" w:sz="4" w:space="0" w:color="auto"/>
              <w:right w:val="nil"/>
            </w:tcBorders>
            <w:vAlign w:val="center"/>
            <w:hideMark/>
          </w:tcPr>
          <w:p w14:paraId="2FC09384" w14:textId="29D0584F"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{"citationItems":[{"id":"ITEM-1","itemData":{"DOI":"10.1061/(ASCE)EE.1943-7870.0000517","ISSN":"07339372","abstract":"A modified version of the electro-Fenton process was evaluated for the degradation of phenol in an aqueous solution with bipolar graphite electrodes and activated carbon. The effects on reaction parameters including the pH value of the solution, the dosage of ferrous ion, and the current density within the solution on the removal of phenol and CODCr at various reaction times were evaluated for the treatment of wastewater containing phenol of 100-mg/L and granular activated carbon (GAC) of 333-g/L at 25±1°C. Removal mechanisms were also investigated by analyzing intermediate products by using high performance liquid chromatography (HPLC) and Gas chromatography-mass spectrometry (GC-MS). Results showed that removal efficiencies of phenol and CODCr were 93 and 65%, respectively at a pH of 3.0, a current density of 3.75-mA/cm2, a dosage of ferrous ion of 0.10-mM, and a reaction duration of 60 min. When the reaction time was increased to 180 min, the phenol concentration in the wastewater was below the detection limit. Phenol removal efficiency decreased significantly when Na2CO3, a hydroxide radical scavenger, was added in the reactor. This indicates that both electro catalytic oxidation and radical oxidation contributed to the degradation of phenol. The removal efficiency of phenol achieved 39, 65, and 93% at a reaction time of 60 min when the traditional electrolysis, the traditional electro-Fenton process, and the modified electro-Fenton process were used, respectively. © 2012 American Society of Civil Engineers.","author":[{"dropping-particle":"","family":"Yang","given":"Chunping","non-dropping-particle":"","parse-names":false,"suffix":""},{"dropping-particle":"","family":"Liu","given":"Huanyu","non-dropping-particle":"","parse-names":false,"suffix":""},{"dropping-particle":"","family":"Luo","given":"Shenglian","non-dropping-particle":"","parse-names":false,"suffix":""},{"dropping-particle":"","family":"Chen","given":"Xiong","non-dropping-particle":"","parse-names":false,"suffix":""},{"dropping-particle":"","family":"He","given":"Huijun","non-dropping-particle":"","parse-names":false,"suffix":""}],"container-title":"Journal of Environmental Engineering (United States)","id":"ITEM-1","issue":"6","issued":{"date-parts":[["2012"]]},"page":"613-619","title":"Performance of modified electro-Fenton process for phenol degradation using bipolar graphite electrodes and activated carbon","type":"article-journal","volume":"138"},"uris":["http://www.mendeley.com/documents/?uuid=2627e6b0-f648-4c38-84fd-b38ccb5c40f8","http://www.mendeley.com/documents/?uuid=fb4d73a3-b751-420d-81bf-138c73179991"]}],"mendeley":{"formattedCitation":"(Yang et al., 2012)","plainTextFormattedCitation":"(Yang et al., 2012)","previouslyFormattedCitation":"(Yang et al., 2012)"},"properties":{"noteIndex":0},"schema":"https://github.com/citation-style-language/schema/raw/master/csl-citation.json"}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(Yang et al., 2012)</w:t>
            </w:r>
            <w:r w:rsidRPr="00EE6A8D">
              <w:rPr>
                <w:rFonts w:cs="Times New Roman"/>
                <w:sz w:val="22"/>
                <w:lang w:val="en-IN"/>
              </w:rPr>
              <w:fldChar w:fldCharType="end"/>
            </w:r>
          </w:p>
        </w:tc>
      </w:tr>
      <w:tr w:rsidR="004C6915" w:rsidRPr="00EE6A8D" w14:paraId="4E2ABA40"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268EFAF2"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563DD467" w14:textId="77777777" w:rsidR="004C6915" w:rsidRPr="00EE6A8D" w:rsidRDefault="004C6915" w:rsidP="00F43064">
            <w:pPr>
              <w:spacing w:after="0" w:line="240" w:lineRule="auto"/>
              <w:jc w:val="center"/>
              <w:rPr>
                <w:rFonts w:cs="Times New Roman"/>
                <w:bCs/>
                <w:sz w:val="22"/>
              </w:rPr>
            </w:pPr>
            <w:r w:rsidRPr="00EE6A8D">
              <w:rPr>
                <w:rFonts w:cs="Times New Roman"/>
                <w:bCs/>
                <w:sz w:val="22"/>
              </w:rPr>
              <w:t>Phenol</w:t>
            </w:r>
          </w:p>
        </w:tc>
        <w:tc>
          <w:tcPr>
            <w:tcW w:w="1101" w:type="dxa"/>
            <w:tcBorders>
              <w:top w:val="single" w:sz="4" w:space="0" w:color="auto"/>
              <w:left w:val="nil"/>
              <w:bottom w:val="single" w:sz="4" w:space="0" w:color="auto"/>
              <w:right w:val="nil"/>
            </w:tcBorders>
            <w:vAlign w:val="center"/>
            <w:hideMark/>
          </w:tcPr>
          <w:p w14:paraId="1D0A5FFE"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94.11</w:t>
            </w:r>
          </w:p>
        </w:tc>
        <w:tc>
          <w:tcPr>
            <w:tcW w:w="1803" w:type="dxa"/>
            <w:tcBorders>
              <w:top w:val="single" w:sz="4" w:space="0" w:color="auto"/>
              <w:left w:val="nil"/>
              <w:bottom w:val="single" w:sz="4" w:space="0" w:color="auto"/>
              <w:right w:val="nil"/>
            </w:tcBorders>
            <w:vAlign w:val="center"/>
            <w:hideMark/>
          </w:tcPr>
          <w:p w14:paraId="32114E51"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5CF6585C" w14:textId="4B6AC8C8"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Pr>
                <w:rFonts w:cs="Times New Roman"/>
                <w:sz w:val="22"/>
                <w:lang w:val="en-IN"/>
              </w:rPr>
              <w:t xml:space="preserve"> </w:t>
            </w:r>
            <w:r w:rsidRPr="00EE6A8D">
              <w:rPr>
                <w:rFonts w:cs="Times New Roman"/>
                <w:sz w:val="22"/>
                <w:lang w:val="en-IN"/>
              </w:rPr>
              <w:t>= 0.1 mM</w:t>
            </w:r>
            <w:r w:rsidRPr="00EE6A8D">
              <w:rPr>
                <w:rFonts w:cs="Times New Roman"/>
                <w:sz w:val="22"/>
              </w:rPr>
              <w:t>, Time</w:t>
            </w:r>
            <w:r>
              <w:rPr>
                <w:rFonts w:cs="Times New Roman"/>
                <w:sz w:val="22"/>
              </w:rPr>
              <w:t xml:space="preserve"> </w:t>
            </w:r>
            <w:r w:rsidRPr="00EE6A8D">
              <w:rPr>
                <w:rFonts w:cs="Times New Roman"/>
                <w:sz w:val="22"/>
              </w:rPr>
              <w:t>=</w:t>
            </w:r>
            <w:r>
              <w:rPr>
                <w:rFonts w:cs="Times New Roman"/>
                <w:sz w:val="22"/>
              </w:rPr>
              <w:t xml:space="preserve"> </w:t>
            </w:r>
            <w:r w:rsidRPr="00EE6A8D">
              <w:rPr>
                <w:rFonts w:cs="Times New Roman"/>
                <w:sz w:val="22"/>
              </w:rPr>
              <w:t>7</w:t>
            </w:r>
            <w:r>
              <w:rPr>
                <w:rFonts w:cs="Times New Roman"/>
                <w:sz w:val="22"/>
              </w:rPr>
              <w:t xml:space="preserve"> </w:t>
            </w:r>
            <w:r w:rsidRPr="00EE6A8D">
              <w:rPr>
                <w:rFonts w:cs="Times New Roman"/>
                <w:sz w:val="22"/>
              </w:rPr>
              <w:t>h</w:t>
            </w:r>
          </w:p>
        </w:tc>
        <w:tc>
          <w:tcPr>
            <w:tcW w:w="1485" w:type="dxa"/>
            <w:tcBorders>
              <w:top w:val="single" w:sz="4" w:space="0" w:color="auto"/>
              <w:left w:val="nil"/>
              <w:bottom w:val="single" w:sz="4" w:space="0" w:color="auto"/>
              <w:right w:val="nil"/>
            </w:tcBorders>
            <w:vAlign w:val="center"/>
            <w:hideMark/>
          </w:tcPr>
          <w:p w14:paraId="6D2541D4" w14:textId="4799B1DC" w:rsidR="004C6915" w:rsidRPr="00EE6A8D" w:rsidRDefault="004C6915" w:rsidP="00F43064">
            <w:pPr>
              <w:spacing w:after="0" w:line="240" w:lineRule="auto"/>
              <w:jc w:val="center"/>
              <w:rPr>
                <w:rFonts w:cs="Times New Roman"/>
                <w:sz w:val="22"/>
                <w:lang w:val="en-IN"/>
              </w:rPr>
            </w:pPr>
            <w:r w:rsidRPr="00EE6A8D">
              <w:rPr>
                <w:rFonts w:cs="Times New Roman"/>
                <w:bCs/>
                <w:sz w:val="22"/>
              </w:rPr>
              <w:t>~</w:t>
            </w:r>
            <w:r w:rsidRPr="00EE6A8D">
              <w:rPr>
                <w:rFonts w:cs="Times New Roman"/>
                <w:sz w:val="22"/>
                <w:lang w:val="en-IN"/>
              </w:rPr>
              <w:t>100</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495B49CB" w14:textId="675330D8"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{"citationItems":[{"id":"ITEM-1","itemData":{"DOI":"10.1016/j.apcatb.2008.02.011","ISSN":"09263373","abstract":"Oxidation of phenol in aqueous media by electro-Fenton process using carbon felt cathode has been studied. The salts of iron, cobalt, manganese, and copper were used to provide the metal cations as catalyst of Fenton reaction to produce hydroxyl radicals. 10-4 M of soluble iron(II) sulfate salt supplied the optimum catalytic condition, allowing to remove 100% of total organic carbon (TOC) of aqueous phenol solutions. The main reaction intermediates formed during electro-Fenton treatment were identified as hydroquinone, p-benzoquinone, and catechol. Carboxylic acids such as maleic, fumaric, succinic, glyoxylic, oxalic, and formic were predominantly identified as end products, before complete mineralization. The absolute rate constant of phenol degradation by hydroxyl radicals was obtained in acid medium (2.5 &lt; pH &lt; 3.0), being equal to (2.62 ± 0.23) × 109 M-1 s-1. Experiments with electro-Fenton oxidation of each aromatic intermediate allowed to propose a complete mineralization pathway. © 2008 Elsevier B.V. All rights reserved.","author":[{"dropping-particle":"","family":"Pimentel","given":"Marcio","non-dropping-particle":"","parse-names":false,"suffix":""},{"dropping-particle":"","family":"Oturan","given":"Nihal","non-dropping-particle":"","parse-names":false,"suffix":""},{"dropping-particle":"","family":"Dezotti","given":"Marcia","non-dropping-particle":"","parse-names":false,"suffix":""},{"dropping-particle":"","family":"Oturan","given":"Mehmet A.","non-dropping-particle":"","parse-names":false,"suffix":""}],"container-title":"Applied Catalysis B: Environmental","id":"ITEM-1","issue":"1-2","issued":{"date-parts":[["2008"]]},"page":"140-149","title":"Phenol degradation by advanced electrochemical oxidation process electro-Fenton using a carbon felt cathode","type":"article-journal","volume":"83"},"uris":["http://www.mendeley.com/documents/?uuid=f15b28f9-0d7c-4185-a550-ba8e1c5d8914","http://www.mendeley.com/documents/?uuid=6d6501f2-d599-4ef5-90ed-0eef73a80358"]}],"mendeley":{"formattedCitation":"(Pimentel et al., 2008)","plainTextFormattedCitation":"(Pimentel et al., 2008)","previouslyFormattedCitation":"(Pimentel et al., 2008)"},"properties":{"noteIndex":0},"schema":"https://github.com/citation-style-language/schema/raw/master/csl-citation.json"}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(Pimentel et al., 2008)</w:t>
            </w:r>
            <w:r w:rsidRPr="00EE6A8D">
              <w:rPr>
                <w:rFonts w:cs="Times New Roman"/>
                <w:sz w:val="22"/>
                <w:lang w:val="en-IN"/>
              </w:rPr>
              <w:fldChar w:fldCharType="end"/>
            </w:r>
          </w:p>
        </w:tc>
      </w:tr>
      <w:tr w:rsidR="004C6915" w:rsidRPr="00EE6A8D" w14:paraId="6A62BC3C" w14:textId="77777777" w:rsidTr="00F43064">
        <w:trPr>
          <w:trHeight w:val="18"/>
          <w:jc w:val="center"/>
        </w:trPr>
        <w:tc>
          <w:tcPr>
            <w:tcW w:w="1903" w:type="dxa"/>
            <w:vMerge w:val="restart"/>
            <w:tcBorders>
              <w:top w:val="single" w:sz="4" w:space="0" w:color="auto"/>
              <w:left w:val="nil"/>
              <w:bottom w:val="single" w:sz="4" w:space="0" w:color="auto"/>
              <w:right w:val="nil"/>
            </w:tcBorders>
            <w:vAlign w:val="center"/>
          </w:tcPr>
          <w:p w14:paraId="58380A5B" w14:textId="77777777" w:rsidR="004C6915" w:rsidRPr="00EE6A8D" w:rsidRDefault="004C6915" w:rsidP="00F43064">
            <w:pPr>
              <w:spacing w:after="0" w:line="240" w:lineRule="auto"/>
              <w:jc w:val="center"/>
              <w:rPr>
                <w:rFonts w:cs="Times New Roman"/>
                <w:sz w:val="22"/>
                <w:lang w:val="en-IN"/>
              </w:rPr>
            </w:pPr>
            <w:proofErr w:type="spellStart"/>
            <w:r w:rsidRPr="00EE6A8D">
              <w:rPr>
                <w:rFonts w:cs="Times New Roman"/>
                <w:sz w:val="22"/>
                <w:lang w:val="en-IN"/>
              </w:rPr>
              <w:t>Sono</w:t>
            </w:r>
            <w:proofErr w:type="spellEnd"/>
            <w:r w:rsidRPr="00EE6A8D">
              <w:rPr>
                <w:rFonts w:cs="Times New Roman"/>
                <w:sz w:val="22"/>
                <w:lang w:val="en-IN"/>
              </w:rPr>
              <w:t>-Fenton process</w:t>
            </w:r>
          </w:p>
          <w:p w14:paraId="78F22E7B"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7DEE1453" w14:textId="748BA395"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2-</w:t>
            </w:r>
            <w:r w:rsidR="006C10EC">
              <w:rPr>
                <w:rFonts w:cs="Times New Roman"/>
                <w:bCs/>
                <w:sz w:val="22"/>
                <w:lang w:val="en-IN"/>
              </w:rPr>
              <w:t>C</w:t>
            </w:r>
            <w:r w:rsidRPr="00EE6A8D">
              <w:rPr>
                <w:rFonts w:cs="Times New Roman"/>
                <w:bCs/>
                <w:sz w:val="22"/>
                <w:lang w:val="en-IN"/>
              </w:rPr>
              <w:t>hlorophenol</w:t>
            </w:r>
          </w:p>
        </w:tc>
        <w:tc>
          <w:tcPr>
            <w:tcW w:w="1101" w:type="dxa"/>
            <w:tcBorders>
              <w:top w:val="single" w:sz="4" w:space="0" w:color="auto"/>
              <w:left w:val="nil"/>
              <w:bottom w:val="single" w:sz="4" w:space="0" w:color="auto"/>
              <w:right w:val="nil"/>
            </w:tcBorders>
            <w:vAlign w:val="center"/>
            <w:hideMark/>
          </w:tcPr>
          <w:p w14:paraId="318EA6DE"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100</w:t>
            </w:r>
          </w:p>
        </w:tc>
        <w:tc>
          <w:tcPr>
            <w:tcW w:w="1803" w:type="dxa"/>
            <w:tcBorders>
              <w:top w:val="single" w:sz="4" w:space="0" w:color="auto"/>
              <w:left w:val="nil"/>
              <w:bottom w:val="single" w:sz="4" w:space="0" w:color="auto"/>
              <w:right w:val="nil"/>
            </w:tcBorders>
            <w:vAlign w:val="center"/>
            <w:hideMark/>
          </w:tcPr>
          <w:p w14:paraId="48A47015"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Iron powder</w:t>
            </w:r>
          </w:p>
        </w:tc>
        <w:tc>
          <w:tcPr>
            <w:tcW w:w="3105" w:type="dxa"/>
            <w:tcBorders>
              <w:top w:val="single" w:sz="4" w:space="0" w:color="auto"/>
              <w:left w:val="nil"/>
              <w:bottom w:val="single" w:sz="4" w:space="0" w:color="auto"/>
              <w:right w:val="nil"/>
            </w:tcBorders>
            <w:vAlign w:val="center"/>
            <w:hideMark/>
          </w:tcPr>
          <w:p w14:paraId="676CC2DF" w14:textId="199A3453" w:rsidR="004C6915" w:rsidRPr="00EE6A8D" w:rsidRDefault="004C6915" w:rsidP="00F43064">
            <w:pPr>
              <w:spacing w:after="0" w:line="240" w:lineRule="auto"/>
              <w:jc w:val="center"/>
              <w:rPr>
                <w:rFonts w:cs="Times New Roman"/>
                <w:sz w:val="22"/>
              </w:rPr>
            </w:pPr>
            <w:r w:rsidRPr="00EE6A8D">
              <w:rPr>
                <w:rFonts w:cs="Times New Roman"/>
                <w:sz w:val="22"/>
                <w:lang w:val="en-IN"/>
              </w:rPr>
              <w:t xml:space="preserve">Catalyst dosage= 1 </w:t>
            </w:r>
            <w:r w:rsidRPr="006615AD">
              <w:rPr>
                <w:rFonts w:cs="Times New Roman"/>
                <w:sz w:val="22"/>
              </w:rPr>
              <w:t>g L</w:t>
            </w:r>
            <w:r w:rsidR="00AD4543">
              <w:rPr>
                <w:rFonts w:cs="Times New Roman"/>
                <w:bCs/>
                <w:color w:val="000000" w:themeColor="text1"/>
                <w:szCs w:val="24"/>
                <w:vertAlign w:val="superscript"/>
                <w:lang w:val="en-IN"/>
              </w:rPr>
              <w:t>‒</w:t>
            </w:r>
            <w:r w:rsidRPr="006615AD">
              <w:rPr>
                <w:rFonts w:cs="Times New Roman"/>
                <w:sz w:val="22"/>
                <w:vertAlign w:val="superscript"/>
              </w:rPr>
              <w:t>1</w:t>
            </w:r>
            <w:r w:rsidRPr="00EE6A8D">
              <w:rPr>
                <w:rFonts w:cs="Times New Roman"/>
                <w:sz w:val="22"/>
                <w:lang w:val="en-IN"/>
              </w:rPr>
              <w:t xml:space="preserve">, </w:t>
            </w:r>
            <w:r w:rsidRPr="00EE6A8D">
              <w:rPr>
                <w:rFonts w:cs="Times New Roman"/>
                <w:sz w:val="22"/>
              </w:rPr>
              <w:t>US frequency</w:t>
            </w:r>
            <w:r>
              <w:rPr>
                <w:rFonts w:cs="Times New Roman"/>
                <w:sz w:val="22"/>
              </w:rPr>
              <w:t xml:space="preserve"> </w:t>
            </w:r>
            <w:r w:rsidRPr="00EE6A8D">
              <w:rPr>
                <w:rFonts w:cs="Times New Roman"/>
                <w:sz w:val="22"/>
              </w:rPr>
              <w:t>= 200 kHz, Time</w:t>
            </w:r>
            <w:r>
              <w:rPr>
                <w:rFonts w:cs="Times New Roman"/>
                <w:sz w:val="22"/>
              </w:rPr>
              <w:t xml:space="preserve"> </w:t>
            </w:r>
            <w:r w:rsidRPr="00EE6A8D">
              <w:rPr>
                <w:rFonts w:cs="Times New Roman"/>
                <w:sz w:val="22"/>
              </w:rPr>
              <w:t>= 60</w:t>
            </w:r>
            <w:r>
              <w:rPr>
                <w:rFonts w:cs="Times New Roman"/>
                <w:sz w:val="22"/>
              </w:rPr>
              <w:t xml:space="preserve"> </w:t>
            </w:r>
            <w:r w:rsidRPr="00EE6A8D">
              <w:rPr>
                <w:rFonts w:cs="Times New Roman"/>
                <w:sz w:val="22"/>
              </w:rPr>
              <w:t>min</w:t>
            </w:r>
          </w:p>
        </w:tc>
        <w:tc>
          <w:tcPr>
            <w:tcW w:w="1485" w:type="dxa"/>
            <w:tcBorders>
              <w:top w:val="single" w:sz="4" w:space="0" w:color="auto"/>
              <w:left w:val="nil"/>
              <w:bottom w:val="single" w:sz="4" w:space="0" w:color="auto"/>
              <w:right w:val="nil"/>
            </w:tcBorders>
            <w:vAlign w:val="center"/>
            <w:hideMark/>
          </w:tcPr>
          <w:p w14:paraId="1B7B0BC7" w14:textId="4037B693" w:rsidR="004C6915" w:rsidRPr="00EE6A8D" w:rsidRDefault="004C6915" w:rsidP="00F43064">
            <w:pPr>
              <w:spacing w:after="0" w:line="240" w:lineRule="auto"/>
              <w:jc w:val="center"/>
              <w:rPr>
                <w:rFonts w:cs="Times New Roman"/>
                <w:sz w:val="22"/>
                <w:lang w:val="en-IN"/>
              </w:rPr>
            </w:pPr>
            <w:r w:rsidRPr="00EE6A8D">
              <w:rPr>
                <w:rFonts w:cs="Times New Roman"/>
                <w:bCs/>
                <w:sz w:val="22"/>
              </w:rPr>
              <w:t>~</w:t>
            </w:r>
            <w:r w:rsidRPr="00EE6A8D">
              <w:rPr>
                <w:rFonts w:cs="Times New Roman"/>
                <w:sz w:val="22"/>
                <w:lang w:val="en-IN"/>
              </w:rPr>
              <w:t>100</w:t>
            </w:r>
          </w:p>
        </w:tc>
        <w:tc>
          <w:tcPr>
            <w:tcW w:w="2103" w:type="dxa"/>
            <w:tcBorders>
              <w:top w:val="single" w:sz="4" w:space="0" w:color="auto"/>
              <w:left w:val="nil"/>
              <w:bottom w:val="single" w:sz="4" w:space="0" w:color="auto"/>
              <w:right w:val="nil"/>
            </w:tcBorders>
            <w:vAlign w:val="center"/>
            <w:hideMark/>
          </w:tcPr>
          <w:p w14:paraId="5A7F8D76" w14:textId="2F05CA10"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{"citationItems":[{"id":"ITEM-1","itemData":{"DOI":"10.1016/j.ultsonch.2006.05.002","ISSN":"13504177","PMID":"16837232","abstract":"Studies on the sonolysis of a wide range of organic compounds have demonstrated that ultrasonic irradiation has potential for decomposition of organic pollutants in hazardous wastewater. However, the ultrasonic irradiation alone cannot provide high enough rate of decomposition to be used practically. One of the solutions to increase the degradation efficiency is to combine the ultrasound application with other advanced chemical oxidation processes (AOPs). In this study, in order to increase the efficiency of ultrasonically assisted degradation of organic pollutants in water, we examined effects of three kinds of solid Fe-containing catalysts, namely iron powder, basic oxygen furnace (BOF) slag and mill scale on the degradation rate of 4-CP (4-chlorophenol) in aqueous solutions containing hydrogen peroxide. In the experiments, 4-CP was considered as a model organic compound. All three Fe-containing matters when react with hydrogen peroxide are involved in the Fenton-like reaction system, which is one of the promising AOPs. The results showed that both the iron powder and mill scale additions can accelerate the degradation of 4-CP, although the effect is dependent on the solution pH. All 4-CP could be decomposed for 2 min at pH = 3 and for 1 h at pH = 5.6. On the other hand, the BOF slag had no catalysis effect on the 4-CP degradation because of higher concentration of calcium and lower concentration of iron. © 2006 Elsevier B.V. All rights reserved.","author":[{"dropping-particle":"","family":"Liang","given":"Jun","non-dropping-particle":"","parse-names":false,"suffix":""},{"dropping-particle":"","family":"Komarov","given":"Sergey","non-dropping-particle":"","parse-names":false,"suffix":""},{"dropping-particle":"","family":"Hayashi","given":"Naohito","non-dropping-particle":"","parse-names":false,"suffix":""},{"dropping-particle":"","family":"Kasai","given":"Eiki","non-dropping-particle":"","parse-names":false,"suffix":""}],"container-title":"Ultrasonics Sonochemistry","id":"ITEM-1","issue":"2","issued":{"date-parts":[["2007"]]},"page":"201-207","title":"Improvement in sonochemical degradation of 4-chlorophenol by combined use of Fenton-like reagents","type":"article-journal","volume":"14"},"uris":["http://www.mendeley.com/documents/?uuid=5ce5af80-03c8-428d-b38a-5929e8fa7609","http://www.mendeley.com/documents/?uuid=b6d1ef38-2481-4282-b683-c25eb4ee37cc"]}],"mendeley":{"formattedCitation":"(Liang et al., 2007)","plainTextFormattedCitation":"(Liang et al., 2007)","previouslyFormattedCitation":"(Liang et al., 2007)"},"properties":{"noteIndex":0},"schema":"https://github.com/citation-style-language/schema/raw/master/csl-citation.json"}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(Liang et al., 2007)</w:t>
            </w:r>
            <w:r w:rsidRPr="00EE6A8D">
              <w:rPr>
                <w:rFonts w:cs="Times New Roman"/>
                <w:sz w:val="22"/>
                <w:lang w:val="en-IN"/>
              </w:rPr>
              <w:fldChar w:fldCharType="end"/>
            </w:r>
          </w:p>
        </w:tc>
      </w:tr>
      <w:tr w:rsidR="004C6915" w:rsidRPr="00EE6A8D" w14:paraId="7134137F"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68DC37DD"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635812F8" w14:textId="77777777" w:rsidR="004C6915" w:rsidRPr="00EE6A8D" w:rsidRDefault="004C6915" w:rsidP="00F43064">
            <w:pPr>
              <w:spacing w:after="0" w:line="240" w:lineRule="auto"/>
              <w:jc w:val="center"/>
              <w:rPr>
                <w:rFonts w:cs="Times New Roman"/>
                <w:bCs/>
                <w:sz w:val="22"/>
                <w:lang w:val="en-IN"/>
              </w:rPr>
            </w:pPr>
            <w:r w:rsidRPr="00EE6A8D">
              <w:rPr>
                <w:rFonts w:cs="Times New Roman"/>
                <w:bCs/>
                <w:sz w:val="22"/>
              </w:rPr>
              <w:t>Malachite green</w:t>
            </w:r>
          </w:p>
        </w:tc>
        <w:tc>
          <w:tcPr>
            <w:tcW w:w="1101" w:type="dxa"/>
            <w:tcBorders>
              <w:top w:val="single" w:sz="4" w:space="0" w:color="auto"/>
              <w:left w:val="nil"/>
              <w:bottom w:val="single" w:sz="4" w:space="0" w:color="auto"/>
              <w:right w:val="nil"/>
            </w:tcBorders>
            <w:vAlign w:val="center"/>
            <w:hideMark/>
          </w:tcPr>
          <w:p w14:paraId="44DC8D55"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200</w:t>
            </w:r>
          </w:p>
        </w:tc>
        <w:tc>
          <w:tcPr>
            <w:tcW w:w="1803" w:type="dxa"/>
            <w:tcBorders>
              <w:top w:val="single" w:sz="4" w:space="0" w:color="auto"/>
              <w:left w:val="nil"/>
              <w:bottom w:val="single" w:sz="4" w:space="0" w:color="auto"/>
              <w:right w:val="nil"/>
            </w:tcBorders>
            <w:vAlign w:val="center"/>
            <w:hideMark/>
          </w:tcPr>
          <w:p w14:paraId="5C26DC87"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59E72166" w14:textId="35188DFE"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Pr>
                <w:rFonts w:cs="Times New Roman"/>
                <w:sz w:val="22"/>
                <w:lang w:val="en-IN"/>
              </w:rPr>
              <w:t xml:space="preserve"> </w:t>
            </w:r>
            <w:r w:rsidRPr="00EE6A8D">
              <w:rPr>
                <w:rFonts w:cs="Times New Roman"/>
                <w:sz w:val="22"/>
                <w:lang w:val="en-IN"/>
              </w:rPr>
              <w:t xml:space="preserve">= </w:t>
            </w:r>
            <w:r w:rsidRPr="00EE6A8D">
              <w:rPr>
                <w:rFonts w:cs="Times New Roman"/>
                <w:sz w:val="22"/>
              </w:rPr>
              <w:t>0.5 mM</w:t>
            </w:r>
            <w:r w:rsidRPr="00EE6A8D">
              <w:rPr>
                <w:rFonts w:cs="Times New Roman"/>
                <w:sz w:val="22"/>
                <w:lang w:val="en-IN"/>
              </w:rPr>
              <w:t xml:space="preserve">, </w:t>
            </w:r>
            <w:r w:rsidRPr="00EE6A8D">
              <w:rPr>
                <w:rFonts w:cs="Times New Roman"/>
                <w:sz w:val="22"/>
              </w:rPr>
              <w:t>US frequency</w:t>
            </w:r>
            <w:r>
              <w:rPr>
                <w:rFonts w:cs="Times New Roman"/>
                <w:sz w:val="22"/>
              </w:rPr>
              <w:t xml:space="preserve"> </w:t>
            </w:r>
            <w:r w:rsidRPr="00EE6A8D">
              <w:rPr>
                <w:rFonts w:cs="Times New Roman"/>
                <w:sz w:val="22"/>
              </w:rPr>
              <w:t>= 25 kHz, Time</w:t>
            </w:r>
            <w:r>
              <w:rPr>
                <w:rFonts w:cs="Times New Roman"/>
                <w:sz w:val="22"/>
              </w:rPr>
              <w:t xml:space="preserve"> </w:t>
            </w:r>
            <w:r w:rsidRPr="00EE6A8D">
              <w:rPr>
                <w:rFonts w:cs="Times New Roman"/>
                <w:sz w:val="22"/>
              </w:rPr>
              <w:t>=</w:t>
            </w:r>
            <w:r>
              <w:rPr>
                <w:rFonts w:cs="Times New Roman"/>
                <w:sz w:val="22"/>
              </w:rPr>
              <w:t xml:space="preserve"> </w:t>
            </w:r>
            <w:r w:rsidRPr="00EE6A8D">
              <w:rPr>
                <w:rFonts w:cs="Times New Roman"/>
                <w:sz w:val="22"/>
              </w:rPr>
              <w:t>60 min</w:t>
            </w:r>
          </w:p>
        </w:tc>
        <w:tc>
          <w:tcPr>
            <w:tcW w:w="1485" w:type="dxa"/>
            <w:tcBorders>
              <w:top w:val="single" w:sz="4" w:space="0" w:color="auto"/>
              <w:left w:val="nil"/>
              <w:bottom w:val="single" w:sz="4" w:space="0" w:color="auto"/>
              <w:right w:val="nil"/>
            </w:tcBorders>
            <w:vAlign w:val="center"/>
            <w:hideMark/>
          </w:tcPr>
          <w:p w14:paraId="7DD89CDD" w14:textId="448B389F" w:rsidR="004C6915" w:rsidRPr="00EE6A8D" w:rsidRDefault="004C6915" w:rsidP="00F43064">
            <w:pPr>
              <w:spacing w:after="0" w:line="240" w:lineRule="auto"/>
              <w:jc w:val="center"/>
              <w:rPr>
                <w:rFonts w:cs="Times New Roman"/>
                <w:sz w:val="22"/>
                <w:lang w:val="en-IN"/>
              </w:rPr>
            </w:pPr>
            <w:r w:rsidRPr="00EE6A8D">
              <w:rPr>
                <w:rFonts w:cs="Times New Roman"/>
                <w:sz w:val="22"/>
              </w:rPr>
              <w:t>79.19</w:t>
            </w:r>
            <w:r w:rsidRPr="00EE6A8D">
              <w:rPr>
                <w:rFonts w:cs="Times New Roman"/>
                <w:sz w:val="22"/>
                <w:vertAlign w:val="superscript"/>
              </w:rPr>
              <w:t>b</w:t>
            </w:r>
          </w:p>
        </w:tc>
        <w:tc>
          <w:tcPr>
            <w:tcW w:w="2103" w:type="dxa"/>
            <w:tcBorders>
              <w:top w:val="single" w:sz="4" w:space="0" w:color="auto"/>
              <w:left w:val="nil"/>
              <w:bottom w:val="single" w:sz="4" w:space="0" w:color="auto"/>
              <w:right w:val="nil"/>
            </w:tcBorders>
            <w:vAlign w:val="center"/>
            <w:hideMark/>
          </w:tcPr>
          <w:p w14:paraId="7A06C803" w14:textId="25EC6095"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{"citationItems":[{"id":"ITEM-1","itemData":{"DOI":"10.1007/s11270-020-4454-9","ISSN":"0049-6979","abstract":"In this work, malachite green was degraded using different advanced oxidation processes (Fenton, photo-Fenton, sono-Fenton and electrochemical process). Malachite green is used as biocide in aquaculture and is usually discarded with the effluents. On higher pollutant concentration, all the Fenton-based reactions achieved excellent absorbance reduction up to 10 min. Classic Fenton was faster after 10 min of reaction and photo-Fenton acting faster before this point. The photocatalytic effect was better on the oxygen demand reduction (COD) with 86.91% against 79.19% of sono-Fenton and 62.72% of Fenton. All four methodologies had excellent absorbance reduction following the order: photo-Fenton (100% up to 30 min) &gt; electrochemical (99.27%) &gt; Fenton (98.11%) &gt; sono-Fenton (73.99%). Despites the slowly initial degradation obtained for electrochemical process, the reaction achieved high capacity after 60 min. Toxicity tests, using Lactuca sativa seeds, indicated a significant reduction in the effluent toxicity following this sequence: sono-Fenton &gt; photo-Fenton &gt; Fenton &gt; electrochemical. The results showed that all processes studied provided high levels of malachite green removal; however, the adequate use of each technique should be conduct with an accurate evaluation of the needed treatment considering the particularity of each method. Such techniques were successfully applied before to remove dye basic blue 99 and the hormone 17-α-methyltestosterone and corroborated by Lactuca sativa toxicity assays. [Figure not available: see fulltext.].","author":[{"dropping-particle":"","family":"Melo","given":"Jéssica M. O.","non-dropping-particle":"","parse-names":false,"suffix":""},{"dropping-particle":"","family":"Duarte","given":"José L. S.","non-dropping-particle":"","parse-names":false,"suffix":""},{"dropping-particle":"","family":"Ferro","given":"Alice B.","non-dropping-particle":"","parse-names":false,"suffix":""},{"dropping-particle":"","family":"Meili","given":"Lucas","non-dropping-particle":"","parse-names":false,"suffix":""},{"dropping-particle":"","family":"Zanta","given":"Carmen L. P. S.","non-dropping-particle":"","parse-names":false,"suffix":""}],"container-title":"Water, Air, &amp; Soil Pollution","id":"ITEM-1","issue":"2","issued":{"date-parts":[["2020","2","6"]]},"page":"79","title":"Comparing Electrochemical and Fenton-Based Processes for Aquaculture Biocide Degradation","type":"article-journal","volume":"231"},"uris":["http://www.mendeley.com/documents/?uuid=34205e53-bf0f-46ed-9980-cdc31a1b8a33","http://www.mendeley.com/documents/?uuid=2722c415-0e9d-407b-bf4e-5b819c97da4f"]}],"mendeley":{"formattedCitation":"(Melo et al., 2020)","plainTextFormattedCitation":"(Melo et al., 2020)","previouslyFormattedCitation":"(Melo et al., 2020)"},"properties":{"noteIndex":0},"schema":"https://github.com/citation-style-language/schema/raw/master/csl-citation.json"}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(Melo et al., 2020)</w:t>
            </w:r>
            <w:r w:rsidRPr="00EE6A8D">
              <w:rPr>
                <w:rFonts w:cs="Times New Roman"/>
                <w:sz w:val="22"/>
                <w:lang w:val="en-IN"/>
              </w:rPr>
              <w:fldChar w:fldCharType="end"/>
            </w:r>
          </w:p>
        </w:tc>
      </w:tr>
      <w:tr w:rsidR="004C6915" w:rsidRPr="00EE6A8D" w14:paraId="097371BC"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75DCEB71"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37413514" w14:textId="7F7DEA4F"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 xml:space="preserve">2, 4, 6 </w:t>
            </w:r>
            <w:r w:rsidR="006C10EC">
              <w:rPr>
                <w:rFonts w:cs="Times New Roman"/>
                <w:bCs/>
                <w:sz w:val="22"/>
                <w:lang w:val="en-IN"/>
              </w:rPr>
              <w:t>-T</w:t>
            </w:r>
            <w:r w:rsidRPr="00EE6A8D">
              <w:rPr>
                <w:rFonts w:cs="Times New Roman"/>
                <w:bCs/>
                <w:sz w:val="22"/>
                <w:lang w:val="en-IN"/>
              </w:rPr>
              <w:t>rinitrotoluene</w:t>
            </w:r>
          </w:p>
        </w:tc>
        <w:tc>
          <w:tcPr>
            <w:tcW w:w="1101" w:type="dxa"/>
            <w:tcBorders>
              <w:top w:val="single" w:sz="4" w:space="0" w:color="auto"/>
              <w:left w:val="nil"/>
              <w:bottom w:val="single" w:sz="4" w:space="0" w:color="auto"/>
              <w:right w:val="nil"/>
            </w:tcBorders>
            <w:vAlign w:val="center"/>
            <w:hideMark/>
          </w:tcPr>
          <w:p w14:paraId="5B9E10D0"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10</w:t>
            </w:r>
          </w:p>
        </w:tc>
        <w:tc>
          <w:tcPr>
            <w:tcW w:w="1803" w:type="dxa"/>
            <w:tcBorders>
              <w:top w:val="single" w:sz="4" w:space="0" w:color="auto"/>
              <w:left w:val="nil"/>
              <w:bottom w:val="single" w:sz="4" w:space="0" w:color="auto"/>
              <w:right w:val="nil"/>
            </w:tcBorders>
            <w:vAlign w:val="center"/>
            <w:hideMark/>
          </w:tcPr>
          <w:p w14:paraId="59F7DF84"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1546B0A2" w14:textId="5EE7E79C"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EF02A5">
              <w:rPr>
                <w:rFonts w:cs="Times New Roman"/>
                <w:sz w:val="22"/>
                <w:lang w:val="en-IN"/>
              </w:rPr>
              <w:t xml:space="preserve"> </w:t>
            </w:r>
            <w:r w:rsidRPr="00EE6A8D">
              <w:rPr>
                <w:rFonts w:cs="Times New Roman"/>
                <w:sz w:val="22"/>
                <w:lang w:val="en-IN"/>
              </w:rPr>
              <w:t xml:space="preserve">= </w:t>
            </w:r>
            <w:r w:rsidRPr="00EE6A8D">
              <w:rPr>
                <w:rFonts w:cs="Times New Roman"/>
                <w:sz w:val="22"/>
              </w:rPr>
              <w:t>2 mM</w:t>
            </w:r>
            <w:r w:rsidRPr="00EE6A8D">
              <w:rPr>
                <w:rFonts w:cs="Times New Roman"/>
                <w:sz w:val="22"/>
                <w:lang w:val="en-IN"/>
              </w:rPr>
              <w:t xml:space="preserve">, </w:t>
            </w:r>
            <w:r w:rsidRPr="00EE6A8D">
              <w:rPr>
                <w:rFonts w:cs="Times New Roman"/>
                <w:sz w:val="22"/>
              </w:rPr>
              <w:t>US frequency</w:t>
            </w:r>
            <w:r w:rsidR="00EF02A5">
              <w:rPr>
                <w:rFonts w:cs="Times New Roman"/>
                <w:sz w:val="22"/>
              </w:rPr>
              <w:t xml:space="preserve"> </w:t>
            </w:r>
            <w:r w:rsidRPr="00EE6A8D">
              <w:rPr>
                <w:rFonts w:cs="Times New Roman"/>
                <w:sz w:val="22"/>
              </w:rPr>
              <w:t>= 25 kHz, Time</w:t>
            </w:r>
            <w:r w:rsidR="00EF02A5">
              <w:rPr>
                <w:rFonts w:cs="Times New Roman"/>
                <w:sz w:val="22"/>
              </w:rPr>
              <w:t xml:space="preserve"> </w:t>
            </w:r>
            <w:r w:rsidRPr="00EE6A8D">
              <w:rPr>
                <w:rFonts w:cs="Times New Roman"/>
                <w:sz w:val="22"/>
              </w:rPr>
              <w:t>=</w:t>
            </w:r>
            <w:r w:rsidR="00EF02A5">
              <w:rPr>
                <w:rFonts w:cs="Times New Roman"/>
                <w:sz w:val="22"/>
              </w:rPr>
              <w:t xml:space="preserve"> </w:t>
            </w:r>
            <w:r w:rsidRPr="00EE6A8D">
              <w:rPr>
                <w:rFonts w:cs="Times New Roman"/>
                <w:sz w:val="22"/>
              </w:rPr>
              <w:t>20 min</w:t>
            </w:r>
          </w:p>
        </w:tc>
        <w:tc>
          <w:tcPr>
            <w:tcW w:w="1485" w:type="dxa"/>
            <w:tcBorders>
              <w:top w:val="single" w:sz="4" w:space="0" w:color="auto"/>
              <w:left w:val="nil"/>
              <w:bottom w:val="single" w:sz="4" w:space="0" w:color="auto"/>
              <w:right w:val="nil"/>
            </w:tcBorders>
            <w:vAlign w:val="center"/>
            <w:hideMark/>
          </w:tcPr>
          <w:p w14:paraId="2BE029FD" w14:textId="35B50453" w:rsidR="004C6915" w:rsidRPr="00EE6A8D" w:rsidRDefault="004C6915" w:rsidP="00F43064">
            <w:pPr>
              <w:spacing w:after="0" w:line="240" w:lineRule="auto"/>
              <w:jc w:val="center"/>
              <w:rPr>
                <w:rFonts w:cs="Times New Roman"/>
                <w:sz w:val="22"/>
                <w:lang w:val="en-IN"/>
              </w:rPr>
            </w:pPr>
            <w:r w:rsidRPr="00EE6A8D">
              <w:rPr>
                <w:rFonts w:cs="Times New Roman"/>
                <w:bCs/>
                <w:sz w:val="22"/>
              </w:rPr>
              <w:t>~</w:t>
            </w:r>
            <w:r w:rsidRPr="00EE6A8D">
              <w:rPr>
                <w:rFonts w:cs="Times New Roman"/>
                <w:sz w:val="22"/>
                <w:lang w:val="en-IN"/>
              </w:rPr>
              <w:t>100</w:t>
            </w:r>
          </w:p>
        </w:tc>
        <w:tc>
          <w:tcPr>
            <w:tcW w:w="2103" w:type="dxa"/>
            <w:tcBorders>
              <w:top w:val="single" w:sz="4" w:space="0" w:color="auto"/>
              <w:left w:val="nil"/>
              <w:bottom w:val="single" w:sz="4" w:space="0" w:color="auto"/>
              <w:right w:val="nil"/>
            </w:tcBorders>
            <w:vAlign w:val="center"/>
            <w:hideMark/>
          </w:tcPr>
          <w:p w14:paraId="51B78B9A" w14:textId="54974A88"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{"citationItems":[{"id":"ITEM-1","itemData":{"DOI":"10.22102/jaehr.2020.196050.1139","abstract":"The adverse health effects of trinitrotoluene (TNT) include allergies, liver and blood damage, and carcinogenesis. The present study aimed to optimize the sono-Fenton and photo-Fenton processes for the removal of TNT from aqueous solutions. TNT removal was evaluated at various pH (acidic, neutral, and alkaline), pollutant concentrations (10, 30, 50, 100, and 120 mg/l), H2O2 concentration (10-80 mM), and ferrous ions (0.5-4 Mm). After the optimization of the parameters, the appropriate UV irradiation time and optimal time of ultrasonic waves were determined for the removal of this compound. TNT concentration was measured using high-performance liquid chromatography. Increased hydrogen peroxide from 10 to 40 mMole/L led to higher TNT degradation (45.3% to 88.4% and 40 to 80 mMole/l), while the removal rate decreased from 88.4% to 79%. At the optimal H2O2 concentration, increased pH (3±0.2 to 11±0.2) decreased TNT decomposition from 88.4% to 23.5%. In addition, increased time (5 to 60 minutes) led to the higher photo-Fenton process efficiency (68.6% to 89%). The maximum photo-Fenton efficiency was achieved in optimal conditions at the TNT concentration of 10 mg/L (97%) and 60 minutes, while the efficiency of the sono-Fenton process in optimal conditions was 100% at 20 minutes. Therefore, it was concluded that the sono-Fenton process was effective in the removal of TNT. Keywords:","author":[{"dropping-particle":"","family":"Hashemi","given":"Majid","non-dropping-particle":"","parse-names":false,"suffix":""},{"dropping-particle":"","family":"Sagharlo","given":"Nastuna Ghanbari","non-dropping-particle":"","parse-names":false,"suffix":""}],"container-title":"Journal of Advance Environ Health Res","id":"ITEM-1","issued":{"date-parts":[["2020"]]},"page":"38-45","title":"Optimization and evaluation of the efficiency of sono-Fenton and photo-Fenton processes in the removal of 2 , 4 , 6 trinitrotoluene ( TNT ) from aqueous solutions","type":"article-journal","volume":"8"},"uris":["http://www.mendeley.com/documents/?uuid=4382e378-a1c2-4564-98ca-9f62de204978","http://www.mendeley.com/documents/?uuid=f5e528b0-3821-4a17-9e59-c34a5b8c72a2"]}],"mendeley":{"formattedCitation":"(Hashemi and Sagharlo, 2020)","plainTextFormattedCitation":"(Hashemi and Sagharlo, 2020)","previouslyFormattedCitation":"(Hashemi and Sagharlo, 2020)"},"properties":{"noteIndex":0},"schema":"https://github.com/citation-style-language/schema/raw/master/csl-citation.json"}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(Hashemi and Sagharlo, 2020)</w:t>
            </w:r>
            <w:r w:rsidRPr="00EE6A8D">
              <w:rPr>
                <w:rFonts w:cs="Times New Roman"/>
                <w:sz w:val="22"/>
                <w:lang w:val="en-IN"/>
              </w:rPr>
              <w:fldChar w:fldCharType="end"/>
            </w:r>
          </w:p>
        </w:tc>
      </w:tr>
      <w:tr w:rsidR="004C6915" w:rsidRPr="00EE6A8D" w14:paraId="24FC26FF" w14:textId="77777777" w:rsidTr="00F43064">
        <w:trPr>
          <w:trHeight w:val="18"/>
          <w:jc w:val="center"/>
        </w:trPr>
        <w:tc>
          <w:tcPr>
            <w:tcW w:w="1903" w:type="dxa"/>
            <w:vMerge w:val="restart"/>
            <w:tcBorders>
              <w:top w:val="single" w:sz="4" w:space="0" w:color="auto"/>
              <w:left w:val="nil"/>
              <w:bottom w:val="single" w:sz="4" w:space="0" w:color="auto"/>
              <w:right w:val="nil"/>
            </w:tcBorders>
            <w:vAlign w:val="center"/>
          </w:tcPr>
          <w:p w14:paraId="2CDEE428"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lastRenderedPageBreak/>
              <w:t>Photo-electro- Fenton process</w:t>
            </w:r>
          </w:p>
          <w:p w14:paraId="7DE3A878"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21C310E9" w14:textId="4A35D50B"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2,4-</w:t>
            </w:r>
            <w:r w:rsidR="006C10EC">
              <w:rPr>
                <w:rFonts w:cs="Times New Roman"/>
                <w:bCs/>
                <w:sz w:val="22"/>
                <w:lang w:val="en-IN"/>
              </w:rPr>
              <w:t>D</w:t>
            </w:r>
            <w:r w:rsidRPr="00EE6A8D">
              <w:rPr>
                <w:rFonts w:cs="Times New Roman"/>
                <w:bCs/>
                <w:sz w:val="22"/>
                <w:lang w:val="en-IN"/>
              </w:rPr>
              <w:t>ichlorophenoxyacetic acid</w:t>
            </w:r>
          </w:p>
        </w:tc>
        <w:tc>
          <w:tcPr>
            <w:tcW w:w="1101" w:type="dxa"/>
            <w:tcBorders>
              <w:top w:val="single" w:sz="4" w:space="0" w:color="auto"/>
              <w:left w:val="nil"/>
              <w:bottom w:val="single" w:sz="4" w:space="0" w:color="auto"/>
              <w:right w:val="nil"/>
            </w:tcBorders>
            <w:vAlign w:val="center"/>
            <w:hideMark/>
          </w:tcPr>
          <w:p w14:paraId="536C844C"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100</w:t>
            </w:r>
          </w:p>
        </w:tc>
        <w:tc>
          <w:tcPr>
            <w:tcW w:w="1803" w:type="dxa"/>
            <w:tcBorders>
              <w:top w:val="single" w:sz="4" w:space="0" w:color="auto"/>
              <w:left w:val="nil"/>
              <w:bottom w:val="single" w:sz="4" w:space="0" w:color="auto"/>
              <w:right w:val="nil"/>
            </w:tcBorders>
            <w:vAlign w:val="center"/>
            <w:hideMark/>
          </w:tcPr>
          <w:p w14:paraId="051C46A8"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FeSO</w:t>
            </w:r>
            <w:r w:rsidRPr="00EE6A8D">
              <w:rPr>
                <w:rFonts w:cs="Times New Roman"/>
                <w:sz w:val="22"/>
                <w:vertAlign w:val="subscript"/>
                <w:lang w:val="en-IN"/>
              </w:rPr>
              <w:t>4</w:t>
            </w:r>
          </w:p>
        </w:tc>
        <w:tc>
          <w:tcPr>
            <w:tcW w:w="3105" w:type="dxa"/>
            <w:tcBorders>
              <w:top w:val="single" w:sz="4" w:space="0" w:color="auto"/>
              <w:left w:val="nil"/>
              <w:bottom w:val="single" w:sz="4" w:space="0" w:color="auto"/>
              <w:right w:val="nil"/>
            </w:tcBorders>
            <w:vAlign w:val="center"/>
            <w:hideMark/>
          </w:tcPr>
          <w:p w14:paraId="28CF55DA" w14:textId="34B058CC"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836242">
              <w:rPr>
                <w:rFonts w:cs="Times New Roman"/>
                <w:sz w:val="22"/>
                <w:lang w:val="en-IN"/>
              </w:rPr>
              <w:t xml:space="preserve"> </w:t>
            </w:r>
            <w:r w:rsidRPr="00EE6A8D">
              <w:rPr>
                <w:rFonts w:cs="Times New Roman"/>
                <w:sz w:val="22"/>
                <w:lang w:val="en-IN"/>
              </w:rPr>
              <w:t>= 1mM</w:t>
            </w:r>
            <w:r w:rsidRPr="00EE6A8D">
              <w:rPr>
                <w:rFonts w:cs="Times New Roman"/>
                <w:sz w:val="22"/>
              </w:rPr>
              <w:t>, Time</w:t>
            </w:r>
            <w:r w:rsidR="00836242">
              <w:rPr>
                <w:rFonts w:cs="Times New Roman"/>
                <w:sz w:val="22"/>
              </w:rPr>
              <w:t xml:space="preserve"> </w:t>
            </w:r>
            <w:r w:rsidRPr="00EE6A8D">
              <w:rPr>
                <w:rFonts w:cs="Times New Roman"/>
                <w:sz w:val="22"/>
              </w:rPr>
              <w:t>=</w:t>
            </w:r>
            <w:r w:rsidR="00836242">
              <w:rPr>
                <w:rFonts w:cs="Times New Roman"/>
                <w:sz w:val="22"/>
              </w:rPr>
              <w:t xml:space="preserve"> </w:t>
            </w:r>
            <w:r w:rsidRPr="00EE6A8D">
              <w:rPr>
                <w:rFonts w:cs="Times New Roman"/>
                <w:sz w:val="22"/>
              </w:rPr>
              <w:t>150 min</w:t>
            </w:r>
          </w:p>
        </w:tc>
        <w:tc>
          <w:tcPr>
            <w:tcW w:w="1485" w:type="dxa"/>
            <w:tcBorders>
              <w:top w:val="single" w:sz="4" w:space="0" w:color="auto"/>
              <w:left w:val="nil"/>
              <w:bottom w:val="single" w:sz="4" w:space="0" w:color="auto"/>
              <w:right w:val="nil"/>
            </w:tcBorders>
            <w:vAlign w:val="center"/>
            <w:hideMark/>
          </w:tcPr>
          <w:p w14:paraId="4181B43B" w14:textId="6E490F53"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69</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27EC0803" w14:textId="78661440"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{"citationItems":[{"id":"ITEM-1","itemData":{"DOI":"10.1016/j.jhazmat.2006.03.035","ISSN":"03043894","PMID":"16707213","abstract":"This paper reports an investigation on the performance of the H2O2 electrogeneration process on a rotating RVC cylinder cathode, and the optimization of the O2 reduction rate relative to cell potential. A study for the simultaneous oxidation of the herbicide 2,4-dichlorophenoxyacetic acid (2,4-D) by the in situ electrogenerated H2O2 is also reported. Experiments were performed in 0.3 M of K2SO4, pH of 10 and 3.5. Oxygen concentration in solution was kept in 25 mg L-1. Maximum hydrogen peroxide generation rate was reached at -1.6 V versus SCE for both, acidic and alkaline solutions. Then, 100 mg L-1 of 2,4-D was added to the solution. First order apparent rate constants for 2,4-D degradation ranged from 0.9 to 6.3 × 10-5 m s-1, depending on the catalyst used (UV or UV + Fe(II)). TOC reduction was favored in acidic medium where a decreasing of 69% of the initial concentration was observed in the process catalyzed by UV + Fe(II). This figure was an indication that some of the intermediates derived from 2,4-D decomposition remained in solution, mainly as lighter aliphatic compounds. © 2006 Elsevier B.V. All rights reserved.","author":[{"dropping-particle":"","family":"Badellino","given":"Carla","non-dropping-particle":"","parse-names":false,"suffix":""},{"dropping-particle":"","family":"Rodrigues","given":"Christiane Arruda","non-dropping-particle":"","parse-names":false,"suffix":""},{"dropping-particle":"","family":"Bertazzoli","given":"Rodnei","non-dropping-particle":"","parse-names":false,"suffix":""}],"container-title":"Journal of Hazardous Materials","id":"ITEM-1","issue":"2","issued":{"date-parts":[["2006","9","21"]]},"page":"856-864","title":"Oxidation of pesticides by in situ electrogenerated hydrogen peroxide: Study for the degradation of 2,4-dichlorophenoxyacetic acid","type":"article-journal","volume":"137"},"uris":["http://www.mendeley.com/documents/?uuid=41123e88-2e83-4a13-8bd0-1e8fdc6e0e56"]}],"mendeley":{"formattedCitation":"(Badellino et al., 2006)","plainTextFormattedCitation":"(Badellino et al., 2006)","previouslyFormattedCitation":"(Badellino et al., 2006)"},"properties":{"noteIndex":0},"schema":"https://github.com/citation-style-language/schema/raw/master/csl-citation.json"}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(Badellino et al., 2006)</w:t>
            </w:r>
            <w:r w:rsidRPr="00EE6A8D">
              <w:rPr>
                <w:rFonts w:cs="Times New Roman"/>
                <w:sz w:val="22"/>
                <w:lang w:val="en-IN"/>
              </w:rPr>
              <w:fldChar w:fldCharType="end"/>
            </w:r>
          </w:p>
        </w:tc>
      </w:tr>
      <w:tr w:rsidR="004C6915" w:rsidRPr="00EE6A8D" w14:paraId="6E123B39"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7870B82F"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1756E215" w14:textId="02187734"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2,4,5-</w:t>
            </w:r>
            <w:r w:rsidR="006C10EC">
              <w:rPr>
                <w:rFonts w:cs="Times New Roman"/>
                <w:bCs/>
                <w:sz w:val="22"/>
                <w:lang w:val="en-IN"/>
              </w:rPr>
              <w:t>T</w:t>
            </w:r>
            <w:r w:rsidRPr="00EE6A8D">
              <w:rPr>
                <w:rFonts w:cs="Times New Roman"/>
                <w:bCs/>
                <w:sz w:val="22"/>
                <w:lang w:val="en-IN"/>
              </w:rPr>
              <w:t>richlorophenoxyacetic acid</w:t>
            </w:r>
          </w:p>
        </w:tc>
        <w:tc>
          <w:tcPr>
            <w:tcW w:w="1101" w:type="dxa"/>
            <w:tcBorders>
              <w:top w:val="single" w:sz="4" w:space="0" w:color="auto"/>
              <w:left w:val="nil"/>
              <w:bottom w:val="single" w:sz="4" w:space="0" w:color="auto"/>
              <w:right w:val="nil"/>
            </w:tcBorders>
            <w:vAlign w:val="center"/>
            <w:hideMark/>
          </w:tcPr>
          <w:p w14:paraId="7B2BEE9B" w14:textId="03DDCB28"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226</w:t>
            </w:r>
            <w:r w:rsidRPr="00EE6A8D">
              <w:rPr>
                <w:rFonts w:cs="Times New Roman"/>
                <w:sz w:val="22"/>
                <w:vertAlign w:val="superscript"/>
                <w:lang w:val="en-IN"/>
              </w:rPr>
              <w:t xml:space="preserve"> a</w:t>
            </w:r>
          </w:p>
        </w:tc>
        <w:tc>
          <w:tcPr>
            <w:tcW w:w="1803" w:type="dxa"/>
            <w:tcBorders>
              <w:top w:val="single" w:sz="4" w:space="0" w:color="auto"/>
              <w:left w:val="nil"/>
              <w:bottom w:val="single" w:sz="4" w:space="0" w:color="auto"/>
              <w:right w:val="nil"/>
            </w:tcBorders>
            <w:vAlign w:val="center"/>
            <w:hideMark/>
          </w:tcPr>
          <w:p w14:paraId="5F6DAC3D"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0D758AC9" w14:textId="1FAC9BD2"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E3605D">
              <w:rPr>
                <w:rFonts w:cs="Times New Roman"/>
                <w:sz w:val="22"/>
                <w:lang w:val="en-IN"/>
              </w:rPr>
              <w:t xml:space="preserve"> </w:t>
            </w:r>
            <w:r w:rsidRPr="00EE6A8D">
              <w:rPr>
                <w:rFonts w:cs="Times New Roman"/>
                <w:sz w:val="22"/>
                <w:lang w:val="en-IN"/>
              </w:rPr>
              <w:t>= 1mM</w:t>
            </w:r>
            <w:r w:rsidRPr="00EE6A8D">
              <w:rPr>
                <w:rFonts w:cs="Times New Roman"/>
                <w:sz w:val="22"/>
              </w:rPr>
              <w:t>, Time</w:t>
            </w:r>
            <w:r w:rsidR="00E3605D">
              <w:rPr>
                <w:rFonts w:cs="Times New Roman"/>
                <w:sz w:val="22"/>
              </w:rPr>
              <w:t xml:space="preserve"> </w:t>
            </w:r>
            <w:r w:rsidRPr="00EE6A8D">
              <w:rPr>
                <w:rFonts w:cs="Times New Roman"/>
                <w:sz w:val="22"/>
              </w:rPr>
              <w:t>=</w:t>
            </w:r>
            <w:r w:rsidR="00E3605D">
              <w:rPr>
                <w:rFonts w:cs="Times New Roman"/>
                <w:sz w:val="22"/>
              </w:rPr>
              <w:t xml:space="preserve"> </w:t>
            </w:r>
            <w:r w:rsidRPr="00EE6A8D">
              <w:rPr>
                <w:rFonts w:cs="Times New Roman"/>
                <w:sz w:val="22"/>
              </w:rPr>
              <w:t>6 h</w:t>
            </w:r>
          </w:p>
        </w:tc>
        <w:tc>
          <w:tcPr>
            <w:tcW w:w="1485" w:type="dxa"/>
            <w:tcBorders>
              <w:top w:val="single" w:sz="4" w:space="0" w:color="auto"/>
              <w:left w:val="nil"/>
              <w:bottom w:val="single" w:sz="4" w:space="0" w:color="auto"/>
              <w:right w:val="nil"/>
            </w:tcBorders>
            <w:vAlign w:val="center"/>
            <w:hideMark/>
          </w:tcPr>
          <w:p w14:paraId="25BFFE62" w14:textId="6EC77580"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92</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518ECB18" w14:textId="17B9ECB0"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{"citationItems":[{"id":"ITEM-1","itemData":{"DOI":"10.1016/S0022-0728(03)00366-8","ISSN":"15726657","abstract":"The mineralization of acidic aqueous solutions of the herbicide 2,4,5-trichlorophenoxyacetic acid (2,4,5-T) in 0.05 M Na2SO 4+H2SO4 at 35°C has been studied by different electrochemical methods. Photoelectro-Fenton treatment yields a fast and complete depollution of solutions with 2,4,5-T concentrations up to about saturation within the pH range 2.0-4.0, operating at low current and with 1 mM Fe2+. This method is carried out in an undivided cell with a Pt anode and an O2-diffusion cathode under UV irradiation, and its great oxidative ability is due to the fast reaction of organics with the high concentration of oxidizing hydroxyl radicals produced in the medium from Fenton's reaction between added Fe2+ and H2O2 electrogenerated by the cathode. Comparative treatment by an electro-Fenton reaction only leads to 60-65% of mineralization because of the formation of hardly oxidable products with hydroxyl radical. 2,4,5-T is very poorly mineralized by anodic oxidation in the absence and presence of electrogenerated H2O2. The herbicide decay always follows a pseudo first-order reaction. 2,4,5-Trichlorophenol, 2,5-dichlorohydroquinone, 4,6-dichlororesorcinol and 2,5-dihydroxy-p-benzoquinone have been identified and quantified as aromatic products by reverse-phase chromatography. Generated carboxylic acids such as glycolic, glyoxylic, formic, malic, maleic, fumaric and oxalic have been detected and followed by ion-exclusion chromatography. All these products are destroyed by electro-Fenton treatment, except oxalic acid which forms stable complexes with Fe3+. These complexes are rapidly photodecarboxylated by UV light in the photoelectro-Fenton treatment. © 2003 Elsevier B.V. All rights reserved.","author":[{"dropping-particle":"","family":"Boye","given":"Birame","non-dropping-particle":"","parse-names":false,"suffix":""},{"dropping-particle":"","family":"Morième Dieng","given":"Momar","non-dropping-particle":"","parse-names":false,"suffix":""},{"dropping-particle":"","family":"Brillas","given":"Enric","non-dropping-particle":"","parse-names":false,"suffix":""}],"container-title":"Journal of Electroanalytical Chemistry","id":"ITEM-1","issued":{"date-parts":[["2003","10"]]},"page":"135-146","title":"Anodic oxidation, electro-Fenton and photoelectro-Fenton treatments of 2,4,5-trichlorophenoxyacetic acid","type":"article-journal","volume":"557"},"uris":["http://www.mendeley.com/documents/?uuid=e8965fac-35fd-4d57-b75f-d2138701c6ab"]}],"mendeley":{"formattedCitation":"(Boye et al., 2003)","plainTextFormattedCitation":"(Boye et al., 2003)","previouslyFormattedCitation":"(Boye et al., 2003)"},"properties":{"noteIndex":0},"schema":"https://github.com/citation-style-language/schema/raw/master/csl-citation.json"}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(Boye et al., 2003)</w:t>
            </w:r>
            <w:r w:rsidRPr="00EE6A8D">
              <w:rPr>
                <w:rFonts w:cs="Times New Roman"/>
                <w:sz w:val="22"/>
                <w:lang w:val="en-IN"/>
              </w:rPr>
              <w:fldChar w:fldCharType="end"/>
            </w:r>
          </w:p>
        </w:tc>
      </w:tr>
      <w:tr w:rsidR="004C6915" w:rsidRPr="00EE6A8D" w14:paraId="043950D5"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4C76DBF0"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tcPr>
          <w:p w14:paraId="06E06520" w14:textId="77777777" w:rsidR="004C6915" w:rsidRPr="00EE6A8D" w:rsidRDefault="004C6915" w:rsidP="00F43064">
            <w:pPr>
              <w:spacing w:after="0" w:line="240" w:lineRule="auto"/>
              <w:jc w:val="center"/>
              <w:rPr>
                <w:rFonts w:cs="Times New Roman"/>
                <w:bCs/>
                <w:sz w:val="22"/>
                <w:lang w:val="en-IN"/>
              </w:rPr>
            </w:pPr>
          </w:p>
          <w:p w14:paraId="6994356B" w14:textId="77777777"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Indigo carmine</w:t>
            </w:r>
          </w:p>
          <w:p w14:paraId="75D23DEF" w14:textId="77777777" w:rsidR="004C6915" w:rsidRPr="00EE6A8D" w:rsidRDefault="004C6915" w:rsidP="00F43064">
            <w:pPr>
              <w:spacing w:after="0" w:line="240" w:lineRule="auto"/>
              <w:jc w:val="center"/>
              <w:rPr>
                <w:rFonts w:cs="Times New Roman"/>
                <w:bCs/>
                <w:sz w:val="22"/>
                <w:lang w:val="en-IN"/>
              </w:rPr>
            </w:pPr>
          </w:p>
        </w:tc>
        <w:tc>
          <w:tcPr>
            <w:tcW w:w="1101" w:type="dxa"/>
            <w:tcBorders>
              <w:top w:val="single" w:sz="4" w:space="0" w:color="auto"/>
              <w:left w:val="nil"/>
              <w:bottom w:val="single" w:sz="4" w:space="0" w:color="auto"/>
              <w:right w:val="nil"/>
            </w:tcBorders>
            <w:vAlign w:val="center"/>
            <w:hideMark/>
          </w:tcPr>
          <w:p w14:paraId="1D9EE187" w14:textId="77777777" w:rsidR="004C6915" w:rsidRPr="00EE6A8D" w:rsidRDefault="004C6915" w:rsidP="00F43064">
            <w:pPr>
              <w:spacing w:after="0" w:line="240" w:lineRule="auto"/>
              <w:jc w:val="center"/>
              <w:rPr>
                <w:rFonts w:cs="Times New Roman"/>
                <w:sz w:val="22"/>
              </w:rPr>
            </w:pPr>
            <w:r w:rsidRPr="00EE6A8D">
              <w:rPr>
                <w:rFonts w:cs="Times New Roman"/>
                <w:sz w:val="22"/>
              </w:rPr>
              <w:t>900</w:t>
            </w:r>
          </w:p>
        </w:tc>
        <w:tc>
          <w:tcPr>
            <w:tcW w:w="1803" w:type="dxa"/>
            <w:tcBorders>
              <w:top w:val="single" w:sz="4" w:space="0" w:color="auto"/>
              <w:left w:val="nil"/>
              <w:bottom w:val="single" w:sz="4" w:space="0" w:color="auto"/>
              <w:right w:val="nil"/>
            </w:tcBorders>
            <w:vAlign w:val="center"/>
            <w:hideMark/>
          </w:tcPr>
          <w:p w14:paraId="733EBA80"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4885C51F" w14:textId="121B0860"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E3605D">
              <w:rPr>
                <w:rFonts w:cs="Times New Roman"/>
                <w:sz w:val="22"/>
                <w:lang w:val="en-IN"/>
              </w:rPr>
              <w:t xml:space="preserve"> </w:t>
            </w:r>
            <w:r w:rsidRPr="00EE6A8D">
              <w:rPr>
                <w:rFonts w:cs="Times New Roman"/>
                <w:sz w:val="22"/>
                <w:lang w:val="en-IN"/>
              </w:rPr>
              <w:t xml:space="preserve">= 1mM, </w:t>
            </w:r>
            <w:r w:rsidRPr="00EE6A8D">
              <w:rPr>
                <w:rFonts w:cs="Times New Roman"/>
                <w:sz w:val="22"/>
              </w:rPr>
              <w:t>Time=9 h</w:t>
            </w:r>
          </w:p>
        </w:tc>
        <w:tc>
          <w:tcPr>
            <w:tcW w:w="1485" w:type="dxa"/>
            <w:tcBorders>
              <w:top w:val="single" w:sz="4" w:space="0" w:color="auto"/>
              <w:left w:val="nil"/>
              <w:bottom w:val="single" w:sz="4" w:space="0" w:color="auto"/>
              <w:right w:val="nil"/>
            </w:tcBorders>
            <w:vAlign w:val="center"/>
            <w:hideMark/>
          </w:tcPr>
          <w:p w14:paraId="3AA9E57E" w14:textId="74F3A3A3" w:rsidR="004C6915" w:rsidRPr="00EE6A8D" w:rsidRDefault="004C6915" w:rsidP="00F43064">
            <w:pPr>
              <w:spacing w:after="0" w:line="240" w:lineRule="auto"/>
              <w:jc w:val="center"/>
              <w:rPr>
                <w:rFonts w:cs="Times New Roman"/>
                <w:sz w:val="22"/>
                <w:lang w:val="en-IN"/>
              </w:rPr>
            </w:pPr>
            <w:r w:rsidRPr="00EE6A8D">
              <w:rPr>
                <w:rFonts w:cs="Times New Roman"/>
                <w:bCs/>
                <w:sz w:val="22"/>
              </w:rPr>
              <w:t>~</w:t>
            </w:r>
            <w:r w:rsidRPr="00EE6A8D">
              <w:rPr>
                <w:rFonts w:cs="Times New Roman"/>
                <w:sz w:val="22"/>
                <w:lang w:val="en-IN"/>
              </w:rPr>
              <w:t>100</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22D5EEDD" w14:textId="6A5B9E4A"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{"citationItems":[{"id":"ITEM-1","itemData":{"DOI":"10.1016/j.apcatb.2006.04.020","ISSN":"09263373","abstract":"Acidic aqueous solutions containing concentrations of the dye indigo carmine up to 0.9 g l-1 have been degraded by environmentally friendly electrochemical methods such as electro-Fenton and photoelectro-Fenton using an undivided cell with a Pt or boron-doped diamond (BDD) anode and an O2-diffusion cathode at 35.0 °C. The great oxidation ability of these systems is due to the large production of hydroxyl radical ({radical dot}OH) at the anode surface from water oxidation and in the medium mainly from Fenton's reaction between catalytic Fe2+ and cathodically generated H2O2. Complete mineralization is feasible using electro-Fenton with a BDD anode and 1.0 mM Fe2+ and when 1.0 mM Fe2+ and 0.25 mM Cu2+ are combined as catalysts in photoelectro-Fenton with a Pt anode. The first method yields similar degradation rate in the pH range 2.0-4.0, whereas the second one is more potent up to 0.44 g l-1 of the dye at pH 3.0. Mineralization is enhanced with increasing current density and initial dye concentration. The indigo carmine decay always follows a pseudo zero-order reaction. Isatin 5-sulfonic acid, indigo and isatin are detected as aromatic products, which are degraded to oxalic and oxamic acids. The electro-Fenton process with BDD yields the destruction of Fe3+-oxalate and Fe3+-oxamate complexes by {radical dot}OH at the anode surface. In the presence of Fe2+ and Cu2+ the photoelectro-Fenton process with Pt involves the photolysis of Fe3+-oxalate complexes under the action of UVA light, while competitive Cu2+-oxalate and Cu2+-oxamate complexes are mineralized with {radical dot}OH produced by Fenton's reaction. The nitrogen of the dye is mainly converted into NH4+. © 2006 Elsevier B.V. All rights reserved.","author":[{"dropping-particle":"","family":"Flox","given":"Cristina","non-dropping-particle":"","parse-names":false,"suffix":""},{"dropping-particle":"","family":"Ammar","given":"Salah","non-dropping-particle":"","parse-names":false,"suffix":""},{"dropping-particle":"","family":"Arias","given":"Conchita","non-dropping-particle":"","parse-names":false,"suffix":""},{"dropping-particle":"","family":"Brillas","given":"Enric","non-dropping-particle":"","parse-names":false,"suffix":""},{"dropping-particle":"","family":"Vargas-Zavala","given":"Aída Viridiana","non-dropping-particle":"","parse-names":false,"suffix":""},{"dropping-particle":"","family":"Abdelhedi","given":"Ridha","non-dropping-particle":"","parse-names":false,"suffix":""}],"container-title":"Applied Catalysis B: Environmental","id":"ITEM-1","issue":"1-2","issued":{"date-parts":[["2006","9"]]},"page":"93-104","title":"Electro-Fenton and photoelectro-Fenton degradation of indigo carmine in acidic aqueous medium","type":"article-journal","volume":"67"},"uris":["http://www.mendeley.com/documents/?uuid=7465a2e8-c3d2-4ff3-b1c2-1707b4476152","http://www.mendeley.com/documents/?uuid=726e1847-2735-44b5-b419-833c6919ffb0"]}],"mendeley":{"formattedCitation":"(Flox et al., 2006)","plainTextFormattedCitation":"(Flox et al., 2006)","previouslyFormattedCitation":"(Flox et al., 2006)"},"properties":{"noteIndex":0},"schema":"https://github.com/citation-style-language/schema/raw/master/csl-citation.json"}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(Flox et al., 2006)</w:t>
            </w:r>
            <w:r w:rsidRPr="00EE6A8D">
              <w:rPr>
                <w:rFonts w:cs="Times New Roman"/>
                <w:sz w:val="22"/>
                <w:lang w:val="en-IN"/>
              </w:rPr>
              <w:fldChar w:fldCharType="end"/>
            </w:r>
          </w:p>
        </w:tc>
      </w:tr>
      <w:tr w:rsidR="004C6915" w:rsidRPr="00EE6A8D" w14:paraId="38702898" w14:textId="77777777" w:rsidTr="00F43064">
        <w:trPr>
          <w:trHeight w:val="18"/>
          <w:jc w:val="center"/>
        </w:trPr>
        <w:tc>
          <w:tcPr>
            <w:tcW w:w="1903" w:type="dxa"/>
            <w:vMerge w:val="restart"/>
            <w:tcBorders>
              <w:top w:val="single" w:sz="4" w:space="0" w:color="auto"/>
              <w:left w:val="nil"/>
              <w:bottom w:val="single" w:sz="4" w:space="0" w:color="auto"/>
              <w:right w:val="nil"/>
            </w:tcBorders>
            <w:vAlign w:val="center"/>
          </w:tcPr>
          <w:p w14:paraId="6D962E65" w14:textId="6B29A842" w:rsidR="004C6915" w:rsidRPr="00EE6A8D" w:rsidRDefault="004C6915" w:rsidP="00F43064">
            <w:pPr>
              <w:spacing w:after="0" w:line="240" w:lineRule="auto"/>
              <w:jc w:val="center"/>
              <w:rPr>
                <w:rFonts w:cs="Times New Roman"/>
                <w:sz w:val="22"/>
                <w:lang w:val="en-IN"/>
              </w:rPr>
            </w:pPr>
            <w:proofErr w:type="spellStart"/>
            <w:r w:rsidRPr="00EE6A8D">
              <w:rPr>
                <w:rFonts w:cs="Times New Roman"/>
                <w:sz w:val="22"/>
                <w:lang w:val="en-IN"/>
              </w:rPr>
              <w:t>Sono</w:t>
            </w:r>
            <w:proofErr w:type="spellEnd"/>
            <w:r w:rsidRPr="00EE6A8D">
              <w:rPr>
                <w:rFonts w:cs="Times New Roman"/>
                <w:sz w:val="22"/>
                <w:lang w:val="en-IN"/>
              </w:rPr>
              <w:t>-electro- Fenton process</w:t>
            </w:r>
          </w:p>
        </w:tc>
        <w:tc>
          <w:tcPr>
            <w:tcW w:w="2103" w:type="dxa"/>
            <w:tcBorders>
              <w:top w:val="single" w:sz="4" w:space="0" w:color="auto"/>
              <w:left w:val="nil"/>
              <w:bottom w:val="single" w:sz="4" w:space="0" w:color="auto"/>
              <w:right w:val="nil"/>
            </w:tcBorders>
            <w:vAlign w:val="center"/>
            <w:hideMark/>
          </w:tcPr>
          <w:p w14:paraId="357EC4E4" w14:textId="7CC0E0C1"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4,6-</w:t>
            </w:r>
            <w:r w:rsidR="006C10EC">
              <w:rPr>
                <w:rFonts w:cs="Times New Roman"/>
                <w:bCs/>
                <w:sz w:val="22"/>
                <w:lang w:val="en-IN"/>
              </w:rPr>
              <w:t>D</w:t>
            </w:r>
            <w:r w:rsidRPr="00EE6A8D">
              <w:rPr>
                <w:rFonts w:cs="Times New Roman"/>
                <w:bCs/>
                <w:sz w:val="22"/>
                <w:lang w:val="en-IN"/>
              </w:rPr>
              <w:t>initro-o-cresol</w:t>
            </w:r>
          </w:p>
        </w:tc>
        <w:tc>
          <w:tcPr>
            <w:tcW w:w="1101" w:type="dxa"/>
            <w:tcBorders>
              <w:top w:val="single" w:sz="4" w:space="0" w:color="auto"/>
              <w:left w:val="nil"/>
              <w:bottom w:val="single" w:sz="4" w:space="0" w:color="auto"/>
              <w:right w:val="nil"/>
            </w:tcBorders>
            <w:vAlign w:val="center"/>
            <w:hideMark/>
          </w:tcPr>
          <w:p w14:paraId="5B541D64"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99.06</w:t>
            </w:r>
          </w:p>
        </w:tc>
        <w:tc>
          <w:tcPr>
            <w:tcW w:w="1803" w:type="dxa"/>
            <w:tcBorders>
              <w:top w:val="single" w:sz="4" w:space="0" w:color="auto"/>
              <w:left w:val="nil"/>
              <w:bottom w:val="single" w:sz="4" w:space="0" w:color="auto"/>
              <w:right w:val="nil"/>
            </w:tcBorders>
            <w:vAlign w:val="center"/>
            <w:hideMark/>
          </w:tcPr>
          <w:p w14:paraId="44F878DE"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0B41B9F0" w14:textId="09F8D82B"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ED0C53">
              <w:rPr>
                <w:rFonts w:cs="Times New Roman"/>
                <w:sz w:val="22"/>
                <w:lang w:val="en-IN"/>
              </w:rPr>
              <w:t xml:space="preserve"> </w:t>
            </w:r>
            <w:r w:rsidRPr="00EE6A8D">
              <w:rPr>
                <w:rFonts w:cs="Times New Roman"/>
                <w:sz w:val="22"/>
                <w:lang w:val="en-IN"/>
              </w:rPr>
              <w:t xml:space="preserve">= 0.1 mM, </w:t>
            </w:r>
            <w:r w:rsidRPr="00EE6A8D">
              <w:rPr>
                <w:rFonts w:cs="Times New Roman"/>
                <w:sz w:val="22"/>
              </w:rPr>
              <w:t>Time</w:t>
            </w:r>
            <w:r w:rsidR="00ED0C53">
              <w:rPr>
                <w:rFonts w:cs="Times New Roman"/>
                <w:sz w:val="22"/>
              </w:rPr>
              <w:t xml:space="preserve"> </w:t>
            </w:r>
            <w:r w:rsidRPr="00EE6A8D">
              <w:rPr>
                <w:rFonts w:cs="Times New Roman"/>
                <w:sz w:val="22"/>
              </w:rPr>
              <w:t>= 180 min, US Frequency</w:t>
            </w:r>
            <w:r w:rsidR="00ED0C53">
              <w:rPr>
                <w:rFonts w:cs="Times New Roman"/>
                <w:sz w:val="22"/>
              </w:rPr>
              <w:t xml:space="preserve"> </w:t>
            </w:r>
            <w:r w:rsidRPr="00EE6A8D">
              <w:rPr>
                <w:rFonts w:cs="Times New Roman"/>
                <w:sz w:val="22"/>
              </w:rPr>
              <w:t>=</w:t>
            </w:r>
            <w:r w:rsidR="00ED0C53">
              <w:rPr>
                <w:rFonts w:cs="Times New Roman"/>
                <w:sz w:val="22"/>
              </w:rPr>
              <w:t xml:space="preserve"> </w:t>
            </w:r>
            <w:r w:rsidRPr="00EE6A8D">
              <w:rPr>
                <w:rFonts w:cs="Times New Roman"/>
                <w:sz w:val="22"/>
              </w:rPr>
              <w:t>28 kHz</w:t>
            </w:r>
          </w:p>
        </w:tc>
        <w:tc>
          <w:tcPr>
            <w:tcW w:w="1485" w:type="dxa"/>
            <w:tcBorders>
              <w:top w:val="single" w:sz="4" w:space="0" w:color="auto"/>
              <w:left w:val="nil"/>
              <w:bottom w:val="single" w:sz="4" w:space="0" w:color="auto"/>
              <w:right w:val="nil"/>
            </w:tcBorders>
            <w:vAlign w:val="center"/>
            <w:hideMark/>
          </w:tcPr>
          <w:p w14:paraId="191124FE" w14:textId="41D99309" w:rsidR="004C6915" w:rsidRPr="00EE6A8D" w:rsidRDefault="004C6915" w:rsidP="00F43064">
            <w:pPr>
              <w:spacing w:after="0" w:line="240" w:lineRule="auto"/>
              <w:jc w:val="center"/>
              <w:rPr>
                <w:rFonts w:cs="Times New Roman"/>
                <w:sz w:val="22"/>
                <w:lang w:val="en-IN"/>
              </w:rPr>
            </w:pPr>
            <w:r w:rsidRPr="00EE6A8D">
              <w:rPr>
                <w:rFonts w:cs="Times New Roman"/>
                <w:bCs/>
                <w:sz w:val="22"/>
              </w:rPr>
              <w:t>~</w:t>
            </w:r>
            <w:r w:rsidRPr="00EE6A8D">
              <w:rPr>
                <w:rFonts w:cs="Times New Roman"/>
                <w:sz w:val="22"/>
                <w:lang w:val="en-IN"/>
              </w:rPr>
              <w:t>100</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41C4DD72" w14:textId="66B7239D"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{"citationItems":[{"id":"ITEM-1","itemData":{"DOI":"10.1016/j.jelechem.2008.08.005","ISSN":"15726657","abstract":"Here we present the results obtained by applying a novel hybrid advanced oxidation technique, which we have called sonoelectro-Fenton (sono-EF) process, for the degradation of organic pollutants in aqueous medium. Its high performance arises from the coupling between ultrasound irradiation and the in situ electrogeneration of Fenton's reagent. An undivided electrolytic cell with a Pt anode and a three-dimensional carbon-felt cathode has been used to carry out the very effective electro-Fenton (EF) process at constant current, which allows the production of great amounts of hydroxyl radicals ({radical dot}OH). The synergistic action of sonication in the sono-EF process has been studied at low and high frequency within a range of output power. We demonstrate that the destruction of the herbicides 4,6-dinitro-o-cresol (DNOC) and 2,4-dichlorophenoxyacetic acid (2,4-D) is significantly accelerated, whereas no improvement is observed for the degradation of the dye azobenzene (AB), suggesting that the nature of the organic structure plays an important role. A pseudo-first order kinetics is found in all cases. Similar results are reached for sono-EF at low and high frequency, but the lowest ultrasounds power (i.e., 20 W) is shown to be much better. We conclude that the improvement yielded by sono-EF is due to various contributions, which in order of relevance are: (i) the enhanced mass transfer rate of both reactants (Fe3+ and O2) towards the cathode for the electrochemical generation of Fenton's reagent (Fe2+ + H2O2) and its transfer into the solution in order to enhance Fenton's reaction kinetics thus increasing the {radical dot}OH production rate and accelerating the destruction process, (ii) the additional generation of {radical dot}OH by sonolysis, and (iii) pyrolysis of organics due to cavitation generated by ultrasound irradiation. © 2008 Elsevier B.V. All rights reserved.","author":[{"dropping-particle":"","family":"Oturan","given":"Mehmet A.","non-dropping-particle":"","parse-names":false,"suffix":""},{"dropping-particle":"","family":"Sirés","given":"Ignasi","non-dropping-particle":"","parse-names":false,"suffix":""},{"dropping-particle":"","family":"Oturan","given":"Nihal","non-dropping-particle":"","parse-names":false,"suffix":""},{"dropping-particle":"","family":"Pérocheau","given":"Stéphanie","non-dropping-particle":"","parse-names":false,"suffix":""},{"dropping-particle":"","family":"Laborde","given":"Jean-Luc","non-dropping-particle":"","parse-names":false,"suffix":""},{"dropping-particle":"","family":"Trévin","given":"Stéphane","non-dropping-particle":"","parse-names":false,"suffix":""}],"container-title":"Journal of Electroanalytical Chemistry","id":"ITEM-1","issue":"1-2","issued":{"date-parts":[["2008","12"]]},"page":"329-332","title":"Sonoelectro-Fenton process: A novel hybrid technique for the destruction of organic pollutants in water","type":"article-journal","volume":"624"},"uris":["http://www.mendeley.com/documents/?uuid=1ede0e9c-0845-4516-b0c8-a8a97de90731","http://www.mendeley.com/documents/?uuid=2a9a7a21-9c48-47c6-9e53-faffeae7fa19"]}],"mendeley":{"formattedCitation":"(Oturan et al., 2008)","plainTextFormattedCitation":"(Oturan et al., 2008)","previouslyFormattedCitation":"(Oturan et al., 2008)"},"properties":{"noteIndex":0},"schema":"https://github.com/citation-style-language/schema/raw/master/csl-citation.json"}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(Oturan et al., 2008)</w:t>
            </w:r>
            <w:r w:rsidRPr="00EE6A8D">
              <w:rPr>
                <w:rFonts w:cs="Times New Roman"/>
                <w:sz w:val="22"/>
                <w:lang w:val="en-IN"/>
              </w:rPr>
              <w:fldChar w:fldCharType="end"/>
            </w:r>
          </w:p>
        </w:tc>
      </w:tr>
      <w:tr w:rsidR="004C6915" w:rsidRPr="00EE6A8D" w14:paraId="2C69750E"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41D22250"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357B41C3" w14:textId="2CC3BECF" w:rsidR="004C6915" w:rsidRPr="00EE6A8D" w:rsidRDefault="006C10EC" w:rsidP="00F43064">
            <w:pPr>
              <w:spacing w:after="0" w:line="240" w:lineRule="auto"/>
              <w:jc w:val="center"/>
              <w:rPr>
                <w:rFonts w:cs="Times New Roman"/>
                <w:bCs/>
                <w:sz w:val="22"/>
                <w:lang w:val="en-IN"/>
              </w:rPr>
            </w:pPr>
            <w:r>
              <w:rPr>
                <w:rFonts w:cs="Times New Roman"/>
                <w:bCs/>
                <w:sz w:val="22"/>
                <w:lang w:val="en-IN"/>
              </w:rPr>
              <w:t>R</w:t>
            </w:r>
            <w:r w:rsidR="004C6915" w:rsidRPr="00EE6A8D">
              <w:rPr>
                <w:rFonts w:cs="Times New Roman"/>
                <w:bCs/>
                <w:sz w:val="22"/>
                <w:lang w:val="en-IN"/>
              </w:rPr>
              <w:t>ed X-GRL dye</w:t>
            </w:r>
          </w:p>
        </w:tc>
        <w:tc>
          <w:tcPr>
            <w:tcW w:w="1101" w:type="dxa"/>
            <w:tcBorders>
              <w:top w:val="single" w:sz="4" w:space="0" w:color="auto"/>
              <w:left w:val="nil"/>
              <w:bottom w:val="single" w:sz="4" w:space="0" w:color="auto"/>
              <w:right w:val="nil"/>
            </w:tcBorders>
            <w:vAlign w:val="center"/>
            <w:hideMark/>
          </w:tcPr>
          <w:p w14:paraId="5496A27E"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37.5</w:t>
            </w:r>
          </w:p>
        </w:tc>
        <w:tc>
          <w:tcPr>
            <w:tcW w:w="1803" w:type="dxa"/>
            <w:tcBorders>
              <w:top w:val="single" w:sz="4" w:space="0" w:color="auto"/>
              <w:left w:val="nil"/>
              <w:bottom w:val="single" w:sz="4" w:space="0" w:color="auto"/>
              <w:right w:val="nil"/>
            </w:tcBorders>
            <w:vAlign w:val="center"/>
            <w:hideMark/>
          </w:tcPr>
          <w:p w14:paraId="31E48EA5"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284125BC" w14:textId="52EA8C9F"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ED0C53">
              <w:rPr>
                <w:rFonts w:cs="Times New Roman"/>
                <w:sz w:val="22"/>
                <w:lang w:val="en-IN"/>
              </w:rPr>
              <w:t xml:space="preserve"> </w:t>
            </w:r>
            <w:r w:rsidRPr="00EE6A8D">
              <w:rPr>
                <w:rFonts w:cs="Times New Roman"/>
                <w:sz w:val="22"/>
                <w:lang w:val="en-IN"/>
              </w:rPr>
              <w:t>= 5 mM</w:t>
            </w:r>
            <w:r w:rsidRPr="00EE6A8D">
              <w:rPr>
                <w:rFonts w:cs="Times New Roman"/>
                <w:sz w:val="22"/>
              </w:rPr>
              <w:t>, Time</w:t>
            </w:r>
            <w:r w:rsidR="0068753B">
              <w:rPr>
                <w:rFonts w:cs="Times New Roman"/>
                <w:sz w:val="22"/>
              </w:rPr>
              <w:t xml:space="preserve"> </w:t>
            </w:r>
            <w:r w:rsidRPr="00EE6A8D">
              <w:rPr>
                <w:rFonts w:cs="Times New Roman"/>
                <w:sz w:val="22"/>
              </w:rPr>
              <w:t>= 180 min, US Frequency</w:t>
            </w:r>
            <w:r w:rsidR="0068753B">
              <w:rPr>
                <w:rFonts w:cs="Times New Roman"/>
                <w:sz w:val="22"/>
              </w:rPr>
              <w:t xml:space="preserve"> </w:t>
            </w:r>
            <w:r w:rsidRPr="00EE6A8D">
              <w:rPr>
                <w:rFonts w:cs="Times New Roman"/>
                <w:sz w:val="22"/>
              </w:rPr>
              <w:t>=</w:t>
            </w:r>
            <w:r w:rsidR="0068753B">
              <w:rPr>
                <w:rFonts w:cs="Times New Roman"/>
                <w:sz w:val="22"/>
              </w:rPr>
              <w:t xml:space="preserve"> </w:t>
            </w:r>
            <w:r w:rsidRPr="00EE6A8D">
              <w:rPr>
                <w:rFonts w:cs="Times New Roman"/>
                <w:sz w:val="22"/>
              </w:rPr>
              <w:t>20 kHz</w:t>
            </w:r>
          </w:p>
        </w:tc>
        <w:tc>
          <w:tcPr>
            <w:tcW w:w="1485" w:type="dxa"/>
            <w:tcBorders>
              <w:top w:val="single" w:sz="4" w:space="0" w:color="auto"/>
              <w:left w:val="nil"/>
              <w:bottom w:val="single" w:sz="4" w:space="0" w:color="auto"/>
              <w:right w:val="nil"/>
            </w:tcBorders>
            <w:vAlign w:val="center"/>
            <w:hideMark/>
          </w:tcPr>
          <w:p w14:paraId="5E34ACCF" w14:textId="0B218D20"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76.52</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25D6618F" w14:textId="31E9ADFC"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{"citationItems":[{"id":"ITEM-1","itemData":{"DOI":"10.1016/j.cej.2010.03.027","ISSN":"13858947","abstract":"This work evaluates the effect of low frequency ultrasonic irradiation on the sonoelectro-Fenton (SEF) oxidation process in an acid aqueous medium. Ultrasonic irradiation significantly increases the H2O2 production rate and reduces the time needed to reach the maximum H2O2 concentration. In addition, ultrasonic irradiation has a considerable effect on the degradation of the cationic red X-GRL in the SEF process. A pseudo-first-order model was used to simulate the experimental results, and this revealed that the decolorization rate increased with the ultrasonic power in the SEF process. Furthermore, both TOC removal efficiency and mineralization current efficiency were greatly promoted in the SEF process compared with the electro-Fenton (EF) process. These results prove that the SEF process is a promising technology in terms of colored wastewater treatment. © 2010 Elsevier B.V.","author":[{"dropping-particle":"","family":"Li","given":"Hualiang","non-dropping-particle":"","parse-names":false,"suffix":""},{"dropping-particle":"","family":"Lei","given":"Hengyi","non-dropping-particle":"","parse-names":false,"suffix":""},{"dropping-particle":"","family":"Yu","given":"Qiang","non-dropping-particle":"","parse-names":false,"suffix":""},{"dropping-particle":"","family":"Li","given":"Zhong","non-dropping-particle":"","parse-names":false,"suffix":""},{"dropping-particle":"","family":"Feng","given":"Xin","non-dropping-particle":"","parse-names":false,"suffix":""},{"dropping-particle":"","family":"Yang","given":"Bojie","non-dropping-particle":"","parse-names":false,"suffix":""}],"container-title":"Chemical Engineering Journal","id":"ITEM-1","issue":"2","issued":{"date-parts":[["2010","6"]]},"page":"417-422","title":"Effect of low frequency ultrasonic irradiation on the sonoelectro-Fenton degradation of cationic red X-GRL","type":"article-journal","volume":"160"},"uris":["http://www.mendeley.com/documents/?uuid=4d789c92-d4e4-49f3-b3ec-1cd7ddad4ab6","http://www.mendeley.com/documents/?uuid=89ca18a5-45a3-4527-b504-e702ac109594"]}],"mendeley":{"formattedCitation":"(Li et al., 2010)","plainTextFormattedCitation":"(Li et al., 2010)","previouslyFormattedCitation":"(Li et al., 2010)"},"properties":{"noteIndex":0},"schema":"https://github.com/citation-style-language/schema/raw/master/csl-citation.json"}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(Li et al., 2010)</w:t>
            </w:r>
            <w:r w:rsidRPr="00EE6A8D">
              <w:rPr>
                <w:rFonts w:cs="Times New Roman"/>
                <w:sz w:val="22"/>
                <w:lang w:val="en-IN"/>
              </w:rPr>
              <w:fldChar w:fldCharType="end"/>
            </w:r>
          </w:p>
        </w:tc>
      </w:tr>
      <w:tr w:rsidR="004C6915" w:rsidRPr="00EE6A8D" w14:paraId="52C77C66" w14:textId="77777777" w:rsidTr="00F43064">
        <w:trPr>
          <w:trHeight w:val="18"/>
          <w:jc w:val="center"/>
        </w:trPr>
        <w:tc>
          <w:tcPr>
            <w:tcW w:w="1903" w:type="dxa"/>
            <w:vMerge w:val="restart"/>
            <w:tcBorders>
              <w:top w:val="single" w:sz="4" w:space="0" w:color="auto"/>
              <w:left w:val="nil"/>
              <w:bottom w:val="single" w:sz="4" w:space="0" w:color="auto"/>
              <w:right w:val="nil"/>
            </w:tcBorders>
            <w:vAlign w:val="center"/>
          </w:tcPr>
          <w:p w14:paraId="64BC6636"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Heterogeneous-electro-Fenton process</w:t>
            </w:r>
          </w:p>
          <w:p w14:paraId="2AAA1470"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59DED8F7" w14:textId="6792E7DD" w:rsidR="004C6915" w:rsidRPr="00EE6A8D" w:rsidRDefault="006C10EC" w:rsidP="00F43064">
            <w:pPr>
              <w:spacing w:after="0" w:line="240" w:lineRule="auto"/>
              <w:jc w:val="center"/>
              <w:rPr>
                <w:rFonts w:cs="Times New Roman"/>
                <w:bCs/>
                <w:sz w:val="22"/>
                <w:lang w:val="en-IN"/>
              </w:rPr>
            </w:pPr>
            <w:r>
              <w:rPr>
                <w:rFonts w:cs="Times New Roman"/>
                <w:bCs/>
                <w:sz w:val="22"/>
                <w:lang w:val="en-IN"/>
              </w:rPr>
              <w:t>V</w:t>
            </w:r>
            <w:r w:rsidR="004C6915" w:rsidRPr="00EE6A8D">
              <w:rPr>
                <w:rFonts w:cs="Times New Roman"/>
                <w:bCs/>
                <w:sz w:val="22"/>
                <w:lang w:val="en-IN"/>
              </w:rPr>
              <w:t>anillic acid</w:t>
            </w:r>
          </w:p>
        </w:tc>
        <w:tc>
          <w:tcPr>
            <w:tcW w:w="1101" w:type="dxa"/>
            <w:tcBorders>
              <w:top w:val="single" w:sz="4" w:space="0" w:color="auto"/>
              <w:left w:val="nil"/>
              <w:bottom w:val="single" w:sz="4" w:space="0" w:color="auto"/>
              <w:right w:val="nil"/>
            </w:tcBorders>
            <w:vAlign w:val="center"/>
            <w:hideMark/>
          </w:tcPr>
          <w:p w14:paraId="5536521F"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16.81</w:t>
            </w:r>
          </w:p>
        </w:tc>
        <w:tc>
          <w:tcPr>
            <w:tcW w:w="1803" w:type="dxa"/>
            <w:tcBorders>
              <w:top w:val="single" w:sz="4" w:space="0" w:color="auto"/>
              <w:left w:val="nil"/>
              <w:bottom w:val="single" w:sz="4" w:space="0" w:color="auto"/>
              <w:right w:val="nil"/>
            </w:tcBorders>
            <w:vAlign w:val="center"/>
            <w:hideMark/>
          </w:tcPr>
          <w:p w14:paraId="1FF959AA"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Pyrite</w:t>
            </w:r>
          </w:p>
        </w:tc>
        <w:tc>
          <w:tcPr>
            <w:tcW w:w="3105" w:type="dxa"/>
            <w:tcBorders>
              <w:top w:val="single" w:sz="4" w:space="0" w:color="auto"/>
              <w:left w:val="nil"/>
              <w:bottom w:val="single" w:sz="4" w:space="0" w:color="auto"/>
              <w:right w:val="nil"/>
            </w:tcBorders>
            <w:vAlign w:val="center"/>
            <w:hideMark/>
          </w:tcPr>
          <w:p w14:paraId="3BF17F89" w14:textId="4BD622C0"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 xml:space="preserve">Catalyst dosage= 1 </w:t>
            </w:r>
            <w:r w:rsidR="00EE3047" w:rsidRPr="006615AD">
              <w:rPr>
                <w:rFonts w:cs="Times New Roman"/>
                <w:sz w:val="22"/>
              </w:rPr>
              <w:t>g L</w:t>
            </w:r>
            <w:r w:rsidR="00AD4543">
              <w:rPr>
                <w:rFonts w:cs="Times New Roman"/>
                <w:bCs/>
                <w:color w:val="000000" w:themeColor="text1"/>
                <w:szCs w:val="24"/>
                <w:vertAlign w:val="superscript"/>
                <w:lang w:val="en-IN"/>
              </w:rPr>
              <w:t>‒</w:t>
            </w:r>
            <w:r w:rsidR="00EE3047" w:rsidRPr="006615AD">
              <w:rPr>
                <w:rFonts w:cs="Times New Roman"/>
                <w:sz w:val="22"/>
                <w:vertAlign w:val="superscript"/>
              </w:rPr>
              <w:t>1</w:t>
            </w:r>
            <w:r w:rsidRPr="00EE6A8D">
              <w:rPr>
                <w:rFonts w:cs="Times New Roman"/>
                <w:sz w:val="22"/>
                <w:lang w:val="en-IN"/>
              </w:rPr>
              <w:t xml:space="preserve">, </w:t>
            </w:r>
            <w:r w:rsidRPr="00EE6A8D">
              <w:rPr>
                <w:rFonts w:cs="Times New Roman"/>
                <w:sz w:val="22"/>
              </w:rPr>
              <w:t>Time</w:t>
            </w:r>
            <w:r w:rsidR="00EE3047">
              <w:rPr>
                <w:rFonts w:cs="Times New Roman"/>
                <w:sz w:val="22"/>
              </w:rPr>
              <w:t xml:space="preserve"> </w:t>
            </w:r>
            <w:r w:rsidRPr="00EE6A8D">
              <w:rPr>
                <w:rFonts w:cs="Times New Roman"/>
                <w:sz w:val="22"/>
              </w:rPr>
              <w:t>= 360 min</w:t>
            </w:r>
          </w:p>
        </w:tc>
        <w:tc>
          <w:tcPr>
            <w:tcW w:w="1485" w:type="dxa"/>
            <w:tcBorders>
              <w:top w:val="single" w:sz="4" w:space="0" w:color="auto"/>
              <w:left w:val="nil"/>
              <w:bottom w:val="single" w:sz="4" w:space="0" w:color="auto"/>
              <w:right w:val="nil"/>
            </w:tcBorders>
            <w:vAlign w:val="center"/>
            <w:hideMark/>
          </w:tcPr>
          <w:p w14:paraId="087735EC" w14:textId="212FC48B"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98</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605C5F79" w14:textId="0CFCE544"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{"citationItems":[{"id":"ITEM-1","itemData":{"DOI":"10.1016/j.jelechem.2017.05.028","ISSN":"15726657","abstract":"Heterogeneous electro-Fenton process using a natural pyrite as solid catalyst was used to degrade vanillic acid (VA), one of the major phenolic components of olive mill wastewaters. This heterogeneous process has advantages over classical electro-Fenton process such as large working pH range, recovering and recycling of the catalyst and thus cost reduction. Experiments were performed in an undivided electrochemical cell equipped with a Pt anode and a carbon felt cathode. The effect of operating parameters such as pyrite dosage, applied current and initial pH on VA degradation has been investigated. The VA decay kinetics and the mineralization of the aqueous solutions were monitored by HPLC analysis and TOC measurements, respectively. Results showed that VA was completely removed by the reaction with hydroxyl radicals generated from electrochemically assisted Fenton's reaction. The decay kinetics of VA oxidation was found to follow pseudo-first order reaction and the rate constant for oxidation of VA was determined to be (5.27 ± 0.03) × 109 mol− 1 L s− 1. A mineralization rate of 89.2% was reached with a pyrite dosage of 1 g L− 1. HPLC and GC–MS analyses permitted to identify a large number of aromatic/cyclic and aliphatic reaction intermediate products. Based on these intermediates products as well as the release of inorganic ions and TOC removal determination a detailed reaction pathway was proposed for the mineralization of VA by [rad]OH generated during heterogeneous electro-Fenton process.","author":[{"dropping-particle":"","family":"Ouiriemmi","given":"Imen","non-dropping-particle":"","parse-names":false,"suffix":""},{"dropping-particle":"","family":"Karrab","given":"Assia","non-dropping-particle":"","parse-names":false,"suffix":""},{"dropping-particle":"","family":"Oturan","given":"Nihal","non-dropping-particle":"","parse-names":false,"suffix":""},{"dropping-particle":"","family":"Pazos","given":"Marta","non-dropping-particle":"","parse-names":false,"suffix":""},{"dropping-particle":"","family":"Rozales","given":"Emilio","non-dropping-particle":"","parse-names":false,"suffix":""},{"dropping-particle":"","family":"Gadri","given":"Abdellatif","non-dropping-particle":"","parse-names":false,"suffix":""},{"dropping-particle":"","family":"Sanromán","given":"Maria Ángeles","non-dropping-particle":"","parse-names":false,"suffix":""},{"dropping-particle":"","family":"Ammar","given":"Salah","non-dropping-particle":"","parse-names":false,"suffix":""},{"dropping-particle":"","family":"Oturan","given":"Mehmet A.","non-dropping-particle":"","parse-names":false,"suffix":""}],"container-title":"Journal of Electroanalytical Chemistry","id":"ITEM-1","issued":{"date-parts":[["2017","7"]]},"page":"69-77","title":"Heterogeneous electro-Fenton using natural pyrite as solid catalyst for oxidative degradation of vanillic acid","type":"article-journal","volume":"797"},"uris":["http://www.mendeley.com/documents/?uuid=6378c0d9-29d3-4100-b930-19acceed2345","http://www.mendeley.com/documents/?uuid=3b784417-b4b0-494c-97f1-51de42694015"]}],"mendeley":{"formattedCitation":"(Ouiriemmi et al., 2017)","plainTextFormattedCitation":"(Ouiriemmi et al., 2017)","previouslyFormattedCitation":"(Ouiriemmi et al., 2017)"},"properties":{"noteIndex":0},"schema":"https://github.com/citation-style-language/schema/raw/master/csl-citation.json"}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(Ouiriemmi et al., 2017)</w:t>
            </w:r>
            <w:r w:rsidRPr="00EE6A8D">
              <w:rPr>
                <w:rFonts w:cs="Times New Roman"/>
                <w:sz w:val="22"/>
                <w:lang w:val="en-IN"/>
              </w:rPr>
              <w:fldChar w:fldCharType="end"/>
            </w:r>
          </w:p>
        </w:tc>
      </w:tr>
      <w:tr w:rsidR="004C6915" w:rsidRPr="00EE6A8D" w14:paraId="6C487A38"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49FC2DEB"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6A7A7A8B" w14:textId="77777777"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Methyl orange</w:t>
            </w:r>
          </w:p>
        </w:tc>
        <w:tc>
          <w:tcPr>
            <w:tcW w:w="1101" w:type="dxa"/>
            <w:tcBorders>
              <w:top w:val="single" w:sz="4" w:space="0" w:color="auto"/>
              <w:left w:val="nil"/>
              <w:bottom w:val="single" w:sz="4" w:space="0" w:color="auto"/>
              <w:right w:val="nil"/>
            </w:tcBorders>
            <w:vAlign w:val="center"/>
            <w:hideMark/>
          </w:tcPr>
          <w:p w14:paraId="77BC0F18"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50</w:t>
            </w:r>
          </w:p>
        </w:tc>
        <w:tc>
          <w:tcPr>
            <w:tcW w:w="1803" w:type="dxa"/>
            <w:tcBorders>
              <w:top w:val="single" w:sz="4" w:space="0" w:color="auto"/>
              <w:left w:val="nil"/>
              <w:bottom w:val="single" w:sz="4" w:space="0" w:color="auto"/>
              <w:right w:val="nil"/>
            </w:tcBorders>
            <w:vAlign w:val="center"/>
            <w:hideMark/>
          </w:tcPr>
          <w:p w14:paraId="049BFB71"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Fe(NO</w:t>
            </w:r>
            <w:r w:rsidRPr="00EE6A8D">
              <w:rPr>
                <w:rFonts w:cs="Times New Roman"/>
                <w:sz w:val="22"/>
                <w:vertAlign w:val="subscript"/>
                <w:lang w:val="en-IN"/>
              </w:rPr>
              <w:t>3</w:t>
            </w:r>
            <w:r w:rsidRPr="00EE6A8D">
              <w:rPr>
                <w:rFonts w:cs="Times New Roman"/>
                <w:sz w:val="22"/>
                <w:lang w:val="en-IN"/>
              </w:rPr>
              <w:t>)</w:t>
            </w:r>
            <w:r w:rsidRPr="00EE6A8D">
              <w:rPr>
                <w:rFonts w:cs="Times New Roman"/>
                <w:sz w:val="22"/>
                <w:vertAlign w:val="subscript"/>
                <w:lang w:val="en-IN"/>
              </w:rPr>
              <w:t>2</w:t>
            </w:r>
            <w:r w:rsidRPr="00EE6A8D">
              <w:rPr>
                <w:rFonts w:cs="Times New Roman"/>
                <w:sz w:val="22"/>
                <w:lang w:val="en-IN"/>
              </w:rPr>
              <w:t>· 6H</w:t>
            </w:r>
            <w:r w:rsidRPr="00EE6A8D">
              <w:rPr>
                <w:rFonts w:cs="Times New Roman"/>
                <w:sz w:val="22"/>
                <w:vertAlign w:val="subscript"/>
                <w:lang w:val="en-IN"/>
              </w:rPr>
              <w:t>2</w:t>
            </w:r>
            <w:r w:rsidRPr="00EE6A8D">
              <w:rPr>
                <w:rFonts w:cs="Times New Roman"/>
                <w:sz w:val="22"/>
                <w:lang w:val="en-IN"/>
              </w:rPr>
              <w:t>O</w:t>
            </w:r>
          </w:p>
        </w:tc>
        <w:tc>
          <w:tcPr>
            <w:tcW w:w="3105" w:type="dxa"/>
            <w:tcBorders>
              <w:top w:val="single" w:sz="4" w:space="0" w:color="auto"/>
              <w:left w:val="nil"/>
              <w:bottom w:val="single" w:sz="4" w:space="0" w:color="auto"/>
              <w:right w:val="nil"/>
            </w:tcBorders>
            <w:vAlign w:val="center"/>
            <w:hideMark/>
          </w:tcPr>
          <w:p w14:paraId="6F09CAEE" w14:textId="4093B9A6"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EE3047">
              <w:rPr>
                <w:rFonts w:cs="Times New Roman"/>
                <w:sz w:val="22"/>
                <w:lang w:val="en-IN"/>
              </w:rPr>
              <w:t xml:space="preserve"> </w:t>
            </w:r>
            <w:r w:rsidRPr="00EE6A8D">
              <w:rPr>
                <w:rFonts w:cs="Times New Roman"/>
                <w:sz w:val="22"/>
                <w:lang w:val="en-IN"/>
              </w:rPr>
              <w:t xml:space="preserve">= 0.2 mM, </w:t>
            </w:r>
            <w:r w:rsidRPr="00EE6A8D">
              <w:rPr>
                <w:rFonts w:cs="Times New Roman"/>
                <w:sz w:val="22"/>
              </w:rPr>
              <w:t>Time</w:t>
            </w:r>
            <w:r w:rsidR="00EE3047">
              <w:rPr>
                <w:rFonts w:cs="Times New Roman"/>
                <w:sz w:val="22"/>
              </w:rPr>
              <w:t xml:space="preserve"> </w:t>
            </w:r>
            <w:r w:rsidRPr="00EE6A8D">
              <w:rPr>
                <w:rFonts w:cs="Times New Roman"/>
                <w:sz w:val="22"/>
              </w:rPr>
              <w:t>= 120 min</w:t>
            </w:r>
          </w:p>
        </w:tc>
        <w:tc>
          <w:tcPr>
            <w:tcW w:w="1485" w:type="dxa"/>
            <w:tcBorders>
              <w:top w:val="single" w:sz="4" w:space="0" w:color="auto"/>
              <w:left w:val="nil"/>
              <w:bottom w:val="single" w:sz="4" w:space="0" w:color="auto"/>
              <w:right w:val="nil"/>
            </w:tcBorders>
            <w:vAlign w:val="center"/>
            <w:hideMark/>
          </w:tcPr>
          <w:p w14:paraId="52BF54A4" w14:textId="7E45F522"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93.8</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111EF923" w14:textId="37877771"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{"citationItems":[{"id":"ITEM-1","itemData":{"DOI":"10.1007/s11356-016-7389-3","ISSN":"16147499","PMID":"27614649","abstract":"A composite graphite felt (GF) modified with transition metal was fabricated and used as cathode in heterogeneous electro-Fenton (EF) for methyl orange (MO) degradation. Characterized by scanning electron microscopy (SEM) and X-ray photoelectron spectroscopy (XPS), the morphology and surface physicochemical properties of the cathodes after modification were observed considerably changed. After loading metals, the current response became higher, the accumulation of H2O2 and the degradation efficiency of MO were improved. Under the same conditions, GF-Co had the highest catalytic activity for electro-reduction of O2 to H2O2 and MO degradation. At pH 3, 99 % of MO degradation efficiency was obtained using GF-Co after 120 min treatment and even at initial pH 9, 82 % of that was obtained. TOC removal efficiency reached 93.8 % using GF-Co at pH 3 after 120 min treatment while that was 12.3 % using GF. After ten-time runs, the mineralization ratio of the GF-Co was still 89.5 %, suggesting that GF-Co was very promising for wastewater treatment. The addition of isopropanol proved that ·OH played an important role in degradation of MO.","author":[{"dropping-particle":"","family":"Liang","given":"Liang","non-dropping-particle":"","parse-names":false,"suffix":""},{"dropping-particle":"","family":"Yu","given":"Fangke","non-dropping-particle":"","parse-names":false,"suffix":""},{"dropping-particle":"","family":"An","given":"Yiran","non-dropping-particle":"","parse-names":false,"suffix":""},{"dropping-particle":"","family":"Liu","given":"Mengmeng","non-dropping-particle":"","parse-names":false,"suffix":""},{"dropping-particle":"","family":"Zhou","given":"Minghua","non-dropping-particle":"","parse-names":false,"suffix":""}],"container-title":"Environmental Science and Pollution Research","id":"ITEM-1","issue":"2","issued":{"date-parts":[["2017"]]},"page":"1122-1132","title":"Preparation of transition metal composite graphite felt cathode for efficient heterogeneous electro-Fenton process","type":"article-journal","volume":"24"},"uris":["http://www.mendeley.com/documents/?uuid=5e959921-3ffc-4153-b074-3d7075b947d4","http://www.mendeley.com/documents/?uuid=720c6978-e7fb-494a-925b-7be8ca8bfebe"]}],"mendeley":{"formattedCitation":"(Liang et al., 2017)","plainTextFormattedCitation":"(Liang et al., 2017)","previouslyFormattedCitation":"(Liang et al., 2017)"},"properties":{"noteIndex":0},"schema":"https://github.com/citation-style-language/schema/raw/master/csl-citation.json"}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(Liang et al., 2017)</w:t>
            </w:r>
            <w:r w:rsidRPr="00EE6A8D">
              <w:rPr>
                <w:rFonts w:cs="Times New Roman"/>
                <w:sz w:val="22"/>
                <w:lang w:val="en-IN"/>
              </w:rPr>
              <w:fldChar w:fldCharType="end"/>
            </w:r>
          </w:p>
        </w:tc>
      </w:tr>
      <w:tr w:rsidR="004C6915" w:rsidRPr="00EE6A8D" w14:paraId="5BADB06E"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3385B3A0"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2B48CF94" w14:textId="77777777"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Rhodamine B</w:t>
            </w:r>
          </w:p>
        </w:tc>
        <w:tc>
          <w:tcPr>
            <w:tcW w:w="1101" w:type="dxa"/>
            <w:tcBorders>
              <w:top w:val="single" w:sz="4" w:space="0" w:color="auto"/>
              <w:left w:val="nil"/>
              <w:bottom w:val="single" w:sz="4" w:space="0" w:color="auto"/>
              <w:right w:val="nil"/>
            </w:tcBorders>
            <w:vAlign w:val="center"/>
            <w:hideMark/>
          </w:tcPr>
          <w:p w14:paraId="23501B10"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10</w:t>
            </w:r>
          </w:p>
        </w:tc>
        <w:tc>
          <w:tcPr>
            <w:tcW w:w="1803" w:type="dxa"/>
            <w:tcBorders>
              <w:top w:val="single" w:sz="4" w:space="0" w:color="auto"/>
              <w:left w:val="nil"/>
              <w:bottom w:val="single" w:sz="4" w:space="0" w:color="auto"/>
              <w:right w:val="nil"/>
            </w:tcBorders>
            <w:vAlign w:val="center"/>
            <w:hideMark/>
          </w:tcPr>
          <w:p w14:paraId="532AF46D"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Magnetite</w:t>
            </w:r>
          </w:p>
        </w:tc>
        <w:tc>
          <w:tcPr>
            <w:tcW w:w="3105" w:type="dxa"/>
            <w:tcBorders>
              <w:top w:val="single" w:sz="4" w:space="0" w:color="auto"/>
              <w:left w:val="nil"/>
              <w:bottom w:val="single" w:sz="4" w:space="0" w:color="auto"/>
              <w:right w:val="nil"/>
            </w:tcBorders>
            <w:vAlign w:val="center"/>
            <w:hideMark/>
          </w:tcPr>
          <w:p w14:paraId="31EFDB9B" w14:textId="71000E5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6B2968">
              <w:rPr>
                <w:rFonts w:cs="Times New Roman"/>
                <w:sz w:val="22"/>
                <w:lang w:val="en-IN"/>
              </w:rPr>
              <w:t xml:space="preserve"> </w:t>
            </w:r>
            <w:r w:rsidRPr="00EE6A8D">
              <w:rPr>
                <w:rFonts w:cs="Times New Roman"/>
                <w:sz w:val="22"/>
                <w:lang w:val="en-IN"/>
              </w:rPr>
              <w:t xml:space="preserve">=10 </w:t>
            </w:r>
            <w:r w:rsidR="006B2968">
              <w:rPr>
                <w:rFonts w:cs="Times New Roman"/>
                <w:sz w:val="22"/>
                <w:lang w:val="en-IN"/>
              </w:rPr>
              <w:t>m</w:t>
            </w:r>
            <w:r w:rsidR="006B2968" w:rsidRPr="006615AD">
              <w:rPr>
                <w:rFonts w:cs="Times New Roman"/>
                <w:sz w:val="22"/>
              </w:rPr>
              <w:t>g L</w:t>
            </w:r>
            <w:r w:rsidR="00AD4543">
              <w:rPr>
                <w:rFonts w:cs="Times New Roman"/>
                <w:bCs/>
                <w:color w:val="000000" w:themeColor="text1"/>
                <w:szCs w:val="24"/>
                <w:vertAlign w:val="superscript"/>
                <w:lang w:val="en-IN"/>
              </w:rPr>
              <w:t>‒</w:t>
            </w:r>
            <w:r w:rsidR="006B2968" w:rsidRPr="006615AD">
              <w:rPr>
                <w:rFonts w:cs="Times New Roman"/>
                <w:sz w:val="22"/>
                <w:vertAlign w:val="superscript"/>
              </w:rPr>
              <w:t>1</w:t>
            </w:r>
            <w:r w:rsidRPr="00EE6A8D">
              <w:rPr>
                <w:rFonts w:cs="Times New Roman"/>
                <w:sz w:val="22"/>
                <w:lang w:val="en-IN"/>
              </w:rPr>
              <w:t xml:space="preserve">, </w:t>
            </w:r>
            <w:r w:rsidRPr="00EE6A8D">
              <w:rPr>
                <w:rFonts w:cs="Times New Roman"/>
                <w:sz w:val="22"/>
              </w:rPr>
              <w:t>Time</w:t>
            </w:r>
            <w:r w:rsidR="006B2968">
              <w:rPr>
                <w:rFonts w:cs="Times New Roman"/>
                <w:sz w:val="22"/>
              </w:rPr>
              <w:t xml:space="preserve"> </w:t>
            </w:r>
            <w:r w:rsidRPr="00EE6A8D">
              <w:rPr>
                <w:rFonts w:cs="Times New Roman"/>
                <w:sz w:val="22"/>
              </w:rPr>
              <w:t>= 180 min</w:t>
            </w:r>
          </w:p>
        </w:tc>
        <w:tc>
          <w:tcPr>
            <w:tcW w:w="1485" w:type="dxa"/>
            <w:tcBorders>
              <w:top w:val="single" w:sz="4" w:space="0" w:color="auto"/>
              <w:left w:val="nil"/>
              <w:bottom w:val="single" w:sz="4" w:space="0" w:color="auto"/>
              <w:right w:val="nil"/>
            </w:tcBorders>
            <w:vAlign w:val="center"/>
            <w:hideMark/>
          </w:tcPr>
          <w:p w14:paraId="7EC655E4" w14:textId="5CDA25C4"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97.3</w:t>
            </w:r>
            <w:r w:rsidRPr="00EE6A8D">
              <w:rPr>
                <w:rFonts w:cs="Times New Roman"/>
                <w:sz w:val="22"/>
                <w:vertAlign w:val="superscript"/>
                <w:lang w:val="en-IN"/>
              </w:rPr>
              <w:t>a</w:t>
            </w:r>
          </w:p>
        </w:tc>
        <w:tc>
          <w:tcPr>
            <w:tcW w:w="2103" w:type="dxa"/>
            <w:tcBorders>
              <w:top w:val="single" w:sz="4" w:space="0" w:color="auto"/>
              <w:left w:val="nil"/>
              <w:bottom w:val="single" w:sz="4" w:space="0" w:color="auto"/>
              <w:right w:val="nil"/>
            </w:tcBorders>
            <w:vAlign w:val="center"/>
            <w:hideMark/>
          </w:tcPr>
          <w:p w14:paraId="19DA02E4" w14:textId="38684225"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 xml:space="preserve">ADDIN CSL_CITATION {"citationItems":[{"id":"ITEM-1","itemData":{"DOI":"10.1039/c3ra46969g","ISSN":"20462069","abstract":"This paper deals with the investigation of Rhodamine B (RhB) dye removal characteristics of the heterogeneous electro Fenton (EF) process using laboratory prepared Fe3O4. Throughout the experiment graphite-graphite electrolytic systems with the electrodes having a surface area of 25 cm2 were used. Removal efficiencies of Fe3O 4 prepared at various Fe2+:Fe3+ ratios were found to be close to the same range and Fe3O4 with 2:1 ratio was selected for further experiments. The effects of solution pH, catalyst concentration, voltage, electrode spacing etc. on dye removal efficiency were analysed to determine the optimal operating conditions. The experiment results indicated that 97.3% of RhB was removed within 180 min of electrolysis from a solution containing 10 mg l-1 of RhB at pH 3 with a catalyst concentration of 10 mg l-1, an applied voltage of 8 V and an inner electrode spacing of 4 cm. It was also found that addition of anions negatively affected the efficiency of the electrolytic system and followed the order CO32- </w:instrText>
            </w:r>
            <w:r>
              <w:rPr>
                <w:rFonts w:ascii="Cambria Math" w:hAnsi="Cambria Math" w:cs="Cambria Math"/>
                <w:sz w:val="22"/>
                <w:lang w:val="en-IN"/>
              </w:rPr>
              <w:instrText>∼</w:instrText>
            </w:r>
            <w:r>
              <w:rPr>
                <w:rFonts w:cs="Times New Roman"/>
                <w:sz w:val="22"/>
                <w:lang w:val="en-IN"/>
              </w:rPr>
              <w:instrText xml:space="preserve"> Cl- &gt; SO42- &gt; NO3- &gt; HCO3-. The reusability of magnetite highlights the practical applicability of heterogeneous EF process over homogeneous EF processes. Also, compared to the Fenton process, the optimal catalyst concentration required for the EF process was much less. From the present study, it can be concluded that heterogeneous EF process using Fe3O4 is an alternative method for dye removal from aqueous solution. © 2014 The Royal Society of Chemistry.","author":[{"dropping-particle":"V.","family":"Nidheesh","given":"P.","non-dropping-particle":"","parse-names":false,"suffix":""},{"dropping-particle":"","family":"Gandhimathi","given":"R.","non-dropping-particle":"","parse-names":false,"suffix":""},{"dropping-particle":"","family":"Velmathi","given":"S.","non-dropping-particle":"","parse-names":false,"suffix":""},{"dropping-particle":"","family":"Sanjini","given":"N. S.","non-dropping-particle":"","parse-names":false,"suffix":""}],"container-title":"RSC Advances","id":"ITEM-1","issue":"11","issued":{"date-parts":[["2014"]]},"page":"5698-5708","title":"Magnetite as a heterogeneous electro Fenton catalyst for the removal of Rhodamine B from aqueous solution","type":"article-journal","volume":"4"},"uris":["http://www.mendeley.com/documents/?uuid=363e331b-5495-465f-acf4-97bcbf2fc858","http://www.mendeley.com/documents/?uuid=fba48a76-615d-4a05-80ce-ce8caffbf854"]}],"mendeley":{"formattedCitation":"(Nidheesh et al., 2014)","plainTextFormattedCitation":"(Nidheesh et al., 2014)","previouslyFormattedCitation":"(Nidheesh et al., 2014)"},"properties":{"noteIndex":0},"schema":"https://github.com/citation-style-language/schema/raw/master/csl-citation.json"}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(Nidheesh et al., 2014)</w:t>
            </w:r>
            <w:r w:rsidRPr="00EE6A8D">
              <w:rPr>
                <w:rFonts w:cs="Times New Roman"/>
                <w:sz w:val="22"/>
                <w:lang w:val="en-IN"/>
              </w:rPr>
              <w:fldChar w:fldCharType="end"/>
            </w:r>
          </w:p>
        </w:tc>
      </w:tr>
      <w:tr w:rsidR="004C6915" w:rsidRPr="00EE6A8D" w14:paraId="7F8DF2AC" w14:textId="77777777" w:rsidTr="00F43064">
        <w:trPr>
          <w:trHeight w:val="832"/>
          <w:jc w:val="center"/>
        </w:trPr>
        <w:tc>
          <w:tcPr>
            <w:tcW w:w="1903" w:type="dxa"/>
            <w:vMerge w:val="restart"/>
            <w:tcBorders>
              <w:top w:val="single" w:sz="4" w:space="0" w:color="auto"/>
              <w:left w:val="nil"/>
              <w:bottom w:val="single" w:sz="4" w:space="0" w:color="auto"/>
              <w:right w:val="nil"/>
            </w:tcBorders>
            <w:vAlign w:val="center"/>
          </w:tcPr>
          <w:p w14:paraId="3156505E" w14:textId="77777777" w:rsidR="004C6915" w:rsidRPr="00EE6A8D" w:rsidRDefault="004C6915" w:rsidP="00F43064">
            <w:pPr>
              <w:spacing w:line="240" w:lineRule="auto"/>
              <w:jc w:val="center"/>
              <w:rPr>
                <w:rFonts w:cs="Times New Roman"/>
                <w:sz w:val="22"/>
                <w:lang w:val="en-IN"/>
              </w:rPr>
            </w:pPr>
          </w:p>
          <w:p w14:paraId="5755E8E9" w14:textId="77777777" w:rsidR="004C6915" w:rsidRPr="00EE6A8D" w:rsidRDefault="004C6915" w:rsidP="00F43064">
            <w:pPr>
              <w:spacing w:line="240" w:lineRule="auto"/>
              <w:jc w:val="center"/>
              <w:rPr>
                <w:rFonts w:cs="Times New Roman"/>
                <w:sz w:val="22"/>
                <w:lang w:val="en-IN"/>
              </w:rPr>
            </w:pPr>
            <w:proofErr w:type="spellStart"/>
            <w:r w:rsidRPr="00EE6A8D">
              <w:rPr>
                <w:rFonts w:cs="Times New Roman"/>
                <w:sz w:val="22"/>
                <w:lang w:val="en-IN"/>
              </w:rPr>
              <w:t>Sono</w:t>
            </w:r>
            <w:proofErr w:type="spellEnd"/>
            <w:r w:rsidRPr="00EE6A8D">
              <w:rPr>
                <w:rFonts w:cs="Times New Roman"/>
                <w:sz w:val="22"/>
                <w:lang w:val="en-IN"/>
              </w:rPr>
              <w:t>-photo-Fenton process</w:t>
            </w:r>
          </w:p>
          <w:p w14:paraId="15D5066B" w14:textId="77777777" w:rsidR="004C6915" w:rsidRPr="00EE6A8D" w:rsidRDefault="004C6915" w:rsidP="00F43064">
            <w:pPr>
              <w:spacing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2863ED32" w14:textId="77777777" w:rsidR="004C6915" w:rsidRPr="00EE6A8D" w:rsidRDefault="004C6915" w:rsidP="00F43064">
            <w:pPr>
              <w:spacing w:line="240" w:lineRule="auto"/>
              <w:jc w:val="center"/>
              <w:rPr>
                <w:rFonts w:cs="Times New Roman"/>
                <w:bCs/>
                <w:sz w:val="22"/>
                <w:lang w:val="en-IN"/>
              </w:rPr>
            </w:pPr>
            <w:r w:rsidRPr="00EE6A8D">
              <w:rPr>
                <w:rFonts w:cs="Times New Roman"/>
                <w:sz w:val="22"/>
              </w:rPr>
              <w:t>Reactive Black 5</w:t>
            </w:r>
          </w:p>
        </w:tc>
        <w:tc>
          <w:tcPr>
            <w:tcW w:w="1101" w:type="dxa"/>
            <w:tcBorders>
              <w:top w:val="single" w:sz="4" w:space="0" w:color="auto"/>
              <w:left w:val="nil"/>
              <w:bottom w:val="single" w:sz="4" w:space="0" w:color="auto"/>
              <w:right w:val="nil"/>
            </w:tcBorders>
            <w:vAlign w:val="center"/>
            <w:hideMark/>
          </w:tcPr>
          <w:p w14:paraId="1C8F6518" w14:textId="6E367C7C" w:rsidR="004C6915" w:rsidRPr="00EE6A8D" w:rsidRDefault="004C6915" w:rsidP="00F43064">
            <w:pPr>
              <w:spacing w:line="240" w:lineRule="auto"/>
              <w:jc w:val="center"/>
              <w:rPr>
                <w:rFonts w:cs="Times New Roman"/>
                <w:sz w:val="22"/>
                <w:lang w:val="en-IN"/>
              </w:rPr>
            </w:pPr>
            <w:r w:rsidRPr="00EE6A8D">
              <w:rPr>
                <w:rFonts w:cs="Times New Roman"/>
                <w:sz w:val="22"/>
              </w:rPr>
              <w:t>100</w:t>
            </w:r>
          </w:p>
        </w:tc>
        <w:tc>
          <w:tcPr>
            <w:tcW w:w="1803" w:type="dxa"/>
            <w:tcBorders>
              <w:top w:val="single" w:sz="4" w:space="0" w:color="auto"/>
              <w:left w:val="nil"/>
              <w:bottom w:val="single" w:sz="4" w:space="0" w:color="auto"/>
              <w:right w:val="nil"/>
            </w:tcBorders>
            <w:vAlign w:val="center"/>
            <w:hideMark/>
          </w:tcPr>
          <w:p w14:paraId="4425F999" w14:textId="77777777" w:rsidR="004C6915" w:rsidRPr="00EE6A8D" w:rsidRDefault="004C6915" w:rsidP="00F43064">
            <w:pPr>
              <w:spacing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7FE53F0A" w14:textId="2A3323B5" w:rsidR="004C6915" w:rsidRPr="00EE6A8D" w:rsidRDefault="004C6915" w:rsidP="00F43064">
            <w:pPr>
              <w:spacing w:line="240" w:lineRule="auto"/>
              <w:jc w:val="center"/>
              <w:rPr>
                <w:rFonts w:cs="Times New Roman"/>
                <w:sz w:val="22"/>
                <w:lang w:val="en-IN"/>
              </w:rPr>
            </w:pPr>
            <w:r w:rsidRPr="00EE6A8D">
              <w:rPr>
                <w:rFonts w:cs="Times New Roman"/>
                <w:sz w:val="22"/>
                <w:lang w:val="en-IN"/>
              </w:rPr>
              <w:t>Catalyst dosage</w:t>
            </w:r>
            <w:r w:rsidR="00980493">
              <w:rPr>
                <w:rFonts w:cs="Times New Roman"/>
                <w:sz w:val="22"/>
                <w:lang w:val="en-IN"/>
              </w:rPr>
              <w:t xml:space="preserve"> </w:t>
            </w:r>
            <w:r w:rsidRPr="00EE6A8D">
              <w:rPr>
                <w:rFonts w:cs="Times New Roman"/>
                <w:sz w:val="22"/>
                <w:lang w:val="en-IN"/>
              </w:rPr>
              <w:t xml:space="preserve">= </w:t>
            </w:r>
            <w:r w:rsidRPr="00EE6A8D">
              <w:rPr>
                <w:rFonts w:cs="Times New Roman"/>
                <w:sz w:val="22"/>
              </w:rPr>
              <w:t xml:space="preserve">50 </w:t>
            </w:r>
            <w:r w:rsidR="00980493">
              <w:rPr>
                <w:rFonts w:cs="Times New Roman"/>
                <w:sz w:val="22"/>
                <w:lang w:val="en-IN"/>
              </w:rPr>
              <w:t>m</w:t>
            </w:r>
            <w:r w:rsidR="00980493" w:rsidRPr="006615AD">
              <w:rPr>
                <w:rFonts w:cs="Times New Roman"/>
                <w:sz w:val="22"/>
              </w:rPr>
              <w:t>g L</w:t>
            </w:r>
            <w:r w:rsidR="00AD4543">
              <w:rPr>
                <w:rFonts w:cs="Times New Roman"/>
                <w:bCs/>
                <w:color w:val="000000" w:themeColor="text1"/>
                <w:szCs w:val="24"/>
                <w:vertAlign w:val="superscript"/>
                <w:lang w:val="en-IN"/>
              </w:rPr>
              <w:t>‒</w:t>
            </w:r>
            <w:r w:rsidR="00980493" w:rsidRPr="006615AD">
              <w:rPr>
                <w:rFonts w:cs="Times New Roman"/>
                <w:sz w:val="22"/>
                <w:vertAlign w:val="superscript"/>
              </w:rPr>
              <w:t>1</w:t>
            </w:r>
            <w:r w:rsidRPr="00EE6A8D">
              <w:rPr>
                <w:rFonts w:cs="Times New Roman"/>
                <w:sz w:val="22"/>
              </w:rPr>
              <w:t>, US frequency</w:t>
            </w:r>
            <w:r w:rsidR="00980493">
              <w:rPr>
                <w:rFonts w:cs="Times New Roman"/>
                <w:sz w:val="22"/>
              </w:rPr>
              <w:t xml:space="preserve"> </w:t>
            </w:r>
            <w:r w:rsidRPr="00EE6A8D">
              <w:rPr>
                <w:rFonts w:cs="Times New Roman"/>
                <w:sz w:val="22"/>
              </w:rPr>
              <w:t>= 40 kHz, Time</w:t>
            </w:r>
            <w:r w:rsidR="00980493">
              <w:rPr>
                <w:rFonts w:cs="Times New Roman"/>
                <w:sz w:val="22"/>
              </w:rPr>
              <w:t xml:space="preserve"> </w:t>
            </w:r>
            <w:r w:rsidRPr="00EE6A8D">
              <w:rPr>
                <w:rFonts w:cs="Times New Roman"/>
                <w:sz w:val="22"/>
              </w:rPr>
              <w:t>= 30 min</w:t>
            </w:r>
          </w:p>
        </w:tc>
        <w:tc>
          <w:tcPr>
            <w:tcW w:w="1485" w:type="dxa"/>
            <w:tcBorders>
              <w:top w:val="single" w:sz="4" w:space="0" w:color="auto"/>
              <w:left w:val="nil"/>
              <w:bottom w:val="single" w:sz="4" w:space="0" w:color="auto"/>
              <w:right w:val="nil"/>
            </w:tcBorders>
            <w:vAlign w:val="center"/>
            <w:hideMark/>
          </w:tcPr>
          <w:p w14:paraId="42A133EB" w14:textId="3B528321" w:rsidR="004C6915" w:rsidRPr="00EE6A8D" w:rsidRDefault="004C6915" w:rsidP="00F43064">
            <w:pPr>
              <w:spacing w:line="240" w:lineRule="auto"/>
              <w:jc w:val="center"/>
              <w:rPr>
                <w:rFonts w:cs="Times New Roman"/>
                <w:sz w:val="22"/>
                <w:lang w:val="en-IN"/>
              </w:rPr>
            </w:pPr>
            <w:r w:rsidRPr="00EE6A8D">
              <w:rPr>
                <w:rFonts w:cs="Times New Roman"/>
                <w:sz w:val="22"/>
                <w:lang w:val="en-IN"/>
              </w:rPr>
              <w:t>92.2</w:t>
            </w:r>
          </w:p>
        </w:tc>
        <w:tc>
          <w:tcPr>
            <w:tcW w:w="2103" w:type="dxa"/>
            <w:tcBorders>
              <w:top w:val="single" w:sz="4" w:space="0" w:color="auto"/>
              <w:left w:val="nil"/>
              <w:bottom w:val="single" w:sz="4" w:space="0" w:color="auto"/>
              <w:right w:val="nil"/>
            </w:tcBorders>
            <w:vAlign w:val="center"/>
            <w:hideMark/>
          </w:tcPr>
          <w:p w14:paraId="3D51A0AD" w14:textId="4E82B26D" w:rsidR="004C6915" w:rsidRPr="00EE6A8D" w:rsidRDefault="004C6915" w:rsidP="00F43064">
            <w:pPr>
              <w:spacing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{"citationItems":[{"id":"ITEM-1","itemData":{"DOI":"10.5004/dwt.2020.24843","ISSN":"19443986","abstract":"In this study, degradation of Reactive Black 5 (RB5) as a reactive azo dye from aqueous solutions has been performed by an integrated system namely sono–photo-Fenton (H2 O2 /Fe2+/UV/US). The Fenton/ UV/US process could show synergistic removal of dye, as compared to Fenton/UV or Fenton process. Batch reactor based on one factorial optimization has been applied for operational parameters: reaction time, pH, H2 O2 dosage, Fe2+ dosage, and initial RB5 concentration. The integrated system significantly removed dye (100%) at the best conditions pH of 3, 50 mg L–1 Fe2+, 200 mg L–1 H2 O2, 100 mg L–1 RB5 concentration, and reaction time of 30 min. The present study demonstrated that the sono–photo-Fenton could be used as an efficient, reliable method for the removal of RB5 from water and wastewater.","author":[{"dropping-particle":"","family":"Yosofi","given":"Yonus","non-dropping-particle":"","parse-names":false,"suffix":""},{"dropping-particle":"","family":"Mousavi","given":"Seyyed Alireza","non-dropping-particle":"","parse-names":false,"suffix":""}],"container-title":"Desalination and Water Treatment","id":"ITEM-1","issued":{"date-parts":[["2020"]]},"page":"354-360","title":"Sono-photo-fenton degradation of reactive black 5 from aqueous solutions: Performance and kinetics","type":"article-journal","volume":"174"},"uris":["http://www.mendeley.com/documents/?uuid=21c2e275-bafa-464d-a2ee-40ad69807a05","http://www.mendeley.com/documents/?uuid=ebdbe2d6-d444-45f5-abf0-648a5261e23b"]}],"mendeley":{"formattedCitation":"(Yosofi and Mousavi, 2020)","plainTextFormattedCitation":"(Yosofi and Mousavi, 2020)","previouslyFormattedCitation":"(Yosofi and Mousavi, 2020)"},"properties":{"noteIndex":0},"schema":"https://github.com/citation-style-language/schema/raw/master/csl-citation.json"}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(Yosofi and Mousavi, 2020)</w:t>
            </w:r>
            <w:r w:rsidRPr="00EE6A8D">
              <w:rPr>
                <w:rFonts w:cs="Times New Roman"/>
                <w:sz w:val="22"/>
                <w:lang w:val="en-IN"/>
              </w:rPr>
              <w:fldChar w:fldCharType="end"/>
            </w:r>
          </w:p>
        </w:tc>
      </w:tr>
      <w:tr w:rsidR="004C6915" w:rsidRPr="00EE6A8D" w14:paraId="42B8E849"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03A3AAEC"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38E0CBB8" w14:textId="592D6A90" w:rsidR="004C6915" w:rsidRPr="00EE6A8D" w:rsidRDefault="006C10EC" w:rsidP="00F43064">
            <w:pPr>
              <w:spacing w:after="0" w:line="240" w:lineRule="auto"/>
              <w:jc w:val="center"/>
              <w:rPr>
                <w:rFonts w:cs="Times New Roman"/>
                <w:bCs/>
                <w:sz w:val="22"/>
                <w:lang w:val="en-IN"/>
              </w:rPr>
            </w:pPr>
            <w:r>
              <w:rPr>
                <w:rFonts w:cs="Times New Roman"/>
                <w:bCs/>
                <w:sz w:val="22"/>
              </w:rPr>
              <w:t>P</w:t>
            </w:r>
            <w:r w:rsidR="004C6915" w:rsidRPr="00EE6A8D">
              <w:rPr>
                <w:rFonts w:cs="Times New Roman"/>
                <w:bCs/>
                <w:sz w:val="22"/>
              </w:rPr>
              <w:t xml:space="preserve">henol and </w:t>
            </w:r>
            <w:r>
              <w:rPr>
                <w:rFonts w:cs="Times New Roman"/>
                <w:bCs/>
                <w:sz w:val="22"/>
              </w:rPr>
              <w:t>N</w:t>
            </w:r>
            <w:r w:rsidR="004C6915" w:rsidRPr="00EE6A8D">
              <w:rPr>
                <w:rFonts w:cs="Times New Roman"/>
                <w:bCs/>
                <w:sz w:val="22"/>
              </w:rPr>
              <w:t>itrophenol</w:t>
            </w:r>
          </w:p>
        </w:tc>
        <w:tc>
          <w:tcPr>
            <w:tcW w:w="1101" w:type="dxa"/>
            <w:tcBorders>
              <w:top w:val="single" w:sz="4" w:space="0" w:color="auto"/>
              <w:left w:val="nil"/>
              <w:bottom w:val="single" w:sz="4" w:space="0" w:color="auto"/>
              <w:right w:val="nil"/>
            </w:tcBorders>
            <w:vAlign w:val="center"/>
            <w:hideMark/>
          </w:tcPr>
          <w:p w14:paraId="74F6DA3B" w14:textId="37E7B954" w:rsidR="004C6915" w:rsidRDefault="004C6915" w:rsidP="00F43064">
            <w:pPr>
              <w:spacing w:after="0" w:line="240" w:lineRule="auto"/>
              <w:jc w:val="center"/>
              <w:rPr>
                <w:rFonts w:cs="Times New Roman"/>
                <w:sz w:val="22"/>
              </w:rPr>
            </w:pPr>
            <w:r w:rsidRPr="00EE6A8D">
              <w:rPr>
                <w:rFonts w:cs="Times New Roman"/>
                <w:sz w:val="22"/>
              </w:rPr>
              <w:t>260</w:t>
            </w:r>
            <w:r w:rsidRPr="00EE6A8D">
              <w:rPr>
                <w:rFonts w:cs="Times New Roman"/>
                <w:sz w:val="22"/>
                <w:vertAlign w:val="superscript"/>
              </w:rPr>
              <w:t xml:space="preserve"> b</w:t>
            </w:r>
          </w:p>
          <w:p w14:paraId="22F41D39" w14:textId="392253D5" w:rsidR="004C6915" w:rsidRPr="00EE6A8D" w:rsidRDefault="004C6915" w:rsidP="00F43064">
            <w:pPr>
              <w:spacing w:after="0" w:line="240" w:lineRule="auto"/>
              <w:jc w:val="center"/>
              <w:rPr>
                <w:rFonts w:cs="Times New Roman"/>
                <w:sz w:val="22"/>
              </w:rPr>
            </w:pPr>
            <w:r w:rsidRPr="00EE6A8D">
              <w:rPr>
                <w:rFonts w:cs="Times New Roman"/>
                <w:sz w:val="22"/>
              </w:rPr>
              <w:t>100</w:t>
            </w:r>
            <w:r w:rsidRPr="00EE6A8D">
              <w:rPr>
                <w:rFonts w:cs="Times New Roman"/>
                <w:sz w:val="22"/>
                <w:vertAlign w:val="superscript"/>
              </w:rPr>
              <w:t xml:space="preserve"> a</w:t>
            </w:r>
          </w:p>
        </w:tc>
        <w:tc>
          <w:tcPr>
            <w:tcW w:w="1803" w:type="dxa"/>
            <w:tcBorders>
              <w:top w:val="single" w:sz="4" w:space="0" w:color="auto"/>
              <w:left w:val="nil"/>
              <w:bottom w:val="single" w:sz="4" w:space="0" w:color="auto"/>
              <w:right w:val="nil"/>
            </w:tcBorders>
            <w:vAlign w:val="center"/>
            <w:hideMark/>
          </w:tcPr>
          <w:p w14:paraId="0A11E336"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rPr>
              <w:t>FeSO</w:t>
            </w:r>
            <w:r w:rsidRPr="00EE6A8D">
              <w:rPr>
                <w:rFonts w:cs="Times New Roman"/>
                <w:sz w:val="22"/>
                <w:vertAlign w:val="subscript"/>
              </w:rPr>
              <w:t>4</w:t>
            </w:r>
            <w:r w:rsidRPr="00EE6A8D">
              <w:rPr>
                <w:rFonts w:cs="Times New Roman"/>
                <w:sz w:val="22"/>
              </w:rPr>
              <w:t>.7H</w:t>
            </w:r>
            <w:r w:rsidRPr="00EE6A8D">
              <w:rPr>
                <w:rFonts w:cs="Times New Roman"/>
                <w:sz w:val="22"/>
                <w:vertAlign w:val="subscript"/>
              </w:rPr>
              <w:t>2</w:t>
            </w:r>
            <w:r w:rsidRPr="00EE6A8D">
              <w:rPr>
                <w:rFonts w:cs="Times New Roman"/>
                <w:sz w:val="22"/>
              </w:rPr>
              <w:t>O</w:t>
            </w:r>
          </w:p>
        </w:tc>
        <w:tc>
          <w:tcPr>
            <w:tcW w:w="3105" w:type="dxa"/>
            <w:tcBorders>
              <w:top w:val="single" w:sz="4" w:space="0" w:color="auto"/>
              <w:left w:val="nil"/>
              <w:bottom w:val="single" w:sz="4" w:space="0" w:color="auto"/>
              <w:right w:val="nil"/>
            </w:tcBorders>
            <w:vAlign w:val="center"/>
            <w:hideMark/>
          </w:tcPr>
          <w:p w14:paraId="6B463760" w14:textId="06ED933A"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CE687C">
              <w:rPr>
                <w:rFonts w:cs="Times New Roman"/>
                <w:sz w:val="22"/>
                <w:lang w:val="en-IN"/>
              </w:rPr>
              <w:t xml:space="preserve"> </w:t>
            </w:r>
            <w:r w:rsidRPr="00EE6A8D">
              <w:rPr>
                <w:rFonts w:cs="Times New Roman"/>
                <w:sz w:val="22"/>
                <w:lang w:val="en-IN"/>
              </w:rPr>
              <w:t xml:space="preserve">= </w:t>
            </w:r>
            <w:r w:rsidRPr="00EE6A8D">
              <w:rPr>
                <w:rFonts w:cs="Times New Roman"/>
                <w:sz w:val="22"/>
              </w:rPr>
              <w:t xml:space="preserve">24 </w:t>
            </w:r>
            <w:r w:rsidR="00CE687C">
              <w:rPr>
                <w:rFonts w:cs="Times New Roman"/>
                <w:sz w:val="22"/>
                <w:lang w:val="en-IN"/>
              </w:rPr>
              <w:t>m</w:t>
            </w:r>
            <w:r w:rsidR="00CE687C" w:rsidRPr="006615AD">
              <w:rPr>
                <w:rFonts w:cs="Times New Roman"/>
                <w:sz w:val="22"/>
              </w:rPr>
              <w:t>g L</w:t>
            </w:r>
            <w:r w:rsidR="00AD4543">
              <w:rPr>
                <w:rFonts w:cs="Times New Roman"/>
                <w:bCs/>
                <w:color w:val="000000" w:themeColor="text1"/>
                <w:szCs w:val="24"/>
                <w:vertAlign w:val="superscript"/>
                <w:lang w:val="en-IN"/>
              </w:rPr>
              <w:t>‒</w:t>
            </w:r>
            <w:r w:rsidR="00CE687C" w:rsidRPr="006615AD">
              <w:rPr>
                <w:rFonts w:cs="Times New Roman"/>
                <w:sz w:val="22"/>
                <w:vertAlign w:val="superscript"/>
              </w:rPr>
              <w:t>1</w:t>
            </w:r>
            <w:r w:rsidRPr="00EE6A8D">
              <w:rPr>
                <w:rFonts w:cs="Times New Roman"/>
                <w:sz w:val="22"/>
                <w:lang w:val="en-IN"/>
              </w:rPr>
              <w:t xml:space="preserve">, </w:t>
            </w:r>
            <w:r w:rsidRPr="00EE6A8D">
              <w:rPr>
                <w:rFonts w:cs="Times New Roman"/>
                <w:sz w:val="22"/>
              </w:rPr>
              <w:t>US frequency</w:t>
            </w:r>
            <w:r w:rsidR="00CE687C">
              <w:rPr>
                <w:rFonts w:cs="Times New Roman"/>
                <w:sz w:val="22"/>
              </w:rPr>
              <w:t xml:space="preserve"> </w:t>
            </w:r>
            <w:r w:rsidRPr="00EE6A8D">
              <w:rPr>
                <w:rFonts w:cs="Times New Roman"/>
                <w:sz w:val="22"/>
              </w:rPr>
              <w:t>= 20 kHz, Time</w:t>
            </w:r>
            <w:r w:rsidR="00CE687C">
              <w:rPr>
                <w:rFonts w:cs="Times New Roman"/>
                <w:sz w:val="22"/>
              </w:rPr>
              <w:t xml:space="preserve"> </w:t>
            </w:r>
            <w:r w:rsidRPr="00EE6A8D">
              <w:rPr>
                <w:rFonts w:cs="Times New Roman"/>
                <w:sz w:val="22"/>
              </w:rPr>
              <w:t>= 60 min</w:t>
            </w:r>
          </w:p>
        </w:tc>
        <w:tc>
          <w:tcPr>
            <w:tcW w:w="1485" w:type="dxa"/>
            <w:tcBorders>
              <w:top w:val="single" w:sz="4" w:space="0" w:color="auto"/>
              <w:left w:val="nil"/>
              <w:bottom w:val="single" w:sz="4" w:space="0" w:color="auto"/>
              <w:right w:val="nil"/>
            </w:tcBorders>
            <w:vAlign w:val="center"/>
            <w:hideMark/>
          </w:tcPr>
          <w:p w14:paraId="1D5D036E" w14:textId="063C832B" w:rsidR="004C6915" w:rsidRPr="00EE6A8D" w:rsidRDefault="004C6915" w:rsidP="00F43064">
            <w:pPr>
              <w:spacing w:after="0" w:line="240" w:lineRule="auto"/>
              <w:jc w:val="center"/>
              <w:rPr>
                <w:rFonts w:cs="Times New Roman"/>
                <w:sz w:val="22"/>
                <w:lang w:val="en-IN"/>
              </w:rPr>
            </w:pPr>
            <w:r w:rsidRPr="00EE6A8D">
              <w:rPr>
                <w:rFonts w:cs="Times New Roman"/>
                <w:sz w:val="22"/>
              </w:rPr>
              <w:t>76.1</w:t>
            </w:r>
            <w:r w:rsidRPr="00EE6A8D">
              <w:rPr>
                <w:rFonts w:cs="Times New Roman"/>
                <w:sz w:val="22"/>
                <w:vertAlign w:val="superscript"/>
              </w:rPr>
              <w:t>b</w:t>
            </w:r>
            <w:r w:rsidRPr="00EE6A8D">
              <w:rPr>
                <w:rFonts w:cs="Times New Roman"/>
                <w:sz w:val="22"/>
              </w:rPr>
              <w:t xml:space="preserve"> COD 68.7</w:t>
            </w:r>
            <w:r w:rsidRPr="00EE6A8D">
              <w:rPr>
                <w:rFonts w:cs="Times New Roman"/>
                <w:sz w:val="22"/>
                <w:vertAlign w:val="superscript"/>
              </w:rPr>
              <w:t>a</w:t>
            </w:r>
            <w:r w:rsidRPr="00EE6A8D">
              <w:rPr>
                <w:rFonts w:cs="Times New Roman"/>
                <w:sz w:val="22"/>
              </w:rPr>
              <w:t xml:space="preserve"> TOC</w:t>
            </w:r>
          </w:p>
        </w:tc>
        <w:tc>
          <w:tcPr>
            <w:tcW w:w="2103" w:type="dxa"/>
            <w:tcBorders>
              <w:top w:val="single" w:sz="4" w:space="0" w:color="auto"/>
              <w:left w:val="nil"/>
              <w:bottom w:val="single" w:sz="4" w:space="0" w:color="auto"/>
              <w:right w:val="nil"/>
            </w:tcBorders>
            <w:vAlign w:val="center"/>
            <w:hideMark/>
          </w:tcPr>
          <w:p w14:paraId="14595906" w14:textId="46AC7DBB"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{"citationItems":[{"id":"ITEM-1","itemData":{"DOI":"10.1007/s40090-018-0159-y","ISBN":"4009001801","ISSN":"22285547","abstract":"In this study, the degradation and mineralization of petrochemical wastewater containing phenol and nitrophenol with chemical oxygen demand (COD) at 260 mg/L and total organic carbon (TOC) at 100 mg/L, were investigated by Sono–photo-Fenton process. The full factorial design of experiment was used to explore the influence of operational variables such as pH, initial concentration of hydrogen peroxide and Ferrous ions on the removal of COD. The analysis of variance (ANOVA) showed a high determination coefficient value (R 2 = 0.9884, Rpred2 = 0.9713, Radj2 = 0.9822) for removal of COD and satisfactory prediction second-order regression model. The graphical response surface plots were employed to determine the optimum conditions. The operational variables were optimized by the model as follows: the [Fe 2+ ] = 24 mg/L, pH at 3, and [H 2 O 2 ] = 500 mg/L. The results showed that at the predicted optimum conditions and after 60 min of reaction, the degradation (removal of COD) and mineralization (removal of TOC) were 76.1 and 68.7%, respectively.","author":[{"dropping-particle":"","family":"Shokri","given":"Aref","non-dropping-particle":"","parse-names":false,"suffix":""}],"container-title":"International Journal of Industrial Chemistry","id":"ITEM-1","issue":"4","issued":{"date-parts":[["2018"]]},"page":"295-303","title":"Application of Sono–photo-Fenton process for degradation of phenol derivatives in petrochemical wastewater using full factorial design of experiment","type":"article-journal","volume":"9"},"uris":["http://www.mendeley.com/documents/?uuid=dce69c44-d9c0-40a2-b439-b70e0adde782","http://www.mendeley.com/documents/?uuid=db3aa980-c0e4-4446-895f-713a16a05a5b"]}],"mendeley":{"formattedCitation":"(Shokri, 2018)","plainTextFormattedCitation":"(Shokri, 2018)","previouslyFormattedCitation":"(Shokri, 2018)"},"properties":{"noteIndex":0},"schema":"https://github.com/citation-style-language/schema/raw/master/csl-citation.json"}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(Shokri, 2018)</w:t>
            </w:r>
            <w:r w:rsidRPr="00EE6A8D">
              <w:rPr>
                <w:rFonts w:cs="Times New Roman"/>
                <w:sz w:val="22"/>
                <w:lang w:val="en-IN"/>
              </w:rPr>
              <w:fldChar w:fldCharType="end"/>
            </w:r>
          </w:p>
        </w:tc>
      </w:tr>
      <w:tr w:rsidR="004C6915" w:rsidRPr="00EE6A8D" w14:paraId="17C1FB35" w14:textId="77777777" w:rsidTr="00F43064">
        <w:trPr>
          <w:trHeight w:val="18"/>
          <w:jc w:val="center"/>
        </w:trPr>
        <w:tc>
          <w:tcPr>
            <w:tcW w:w="1903" w:type="dxa"/>
            <w:vMerge/>
            <w:tcBorders>
              <w:top w:val="single" w:sz="4" w:space="0" w:color="auto"/>
              <w:left w:val="nil"/>
              <w:bottom w:val="single" w:sz="4" w:space="0" w:color="auto"/>
              <w:right w:val="nil"/>
            </w:tcBorders>
            <w:vAlign w:val="center"/>
            <w:hideMark/>
          </w:tcPr>
          <w:p w14:paraId="4AB41FB2" w14:textId="77777777" w:rsidR="004C6915" w:rsidRPr="00EE6A8D" w:rsidRDefault="004C6915" w:rsidP="00F43064">
            <w:pPr>
              <w:spacing w:after="0" w:line="240" w:lineRule="auto"/>
              <w:jc w:val="center"/>
              <w:rPr>
                <w:rFonts w:cs="Times New Roman"/>
                <w:sz w:val="22"/>
                <w:lang w:val="en-IN"/>
              </w:rPr>
            </w:pPr>
          </w:p>
        </w:tc>
        <w:tc>
          <w:tcPr>
            <w:tcW w:w="2103" w:type="dxa"/>
            <w:tcBorders>
              <w:top w:val="single" w:sz="4" w:space="0" w:color="auto"/>
              <w:left w:val="nil"/>
              <w:bottom w:val="single" w:sz="4" w:space="0" w:color="auto"/>
              <w:right w:val="nil"/>
            </w:tcBorders>
            <w:vAlign w:val="center"/>
            <w:hideMark/>
          </w:tcPr>
          <w:p w14:paraId="7B30CE12" w14:textId="77777777" w:rsidR="004C6915" w:rsidRPr="00EE6A8D" w:rsidRDefault="004C6915" w:rsidP="00F43064">
            <w:pPr>
              <w:spacing w:after="0" w:line="240" w:lineRule="auto"/>
              <w:jc w:val="center"/>
              <w:rPr>
                <w:rFonts w:cs="Times New Roman"/>
                <w:bCs/>
                <w:sz w:val="22"/>
                <w:lang w:val="en-IN"/>
              </w:rPr>
            </w:pPr>
            <w:r w:rsidRPr="00EE6A8D">
              <w:rPr>
                <w:rFonts w:cs="Times New Roman"/>
                <w:bCs/>
                <w:sz w:val="22"/>
                <w:lang w:val="en-IN"/>
              </w:rPr>
              <w:t>Azure-B</w:t>
            </w:r>
          </w:p>
        </w:tc>
        <w:tc>
          <w:tcPr>
            <w:tcW w:w="1101" w:type="dxa"/>
            <w:tcBorders>
              <w:top w:val="single" w:sz="4" w:space="0" w:color="auto"/>
              <w:left w:val="nil"/>
              <w:bottom w:val="single" w:sz="4" w:space="0" w:color="auto"/>
              <w:right w:val="nil"/>
            </w:tcBorders>
            <w:vAlign w:val="center"/>
            <w:hideMark/>
          </w:tcPr>
          <w:p w14:paraId="1A5E83A6" w14:textId="683D6B73" w:rsidR="004C6915" w:rsidRPr="00EE6A8D" w:rsidRDefault="004C6915" w:rsidP="00F43064">
            <w:pPr>
              <w:spacing w:after="0" w:line="240" w:lineRule="auto"/>
              <w:jc w:val="center"/>
              <w:rPr>
                <w:rFonts w:eastAsia="SimSun" w:cs="Times New Roman"/>
                <w:sz w:val="22"/>
              </w:rPr>
            </w:pPr>
            <w:r w:rsidRPr="00EE6A8D">
              <w:rPr>
                <w:rFonts w:cs="Times New Roman"/>
                <w:sz w:val="22"/>
                <w:lang w:val="en-IN"/>
              </w:rPr>
              <w:t>40.6</w:t>
            </w:r>
          </w:p>
        </w:tc>
        <w:tc>
          <w:tcPr>
            <w:tcW w:w="1803" w:type="dxa"/>
            <w:tcBorders>
              <w:top w:val="single" w:sz="4" w:space="0" w:color="auto"/>
              <w:left w:val="nil"/>
              <w:bottom w:val="single" w:sz="4" w:space="0" w:color="auto"/>
              <w:right w:val="nil"/>
            </w:tcBorders>
            <w:vAlign w:val="center"/>
            <w:hideMark/>
          </w:tcPr>
          <w:p w14:paraId="36ED3B91" w14:textId="77777777"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FeCl</w:t>
            </w:r>
            <w:r w:rsidRPr="00EE6A8D">
              <w:rPr>
                <w:rFonts w:cs="Times New Roman"/>
                <w:sz w:val="22"/>
                <w:vertAlign w:val="subscript"/>
                <w:lang w:val="en-IN"/>
              </w:rPr>
              <w:t>3</w:t>
            </w:r>
          </w:p>
        </w:tc>
        <w:tc>
          <w:tcPr>
            <w:tcW w:w="3105" w:type="dxa"/>
            <w:tcBorders>
              <w:top w:val="single" w:sz="4" w:space="0" w:color="auto"/>
              <w:left w:val="nil"/>
              <w:bottom w:val="single" w:sz="4" w:space="0" w:color="auto"/>
              <w:right w:val="nil"/>
            </w:tcBorders>
            <w:vAlign w:val="center"/>
            <w:hideMark/>
          </w:tcPr>
          <w:p w14:paraId="4612EF5C" w14:textId="6335BB96"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t>Catalyst dosage</w:t>
            </w:r>
            <w:r w:rsidR="00CE687C">
              <w:rPr>
                <w:rFonts w:cs="Times New Roman"/>
                <w:sz w:val="22"/>
                <w:lang w:val="en-IN"/>
              </w:rPr>
              <w:t xml:space="preserve"> </w:t>
            </w:r>
            <w:r w:rsidRPr="00EE6A8D">
              <w:rPr>
                <w:rFonts w:cs="Times New Roman"/>
                <w:sz w:val="22"/>
                <w:lang w:val="en-IN"/>
              </w:rPr>
              <w:t>= 5</w:t>
            </w:r>
            <w:r w:rsidRPr="00EE6A8D">
              <w:rPr>
                <w:rFonts w:cs="Times New Roman"/>
                <w:sz w:val="22"/>
              </w:rPr>
              <w:t xml:space="preserve">.0 </w:t>
            </w:r>
            <m:oMath>
              <m:r>
                <w:rPr>
                  <w:rFonts w:ascii="Cambria Math" w:hAnsi="Cambria Math" w:cs="Times New Roman"/>
                  <w:sz w:val="22"/>
                </w:rPr>
                <m:t>×</m:t>
              </m:r>
            </m:oMath>
            <w:r w:rsidRPr="00EE6A8D">
              <w:rPr>
                <w:rFonts w:cs="Times New Roman"/>
                <w:sz w:val="22"/>
              </w:rPr>
              <w:t xml:space="preserve"> 10</w:t>
            </w:r>
            <w:r w:rsidR="00AD4543">
              <w:rPr>
                <w:rFonts w:cs="Times New Roman"/>
                <w:bCs/>
                <w:color w:val="000000" w:themeColor="text1"/>
                <w:szCs w:val="24"/>
                <w:vertAlign w:val="superscript"/>
                <w:lang w:val="en-IN"/>
              </w:rPr>
              <w:t>‒</w:t>
            </w:r>
            <w:r w:rsidRPr="00EE6A8D">
              <w:rPr>
                <w:rFonts w:cs="Times New Roman"/>
                <w:sz w:val="22"/>
                <w:vertAlign w:val="superscript"/>
              </w:rPr>
              <w:t>4</w:t>
            </w:r>
            <w:r w:rsidRPr="00EE6A8D">
              <w:rPr>
                <w:rFonts w:cs="Times New Roman"/>
                <w:sz w:val="22"/>
              </w:rPr>
              <w:t>mol/L</w:t>
            </w:r>
            <w:r w:rsidRPr="00EE6A8D">
              <w:rPr>
                <w:rFonts w:cs="Times New Roman"/>
                <w:sz w:val="22"/>
                <w:lang w:val="en-IN"/>
              </w:rPr>
              <w:t xml:space="preserve">, </w:t>
            </w:r>
            <w:r w:rsidRPr="00EE6A8D">
              <w:rPr>
                <w:rFonts w:cs="Times New Roman"/>
                <w:sz w:val="22"/>
              </w:rPr>
              <w:t>US frequency</w:t>
            </w:r>
            <w:r w:rsidR="00CE687C">
              <w:rPr>
                <w:rFonts w:cs="Times New Roman"/>
                <w:sz w:val="22"/>
              </w:rPr>
              <w:t xml:space="preserve"> </w:t>
            </w:r>
            <w:r w:rsidRPr="00EE6A8D">
              <w:rPr>
                <w:rFonts w:cs="Times New Roman"/>
                <w:sz w:val="22"/>
              </w:rPr>
              <w:t>= 40 kHz, Time= 14 min</w:t>
            </w:r>
          </w:p>
        </w:tc>
        <w:tc>
          <w:tcPr>
            <w:tcW w:w="1485" w:type="dxa"/>
            <w:tcBorders>
              <w:top w:val="single" w:sz="4" w:space="0" w:color="auto"/>
              <w:left w:val="nil"/>
              <w:bottom w:val="single" w:sz="4" w:space="0" w:color="auto"/>
              <w:right w:val="nil"/>
            </w:tcBorders>
            <w:vAlign w:val="center"/>
            <w:hideMark/>
          </w:tcPr>
          <w:p w14:paraId="37D97EED" w14:textId="014E7D0E" w:rsidR="004C6915" w:rsidRPr="00EE6A8D" w:rsidRDefault="004C6915" w:rsidP="00F43064">
            <w:pPr>
              <w:spacing w:after="0" w:line="240" w:lineRule="auto"/>
              <w:jc w:val="center"/>
              <w:rPr>
                <w:rFonts w:cs="Times New Roman"/>
                <w:sz w:val="22"/>
                <w:lang w:val="en-IN"/>
              </w:rPr>
            </w:pPr>
            <w:r w:rsidRPr="00EE6A8D">
              <w:rPr>
                <w:rFonts w:cs="Times New Roman"/>
                <w:bCs/>
                <w:sz w:val="22"/>
              </w:rPr>
              <w:t>~</w:t>
            </w:r>
            <w:r w:rsidRPr="00EE6A8D">
              <w:rPr>
                <w:rFonts w:cs="Times New Roman"/>
                <w:sz w:val="22"/>
                <w:lang w:val="en-IN"/>
              </w:rPr>
              <w:t>100</w:t>
            </w:r>
          </w:p>
        </w:tc>
        <w:tc>
          <w:tcPr>
            <w:tcW w:w="2103" w:type="dxa"/>
            <w:tcBorders>
              <w:top w:val="single" w:sz="4" w:space="0" w:color="auto"/>
              <w:left w:val="nil"/>
              <w:bottom w:val="single" w:sz="4" w:space="0" w:color="auto"/>
              <w:right w:val="nil"/>
            </w:tcBorders>
            <w:vAlign w:val="center"/>
            <w:hideMark/>
          </w:tcPr>
          <w:p w14:paraId="2DE726A3" w14:textId="7828B205" w:rsidR="004C6915" w:rsidRPr="00EE6A8D" w:rsidRDefault="004C6915" w:rsidP="00F43064">
            <w:pPr>
              <w:spacing w:after="0" w:line="240" w:lineRule="auto"/>
              <w:jc w:val="center"/>
              <w:rPr>
                <w:rFonts w:cs="Times New Roman"/>
                <w:sz w:val="22"/>
                <w:lang w:val="en-IN"/>
              </w:rPr>
            </w:pPr>
            <w:r w:rsidRPr="00EE6A8D">
              <w:rPr>
                <w:rFonts w:cs="Times New Roman"/>
                <w:sz w:val="22"/>
                <w:lang w:val="en-IN"/>
              </w:rPr>
              <w:fldChar w:fldCharType="begin" w:fldLock="1"/>
            </w:r>
            <w:r>
              <w:rPr>
                <w:rFonts w:cs="Times New Roman"/>
                <w:sz w:val="22"/>
                <w:lang w:val="en-IN"/>
              </w:rPr>
              <w:instrText>ADDIN CSL_CITATION {"citationItems":[{"id":"ITEM-1","itemData":{"DOI":"10.1016/j.arabjc.2010.12.019","ISSN":"18785352","abstract":"A model for the decomposition of azure-B by photo-Fenton reagent in the presence of ultrasound in homogeneous aqueous solution has been described. The photochemical decomposition rate of azure-B is markedly increased in the presence of ultrasound. It is a rather inexpensive reagent for wastewater treatment. The effect of different variables like the concentration of ferric ion, concentration of dye, hydrogen peroxide, pH, light intensity etc. on the reaction rate has been observed. The progress of the sono-photochemical degradation was monitored spectrophotometrically. The optimum sono-photochemical degradation conditions were experimentally determined. The results showed that the dye was completely oxidized and degraded into CO2 and H2O. A suitable tentative mechanism for sono-photochemical bleaching of azure-B by sono-photo-Fenton's reaction has been proposed.","author":[{"dropping-particle":"","family":"Vaishnave","given":"Prahlad","non-dropping-particle":"","parse-names":false,"suffix":""},{"dropping-particle":"","family":"Kumar","given":"Anil","non-dropping-particle":"","parse-names":false,"suffix":""},{"dropping-particle":"","family":"Ameta","given":"Rakshit","non-dropping-particle":"","parse-names":false,"suffix":""},{"dropping-particle":"","family":"Punjabi","given":"P.B.","non-dropping-particle":"","parse-names":false,"suffix":""},{"dropping-particle":"","family":"Ameta","given":"Suresh C.","non-dropping-particle":"","parse-names":false,"suffix":""}],"container-title":"Arabian Journal of Chemistry","id":"ITEM-1","issue":"6","issued":{"date-parts":[["2014","12"]]},"page":"981-985","title":"Photo oxidative degradation of azure-B by sono-photo-Fenton and photo-Fenton reagents","type":"article-journal","volume":"7"},"uris":["http://www.mendeley.com/documents/?uuid=fb583bd3-bf88-463e-9369-868f8f198c15","http://www.mendeley.com/documents/?uuid=58d48258-a6d7-41cd-9b93-afda3d1d2f3c"]}],"mendeley":{"formattedCitation":"(Vaishnave et al., 2014)","plainTextFormattedCitation":"(Vaishnave et al., 2014)","previouslyFormattedCitation":"(Vaishnave et al., 2014)"},"properties":{"noteIndex":0},"schema":"https://github.com/citation-style-language/schema/raw/master/csl-citation.json"}</w:instrText>
            </w:r>
            <w:r w:rsidRPr="00EE6A8D">
              <w:rPr>
                <w:rFonts w:cs="Times New Roman"/>
                <w:sz w:val="22"/>
                <w:lang w:val="en-IN"/>
              </w:rPr>
              <w:fldChar w:fldCharType="separate"/>
            </w:r>
            <w:r w:rsidRPr="00EE6A8D">
              <w:rPr>
                <w:rFonts w:cs="Times New Roman"/>
                <w:noProof/>
                <w:sz w:val="22"/>
                <w:lang w:val="en-IN"/>
              </w:rPr>
              <w:t>(Vaishnave et al., 2014)</w:t>
            </w:r>
            <w:r w:rsidRPr="00EE6A8D">
              <w:rPr>
                <w:rFonts w:cs="Times New Roman"/>
                <w:sz w:val="22"/>
                <w:lang w:val="en-IN"/>
              </w:rPr>
              <w:fldChar w:fldCharType="end"/>
            </w:r>
          </w:p>
        </w:tc>
      </w:tr>
    </w:tbl>
    <w:p w14:paraId="5AC1871E" w14:textId="6D6BE26B" w:rsidR="009D2F6A" w:rsidRDefault="009D2F6A" w:rsidP="00075389">
      <w:pPr>
        <w:spacing w:after="160" w:line="240" w:lineRule="auto"/>
        <w:jc w:val="left"/>
        <w:rPr>
          <w:color w:val="000000"/>
          <w:sz w:val="22"/>
        </w:rPr>
      </w:pPr>
      <w:r>
        <w:rPr>
          <w:color w:val="000000"/>
          <w:sz w:val="22"/>
        </w:rPr>
        <w:t>a</w:t>
      </w:r>
      <w:r w:rsidRPr="00B65095">
        <w:rPr>
          <w:color w:val="000000"/>
          <w:sz w:val="22"/>
        </w:rPr>
        <w:t xml:space="preserve">: as total organic carbon </w:t>
      </w:r>
    </w:p>
    <w:p w14:paraId="7B5289D0" w14:textId="02671E5C" w:rsidR="00463D33" w:rsidRDefault="009D2F6A" w:rsidP="00EE6A8D">
      <w:pPr>
        <w:spacing w:after="160" w:line="240" w:lineRule="auto"/>
        <w:jc w:val="left"/>
        <w:rPr>
          <w:color w:val="000000"/>
          <w:sz w:val="22"/>
        </w:rPr>
      </w:pPr>
      <w:r>
        <w:rPr>
          <w:color w:val="000000"/>
          <w:sz w:val="22"/>
        </w:rPr>
        <w:t>b</w:t>
      </w:r>
      <w:r w:rsidRPr="00B65095">
        <w:rPr>
          <w:color w:val="000000"/>
          <w:sz w:val="22"/>
        </w:rPr>
        <w:t>: as chemical oxygen deman</w:t>
      </w:r>
      <w:r w:rsidR="000E3D90">
        <w:rPr>
          <w:color w:val="000000"/>
          <w:sz w:val="22"/>
        </w:rPr>
        <w:t>d</w:t>
      </w:r>
    </w:p>
    <w:p w14:paraId="04007DB9" w14:textId="6B8F0E68" w:rsidR="00463D33" w:rsidRPr="00EE6A8D" w:rsidRDefault="00463D33" w:rsidP="00EE6A8D">
      <w:pPr>
        <w:spacing w:after="160" w:line="240" w:lineRule="auto"/>
        <w:jc w:val="left"/>
        <w:rPr>
          <w:color w:val="000000"/>
          <w:sz w:val="22"/>
        </w:rPr>
        <w:sectPr w:rsidR="00463D33" w:rsidRPr="00EE6A8D" w:rsidSect="00EE6A8D">
          <w:pgSz w:w="15840" w:h="12240" w:orient="landscape"/>
          <w:pgMar w:top="1440" w:right="1440" w:bottom="1440" w:left="1440" w:header="720" w:footer="720" w:gutter="0"/>
          <w:cols w:space="720"/>
          <w:docGrid w:linePitch="360"/>
        </w:sectPr>
      </w:pPr>
      <w:r>
        <w:rPr>
          <w:sz w:val="22"/>
        </w:rPr>
        <w:t>c</w:t>
      </w:r>
      <w:r w:rsidRPr="00463D33">
        <w:rPr>
          <w:sz w:val="22"/>
        </w:rPr>
        <w:t xml:space="preserve">: </w:t>
      </w:r>
      <w:proofErr w:type="spellStart"/>
      <w:r w:rsidRPr="00463D33">
        <w:rPr>
          <w:sz w:val="22"/>
        </w:rPr>
        <w:t>n.a.</w:t>
      </w:r>
      <w:proofErr w:type="spellEnd"/>
      <w:r w:rsidRPr="00463D33">
        <w:rPr>
          <w:sz w:val="22"/>
        </w:rPr>
        <w:t>, not available</w:t>
      </w:r>
    </w:p>
    <w:p w14:paraId="236090E2" w14:textId="65883CC5" w:rsidR="00353D49" w:rsidRPr="00734BA3" w:rsidRDefault="00353D49" w:rsidP="00734BA3">
      <w:pPr>
        <w:pStyle w:val="Heading1"/>
        <w:rPr>
          <w:b/>
          <w:bCs/>
          <w:lang w:val="en-IN"/>
        </w:rPr>
      </w:pPr>
      <w:bookmarkStart w:id="30" w:name="_Toc102395649"/>
      <w:r w:rsidRPr="00734BA3">
        <w:rPr>
          <w:b/>
          <w:bCs/>
          <w:lang w:val="en-IN"/>
        </w:rPr>
        <w:lastRenderedPageBreak/>
        <w:t xml:space="preserve">Supplementary </w:t>
      </w:r>
      <w:r w:rsidR="006D2376" w:rsidRPr="00734BA3">
        <w:rPr>
          <w:b/>
          <w:bCs/>
          <w:lang w:val="en-IN"/>
        </w:rPr>
        <w:t>S</w:t>
      </w:r>
      <w:r w:rsidR="002F49AA">
        <w:rPr>
          <w:b/>
          <w:bCs/>
          <w:lang w:val="en-IN"/>
        </w:rPr>
        <w:t>8</w:t>
      </w:r>
      <w:bookmarkEnd w:id="30"/>
    </w:p>
    <w:p w14:paraId="0EEAC9AC" w14:textId="7B42AABE" w:rsidR="0069564B" w:rsidRPr="0038343B" w:rsidRDefault="0069564B" w:rsidP="00734BA3">
      <w:pPr>
        <w:pStyle w:val="Heading1"/>
        <w:rPr>
          <w:b/>
          <w:lang w:val="en-IN"/>
        </w:rPr>
      </w:pPr>
      <w:bookmarkStart w:id="31" w:name="_Toc102395650"/>
      <w:r w:rsidRPr="0038343B">
        <w:rPr>
          <w:b/>
          <w:lang w:val="en-IN"/>
        </w:rPr>
        <w:t xml:space="preserve">Table </w:t>
      </w:r>
      <w:r w:rsidR="006D2376" w:rsidRPr="0038343B">
        <w:rPr>
          <w:b/>
          <w:lang w:val="en-IN"/>
        </w:rPr>
        <w:t>S</w:t>
      </w:r>
      <w:r w:rsidR="00E1569B">
        <w:rPr>
          <w:b/>
          <w:lang w:val="en-IN"/>
        </w:rPr>
        <w:t>8</w:t>
      </w:r>
      <w:r w:rsidR="009874EF" w:rsidRPr="0038343B">
        <w:rPr>
          <w:b/>
          <w:lang w:val="en-IN"/>
        </w:rPr>
        <w:t>.</w:t>
      </w:r>
      <w:r w:rsidR="00730186" w:rsidRPr="0038343B">
        <w:rPr>
          <w:b/>
          <w:lang w:val="en-IN"/>
        </w:rPr>
        <w:t xml:space="preserve"> </w:t>
      </w:r>
      <w:r w:rsidR="00140E67" w:rsidRPr="00140E67">
        <w:rPr>
          <w:rFonts w:eastAsia="Calibri"/>
          <w:bCs/>
          <w:lang w:val="en-IN"/>
        </w:rPr>
        <w:t xml:space="preserve">Degradation of emerging contaminants </w:t>
      </w:r>
      <w:r w:rsidRPr="0038343B">
        <w:rPr>
          <w:lang w:val="en-IN"/>
        </w:rPr>
        <w:t>by</w:t>
      </w:r>
      <w:r w:rsidRPr="0038343B">
        <w:t xml:space="preserve"> </w:t>
      </w:r>
      <w:r w:rsidR="00066730" w:rsidRPr="0038343B">
        <w:t>non-thermal</w:t>
      </w:r>
      <w:r w:rsidRPr="0038343B">
        <w:t xml:space="preserve"> plasma assisted AOP</w:t>
      </w:r>
      <w:bookmarkEnd w:id="31"/>
    </w:p>
    <w:tbl>
      <w:tblPr>
        <w:tblStyle w:val="TableGrid"/>
        <w:tblW w:w="10227" w:type="dxa"/>
        <w:jc w:val="center"/>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896"/>
        <w:gridCol w:w="1932"/>
        <w:gridCol w:w="1559"/>
        <w:gridCol w:w="1108"/>
        <w:gridCol w:w="811"/>
        <w:gridCol w:w="1257"/>
        <w:gridCol w:w="1664"/>
      </w:tblGrid>
      <w:tr w:rsidR="0069564B" w:rsidRPr="00075389" w14:paraId="02547721" w14:textId="77777777" w:rsidTr="00283129">
        <w:trPr>
          <w:trHeight w:val="490"/>
          <w:jc w:val="center"/>
        </w:trPr>
        <w:tc>
          <w:tcPr>
            <w:tcW w:w="1896" w:type="dxa"/>
            <w:tcBorders>
              <w:top w:val="single" w:sz="4" w:space="0" w:color="auto"/>
              <w:left w:val="nil"/>
              <w:bottom w:val="single" w:sz="4" w:space="0" w:color="auto"/>
              <w:right w:val="nil"/>
            </w:tcBorders>
            <w:vAlign w:val="center"/>
            <w:hideMark/>
          </w:tcPr>
          <w:p w14:paraId="60478447" w14:textId="77777777" w:rsidR="0069564B" w:rsidRPr="00075389" w:rsidRDefault="0069564B" w:rsidP="00075389">
            <w:pPr>
              <w:spacing w:after="0" w:line="240" w:lineRule="auto"/>
              <w:jc w:val="center"/>
              <w:rPr>
                <w:rFonts w:cs="Times New Roman"/>
                <w:b/>
                <w:bCs/>
                <w:sz w:val="22"/>
              </w:rPr>
            </w:pPr>
            <w:r w:rsidRPr="00075389">
              <w:rPr>
                <w:rFonts w:cs="Times New Roman"/>
                <w:b/>
                <w:bCs/>
                <w:sz w:val="22"/>
              </w:rPr>
              <w:t>Process</w:t>
            </w:r>
          </w:p>
        </w:tc>
        <w:tc>
          <w:tcPr>
            <w:tcW w:w="1932" w:type="dxa"/>
            <w:tcBorders>
              <w:top w:val="single" w:sz="4" w:space="0" w:color="auto"/>
              <w:left w:val="nil"/>
              <w:bottom w:val="single" w:sz="4" w:space="0" w:color="auto"/>
              <w:right w:val="nil"/>
            </w:tcBorders>
            <w:vAlign w:val="center"/>
            <w:hideMark/>
          </w:tcPr>
          <w:p w14:paraId="32AA8BDC" w14:textId="77777777" w:rsidR="0069564B" w:rsidRPr="00075389" w:rsidRDefault="0069564B" w:rsidP="00075389">
            <w:pPr>
              <w:spacing w:after="0" w:line="240" w:lineRule="auto"/>
              <w:jc w:val="center"/>
              <w:rPr>
                <w:rFonts w:cs="Times New Roman"/>
                <w:b/>
                <w:bCs/>
                <w:sz w:val="22"/>
              </w:rPr>
            </w:pPr>
            <w:r w:rsidRPr="00075389">
              <w:rPr>
                <w:rFonts w:cs="Times New Roman"/>
                <w:b/>
                <w:bCs/>
                <w:sz w:val="22"/>
              </w:rPr>
              <w:t>Reactor</w:t>
            </w:r>
          </w:p>
        </w:tc>
        <w:tc>
          <w:tcPr>
            <w:tcW w:w="1559" w:type="dxa"/>
            <w:tcBorders>
              <w:top w:val="single" w:sz="4" w:space="0" w:color="auto"/>
              <w:left w:val="nil"/>
              <w:bottom w:val="single" w:sz="4" w:space="0" w:color="auto"/>
              <w:right w:val="nil"/>
            </w:tcBorders>
            <w:vAlign w:val="center"/>
            <w:hideMark/>
          </w:tcPr>
          <w:p w14:paraId="53C43842" w14:textId="5803A910" w:rsidR="0069564B" w:rsidRPr="00075389" w:rsidRDefault="003B5FA4" w:rsidP="00075389">
            <w:pPr>
              <w:spacing w:after="0" w:line="240" w:lineRule="auto"/>
              <w:jc w:val="center"/>
              <w:rPr>
                <w:rFonts w:cs="Times New Roman"/>
                <w:b/>
                <w:bCs/>
                <w:sz w:val="22"/>
              </w:rPr>
            </w:pPr>
            <w:r>
              <w:rPr>
                <w:rFonts w:cs="Times New Roman"/>
                <w:b/>
                <w:sz w:val="22"/>
                <w:lang w:val="en-IN"/>
              </w:rPr>
              <w:t>Contaminant</w:t>
            </w:r>
          </w:p>
        </w:tc>
        <w:tc>
          <w:tcPr>
            <w:tcW w:w="1108" w:type="dxa"/>
            <w:tcBorders>
              <w:top w:val="single" w:sz="4" w:space="0" w:color="auto"/>
              <w:left w:val="nil"/>
              <w:bottom w:val="single" w:sz="4" w:space="0" w:color="auto"/>
              <w:right w:val="nil"/>
            </w:tcBorders>
            <w:vAlign w:val="center"/>
            <w:hideMark/>
          </w:tcPr>
          <w:p w14:paraId="5ED6447D" w14:textId="77777777" w:rsidR="008B37C3" w:rsidRDefault="0069564B" w:rsidP="00075389">
            <w:pPr>
              <w:spacing w:after="0" w:line="240" w:lineRule="auto"/>
              <w:jc w:val="center"/>
              <w:rPr>
                <w:rFonts w:cs="Times New Roman"/>
                <w:b/>
                <w:bCs/>
                <w:iCs/>
                <w:sz w:val="22"/>
              </w:rPr>
            </w:pPr>
            <w:r w:rsidRPr="00075389">
              <w:rPr>
                <w:rFonts w:cs="Times New Roman"/>
                <w:b/>
                <w:bCs/>
                <w:i/>
                <w:iCs/>
                <w:sz w:val="22"/>
              </w:rPr>
              <w:t>C</w:t>
            </w:r>
            <w:r w:rsidRPr="00075389">
              <w:rPr>
                <w:rFonts w:cs="Times New Roman"/>
                <w:b/>
                <w:bCs/>
                <w:i/>
                <w:iCs/>
                <w:sz w:val="22"/>
                <w:vertAlign w:val="subscript"/>
              </w:rPr>
              <w:t>o</w:t>
            </w:r>
            <w:r w:rsidRPr="00075389">
              <w:rPr>
                <w:rFonts w:cs="Times New Roman"/>
                <w:b/>
                <w:bCs/>
                <w:iCs/>
                <w:sz w:val="22"/>
              </w:rPr>
              <w:t xml:space="preserve"> </w:t>
            </w:r>
          </w:p>
          <w:p w14:paraId="29AF24CE" w14:textId="1F6A4714" w:rsidR="0069564B" w:rsidRPr="00075389" w:rsidRDefault="0069564B" w:rsidP="00075389">
            <w:pPr>
              <w:spacing w:after="0" w:line="240" w:lineRule="auto"/>
              <w:jc w:val="center"/>
              <w:rPr>
                <w:rFonts w:cs="Times New Roman"/>
                <w:b/>
                <w:bCs/>
                <w:sz w:val="22"/>
              </w:rPr>
            </w:pPr>
            <w:r w:rsidRPr="00075389">
              <w:rPr>
                <w:rFonts w:cs="Times New Roman"/>
                <w:b/>
                <w:bCs/>
                <w:iCs/>
                <w:sz w:val="22"/>
              </w:rPr>
              <w:t>(</w:t>
            </w:r>
            <w:r w:rsidR="008B37C3" w:rsidRPr="00C82CA9">
              <w:rPr>
                <w:rFonts w:cs="Times New Roman"/>
                <w:b/>
                <w:bCs/>
                <w:iCs/>
                <w:sz w:val="22"/>
                <w:lang w:val="en-IN"/>
              </w:rPr>
              <w:t>mg</w:t>
            </w:r>
            <w:r w:rsidR="008B37C3">
              <w:rPr>
                <w:rFonts w:cs="Times New Roman"/>
                <w:b/>
                <w:bCs/>
                <w:iCs/>
                <w:sz w:val="22"/>
                <w:lang w:val="en-IN"/>
              </w:rPr>
              <w:t xml:space="preserve"> </w:t>
            </w:r>
            <w:r w:rsidR="008B37C3" w:rsidRPr="00C82CA9">
              <w:rPr>
                <w:rFonts w:cs="Times New Roman"/>
                <w:b/>
                <w:bCs/>
                <w:iCs/>
                <w:sz w:val="22"/>
                <w:lang w:val="en-IN"/>
              </w:rPr>
              <w:t>L</w:t>
            </w:r>
            <w:r w:rsidR="00AD4543">
              <w:rPr>
                <w:rFonts w:cs="Times New Roman"/>
                <w:bCs/>
                <w:color w:val="000000" w:themeColor="text1"/>
                <w:szCs w:val="24"/>
                <w:vertAlign w:val="superscript"/>
                <w:lang w:val="en-IN"/>
              </w:rPr>
              <w:t>‒</w:t>
            </w:r>
            <w:r w:rsidR="008B37C3" w:rsidRPr="005B2E24">
              <w:rPr>
                <w:rFonts w:cs="Times New Roman"/>
                <w:b/>
                <w:bCs/>
                <w:iCs/>
                <w:sz w:val="22"/>
                <w:vertAlign w:val="superscript"/>
                <w:lang w:val="en-IN"/>
              </w:rPr>
              <w:t>1</w:t>
            </w:r>
            <w:r w:rsidRPr="00075389">
              <w:rPr>
                <w:rFonts w:cs="Times New Roman"/>
                <w:b/>
                <w:bCs/>
                <w:iCs/>
                <w:sz w:val="22"/>
              </w:rPr>
              <w:t>)</w:t>
            </w:r>
          </w:p>
        </w:tc>
        <w:tc>
          <w:tcPr>
            <w:tcW w:w="811" w:type="dxa"/>
            <w:tcBorders>
              <w:top w:val="single" w:sz="4" w:space="0" w:color="auto"/>
              <w:left w:val="nil"/>
              <w:bottom w:val="single" w:sz="4" w:space="0" w:color="auto"/>
              <w:right w:val="nil"/>
            </w:tcBorders>
            <w:vAlign w:val="center"/>
            <w:hideMark/>
          </w:tcPr>
          <w:p w14:paraId="3F23AABC" w14:textId="77777777" w:rsidR="0069564B" w:rsidRPr="00075389" w:rsidRDefault="0069564B" w:rsidP="00075389">
            <w:pPr>
              <w:spacing w:after="0" w:line="240" w:lineRule="auto"/>
              <w:jc w:val="center"/>
              <w:rPr>
                <w:rFonts w:cs="Times New Roman"/>
                <w:b/>
                <w:bCs/>
                <w:sz w:val="22"/>
              </w:rPr>
            </w:pPr>
            <w:r w:rsidRPr="00075389">
              <w:rPr>
                <w:rFonts w:cs="Times New Roman"/>
                <w:b/>
                <w:bCs/>
                <w:sz w:val="22"/>
              </w:rPr>
              <w:t>Time (min)</w:t>
            </w:r>
          </w:p>
        </w:tc>
        <w:tc>
          <w:tcPr>
            <w:tcW w:w="1257" w:type="dxa"/>
            <w:tcBorders>
              <w:top w:val="single" w:sz="4" w:space="0" w:color="auto"/>
              <w:left w:val="nil"/>
              <w:bottom w:val="single" w:sz="4" w:space="0" w:color="auto"/>
              <w:right w:val="nil"/>
            </w:tcBorders>
            <w:vAlign w:val="center"/>
            <w:hideMark/>
          </w:tcPr>
          <w:p w14:paraId="5659B51A" w14:textId="77777777" w:rsidR="0069564B" w:rsidRPr="00075389" w:rsidRDefault="0069564B" w:rsidP="00075389">
            <w:pPr>
              <w:spacing w:after="0" w:line="240" w:lineRule="auto"/>
              <w:jc w:val="center"/>
              <w:rPr>
                <w:rFonts w:cs="Times New Roman"/>
                <w:b/>
                <w:bCs/>
                <w:sz w:val="22"/>
              </w:rPr>
            </w:pPr>
            <w:r w:rsidRPr="00075389">
              <w:rPr>
                <w:rFonts w:cs="Times New Roman"/>
                <w:b/>
                <w:bCs/>
                <w:sz w:val="22"/>
              </w:rPr>
              <w:t>Efficiency (%)</w:t>
            </w:r>
          </w:p>
        </w:tc>
        <w:tc>
          <w:tcPr>
            <w:tcW w:w="1664" w:type="dxa"/>
            <w:tcBorders>
              <w:top w:val="single" w:sz="4" w:space="0" w:color="auto"/>
              <w:left w:val="nil"/>
              <w:bottom w:val="single" w:sz="4" w:space="0" w:color="auto"/>
              <w:right w:val="nil"/>
            </w:tcBorders>
            <w:vAlign w:val="center"/>
            <w:hideMark/>
          </w:tcPr>
          <w:p w14:paraId="4A85993C" w14:textId="77777777" w:rsidR="0069564B" w:rsidRPr="00075389" w:rsidRDefault="0069564B" w:rsidP="00075389">
            <w:pPr>
              <w:spacing w:after="0" w:line="240" w:lineRule="auto"/>
              <w:jc w:val="center"/>
              <w:rPr>
                <w:rFonts w:cs="Times New Roman"/>
                <w:b/>
                <w:bCs/>
                <w:sz w:val="22"/>
              </w:rPr>
            </w:pPr>
            <w:r w:rsidRPr="00075389">
              <w:rPr>
                <w:rFonts w:cs="Times New Roman"/>
                <w:b/>
                <w:bCs/>
                <w:sz w:val="22"/>
              </w:rPr>
              <w:t>Reference</w:t>
            </w:r>
          </w:p>
        </w:tc>
      </w:tr>
      <w:tr w:rsidR="0069564B" w:rsidRPr="00075389" w14:paraId="47E786E9" w14:textId="77777777" w:rsidTr="00283129">
        <w:trPr>
          <w:trHeight w:val="778"/>
          <w:jc w:val="center"/>
        </w:trPr>
        <w:tc>
          <w:tcPr>
            <w:tcW w:w="1896" w:type="dxa"/>
            <w:tcBorders>
              <w:top w:val="single" w:sz="4" w:space="0" w:color="auto"/>
              <w:left w:val="nil"/>
              <w:bottom w:val="single" w:sz="4" w:space="0" w:color="auto"/>
              <w:right w:val="nil"/>
            </w:tcBorders>
            <w:vAlign w:val="center"/>
            <w:hideMark/>
          </w:tcPr>
          <w:p w14:paraId="7D6AE8C7"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Plasma/TiO</w:t>
            </w:r>
            <w:r w:rsidRPr="00075389">
              <w:rPr>
                <w:rFonts w:cs="Times New Roman"/>
                <w:bCs/>
                <w:sz w:val="22"/>
                <w:vertAlign w:val="subscript"/>
              </w:rPr>
              <w:t>2</w:t>
            </w:r>
          </w:p>
        </w:tc>
        <w:tc>
          <w:tcPr>
            <w:tcW w:w="1932" w:type="dxa"/>
            <w:tcBorders>
              <w:top w:val="single" w:sz="4" w:space="0" w:color="auto"/>
              <w:left w:val="nil"/>
              <w:bottom w:val="single" w:sz="4" w:space="0" w:color="auto"/>
              <w:right w:val="nil"/>
            </w:tcBorders>
            <w:vAlign w:val="center"/>
            <w:hideMark/>
          </w:tcPr>
          <w:p w14:paraId="0971188E" w14:textId="30F77EC2" w:rsidR="0069564B" w:rsidRPr="00075389" w:rsidRDefault="0069564B" w:rsidP="00075389">
            <w:pPr>
              <w:spacing w:after="0" w:line="240" w:lineRule="auto"/>
              <w:jc w:val="center"/>
              <w:rPr>
                <w:rFonts w:cs="Times New Roman"/>
                <w:bCs/>
                <w:sz w:val="22"/>
              </w:rPr>
            </w:pPr>
            <w:r w:rsidRPr="00075389">
              <w:rPr>
                <w:rFonts w:cs="Times New Roman"/>
                <w:bCs/>
                <w:sz w:val="22"/>
              </w:rPr>
              <w:t xml:space="preserve">Gliding Arc Discharge </w:t>
            </w:r>
          </w:p>
        </w:tc>
        <w:tc>
          <w:tcPr>
            <w:tcW w:w="1559" w:type="dxa"/>
            <w:tcBorders>
              <w:top w:val="single" w:sz="4" w:space="0" w:color="auto"/>
              <w:left w:val="nil"/>
              <w:bottom w:val="single" w:sz="4" w:space="0" w:color="auto"/>
              <w:right w:val="nil"/>
            </w:tcBorders>
            <w:vAlign w:val="center"/>
            <w:hideMark/>
          </w:tcPr>
          <w:p w14:paraId="52C7A62C" w14:textId="77777777" w:rsidR="0069564B" w:rsidRPr="00075389" w:rsidRDefault="0069564B" w:rsidP="00075389">
            <w:pPr>
              <w:spacing w:after="0" w:line="240" w:lineRule="auto"/>
              <w:jc w:val="center"/>
              <w:rPr>
                <w:rFonts w:cs="Times New Roman"/>
                <w:bCs/>
                <w:sz w:val="22"/>
              </w:rPr>
            </w:pPr>
            <w:r w:rsidRPr="00075389">
              <w:rPr>
                <w:rFonts w:cs="Times New Roman"/>
                <w:bCs/>
                <w:sz w:val="22"/>
                <w:lang w:val="en-IN"/>
              </w:rPr>
              <w:t>Lead acetate</w:t>
            </w:r>
          </w:p>
        </w:tc>
        <w:tc>
          <w:tcPr>
            <w:tcW w:w="1108" w:type="dxa"/>
            <w:tcBorders>
              <w:top w:val="single" w:sz="4" w:space="0" w:color="auto"/>
              <w:left w:val="nil"/>
              <w:bottom w:val="single" w:sz="4" w:space="0" w:color="auto"/>
              <w:right w:val="nil"/>
            </w:tcBorders>
            <w:vAlign w:val="center"/>
            <w:hideMark/>
          </w:tcPr>
          <w:p w14:paraId="503ED4BA" w14:textId="77777777" w:rsidR="0069564B" w:rsidRPr="00075389" w:rsidRDefault="0069564B" w:rsidP="00075389">
            <w:pPr>
              <w:spacing w:after="0" w:line="240" w:lineRule="auto"/>
              <w:jc w:val="center"/>
              <w:rPr>
                <w:rFonts w:cs="Times New Roman"/>
                <w:bCs/>
                <w:sz w:val="22"/>
                <w:lang w:val="en-IN"/>
              </w:rPr>
            </w:pPr>
            <w:r w:rsidRPr="00075389">
              <w:rPr>
                <w:rFonts w:cs="Times New Roman"/>
                <w:bCs/>
                <w:sz w:val="22"/>
                <w:lang w:val="en-IN"/>
              </w:rPr>
              <w:t>3253</w:t>
            </w:r>
          </w:p>
        </w:tc>
        <w:tc>
          <w:tcPr>
            <w:tcW w:w="811" w:type="dxa"/>
            <w:tcBorders>
              <w:top w:val="single" w:sz="4" w:space="0" w:color="auto"/>
              <w:left w:val="nil"/>
              <w:bottom w:val="single" w:sz="4" w:space="0" w:color="auto"/>
              <w:right w:val="nil"/>
            </w:tcBorders>
            <w:vAlign w:val="center"/>
            <w:hideMark/>
          </w:tcPr>
          <w:p w14:paraId="1573CF3F"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120</w:t>
            </w:r>
          </w:p>
        </w:tc>
        <w:tc>
          <w:tcPr>
            <w:tcW w:w="1257" w:type="dxa"/>
            <w:tcBorders>
              <w:top w:val="single" w:sz="4" w:space="0" w:color="auto"/>
              <w:left w:val="nil"/>
              <w:bottom w:val="single" w:sz="4" w:space="0" w:color="auto"/>
              <w:right w:val="nil"/>
            </w:tcBorders>
            <w:vAlign w:val="center"/>
            <w:hideMark/>
          </w:tcPr>
          <w:p w14:paraId="16E2580A"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93</w:t>
            </w:r>
          </w:p>
        </w:tc>
        <w:tc>
          <w:tcPr>
            <w:tcW w:w="1664" w:type="dxa"/>
            <w:tcBorders>
              <w:top w:val="single" w:sz="4" w:space="0" w:color="auto"/>
              <w:left w:val="nil"/>
              <w:bottom w:val="single" w:sz="4" w:space="0" w:color="auto"/>
              <w:right w:val="nil"/>
            </w:tcBorders>
            <w:vAlign w:val="center"/>
            <w:hideMark/>
          </w:tcPr>
          <w:p w14:paraId="04583B4C" w14:textId="02B62AE0" w:rsidR="0069564B" w:rsidRPr="00075389" w:rsidRDefault="0069564B" w:rsidP="00075389">
            <w:pPr>
              <w:spacing w:after="0" w:line="240" w:lineRule="auto"/>
              <w:jc w:val="center"/>
              <w:rPr>
                <w:rFonts w:cs="Times New Roman"/>
                <w:bCs/>
                <w:sz w:val="22"/>
              </w:rPr>
            </w:pPr>
            <w:r w:rsidRPr="00075389">
              <w:rPr>
                <w:rFonts w:cs="Times New Roman"/>
                <w:bCs/>
                <w:sz w:val="22"/>
              </w:rPr>
              <w:fldChar w:fldCharType="begin" w:fldLock="1"/>
            </w:r>
            <w:r w:rsidR="008666F9">
              <w:rPr>
                <w:rFonts w:cs="Times New Roman"/>
                <w:bCs/>
                <w:sz w:val="22"/>
              </w:rPr>
              <w:instrText>ADDIN CSL_CITATION {"citationItems":[{"id":"ITEM-1","itemData":{"DOI":"10.1016/j.chemosphere.2013.12.071","ISSN":"18791298","PMID":"24462087","abstract":"The Gliding Arc Discharge (GAD) is an efficient non-thermal plasma technique able to degrade organic compounds dispersed in water at atmospheric pressure. The degradation of the organometallic lead acetate (PbAc) in aqueous solution was performed by two distinct plasmageneous processes: GAD and GAD/TiO2.The global oxidation of the organic matter was followed by Chemical Oxygen Demand (COD) and the mineralization was determined by the Total Organic Carbon (TOC). The Pb2+ ions released during the degradation process were measured by Atomic Absorption Spectroscopy (AAS).For 2h of GAD treatment, the degradation rate of PbAc (10mM) reached 83% and for the same duration of GAD/TiO2 process ([TiO2]=1gL-1), it reached 93%.The release of Pb2+ ions in the solution was respectively of 95% and 57% for GAD and GAD/TiO2 processes. The released Pb2+ ions were removed by precipitation process in a basic medium at pH=11.1.A reaction mechanism was proposed to explain the PbAc molecule degradation and the Pb2+ elimination. © 2014 Elsevier Ltd.","author":[{"dropping-particle":"","family":"Haddou","given":"Nabila","non-dropping-particle":"","parse-names":false,"suffix":""},{"dropping-particle":"","family":"Ghezzar","given":"Mouffok Redouane","non-dropping-particle":"","parse-names":false,"suffix":""},{"dropping-particle":"","family":"Abdelmalek","given":"Fatiha","non-dropping-particle":"","parse-names":false,"suffix":""},{"dropping-particle":"","family":"Ognier","given":"Stéphanie","non-dropping-particle":"","parse-names":false,"suffix":""},{"dropping-particle":"","family":"Martel","given":"Marc","non-dropping-particle":"","parse-names":false,"suffix":""},{"dropping-particle":"","family":"Addou","given":"Ahmed","non-dropping-particle":"","parse-names":false,"suffix":""}],"container-title":"Chemosphere","id":"ITEM-1","issued":{"date-parts":[["2014"]]},"page":"304-310","title":"Plasmacatalytic removal of lead acetate assisted by precipitation","type":"article","volume":"107"},"uris":["http://www.mendeley.com/documents/?uuid=66b2ec44-6d8b-4046-89a9-7b2a6cc5f4ae","http://www.mendeley.com/documents/?uuid=97f219b9-f4a0-4349-b049-3e806d570003"]}],"mendeley":{"formattedCitation":"(Haddou et al., 2014)","plainTextFormattedCitation":"(Haddou et al., 2014)","previouslyFormattedCitation":"(Haddou et al., 2014)"},"properties":{"noteIndex":0},"schema":"https://github.com/citation-style-language/schema/raw/master/csl-citation.json"}</w:instrText>
            </w:r>
            <w:r w:rsidRPr="00075389">
              <w:rPr>
                <w:rFonts w:cs="Times New Roman"/>
                <w:bCs/>
                <w:sz w:val="22"/>
              </w:rPr>
              <w:fldChar w:fldCharType="separate"/>
            </w:r>
            <w:r w:rsidR="00FB6D8C" w:rsidRPr="00075389">
              <w:rPr>
                <w:rFonts w:cs="Times New Roman"/>
                <w:bCs/>
                <w:noProof/>
                <w:sz w:val="22"/>
              </w:rPr>
              <w:t>(Haddou et al., 2014)</w:t>
            </w:r>
            <w:r w:rsidRPr="00075389">
              <w:rPr>
                <w:rFonts w:cs="Times New Roman"/>
                <w:bCs/>
                <w:sz w:val="22"/>
              </w:rPr>
              <w:fldChar w:fldCharType="end"/>
            </w:r>
          </w:p>
        </w:tc>
      </w:tr>
      <w:tr w:rsidR="0069564B" w:rsidRPr="00075389" w14:paraId="5A0D5F67" w14:textId="77777777" w:rsidTr="00283129">
        <w:trPr>
          <w:trHeight w:val="713"/>
          <w:jc w:val="center"/>
        </w:trPr>
        <w:tc>
          <w:tcPr>
            <w:tcW w:w="1896" w:type="dxa"/>
            <w:tcBorders>
              <w:top w:val="single" w:sz="4" w:space="0" w:color="auto"/>
              <w:left w:val="nil"/>
              <w:bottom w:val="single" w:sz="4" w:space="0" w:color="auto"/>
              <w:right w:val="nil"/>
            </w:tcBorders>
            <w:vAlign w:val="center"/>
            <w:hideMark/>
          </w:tcPr>
          <w:p w14:paraId="182F6A3F"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Plasma/TiO</w:t>
            </w:r>
            <w:r w:rsidRPr="00075389">
              <w:rPr>
                <w:rFonts w:cs="Times New Roman"/>
                <w:bCs/>
                <w:sz w:val="22"/>
                <w:vertAlign w:val="subscript"/>
              </w:rPr>
              <w:t>2</w:t>
            </w:r>
          </w:p>
        </w:tc>
        <w:tc>
          <w:tcPr>
            <w:tcW w:w="1932" w:type="dxa"/>
            <w:tcBorders>
              <w:top w:val="single" w:sz="4" w:space="0" w:color="auto"/>
              <w:left w:val="nil"/>
              <w:bottom w:val="single" w:sz="4" w:space="0" w:color="auto"/>
              <w:right w:val="nil"/>
            </w:tcBorders>
            <w:vAlign w:val="center"/>
            <w:hideMark/>
          </w:tcPr>
          <w:p w14:paraId="6E0B9EF1" w14:textId="3958F6F8" w:rsidR="0069564B" w:rsidRPr="00075389" w:rsidRDefault="0069564B" w:rsidP="00075389">
            <w:pPr>
              <w:spacing w:after="0" w:line="240" w:lineRule="auto"/>
              <w:jc w:val="center"/>
              <w:rPr>
                <w:rFonts w:cs="Times New Roman"/>
                <w:bCs/>
                <w:sz w:val="22"/>
              </w:rPr>
            </w:pPr>
            <w:r w:rsidRPr="00075389">
              <w:rPr>
                <w:rFonts w:cs="Times New Roman"/>
                <w:bCs/>
                <w:sz w:val="22"/>
              </w:rPr>
              <w:t xml:space="preserve">Dielectric barrier discharge </w:t>
            </w:r>
          </w:p>
        </w:tc>
        <w:tc>
          <w:tcPr>
            <w:tcW w:w="1559" w:type="dxa"/>
            <w:tcBorders>
              <w:top w:val="single" w:sz="4" w:space="0" w:color="auto"/>
              <w:left w:val="nil"/>
              <w:bottom w:val="single" w:sz="4" w:space="0" w:color="auto"/>
              <w:right w:val="nil"/>
            </w:tcBorders>
            <w:vAlign w:val="center"/>
            <w:hideMark/>
          </w:tcPr>
          <w:p w14:paraId="4EDD7C42" w14:textId="77777777" w:rsidR="0069564B" w:rsidRPr="00075389" w:rsidRDefault="0069564B" w:rsidP="00075389">
            <w:pPr>
              <w:spacing w:after="0" w:line="240" w:lineRule="auto"/>
              <w:jc w:val="center"/>
              <w:rPr>
                <w:rFonts w:cs="Times New Roman"/>
                <w:bCs/>
                <w:sz w:val="22"/>
              </w:rPr>
            </w:pPr>
            <w:r w:rsidRPr="00075389">
              <w:rPr>
                <w:rFonts w:cs="Times New Roman"/>
                <w:bCs/>
                <w:sz w:val="22"/>
                <w:lang w:val="en-IN"/>
              </w:rPr>
              <w:t>Methyl tert-butyl ether</w:t>
            </w:r>
          </w:p>
        </w:tc>
        <w:tc>
          <w:tcPr>
            <w:tcW w:w="1108" w:type="dxa"/>
            <w:tcBorders>
              <w:top w:val="single" w:sz="4" w:space="0" w:color="auto"/>
              <w:left w:val="nil"/>
              <w:bottom w:val="single" w:sz="4" w:space="0" w:color="auto"/>
              <w:right w:val="nil"/>
            </w:tcBorders>
            <w:vAlign w:val="center"/>
            <w:hideMark/>
          </w:tcPr>
          <w:p w14:paraId="21F4E1CB" w14:textId="5D0E6A37" w:rsidR="0069564B" w:rsidRPr="00075389" w:rsidRDefault="0069564B" w:rsidP="00075389">
            <w:pPr>
              <w:spacing w:after="0" w:line="240" w:lineRule="auto"/>
              <w:jc w:val="center"/>
              <w:rPr>
                <w:rFonts w:cs="Times New Roman"/>
                <w:bCs/>
                <w:sz w:val="22"/>
              </w:rPr>
            </w:pPr>
            <w:r w:rsidRPr="00075389">
              <w:rPr>
                <w:rFonts w:cs="Times New Roman"/>
                <w:bCs/>
                <w:sz w:val="22"/>
                <w:lang w:val="en-IN"/>
              </w:rPr>
              <w:t>88.1</w:t>
            </w:r>
          </w:p>
        </w:tc>
        <w:tc>
          <w:tcPr>
            <w:tcW w:w="811" w:type="dxa"/>
            <w:tcBorders>
              <w:top w:val="single" w:sz="4" w:space="0" w:color="auto"/>
              <w:left w:val="nil"/>
              <w:bottom w:val="single" w:sz="4" w:space="0" w:color="auto"/>
              <w:right w:val="nil"/>
            </w:tcBorders>
            <w:vAlign w:val="center"/>
            <w:hideMark/>
          </w:tcPr>
          <w:p w14:paraId="4A86FF37"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10</w:t>
            </w:r>
          </w:p>
        </w:tc>
        <w:tc>
          <w:tcPr>
            <w:tcW w:w="1257" w:type="dxa"/>
            <w:tcBorders>
              <w:top w:val="single" w:sz="4" w:space="0" w:color="auto"/>
              <w:left w:val="nil"/>
              <w:bottom w:val="single" w:sz="4" w:space="0" w:color="auto"/>
              <w:right w:val="nil"/>
            </w:tcBorders>
            <w:vAlign w:val="center"/>
            <w:hideMark/>
          </w:tcPr>
          <w:p w14:paraId="37F9ABFC" w14:textId="5EFCB02A" w:rsidR="0069564B" w:rsidRPr="00075389" w:rsidRDefault="008F25A5" w:rsidP="00075389">
            <w:pPr>
              <w:spacing w:after="0" w:line="240" w:lineRule="auto"/>
              <w:jc w:val="center"/>
              <w:rPr>
                <w:rFonts w:cs="Times New Roman"/>
                <w:bCs/>
                <w:sz w:val="22"/>
              </w:rPr>
            </w:pPr>
            <w:r w:rsidRPr="00075389">
              <w:rPr>
                <w:rFonts w:cs="Times New Roman"/>
                <w:bCs/>
                <w:sz w:val="22"/>
              </w:rPr>
              <w:t>~</w:t>
            </w:r>
            <w:r w:rsidR="0069564B" w:rsidRPr="00075389">
              <w:rPr>
                <w:rFonts w:cs="Times New Roman"/>
                <w:bCs/>
                <w:sz w:val="22"/>
              </w:rPr>
              <w:t>100</w:t>
            </w:r>
          </w:p>
        </w:tc>
        <w:tc>
          <w:tcPr>
            <w:tcW w:w="1664" w:type="dxa"/>
            <w:tcBorders>
              <w:top w:val="single" w:sz="4" w:space="0" w:color="auto"/>
              <w:left w:val="nil"/>
              <w:bottom w:val="single" w:sz="4" w:space="0" w:color="auto"/>
              <w:right w:val="nil"/>
            </w:tcBorders>
            <w:vAlign w:val="center"/>
            <w:hideMark/>
          </w:tcPr>
          <w:p w14:paraId="0047B592" w14:textId="32520953" w:rsidR="0069564B" w:rsidRPr="00075389" w:rsidRDefault="0069564B" w:rsidP="00075389">
            <w:pPr>
              <w:spacing w:after="0" w:line="240" w:lineRule="auto"/>
              <w:jc w:val="center"/>
              <w:rPr>
                <w:rFonts w:cs="Times New Roman"/>
                <w:bCs/>
                <w:sz w:val="22"/>
              </w:rPr>
            </w:pPr>
            <w:r w:rsidRPr="00075389">
              <w:rPr>
                <w:rFonts w:cs="Times New Roman"/>
                <w:bCs/>
                <w:sz w:val="22"/>
              </w:rPr>
              <w:fldChar w:fldCharType="begin" w:fldLock="1"/>
            </w:r>
            <w:r w:rsidR="008666F9">
              <w:rPr>
                <w:rFonts w:cs="Times New Roman"/>
                <w:bCs/>
                <w:sz w:val="22"/>
              </w:rPr>
              <w:instrText>ADDIN CSL_CITATION {"citationItems":[{"id":"ITEM-1","itemData":{"abstract":"A non-thermal plasma reactor with a dielectric barrier discharge in a planar configuration with falling liquid film has been shown to decompose effectively organic contaminants in water. The degradation of oxalic acid as an ozone resistant model compound was studied in dependence on the gas composition (air, oxygen, nitrogen, argon and corresponding mixtures). The most effective degradation was obtained with pure oxygen, whereas argon seems to be not suitable as reaction gas. An additional UV irradiation or the addition of Fe(II) accelerates the degradation of oxalic acid only in argon, probably due to the activation of H2O2 in the liquid phase. The plasma-assisted degradation of methyl tert-butyl ether (MTBE) as an ozone resistant fuel additive shows a significantly different behavior depending on the gas phase. In oxygen only a moderate abatement takes place, the degradation in argon is, however, very effective. The reason for these differences is discussed.","author":[{"dropping-particle":"","family":"Mahyar","given":"A.","non-dropping-particle":"","parse-names":false,"suffix":""},{"dropping-particle":"","family":"Miessner","given":"H.","non-dropping-particle":"","parse-names":false,"suffix":""},{"dropping-particle":"","family":"Mueller","given":"S.","non-dropping-particle":"","parse-names":false,"suffix":""},{"dropping-particle":"","family":"Kalass","given":"D.","non-dropping-particle":"","parse-names":false,"suffix":""},{"dropping-particle":"","family":"Piechotta","given":"T.","non-dropping-particle":"","parse-names":false,"suffix":""},{"dropping-particle":"","family":"Moeller","given":"D.","non-dropping-particle":"","parse-names":false,"suffix":""}],"container-title":"International Journal of Plasma Environmental Science and Technology","id":"ITEM-1","issue":"2","issued":{"date-parts":[["2016"]]},"page":"151-156","title":"Non-thermal Plasma Assisted Destruction of Persistent Organic Contaminants in Water - A New Approach Using a Planar Falling Film Reactor","type":"article-journal","volume":"10"},"uris":["http://www.mendeley.com/documents/?uuid=32e1cc62-4df5-41a4-a08c-e7d46e892cee","http://www.mendeley.com/documents/?uuid=3ee1b230-3376-42ee-98a6-4e076306c974"]}],"mendeley":{"formattedCitation":"(Mahyar et al., 2016)","plainTextFormattedCitation":"(Mahyar et al., 2016)","previouslyFormattedCitation":"(Mahyar et al., 2016)"},"properties":{"noteIndex":0},"schema":"https://github.com/citation-style-language/schema/raw/master/csl-citation.json"}</w:instrText>
            </w:r>
            <w:r w:rsidRPr="00075389">
              <w:rPr>
                <w:rFonts w:cs="Times New Roman"/>
                <w:bCs/>
                <w:sz w:val="22"/>
              </w:rPr>
              <w:fldChar w:fldCharType="separate"/>
            </w:r>
            <w:r w:rsidR="00FB6D8C" w:rsidRPr="00075389">
              <w:rPr>
                <w:rFonts w:cs="Times New Roman"/>
                <w:bCs/>
                <w:noProof/>
                <w:sz w:val="22"/>
              </w:rPr>
              <w:t>(Mahyar et al., 2016)</w:t>
            </w:r>
            <w:r w:rsidRPr="00075389">
              <w:rPr>
                <w:rFonts w:cs="Times New Roman"/>
                <w:bCs/>
                <w:sz w:val="22"/>
              </w:rPr>
              <w:fldChar w:fldCharType="end"/>
            </w:r>
          </w:p>
        </w:tc>
      </w:tr>
      <w:tr w:rsidR="0069564B" w:rsidRPr="00075389" w14:paraId="437F3B10" w14:textId="77777777" w:rsidTr="00283129">
        <w:trPr>
          <w:trHeight w:val="482"/>
          <w:jc w:val="center"/>
        </w:trPr>
        <w:tc>
          <w:tcPr>
            <w:tcW w:w="1896" w:type="dxa"/>
            <w:tcBorders>
              <w:top w:val="single" w:sz="4" w:space="0" w:color="auto"/>
              <w:left w:val="nil"/>
              <w:bottom w:val="single" w:sz="4" w:space="0" w:color="auto"/>
              <w:right w:val="nil"/>
            </w:tcBorders>
            <w:vAlign w:val="center"/>
            <w:hideMark/>
          </w:tcPr>
          <w:p w14:paraId="4E11E98E"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Plasma-AOP</w:t>
            </w:r>
          </w:p>
        </w:tc>
        <w:tc>
          <w:tcPr>
            <w:tcW w:w="1932" w:type="dxa"/>
            <w:tcBorders>
              <w:top w:val="single" w:sz="4" w:space="0" w:color="auto"/>
              <w:left w:val="nil"/>
              <w:bottom w:val="single" w:sz="4" w:space="0" w:color="auto"/>
              <w:right w:val="nil"/>
            </w:tcBorders>
            <w:vAlign w:val="center"/>
            <w:hideMark/>
          </w:tcPr>
          <w:p w14:paraId="2039CD78" w14:textId="0B0CDA07" w:rsidR="0069564B" w:rsidRPr="00075389" w:rsidRDefault="00BC5E99" w:rsidP="00075389">
            <w:pPr>
              <w:spacing w:after="0" w:line="240" w:lineRule="auto"/>
              <w:jc w:val="center"/>
              <w:rPr>
                <w:rFonts w:cs="Times New Roman"/>
                <w:bCs/>
                <w:sz w:val="22"/>
              </w:rPr>
            </w:pPr>
            <w:r w:rsidRPr="00075389">
              <w:rPr>
                <w:rFonts w:cs="Times New Roman"/>
                <w:bCs/>
                <w:sz w:val="22"/>
              </w:rPr>
              <w:t>Dielectric barrier discharge</w:t>
            </w:r>
          </w:p>
        </w:tc>
        <w:tc>
          <w:tcPr>
            <w:tcW w:w="1559" w:type="dxa"/>
            <w:tcBorders>
              <w:top w:val="single" w:sz="4" w:space="0" w:color="auto"/>
              <w:left w:val="nil"/>
              <w:bottom w:val="single" w:sz="4" w:space="0" w:color="auto"/>
              <w:right w:val="nil"/>
            </w:tcBorders>
            <w:vAlign w:val="center"/>
            <w:hideMark/>
          </w:tcPr>
          <w:p w14:paraId="648C491C" w14:textId="77777777" w:rsidR="0069564B" w:rsidRPr="00075389" w:rsidRDefault="0069564B" w:rsidP="00075389">
            <w:pPr>
              <w:spacing w:after="0" w:line="240" w:lineRule="auto"/>
              <w:jc w:val="center"/>
              <w:rPr>
                <w:rFonts w:cs="Times New Roman"/>
                <w:bCs/>
                <w:sz w:val="22"/>
              </w:rPr>
            </w:pPr>
            <w:r w:rsidRPr="00075389">
              <w:rPr>
                <w:rFonts w:cs="Times New Roman"/>
                <w:bCs/>
                <w:sz w:val="22"/>
                <w:lang w:val="en-IN"/>
              </w:rPr>
              <w:t>Pentoxifylline</w:t>
            </w:r>
          </w:p>
        </w:tc>
        <w:tc>
          <w:tcPr>
            <w:tcW w:w="1108" w:type="dxa"/>
            <w:tcBorders>
              <w:top w:val="single" w:sz="4" w:space="0" w:color="auto"/>
              <w:left w:val="nil"/>
              <w:bottom w:val="single" w:sz="4" w:space="0" w:color="auto"/>
              <w:right w:val="nil"/>
            </w:tcBorders>
            <w:vAlign w:val="center"/>
            <w:hideMark/>
          </w:tcPr>
          <w:p w14:paraId="74DDB32D"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100</w:t>
            </w:r>
          </w:p>
        </w:tc>
        <w:tc>
          <w:tcPr>
            <w:tcW w:w="811" w:type="dxa"/>
            <w:tcBorders>
              <w:top w:val="single" w:sz="4" w:space="0" w:color="auto"/>
              <w:left w:val="nil"/>
              <w:bottom w:val="single" w:sz="4" w:space="0" w:color="auto"/>
              <w:right w:val="nil"/>
            </w:tcBorders>
            <w:vAlign w:val="center"/>
            <w:hideMark/>
          </w:tcPr>
          <w:p w14:paraId="782FB6C9"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60</w:t>
            </w:r>
          </w:p>
        </w:tc>
        <w:tc>
          <w:tcPr>
            <w:tcW w:w="1257" w:type="dxa"/>
            <w:tcBorders>
              <w:top w:val="single" w:sz="4" w:space="0" w:color="auto"/>
              <w:left w:val="nil"/>
              <w:bottom w:val="single" w:sz="4" w:space="0" w:color="auto"/>
              <w:right w:val="nil"/>
            </w:tcBorders>
            <w:vAlign w:val="center"/>
            <w:hideMark/>
          </w:tcPr>
          <w:p w14:paraId="59843D85"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92.5</w:t>
            </w:r>
          </w:p>
        </w:tc>
        <w:tc>
          <w:tcPr>
            <w:tcW w:w="1664" w:type="dxa"/>
            <w:tcBorders>
              <w:top w:val="single" w:sz="4" w:space="0" w:color="auto"/>
              <w:left w:val="nil"/>
              <w:bottom w:val="single" w:sz="4" w:space="0" w:color="auto"/>
              <w:right w:val="nil"/>
            </w:tcBorders>
            <w:vAlign w:val="center"/>
            <w:hideMark/>
          </w:tcPr>
          <w:p w14:paraId="413904F0" w14:textId="3E8306C6" w:rsidR="0069564B" w:rsidRPr="00075389" w:rsidRDefault="0069564B" w:rsidP="00075389">
            <w:pPr>
              <w:spacing w:after="0" w:line="240" w:lineRule="auto"/>
              <w:jc w:val="center"/>
              <w:rPr>
                <w:rFonts w:cs="Times New Roman"/>
                <w:bCs/>
                <w:sz w:val="22"/>
              </w:rPr>
            </w:pPr>
            <w:r w:rsidRPr="00075389">
              <w:rPr>
                <w:rFonts w:cs="Times New Roman"/>
                <w:bCs/>
                <w:sz w:val="22"/>
              </w:rPr>
              <w:fldChar w:fldCharType="begin" w:fldLock="1"/>
            </w:r>
            <w:r w:rsidR="008666F9">
              <w:rPr>
                <w:rFonts w:cs="Times New Roman"/>
                <w:bCs/>
                <w:sz w:val="22"/>
              </w:rPr>
              <w:instrText>ADDIN CSL_CITATION {"citationItems":[{"id":"ITEM-1","itemData":{"DOI":"10.1016/j.watres.2010.03.020","ISSN":"00431354","abstract":"The decomposition of a model pharmaceutical compound, pentoxifylline, in aqueous solution was investigated using a dielectric barrier discharge (DBD) in coaxial configuration, operated in pulsed regime, at atmospheric pressure and room temperature. The solution was made to flow as a film over the surface of the inner electrode of the plasma reactor, so the discharge was generated at the gas-liquid interface. Oxygen was introduced with a flow rate of 600. sccm. After 60. min plasma treatment 92.5% removal of pentoxifylline was achieved and the corresponding decomposition yield was 16. g/kWh. It was found that pentoxifylline degradation depended on the initial concentration of the compound, being faster for lower concentrations. Faster decomposition of pentoxifylline could be also achieved by increasing the pulse repetition rate, and implicitly the power introduced in the discharge, however, this had little effect on the decomposition yield. The degradation products were investigated by liquid chromatography-mass spectrometry technique (LC-MS). The evolution of the intermediates during plasma treatment showed a fast increase in the first 30. min, followed by a slower decrease, so that these products are almost completely removed after 120. min treatment time. © 2010 Elsevier Ltd.","author":[{"dropping-particle":"","family":"Magureanu","given":"Monica","non-dropping-particle":"","parse-names":false,"suffix":""},{"dropping-particle":"","family":"Piroi","given":"Daniela","non-dropping-particle":"","parse-names":false,"suffix":""},{"dropping-particle":"","family":"Mandache","given":"Nicolae Bogdan","non-dropping-particle":"","parse-names":false,"suffix":""},{"dropping-particle":"","family":"David","given":"Victor","non-dropping-particle":"","parse-names":false,"suffix":""},{"dropping-particle":"","family":"Medvedovici","given":"Andrei","non-dropping-particle":"","parse-names":false,"suffix":""},{"dropping-particle":"","family":"Parvulescu","given":"Vasile I.","non-dropping-particle":"","parse-names":false,"suffix":""}],"container-title":"Water Research","id":"ITEM-1","issue":"11","issued":{"date-parts":[["2010","6"]]},"page":"3445-3453","title":"Degradation of pharmaceutical compound pentoxifylline in water by non-thermal plasma treatment","type":"article-journal","volume":"44"},"uris":["http://www.mendeley.com/documents/?uuid=cd6e9b02-0845-4e3f-b0ff-5827aea70e18","http://www.mendeley.com/documents/?uuid=092adbe0-57a8-4a94-85c7-edbb415d9461"]}],"mendeley":{"formattedCitation":"(Magureanu et al., 2010)","plainTextFormattedCitation":"(Magureanu et al., 2010)","previouslyFormattedCitation":"(Magureanu et al., 2010)"},"properties":{"noteIndex":0},"schema":"https://github.com/citation-style-language/schema/raw/master/csl-citation.json"}</w:instrText>
            </w:r>
            <w:r w:rsidRPr="00075389">
              <w:rPr>
                <w:rFonts w:cs="Times New Roman"/>
                <w:bCs/>
                <w:sz w:val="22"/>
              </w:rPr>
              <w:fldChar w:fldCharType="separate"/>
            </w:r>
            <w:r w:rsidR="00FB6D8C" w:rsidRPr="00075389">
              <w:rPr>
                <w:rFonts w:cs="Times New Roman"/>
                <w:bCs/>
                <w:noProof/>
                <w:sz w:val="22"/>
              </w:rPr>
              <w:t>(Magureanu et al., 2010)</w:t>
            </w:r>
            <w:r w:rsidRPr="00075389">
              <w:rPr>
                <w:rFonts w:cs="Times New Roman"/>
                <w:bCs/>
                <w:sz w:val="22"/>
              </w:rPr>
              <w:fldChar w:fldCharType="end"/>
            </w:r>
          </w:p>
        </w:tc>
      </w:tr>
      <w:tr w:rsidR="0069564B" w:rsidRPr="00075389" w14:paraId="6660F8FF" w14:textId="77777777" w:rsidTr="00283129">
        <w:trPr>
          <w:trHeight w:val="310"/>
          <w:jc w:val="center"/>
        </w:trPr>
        <w:tc>
          <w:tcPr>
            <w:tcW w:w="1896" w:type="dxa"/>
            <w:tcBorders>
              <w:top w:val="single" w:sz="4" w:space="0" w:color="auto"/>
              <w:left w:val="nil"/>
              <w:bottom w:val="single" w:sz="4" w:space="0" w:color="auto"/>
              <w:right w:val="nil"/>
            </w:tcBorders>
            <w:vAlign w:val="center"/>
            <w:hideMark/>
          </w:tcPr>
          <w:p w14:paraId="0309A06B"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Plasma-AOP</w:t>
            </w:r>
          </w:p>
        </w:tc>
        <w:tc>
          <w:tcPr>
            <w:tcW w:w="1932" w:type="dxa"/>
            <w:tcBorders>
              <w:top w:val="single" w:sz="4" w:space="0" w:color="auto"/>
              <w:left w:val="nil"/>
              <w:bottom w:val="single" w:sz="4" w:space="0" w:color="auto"/>
              <w:right w:val="nil"/>
            </w:tcBorders>
            <w:vAlign w:val="center"/>
            <w:hideMark/>
          </w:tcPr>
          <w:p w14:paraId="235BE6EA" w14:textId="4A2AF4C3" w:rsidR="0069564B" w:rsidRPr="00075389" w:rsidRDefault="00BC5E99" w:rsidP="00075389">
            <w:pPr>
              <w:spacing w:after="0" w:line="240" w:lineRule="auto"/>
              <w:jc w:val="center"/>
              <w:rPr>
                <w:rFonts w:cs="Times New Roman"/>
                <w:bCs/>
                <w:sz w:val="22"/>
              </w:rPr>
            </w:pPr>
            <w:r w:rsidRPr="00075389">
              <w:rPr>
                <w:rFonts w:cs="Times New Roman"/>
                <w:bCs/>
                <w:sz w:val="22"/>
              </w:rPr>
              <w:t>Dielectric barrier discharge</w:t>
            </w:r>
          </w:p>
        </w:tc>
        <w:tc>
          <w:tcPr>
            <w:tcW w:w="1559" w:type="dxa"/>
            <w:tcBorders>
              <w:top w:val="single" w:sz="4" w:space="0" w:color="auto"/>
              <w:left w:val="nil"/>
              <w:bottom w:val="single" w:sz="4" w:space="0" w:color="auto"/>
              <w:right w:val="nil"/>
            </w:tcBorders>
            <w:vAlign w:val="center"/>
            <w:hideMark/>
          </w:tcPr>
          <w:p w14:paraId="17B661C6" w14:textId="77777777" w:rsidR="0069564B" w:rsidRPr="00075389" w:rsidRDefault="0069564B" w:rsidP="00075389">
            <w:pPr>
              <w:spacing w:after="0" w:line="240" w:lineRule="auto"/>
              <w:jc w:val="center"/>
              <w:rPr>
                <w:rFonts w:cs="Times New Roman"/>
                <w:bCs/>
                <w:sz w:val="22"/>
              </w:rPr>
            </w:pPr>
            <w:r w:rsidRPr="00075389">
              <w:rPr>
                <w:rFonts w:cs="Times New Roman"/>
                <w:bCs/>
                <w:sz w:val="22"/>
                <w:lang w:val="en-IN"/>
              </w:rPr>
              <w:t>Crystal violet</w:t>
            </w:r>
          </w:p>
        </w:tc>
        <w:tc>
          <w:tcPr>
            <w:tcW w:w="1108" w:type="dxa"/>
            <w:tcBorders>
              <w:top w:val="single" w:sz="4" w:space="0" w:color="auto"/>
              <w:left w:val="nil"/>
              <w:bottom w:val="single" w:sz="4" w:space="0" w:color="auto"/>
              <w:right w:val="nil"/>
            </w:tcBorders>
            <w:vAlign w:val="center"/>
            <w:hideMark/>
          </w:tcPr>
          <w:p w14:paraId="4AD1AD57"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100</w:t>
            </w:r>
          </w:p>
        </w:tc>
        <w:tc>
          <w:tcPr>
            <w:tcW w:w="811" w:type="dxa"/>
            <w:tcBorders>
              <w:top w:val="single" w:sz="4" w:space="0" w:color="auto"/>
              <w:left w:val="nil"/>
              <w:bottom w:val="single" w:sz="4" w:space="0" w:color="auto"/>
              <w:right w:val="nil"/>
            </w:tcBorders>
            <w:vAlign w:val="center"/>
            <w:hideMark/>
          </w:tcPr>
          <w:p w14:paraId="68F3B639"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10</w:t>
            </w:r>
          </w:p>
        </w:tc>
        <w:tc>
          <w:tcPr>
            <w:tcW w:w="1257" w:type="dxa"/>
            <w:tcBorders>
              <w:top w:val="single" w:sz="4" w:space="0" w:color="auto"/>
              <w:left w:val="nil"/>
              <w:bottom w:val="single" w:sz="4" w:space="0" w:color="auto"/>
              <w:right w:val="nil"/>
            </w:tcBorders>
            <w:vAlign w:val="center"/>
            <w:hideMark/>
          </w:tcPr>
          <w:p w14:paraId="68A29DD1"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80</w:t>
            </w:r>
          </w:p>
        </w:tc>
        <w:tc>
          <w:tcPr>
            <w:tcW w:w="1664" w:type="dxa"/>
            <w:tcBorders>
              <w:top w:val="single" w:sz="4" w:space="0" w:color="auto"/>
              <w:left w:val="nil"/>
              <w:bottom w:val="single" w:sz="4" w:space="0" w:color="auto"/>
              <w:right w:val="nil"/>
            </w:tcBorders>
            <w:vAlign w:val="center"/>
            <w:hideMark/>
          </w:tcPr>
          <w:p w14:paraId="418D5775" w14:textId="4CD5FDE4" w:rsidR="0069564B" w:rsidRPr="00075389" w:rsidRDefault="0069564B" w:rsidP="00075389">
            <w:pPr>
              <w:spacing w:after="0" w:line="240" w:lineRule="auto"/>
              <w:jc w:val="center"/>
              <w:rPr>
                <w:rFonts w:cs="Times New Roman"/>
                <w:bCs/>
                <w:sz w:val="22"/>
              </w:rPr>
            </w:pPr>
            <w:r w:rsidRPr="00075389">
              <w:rPr>
                <w:rFonts w:cs="Times New Roman"/>
                <w:bCs/>
                <w:sz w:val="22"/>
              </w:rPr>
              <w:fldChar w:fldCharType="begin" w:fldLock="1"/>
            </w:r>
            <w:r w:rsidR="008666F9">
              <w:rPr>
                <w:rFonts w:cs="Times New Roman"/>
                <w:bCs/>
                <w:sz w:val="22"/>
              </w:rPr>
              <w:instrText>ADDIN CSL_CITATION {"citationItems":[{"id":"ITEM-1","itemData":{"DOI":"10.1021/ie301122p","ISSN":"08885885","abstract":"A dielectric barrier discharge reactor was designed and tested for the degradation of a model aqueous pollutant crystal violet (CV). The specific advantage of the present configuration is the effective utilization of reactive species generated in the discharge plasma. The reactive species formed in the discharge, particularly the OH - radicals, may cause strong oxidizing effects in the degradation of CV. Mineralization of the dye was confirmed by TOC analyzer and infrared gas analyzer. It was observed that both degradation efficiency and TOC removal increased with increasing the input energy; however, the energy yield decreased. The highest energy yield achieved was 86.3 (g/kWh). Formation of hydrogen peroxide was quantified and addition of Fe 2+ increased the performance of the reactor. The dye degradation followed first-order kinetics. © 2012 American Chemical Society.","author":[{"dropping-particle":"","family":"Reddy","given":"P. Manoj Kumar","non-dropping-particle":"","parse-names":false,"suffix":""},{"dropping-particle":"","family":"Subrahmanyam","given":"Ch","non-dropping-particle":"","parse-names":false,"suffix":""}],"container-title":"Industrial and Engineering Chemistry Research","id":"ITEM-1","issue":"34","issued":{"date-parts":[["2012"]]},"page":"11097-11103","title":"Green approach for wastewater treatment-degradation and mineralization of aqueous organic pollutants by discharge plasma","type":"article-journal","volume":"51"},"uris":["http://www.mendeley.com/documents/?uuid=fb3dcad9-4196-4f36-b934-a29e900e1211","http://www.mendeley.com/documents/?uuid=33021c59-0984-4af6-90a7-89e37dee27c0"]}],"mendeley":{"formattedCitation":"(Reddy and Subrahmanyam, 2012)","plainTextFormattedCitation":"(Reddy and Subrahmanyam, 2012)","previouslyFormattedCitation":"(Reddy and Subrahmanyam, 2012)"},"properties":{"noteIndex":0},"schema":"https://github.com/citation-style-language/schema/raw/master/csl-citation.json"}</w:instrText>
            </w:r>
            <w:r w:rsidRPr="00075389">
              <w:rPr>
                <w:rFonts w:cs="Times New Roman"/>
                <w:bCs/>
                <w:sz w:val="22"/>
              </w:rPr>
              <w:fldChar w:fldCharType="separate"/>
            </w:r>
            <w:r w:rsidR="00FB6D8C" w:rsidRPr="00075389">
              <w:rPr>
                <w:rFonts w:cs="Times New Roman"/>
                <w:bCs/>
                <w:noProof/>
                <w:sz w:val="22"/>
              </w:rPr>
              <w:t>(Reddy and Subrahmanyam, 2012)</w:t>
            </w:r>
            <w:r w:rsidRPr="00075389">
              <w:rPr>
                <w:rFonts w:cs="Times New Roman"/>
                <w:bCs/>
                <w:sz w:val="22"/>
              </w:rPr>
              <w:fldChar w:fldCharType="end"/>
            </w:r>
          </w:p>
        </w:tc>
      </w:tr>
      <w:tr w:rsidR="0069564B" w:rsidRPr="00075389" w14:paraId="22546D5F" w14:textId="77777777" w:rsidTr="00283129">
        <w:trPr>
          <w:trHeight w:val="317"/>
          <w:jc w:val="center"/>
        </w:trPr>
        <w:tc>
          <w:tcPr>
            <w:tcW w:w="1896" w:type="dxa"/>
            <w:tcBorders>
              <w:top w:val="single" w:sz="4" w:space="0" w:color="auto"/>
              <w:left w:val="nil"/>
              <w:bottom w:val="single" w:sz="4" w:space="0" w:color="auto"/>
              <w:right w:val="nil"/>
            </w:tcBorders>
            <w:vAlign w:val="center"/>
            <w:hideMark/>
          </w:tcPr>
          <w:p w14:paraId="313D3225"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Plasma/TiO</w:t>
            </w:r>
            <w:r w:rsidRPr="00075389">
              <w:rPr>
                <w:rFonts w:cs="Times New Roman"/>
                <w:bCs/>
                <w:sz w:val="22"/>
                <w:vertAlign w:val="subscript"/>
              </w:rPr>
              <w:t>2</w:t>
            </w:r>
          </w:p>
        </w:tc>
        <w:tc>
          <w:tcPr>
            <w:tcW w:w="1932" w:type="dxa"/>
            <w:tcBorders>
              <w:top w:val="single" w:sz="4" w:space="0" w:color="auto"/>
              <w:left w:val="nil"/>
              <w:bottom w:val="single" w:sz="4" w:space="0" w:color="auto"/>
              <w:right w:val="nil"/>
            </w:tcBorders>
            <w:vAlign w:val="center"/>
            <w:hideMark/>
          </w:tcPr>
          <w:p w14:paraId="13B97150" w14:textId="77777777" w:rsidR="0069564B" w:rsidRPr="00075389" w:rsidRDefault="0069564B" w:rsidP="00075389">
            <w:pPr>
              <w:spacing w:after="0" w:line="240" w:lineRule="auto"/>
              <w:jc w:val="center"/>
              <w:rPr>
                <w:rFonts w:cs="Times New Roman"/>
                <w:bCs/>
                <w:sz w:val="22"/>
              </w:rPr>
            </w:pPr>
            <w:r w:rsidRPr="00075389">
              <w:rPr>
                <w:rFonts w:cs="Times New Roman"/>
                <w:bCs/>
                <w:sz w:val="22"/>
                <w:lang w:val="en-IN"/>
              </w:rPr>
              <w:t xml:space="preserve">Plasma needle </w:t>
            </w:r>
            <w:r w:rsidRPr="00075389">
              <w:rPr>
                <w:rFonts w:cs="Times New Roman"/>
                <w:bCs/>
                <w:sz w:val="22"/>
              </w:rPr>
              <w:t>discharge</w:t>
            </w:r>
          </w:p>
        </w:tc>
        <w:tc>
          <w:tcPr>
            <w:tcW w:w="1559" w:type="dxa"/>
            <w:tcBorders>
              <w:top w:val="single" w:sz="4" w:space="0" w:color="auto"/>
              <w:left w:val="nil"/>
              <w:bottom w:val="single" w:sz="4" w:space="0" w:color="auto"/>
              <w:right w:val="nil"/>
            </w:tcBorders>
            <w:vAlign w:val="center"/>
          </w:tcPr>
          <w:p w14:paraId="4C3CC28F" w14:textId="77777777" w:rsidR="0069564B" w:rsidRPr="00075389" w:rsidRDefault="0069564B" w:rsidP="00075389">
            <w:pPr>
              <w:spacing w:after="0" w:line="240" w:lineRule="auto"/>
              <w:jc w:val="center"/>
              <w:rPr>
                <w:rFonts w:cs="Times New Roman"/>
                <w:bCs/>
                <w:sz w:val="22"/>
                <w:lang w:val="en-IN"/>
              </w:rPr>
            </w:pPr>
            <w:r w:rsidRPr="00075389">
              <w:rPr>
                <w:rFonts w:cs="Times New Roman"/>
                <w:bCs/>
                <w:sz w:val="22"/>
                <w:lang w:val="en-IN"/>
              </w:rPr>
              <w:t>Reactive Orange 16</w:t>
            </w:r>
          </w:p>
          <w:p w14:paraId="5200C024" w14:textId="77777777" w:rsidR="0069564B" w:rsidRPr="00075389" w:rsidRDefault="0069564B" w:rsidP="00075389">
            <w:pPr>
              <w:spacing w:after="0" w:line="240" w:lineRule="auto"/>
              <w:jc w:val="center"/>
              <w:rPr>
                <w:rFonts w:cs="Times New Roman"/>
                <w:bCs/>
                <w:sz w:val="22"/>
              </w:rPr>
            </w:pPr>
          </w:p>
        </w:tc>
        <w:tc>
          <w:tcPr>
            <w:tcW w:w="1108" w:type="dxa"/>
            <w:tcBorders>
              <w:top w:val="single" w:sz="4" w:space="0" w:color="auto"/>
              <w:left w:val="nil"/>
              <w:bottom w:val="single" w:sz="4" w:space="0" w:color="auto"/>
              <w:right w:val="nil"/>
            </w:tcBorders>
            <w:vAlign w:val="center"/>
            <w:hideMark/>
          </w:tcPr>
          <w:p w14:paraId="01D7F6E7"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50</w:t>
            </w:r>
          </w:p>
        </w:tc>
        <w:tc>
          <w:tcPr>
            <w:tcW w:w="811" w:type="dxa"/>
            <w:tcBorders>
              <w:top w:val="single" w:sz="4" w:space="0" w:color="auto"/>
              <w:left w:val="nil"/>
              <w:bottom w:val="single" w:sz="4" w:space="0" w:color="auto"/>
              <w:right w:val="nil"/>
            </w:tcBorders>
            <w:vAlign w:val="center"/>
            <w:hideMark/>
          </w:tcPr>
          <w:p w14:paraId="5527BCE1"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60</w:t>
            </w:r>
          </w:p>
        </w:tc>
        <w:tc>
          <w:tcPr>
            <w:tcW w:w="1257" w:type="dxa"/>
            <w:tcBorders>
              <w:top w:val="single" w:sz="4" w:space="0" w:color="auto"/>
              <w:left w:val="nil"/>
              <w:bottom w:val="single" w:sz="4" w:space="0" w:color="auto"/>
              <w:right w:val="nil"/>
            </w:tcBorders>
            <w:vAlign w:val="center"/>
            <w:hideMark/>
          </w:tcPr>
          <w:p w14:paraId="7085F016" w14:textId="77FCBD6B" w:rsidR="0069564B" w:rsidRPr="00075389" w:rsidRDefault="008F25A5" w:rsidP="00075389">
            <w:pPr>
              <w:spacing w:after="0" w:line="240" w:lineRule="auto"/>
              <w:jc w:val="center"/>
              <w:rPr>
                <w:rFonts w:cs="Times New Roman"/>
                <w:bCs/>
                <w:sz w:val="22"/>
              </w:rPr>
            </w:pPr>
            <w:r w:rsidRPr="00075389">
              <w:rPr>
                <w:rFonts w:cs="Times New Roman"/>
                <w:bCs/>
                <w:sz w:val="22"/>
              </w:rPr>
              <w:t>~</w:t>
            </w:r>
            <w:r w:rsidR="0069564B" w:rsidRPr="00075389">
              <w:rPr>
                <w:rFonts w:cs="Times New Roman"/>
                <w:bCs/>
                <w:sz w:val="22"/>
              </w:rPr>
              <w:t>100</w:t>
            </w:r>
          </w:p>
        </w:tc>
        <w:tc>
          <w:tcPr>
            <w:tcW w:w="1664" w:type="dxa"/>
            <w:tcBorders>
              <w:top w:val="single" w:sz="4" w:space="0" w:color="auto"/>
              <w:left w:val="nil"/>
              <w:bottom w:val="single" w:sz="4" w:space="0" w:color="auto"/>
              <w:right w:val="nil"/>
            </w:tcBorders>
            <w:vAlign w:val="center"/>
            <w:hideMark/>
          </w:tcPr>
          <w:p w14:paraId="5D585F7F" w14:textId="6F325068" w:rsidR="0069564B" w:rsidRPr="00075389" w:rsidRDefault="0069564B" w:rsidP="00075389">
            <w:pPr>
              <w:spacing w:after="0" w:line="240" w:lineRule="auto"/>
              <w:jc w:val="center"/>
              <w:rPr>
                <w:rFonts w:cs="Times New Roman"/>
                <w:bCs/>
                <w:sz w:val="22"/>
              </w:rPr>
            </w:pPr>
            <w:r w:rsidRPr="00075389">
              <w:rPr>
                <w:rFonts w:cs="Times New Roman"/>
                <w:bCs/>
                <w:sz w:val="22"/>
              </w:rPr>
              <w:fldChar w:fldCharType="begin" w:fldLock="1"/>
            </w:r>
            <w:r w:rsidR="008666F9">
              <w:rPr>
                <w:rFonts w:cs="Times New Roman"/>
                <w:bCs/>
                <w:sz w:val="22"/>
              </w:rPr>
              <w:instrText>ADDIN CSL_CITATION {"citationItems":[{"id":"ITEM-1","itemData":{"DOI":"10.1007/s12649-019-00928-y","ISBN":"0123456789","ISSN":"1877-2641","abstract":"Purpose: Every advanced oxidation process (AOP) has its limitations in water purification. Novel designs with simultaneous application of different AOPs can offer better solutions for cleaner water. Methods: We have comparatively studied two advanced oxidation processes (AOPs) on decolourisation of Reactive Orange 16 (RO 16) azo dye pollutant from water: gas plasma treatment by low power atmospheric pressure plasma using novel plasma needle configuration, and semiconductor heterogeneous photocatalysis using titanium dioxide (TiO2) nanopowders. Additionally, simultaneous application of two advanced oxidation processes on azo dye decolourisation was studied. Results: It was found that plasma treatment is very efficient system for the dye removal even for low flow rates (1 slm) of the Ar as feed gas. The presence of 10% of O2 in Ar flow intensified dye oxidation process and shortened required time for total decolourisation. When plasma and catalyst were simultaneously applied, TiO2 was activated with a few Watts plasma source as well as 300 W UV lamp source. The synergic effect of two AOPs was more pronounced for higher feed gas flow rates, resulting in improved decolourisation efficiency. Conclusion: Plasma needle can efficiently remove Reactive Orange 16 azo dye from water with a power consumption of only few Watts. With the addition of TiO2 the removal efficiency is significantly improved. Graphic Abstract: [Figure not available: see fulltext.]","author":[{"dropping-particle":"","family":"Mitrović","given":"Tatjana","non-dropping-particle":"","parse-names":false,"suffix":""},{"dropping-particle":"","family":"Tomić","given":"Nataša","non-dropping-particle":"","parse-names":false,"suffix":""},{"dropping-particle":"","family":"Djukić-Vuković","given":"Aleksandra","non-dropping-particle":"","parse-names":false,"suffix":""},{"dropping-particle":"","family":"Dohčević-Mitrović","given":"Zorana","non-dropping-particle":"","parse-names":false,"suffix":""},{"dropping-particle":"","family":"Lazović","given":"Saša","non-dropping-particle":"","parse-names":false,"suffix":""}],"container-title":"Waste and Biomass Valorization","id":"ITEM-1","issue":"0123456789","issued":{"date-parts":[["2020","1","8"]]},"title":"Atmospheric Plasma Supported by TiO2 Catalyst for Decolourisation of Reactive Orange 16 Dye in Water","type":"article-journal"},"uris":["http://www.mendeley.com/documents/?uuid=bdf12a6c-2ab7-40cc-9650-29af8c394cbd","http://www.mendeley.com/documents/?uuid=f00f5f12-7bd6-4974-9c69-4cc1243e253e"]}],"mendeley":{"formattedCitation":"(Mitrović et al., 2020)","plainTextFormattedCitation":"(Mitrović et al., 2020)","previouslyFormattedCitation":"(Mitrović et al., 2020)"},"properties":{"noteIndex":0},"schema":"https://github.com/citation-style-language/schema/raw/master/csl-citation.json"}</w:instrText>
            </w:r>
            <w:r w:rsidRPr="00075389">
              <w:rPr>
                <w:rFonts w:cs="Times New Roman"/>
                <w:bCs/>
                <w:sz w:val="22"/>
              </w:rPr>
              <w:fldChar w:fldCharType="separate"/>
            </w:r>
            <w:r w:rsidR="00FB6D8C" w:rsidRPr="00075389">
              <w:rPr>
                <w:rFonts w:cs="Times New Roman"/>
                <w:bCs/>
                <w:noProof/>
                <w:sz w:val="22"/>
              </w:rPr>
              <w:t>(Mitrović et al., 2020)</w:t>
            </w:r>
            <w:r w:rsidRPr="00075389">
              <w:rPr>
                <w:rFonts w:cs="Times New Roman"/>
                <w:bCs/>
                <w:sz w:val="22"/>
              </w:rPr>
              <w:fldChar w:fldCharType="end"/>
            </w:r>
          </w:p>
        </w:tc>
      </w:tr>
      <w:tr w:rsidR="0069564B" w:rsidRPr="00075389" w14:paraId="43DFBF02" w14:textId="77777777" w:rsidTr="00283129">
        <w:trPr>
          <w:trHeight w:val="317"/>
          <w:jc w:val="center"/>
        </w:trPr>
        <w:tc>
          <w:tcPr>
            <w:tcW w:w="1896" w:type="dxa"/>
            <w:tcBorders>
              <w:top w:val="single" w:sz="4" w:space="0" w:color="auto"/>
              <w:left w:val="nil"/>
              <w:bottom w:val="single" w:sz="4" w:space="0" w:color="auto"/>
              <w:right w:val="nil"/>
            </w:tcBorders>
            <w:vAlign w:val="center"/>
            <w:hideMark/>
          </w:tcPr>
          <w:p w14:paraId="1BF48E03"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Plasma/ N doped TiO</w:t>
            </w:r>
            <w:r w:rsidRPr="00075389">
              <w:rPr>
                <w:rFonts w:cs="Times New Roman"/>
                <w:bCs/>
                <w:sz w:val="22"/>
                <w:vertAlign w:val="subscript"/>
              </w:rPr>
              <w:t>2</w:t>
            </w:r>
          </w:p>
        </w:tc>
        <w:tc>
          <w:tcPr>
            <w:tcW w:w="1932" w:type="dxa"/>
            <w:tcBorders>
              <w:top w:val="single" w:sz="4" w:space="0" w:color="auto"/>
              <w:left w:val="nil"/>
              <w:bottom w:val="single" w:sz="4" w:space="0" w:color="auto"/>
              <w:right w:val="nil"/>
            </w:tcBorders>
            <w:vAlign w:val="center"/>
            <w:hideMark/>
          </w:tcPr>
          <w:p w14:paraId="0FF8BAEC" w14:textId="77777777" w:rsidR="0069564B" w:rsidRPr="00075389" w:rsidRDefault="0069564B" w:rsidP="00075389">
            <w:pPr>
              <w:spacing w:after="0" w:line="240" w:lineRule="auto"/>
              <w:jc w:val="center"/>
              <w:rPr>
                <w:rFonts w:cs="Times New Roman"/>
                <w:bCs/>
                <w:sz w:val="22"/>
                <w:lang w:val="en-IN"/>
              </w:rPr>
            </w:pPr>
            <w:r w:rsidRPr="00075389">
              <w:rPr>
                <w:rFonts w:cs="Times New Roman"/>
                <w:bCs/>
                <w:sz w:val="22"/>
                <w:lang w:val="en-IN"/>
              </w:rPr>
              <w:t>Ambient plasma discharge</w:t>
            </w:r>
          </w:p>
        </w:tc>
        <w:tc>
          <w:tcPr>
            <w:tcW w:w="1559" w:type="dxa"/>
            <w:tcBorders>
              <w:top w:val="single" w:sz="4" w:space="0" w:color="auto"/>
              <w:left w:val="nil"/>
              <w:bottom w:val="single" w:sz="4" w:space="0" w:color="auto"/>
              <w:right w:val="nil"/>
            </w:tcBorders>
            <w:vAlign w:val="center"/>
            <w:hideMark/>
          </w:tcPr>
          <w:p w14:paraId="54279B31" w14:textId="77777777" w:rsidR="0069564B" w:rsidRPr="00075389" w:rsidRDefault="0069564B" w:rsidP="00075389">
            <w:pPr>
              <w:spacing w:after="0" w:line="240" w:lineRule="auto"/>
              <w:jc w:val="center"/>
              <w:rPr>
                <w:rFonts w:cs="Times New Roman"/>
                <w:bCs/>
                <w:sz w:val="22"/>
                <w:lang w:val="en-IN"/>
              </w:rPr>
            </w:pPr>
            <w:r w:rsidRPr="00075389">
              <w:rPr>
                <w:rFonts w:cs="Times New Roman"/>
                <w:bCs/>
                <w:sz w:val="22"/>
                <w:lang w:val="en-IN"/>
              </w:rPr>
              <w:t>Methyl blue</w:t>
            </w:r>
          </w:p>
        </w:tc>
        <w:tc>
          <w:tcPr>
            <w:tcW w:w="1108" w:type="dxa"/>
            <w:tcBorders>
              <w:top w:val="single" w:sz="4" w:space="0" w:color="auto"/>
              <w:left w:val="nil"/>
              <w:bottom w:val="single" w:sz="4" w:space="0" w:color="auto"/>
              <w:right w:val="nil"/>
            </w:tcBorders>
            <w:vAlign w:val="center"/>
            <w:hideMark/>
          </w:tcPr>
          <w:p w14:paraId="0E798E21" w14:textId="77777777" w:rsidR="0069564B" w:rsidRPr="00075389" w:rsidRDefault="0069564B" w:rsidP="00075389">
            <w:pPr>
              <w:spacing w:after="0" w:line="240" w:lineRule="auto"/>
              <w:jc w:val="center"/>
              <w:rPr>
                <w:rFonts w:cs="Times New Roman"/>
                <w:bCs/>
                <w:sz w:val="22"/>
              </w:rPr>
            </w:pPr>
            <w:r w:rsidRPr="00075389">
              <w:rPr>
                <w:rFonts w:cs="Times New Roman"/>
                <w:bCs/>
                <w:sz w:val="22"/>
                <w:lang w:val="en-IN"/>
              </w:rPr>
              <w:t>128</w:t>
            </w:r>
          </w:p>
        </w:tc>
        <w:tc>
          <w:tcPr>
            <w:tcW w:w="811" w:type="dxa"/>
            <w:tcBorders>
              <w:top w:val="single" w:sz="4" w:space="0" w:color="auto"/>
              <w:left w:val="nil"/>
              <w:bottom w:val="single" w:sz="4" w:space="0" w:color="auto"/>
              <w:right w:val="nil"/>
            </w:tcBorders>
            <w:vAlign w:val="center"/>
            <w:hideMark/>
          </w:tcPr>
          <w:p w14:paraId="684E4DF8"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60</w:t>
            </w:r>
          </w:p>
        </w:tc>
        <w:tc>
          <w:tcPr>
            <w:tcW w:w="1257" w:type="dxa"/>
            <w:tcBorders>
              <w:top w:val="single" w:sz="4" w:space="0" w:color="auto"/>
              <w:left w:val="nil"/>
              <w:bottom w:val="single" w:sz="4" w:space="0" w:color="auto"/>
              <w:right w:val="nil"/>
            </w:tcBorders>
            <w:vAlign w:val="center"/>
            <w:hideMark/>
          </w:tcPr>
          <w:p w14:paraId="1F1215F6" w14:textId="11E116AA" w:rsidR="0069564B" w:rsidRPr="00075389" w:rsidRDefault="008F25A5" w:rsidP="00075389">
            <w:pPr>
              <w:spacing w:after="0" w:line="240" w:lineRule="auto"/>
              <w:jc w:val="center"/>
              <w:rPr>
                <w:rFonts w:cs="Times New Roman"/>
                <w:bCs/>
                <w:sz w:val="22"/>
              </w:rPr>
            </w:pPr>
            <w:r w:rsidRPr="00075389">
              <w:rPr>
                <w:rFonts w:cs="Times New Roman"/>
                <w:bCs/>
                <w:sz w:val="22"/>
              </w:rPr>
              <w:t>~</w:t>
            </w:r>
            <w:r w:rsidR="0069564B" w:rsidRPr="00075389">
              <w:rPr>
                <w:rFonts w:cs="Times New Roman"/>
                <w:bCs/>
                <w:sz w:val="22"/>
              </w:rPr>
              <w:t>100</w:t>
            </w:r>
          </w:p>
        </w:tc>
        <w:tc>
          <w:tcPr>
            <w:tcW w:w="1664" w:type="dxa"/>
            <w:tcBorders>
              <w:top w:val="single" w:sz="4" w:space="0" w:color="auto"/>
              <w:left w:val="nil"/>
              <w:bottom w:val="single" w:sz="4" w:space="0" w:color="auto"/>
              <w:right w:val="nil"/>
            </w:tcBorders>
            <w:vAlign w:val="center"/>
            <w:hideMark/>
          </w:tcPr>
          <w:p w14:paraId="13E1434E" w14:textId="66122B59" w:rsidR="0069564B" w:rsidRPr="00075389" w:rsidRDefault="0069564B" w:rsidP="00075389">
            <w:pPr>
              <w:spacing w:after="0" w:line="240" w:lineRule="auto"/>
              <w:jc w:val="center"/>
              <w:rPr>
                <w:rFonts w:cs="Times New Roman"/>
                <w:bCs/>
                <w:sz w:val="22"/>
              </w:rPr>
            </w:pPr>
            <w:r w:rsidRPr="00075389">
              <w:rPr>
                <w:rFonts w:cs="Times New Roman"/>
                <w:bCs/>
                <w:sz w:val="22"/>
              </w:rPr>
              <w:fldChar w:fldCharType="begin" w:fldLock="1"/>
            </w:r>
            <w:r w:rsidR="008666F9">
              <w:rPr>
                <w:rFonts w:cs="Times New Roman"/>
                <w:bCs/>
                <w:sz w:val="22"/>
              </w:rPr>
              <w:instrText>ADDIN CSL_CITATION {"citationItems":[{"id":"ITEM-1","itemData":{"DOI":"10.1016/j.cplett.2020.137234","ISSN":"00092614","abstract":"Nitrogen doped titanium dioxide (TiO2) was prepared by the hydrothermal method and modified by air plasma for photocatalysis. The bandgap of TiO2 reduced from 3.1 eV to 2.7 eV, and the photocurrent response was enhanced by 3.6 times compared to pure TiO2. The photocatalytic activity was tested by degrading methyl blue (MB) under the ultraviolet irradiation, showing that the rate constant increased from 0.009 to 0.031 min−1 after the plasma treatment. The enhanced photocatalytic activity was attributed to the nitrogen doping as well as the ambient plasma treatment, changing the electronic structure, active surface area, and crystallite size of TiO2.","author":[{"dropping-particle":"","family":"Ibukun","given":"Olaniyan","non-dropping-particle":"","parse-names":false,"suffix":""},{"dropping-particle":"","family":"Jeong","given":"Hae Kyung","non-dropping-particle":"","parse-names":false,"suffix":""}],"container-title":"Chemical Physics Letters","id":"ITEM-1","issued":{"date-parts":[["2020","4"]]},"page":"137234","title":"Enhancement of photocatalytic activities of nitrogen-doped titanium dioxide by ambient plasma","type":"article-journal","volume":"744"},"uris":["http://www.mendeley.com/documents/?uuid=0d4f8f11-89dc-49f9-852f-3c93f4c6feb3","http://www.mendeley.com/documents/?uuid=c633fd11-0f88-4b74-beb0-3fa38740f38c"]}],"mendeley":{"formattedCitation":"(Ibukun and Jeong, 2020)","plainTextFormattedCitation":"(Ibukun and Jeong, 2020)","previouslyFormattedCitation":"(Ibukun and Jeong, 2020)"},"properties":{"noteIndex":0},"schema":"https://github.com/citation-style-language/schema/raw/master/csl-citation.json"}</w:instrText>
            </w:r>
            <w:r w:rsidRPr="00075389">
              <w:rPr>
                <w:rFonts w:cs="Times New Roman"/>
                <w:bCs/>
                <w:sz w:val="22"/>
              </w:rPr>
              <w:fldChar w:fldCharType="separate"/>
            </w:r>
            <w:r w:rsidR="00FB6D8C" w:rsidRPr="00075389">
              <w:rPr>
                <w:rFonts w:cs="Times New Roman"/>
                <w:bCs/>
                <w:noProof/>
                <w:sz w:val="22"/>
              </w:rPr>
              <w:t>(Ibukun and Jeong, 2020)</w:t>
            </w:r>
            <w:r w:rsidRPr="00075389">
              <w:rPr>
                <w:rFonts w:cs="Times New Roman"/>
                <w:bCs/>
                <w:sz w:val="22"/>
              </w:rPr>
              <w:fldChar w:fldCharType="end"/>
            </w:r>
          </w:p>
        </w:tc>
      </w:tr>
      <w:tr w:rsidR="0069564B" w:rsidRPr="00075389" w14:paraId="226748D3" w14:textId="77777777" w:rsidTr="00283129">
        <w:trPr>
          <w:trHeight w:val="665"/>
          <w:jc w:val="center"/>
        </w:trPr>
        <w:tc>
          <w:tcPr>
            <w:tcW w:w="1896" w:type="dxa"/>
            <w:tcBorders>
              <w:top w:val="single" w:sz="4" w:space="0" w:color="auto"/>
              <w:left w:val="nil"/>
              <w:bottom w:val="single" w:sz="4" w:space="0" w:color="auto"/>
              <w:right w:val="nil"/>
            </w:tcBorders>
            <w:vAlign w:val="center"/>
            <w:hideMark/>
          </w:tcPr>
          <w:p w14:paraId="79AF87FD"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Plasma-AOP</w:t>
            </w:r>
          </w:p>
        </w:tc>
        <w:tc>
          <w:tcPr>
            <w:tcW w:w="1932" w:type="dxa"/>
            <w:tcBorders>
              <w:top w:val="single" w:sz="4" w:space="0" w:color="auto"/>
              <w:left w:val="nil"/>
              <w:bottom w:val="single" w:sz="4" w:space="0" w:color="auto"/>
              <w:right w:val="nil"/>
            </w:tcBorders>
            <w:vAlign w:val="center"/>
            <w:hideMark/>
          </w:tcPr>
          <w:p w14:paraId="5E00F410" w14:textId="77777777" w:rsidR="0069564B" w:rsidRPr="00075389" w:rsidRDefault="0069564B" w:rsidP="00075389">
            <w:pPr>
              <w:spacing w:after="0" w:line="240" w:lineRule="auto"/>
              <w:jc w:val="center"/>
              <w:rPr>
                <w:rFonts w:cs="Times New Roman"/>
                <w:bCs/>
                <w:sz w:val="22"/>
                <w:lang w:val="en-IN"/>
              </w:rPr>
            </w:pPr>
            <w:r w:rsidRPr="00075389">
              <w:rPr>
                <w:rFonts w:cs="Times New Roman"/>
                <w:bCs/>
                <w:sz w:val="22"/>
                <w:lang w:val="en-IN"/>
              </w:rPr>
              <w:t>Atmospheric pressure plasma jet</w:t>
            </w:r>
          </w:p>
        </w:tc>
        <w:tc>
          <w:tcPr>
            <w:tcW w:w="1559" w:type="dxa"/>
            <w:tcBorders>
              <w:top w:val="single" w:sz="4" w:space="0" w:color="auto"/>
              <w:left w:val="nil"/>
              <w:bottom w:val="single" w:sz="4" w:space="0" w:color="auto"/>
              <w:right w:val="nil"/>
            </w:tcBorders>
            <w:vAlign w:val="center"/>
            <w:hideMark/>
          </w:tcPr>
          <w:p w14:paraId="659FED17" w14:textId="77777777" w:rsidR="0069564B" w:rsidRPr="00075389" w:rsidRDefault="0069564B" w:rsidP="00075389">
            <w:pPr>
              <w:spacing w:after="0" w:line="240" w:lineRule="auto"/>
              <w:jc w:val="center"/>
              <w:rPr>
                <w:rFonts w:cs="Times New Roman"/>
                <w:bCs/>
                <w:sz w:val="22"/>
                <w:lang w:val="en-IN"/>
              </w:rPr>
            </w:pPr>
            <w:r w:rsidRPr="00075389">
              <w:rPr>
                <w:rFonts w:cs="Times New Roman"/>
                <w:bCs/>
                <w:sz w:val="22"/>
                <w:lang w:val="en-IN"/>
              </w:rPr>
              <w:t>Telmisartan</w:t>
            </w:r>
          </w:p>
        </w:tc>
        <w:tc>
          <w:tcPr>
            <w:tcW w:w="1108" w:type="dxa"/>
            <w:tcBorders>
              <w:top w:val="single" w:sz="4" w:space="0" w:color="auto"/>
              <w:left w:val="nil"/>
              <w:bottom w:val="single" w:sz="4" w:space="0" w:color="auto"/>
              <w:right w:val="nil"/>
            </w:tcBorders>
            <w:vAlign w:val="center"/>
            <w:hideMark/>
          </w:tcPr>
          <w:p w14:paraId="43577F0B" w14:textId="77777777" w:rsidR="0069564B" w:rsidRPr="00075389" w:rsidRDefault="0069564B" w:rsidP="00075389">
            <w:pPr>
              <w:spacing w:after="0" w:line="240" w:lineRule="auto"/>
              <w:jc w:val="center"/>
              <w:rPr>
                <w:rFonts w:cs="Times New Roman"/>
                <w:bCs/>
                <w:sz w:val="22"/>
                <w:lang w:val="en-IN"/>
              </w:rPr>
            </w:pPr>
            <w:r w:rsidRPr="00075389">
              <w:rPr>
                <w:rFonts w:cs="Times New Roman"/>
                <w:bCs/>
                <w:sz w:val="22"/>
                <w:lang w:val="en-IN"/>
              </w:rPr>
              <w:t>51.5</w:t>
            </w:r>
          </w:p>
        </w:tc>
        <w:tc>
          <w:tcPr>
            <w:tcW w:w="811" w:type="dxa"/>
            <w:tcBorders>
              <w:top w:val="single" w:sz="4" w:space="0" w:color="auto"/>
              <w:left w:val="nil"/>
              <w:bottom w:val="single" w:sz="4" w:space="0" w:color="auto"/>
              <w:right w:val="nil"/>
            </w:tcBorders>
            <w:vAlign w:val="center"/>
            <w:hideMark/>
          </w:tcPr>
          <w:p w14:paraId="0EB1B439"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20</w:t>
            </w:r>
          </w:p>
        </w:tc>
        <w:tc>
          <w:tcPr>
            <w:tcW w:w="1257" w:type="dxa"/>
            <w:tcBorders>
              <w:top w:val="single" w:sz="4" w:space="0" w:color="auto"/>
              <w:left w:val="nil"/>
              <w:bottom w:val="single" w:sz="4" w:space="0" w:color="auto"/>
              <w:right w:val="nil"/>
            </w:tcBorders>
            <w:vAlign w:val="center"/>
            <w:hideMark/>
          </w:tcPr>
          <w:p w14:paraId="525B9F69" w14:textId="77777777" w:rsidR="0069564B" w:rsidRPr="00075389" w:rsidRDefault="0069564B" w:rsidP="00075389">
            <w:pPr>
              <w:spacing w:after="0" w:line="240" w:lineRule="auto"/>
              <w:jc w:val="center"/>
              <w:rPr>
                <w:rFonts w:cs="Times New Roman"/>
                <w:bCs/>
                <w:sz w:val="22"/>
              </w:rPr>
            </w:pPr>
            <w:r w:rsidRPr="00075389">
              <w:rPr>
                <w:rFonts w:cs="Times New Roman"/>
                <w:bCs/>
                <w:sz w:val="22"/>
              </w:rPr>
              <w:t>63</w:t>
            </w:r>
          </w:p>
        </w:tc>
        <w:tc>
          <w:tcPr>
            <w:tcW w:w="1664" w:type="dxa"/>
            <w:tcBorders>
              <w:top w:val="single" w:sz="4" w:space="0" w:color="auto"/>
              <w:left w:val="nil"/>
              <w:bottom w:val="single" w:sz="4" w:space="0" w:color="auto"/>
              <w:right w:val="nil"/>
            </w:tcBorders>
            <w:vAlign w:val="center"/>
            <w:hideMark/>
          </w:tcPr>
          <w:p w14:paraId="1FFF5B89" w14:textId="6732C4A1" w:rsidR="0069564B" w:rsidRPr="00075389" w:rsidRDefault="0069564B" w:rsidP="00075389">
            <w:pPr>
              <w:spacing w:after="0" w:line="240" w:lineRule="auto"/>
              <w:jc w:val="center"/>
              <w:rPr>
                <w:rFonts w:cs="Times New Roman"/>
                <w:bCs/>
                <w:sz w:val="22"/>
              </w:rPr>
            </w:pPr>
            <w:r w:rsidRPr="00075389">
              <w:rPr>
                <w:rFonts w:cs="Times New Roman"/>
                <w:bCs/>
                <w:sz w:val="22"/>
              </w:rPr>
              <w:fldChar w:fldCharType="begin" w:fldLock="1"/>
            </w:r>
            <w:r w:rsidR="008666F9">
              <w:rPr>
                <w:rFonts w:cs="Times New Roman"/>
                <w:bCs/>
                <w:sz w:val="22"/>
              </w:rPr>
              <w:instrText>ADDIN CSL_CITATION {"citationItems":[{"id":"ITEM-1","itemData":{"DOI":"10.34256/famr1919","ISSN":"2582-2195","abstract":"In this study we investigate the degradation of telmisartan (Telma-H) in simulated aqueous solution using non-thermal atmospheric pressure plasma jet (APPJ). Aqueous solution containing Telma-H was treated with APPJ as a function of applied potential and reaction time. The degradation of Telma-H was investigated by means of UV-Visible spectroscopy. Optical emission spectra (OES) of the plasma jet was used to identify the reactive species that contributed to degrade Telma H compounds. The variation of pH and conductivity of the plasma treated Telma H aqueous solution was also measured.","author":[{"dropping-particle":"","family":"D","given":"Vasu","non-dropping-particle":"","parse-names":false,"suffix":""},{"dropping-particle":"","family":"A","given":"Raji","non-dropping-particle":"","parse-names":false,"suffix":""},{"dropping-particle":"","family":"K.N","given":"Pandiyaraj","non-dropping-particle":"","parse-names":false,"suffix":""},{"dropping-particle":"","family":"P.V.A","given":"Padmanabhan","non-dropping-particle":"","parse-names":false,"suffix":""},{"dropping-particle":"","family":"V","given":"Kandhavelu","non-dropping-particle":"","parse-names":false,"suffix":""}],"container-title":"Frontiers in Advanced Materials Research","id":"ITEM-1","issue":"1","issued":{"date-parts":[["2019","5","30"]]},"page":"46-52","title":"Degradation of telmisartan (TELMA-H) compounds in aqueous solution using non-thermal atmospheric pressure plasma jet","type":"article-journal","volume":"1"},"uris":["http://www.mendeley.com/documents/?uuid=f30a8e2c-5934-4251-815f-2deb80055088","http://www.mendeley.com/documents/?uuid=3dd47608-4392-47c8-b0eb-8ce71675e0be"]}],"mendeley":{"formattedCitation":"(D et al., 2019)","manualFormatting":"(Vasua et al., 2019)","plainTextFormattedCitation":"(D et al., 2019)","previouslyFormattedCitation":"(D et al., 2019)"},"properties":{"noteIndex":0},"schema":"https://github.com/citation-style-language/schema/raw/master/csl-citation.json"}</w:instrText>
            </w:r>
            <w:r w:rsidRPr="00075389">
              <w:rPr>
                <w:rFonts w:cs="Times New Roman"/>
                <w:bCs/>
                <w:sz w:val="22"/>
              </w:rPr>
              <w:fldChar w:fldCharType="separate"/>
            </w:r>
            <w:r w:rsidRPr="00075389">
              <w:rPr>
                <w:rFonts w:cs="Times New Roman"/>
                <w:bCs/>
                <w:noProof/>
                <w:sz w:val="22"/>
              </w:rPr>
              <w:t>(Vasua et al., 2019)</w:t>
            </w:r>
            <w:r w:rsidRPr="00075389">
              <w:rPr>
                <w:rFonts w:cs="Times New Roman"/>
                <w:bCs/>
                <w:sz w:val="22"/>
              </w:rPr>
              <w:fldChar w:fldCharType="end"/>
            </w:r>
          </w:p>
        </w:tc>
      </w:tr>
    </w:tbl>
    <w:p w14:paraId="6FE8EAF8" w14:textId="77777777" w:rsidR="0069564B" w:rsidRDefault="0069564B">
      <w:pPr>
        <w:rPr>
          <w:b/>
          <w:bCs/>
        </w:rPr>
      </w:pPr>
    </w:p>
    <w:p w14:paraId="20A0DA22" w14:textId="77777777" w:rsidR="0038343B" w:rsidRDefault="0038343B">
      <w:pPr>
        <w:rPr>
          <w:b/>
          <w:bCs/>
        </w:rPr>
      </w:pPr>
    </w:p>
    <w:p w14:paraId="55DD03AC" w14:textId="77777777" w:rsidR="0038343B" w:rsidRDefault="0038343B">
      <w:pPr>
        <w:rPr>
          <w:b/>
          <w:bCs/>
        </w:rPr>
      </w:pPr>
    </w:p>
    <w:p w14:paraId="1AE2B59A" w14:textId="77777777" w:rsidR="0038343B" w:rsidRDefault="0038343B">
      <w:pPr>
        <w:rPr>
          <w:b/>
          <w:bCs/>
        </w:rPr>
      </w:pPr>
    </w:p>
    <w:p w14:paraId="065D9FCD" w14:textId="77777777" w:rsidR="0038343B" w:rsidRDefault="0038343B">
      <w:pPr>
        <w:rPr>
          <w:b/>
          <w:bCs/>
        </w:rPr>
      </w:pPr>
    </w:p>
    <w:p w14:paraId="50C8408E" w14:textId="77777777" w:rsidR="0038343B" w:rsidRDefault="0038343B">
      <w:pPr>
        <w:rPr>
          <w:b/>
          <w:bCs/>
        </w:rPr>
      </w:pPr>
    </w:p>
    <w:p w14:paraId="2D61738F" w14:textId="77777777" w:rsidR="0038343B" w:rsidRDefault="0038343B">
      <w:pPr>
        <w:rPr>
          <w:b/>
          <w:bCs/>
        </w:rPr>
      </w:pPr>
    </w:p>
    <w:p w14:paraId="0E9B04FA" w14:textId="77777777" w:rsidR="0038343B" w:rsidRDefault="0038343B">
      <w:pPr>
        <w:rPr>
          <w:b/>
          <w:bCs/>
        </w:rPr>
      </w:pPr>
    </w:p>
    <w:p w14:paraId="6748E14F" w14:textId="39D63204" w:rsidR="0082702C" w:rsidRDefault="0038343B" w:rsidP="0038343B">
      <w:pPr>
        <w:spacing w:after="160" w:line="480" w:lineRule="auto"/>
        <w:jc w:val="left"/>
        <w:rPr>
          <w:b/>
          <w:bCs/>
        </w:rPr>
      </w:pPr>
      <w:r>
        <w:rPr>
          <w:b/>
          <w:bCs/>
        </w:rPr>
        <w:br w:type="page"/>
      </w:r>
      <w:r w:rsidR="006A1E67" w:rsidRPr="006A1E67">
        <w:rPr>
          <w:b/>
          <w:bCs/>
        </w:rPr>
        <w:lastRenderedPageBreak/>
        <w:t>References</w:t>
      </w:r>
    </w:p>
    <w:p w14:paraId="26B605A1" w14:textId="719848A3" w:rsidR="006D3323" w:rsidRPr="006D3323" w:rsidRDefault="006A1E67" w:rsidP="006D3323">
      <w:pPr>
        <w:widowControl w:val="0"/>
        <w:autoSpaceDE w:val="0"/>
        <w:autoSpaceDN w:val="0"/>
        <w:adjustRightInd w:val="0"/>
        <w:spacing w:after="0"/>
        <w:ind w:left="480" w:hanging="480"/>
        <w:rPr>
          <w:rFonts w:cs="Times New Roman"/>
          <w:noProof/>
          <w:szCs w:val="24"/>
        </w:rPr>
      </w:pPr>
      <w:r w:rsidRPr="000D50CC">
        <w:rPr>
          <w:rFonts w:cs="Times New Roman"/>
          <w:szCs w:val="24"/>
        </w:rPr>
        <w:fldChar w:fldCharType="begin" w:fldLock="1"/>
      </w:r>
      <w:r w:rsidRPr="000D50CC">
        <w:rPr>
          <w:rFonts w:cs="Times New Roman"/>
          <w:szCs w:val="24"/>
        </w:rPr>
        <w:instrText xml:space="preserve">ADDIN Mendeley Bibliography CSL_BIBLIOGRAPHY </w:instrText>
      </w:r>
      <w:r w:rsidRPr="000D50CC">
        <w:rPr>
          <w:rFonts w:cs="Times New Roman"/>
          <w:szCs w:val="24"/>
        </w:rPr>
        <w:fldChar w:fldCharType="separate"/>
      </w:r>
      <w:r w:rsidR="006D3323" w:rsidRPr="006D3323">
        <w:rPr>
          <w:rFonts w:cs="Times New Roman"/>
          <w:noProof/>
          <w:szCs w:val="24"/>
        </w:rPr>
        <w:t>Ahmad, A., Priyadarshini, M., Das, S., Ghangrekar, M.M., 2021a. Electrocoagulation as an efficacious technology for the treatment of wastewater containing active pharmaceutical compounds: a review. Sep. Sci. Technol. 1–23. https://doi.org/10.1080/01496395.2021.1972011</w:t>
      </w:r>
    </w:p>
    <w:p w14:paraId="3002B3A7" w14:textId="685F6A38"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Ahmad, A., Priyadarshini, M., Das, S., Ghangrekar, M.M., 2021b. Proclaiming </w:t>
      </w:r>
      <w:r w:rsidR="00F17CBA" w:rsidRPr="006D3323">
        <w:rPr>
          <w:rFonts w:cs="Times New Roman"/>
          <w:noProof/>
          <w:szCs w:val="24"/>
        </w:rPr>
        <w:t>electrochemical oxidation as a potent technology for the treatment of wastewater containing xenobiotic compounds: a mini review.</w:t>
      </w:r>
      <w:r w:rsidRPr="006D3323">
        <w:rPr>
          <w:rFonts w:cs="Times New Roman"/>
          <w:noProof/>
          <w:szCs w:val="24"/>
        </w:rPr>
        <w:t xml:space="preserve"> J. Hazardous, Toxic, Radioact. Waste 25, 1–13. https://doi.org/10.1061/(asce)hz.2153-5515.0000616</w:t>
      </w:r>
    </w:p>
    <w:p w14:paraId="72B2D00D"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Arshad, R., Bokhari, T.H., Khosa, K.K., Bhatti, I.A., Munir, M., Iqbal, Mazhar, Iqbal, D.N., Khan, M.I., Iqbal, Munawar, Nazir, A., 2020. Gamma radiation induced degradation of anthraquinone Reactive Blue-19 dye using hydrogen peroxide as oxidizing agent. Radiat. Phys. Chem. 168, 108637. https://doi.org/10.1016/j.radphyschem.2019.108637</w:t>
      </w:r>
    </w:p>
    <w:p w14:paraId="50E48060"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Arvaniti, O.S., Frontistis, Z., Nika, M.C., Aalizadeh, R., Thomaidis, N.S., Mantzavinos, D., 2020. Sonochemical degradation of trimethoprim in water matrices: Effect of operating conditions, identification of transformation products and toxicity assessment. Ultrason. Sonochem. 67, 105139. https://doi.org/10.1016/j.ultsonch.2020.105139</w:t>
      </w:r>
    </w:p>
    <w:p w14:paraId="691DD43D"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Babuponnusami, A., Muthukumar, K., 2014. A review on Fenton and improvements to the Fenton process for wastewater treatment. J. Environ. Chem. Eng. 2, 557–572. https://doi.org/10.1016/j.jece.2013.10.011</w:t>
      </w:r>
    </w:p>
    <w:p w14:paraId="3864218B"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Badellino, C., Rodrigues, C.A., Bertazzoli, R., 2006. Oxidation of pesticides by in situ electrogenerated hydrogen peroxide: Study for the degradation of 2,4-dichlorophenoxyacetic acid. J. Hazard. Mater. 137, 856–864. https://doi.org/10.1016/j.jhazmat.2006.03.035</w:t>
      </w:r>
    </w:p>
    <w:p w14:paraId="7467B539"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Bagal, M. V., Gogate, P.R., 2013. Degradation of 2,4-dinitrophenol using a combination of hydrodynamic cavitation, chemical and advanced oxidation processes. Ultrason. Sonochem. 20, 1226–1235. https://doi.org/10.1016/j.ultsonch.2013.02.004</w:t>
      </w:r>
    </w:p>
    <w:p w14:paraId="49A042D8"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Barik, A.J., Gogate, P.R., 2018. Hybrid treatment strategies for 2,4,6-trichlorophenol degradation based on combination of hydrodynamic cavitation and AOPs. Ultrason. Sonochem. 40, 383–394. https://doi.org/10.1016/j.ultsonch.2017.07.029</w:t>
      </w:r>
    </w:p>
    <w:p w14:paraId="24312B1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Basfar, A.A., Muneer, M., Alsager, O.A., 2017. Degradation and detoxification of 2-chlorophenol </w:t>
      </w:r>
      <w:r w:rsidRPr="006D3323">
        <w:rPr>
          <w:rFonts w:cs="Times New Roman"/>
          <w:noProof/>
          <w:szCs w:val="24"/>
        </w:rPr>
        <w:lastRenderedPageBreak/>
        <w:t>aqueous solutions using ionizing gamma radiation. Nukleonika 62, 61–68. https://doi.org/10.1515/nuka-2017-0008</w:t>
      </w:r>
    </w:p>
    <w:p w14:paraId="0D4FDECA"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Boye, B., Morième Dieng, M., Brillas, E., 2003. Anodic oxidation, electro-Fenton and photoelectro-Fenton treatments of 2,4,5-trichlorophenoxyacetic acid. J. Electroanal. Chem. 557, 135–146. https://doi.org/10.1016/S0022-0728(03)00366-8</w:t>
      </w:r>
    </w:p>
    <w:p w14:paraId="4C22AA66"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Brillas, E., Calpe, J.C., Casado, J., 2000. Mineralization of 2,4-D by advanced electrochemical oxidation processes. Water Res. 34, 2253–2262. https://doi.org/10.1016/S0043-1354(99)00396-6</w:t>
      </w:r>
    </w:p>
    <w:p w14:paraId="68EFDBAD"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Brillas, E., Martínez-Huitle, C.A., 2015. Decontamination of wastewaters containing synthetic organic dyes by electrochemical methods. An updated review. Appl. Catal. B Environ. 166–167, 603–643. https://doi.org/10.1016/j.apcatb.2014.11.016</w:t>
      </w:r>
    </w:p>
    <w:p w14:paraId="54CB66C5"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Brillas, E., Sirés, I., 2015. Electrochemical removal of pharmaceuticals from water streams: Reactivity elucidation by mass spectrometry. TrAC - Trends Anal. Chem. 70, 112–121. https://doi.org/10.1016/j.trac.2015.01.013</w:t>
      </w:r>
    </w:p>
    <w:p w14:paraId="1A327520"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Brillas, E., Sirés, I., Arias, C., Cabot, P.L., Centellas, F., Rodríguez, R.M., Garrido, J.A., 2005. Mineralization of paracetamol in aqueous medium by anodic oxidation with a boron-doped diamond electrode. Chemosphere 58, 399–406. https://doi.org/10.1016/j.chemosphere.2004.09.028</w:t>
      </w:r>
    </w:p>
    <w:p w14:paraId="1CC41323"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Cai, C., Duan, X., Xie, X., Kang, S., Liao, C., Dong, J., Liu, Y., Xiang, S., Dionysiou, D.D., 2021. Efficient degradation of clofibric acid by heterogeneous catalytic ozonation using CoFe</w:t>
      </w:r>
      <w:r w:rsidRPr="00F17CBA">
        <w:rPr>
          <w:rFonts w:cs="Times New Roman"/>
          <w:noProof/>
          <w:szCs w:val="24"/>
          <w:vertAlign w:val="subscript"/>
        </w:rPr>
        <w:t>2</w:t>
      </w:r>
      <w:r w:rsidRPr="006D3323">
        <w:rPr>
          <w:rFonts w:cs="Times New Roman"/>
          <w:noProof/>
          <w:szCs w:val="24"/>
        </w:rPr>
        <w:t>O</w:t>
      </w:r>
      <w:r w:rsidRPr="00F17CBA">
        <w:rPr>
          <w:rFonts w:cs="Times New Roman"/>
          <w:noProof/>
          <w:szCs w:val="24"/>
          <w:vertAlign w:val="subscript"/>
        </w:rPr>
        <w:t>4</w:t>
      </w:r>
      <w:r w:rsidRPr="006D3323">
        <w:rPr>
          <w:rFonts w:cs="Times New Roman"/>
          <w:noProof/>
          <w:szCs w:val="24"/>
        </w:rPr>
        <w:t xml:space="preserve"> catalyst in water. J. Hazard. Mater. 410, 124604. https://doi.org/10.1016/j.jhazmat.2020.124604</w:t>
      </w:r>
    </w:p>
    <w:p w14:paraId="291ED645"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Cañzares, P., García-Gómez, J., Sáez, C., Rodrigo, M.A., 2003. Electrochemical oxidation of several chlorophenols on diamond electrodes - Part I. Reaction mechanism. J. Appl. Electrochem. 33, 917–927. https://doi.org/10.1023/A:1025888126686</w:t>
      </w:r>
    </w:p>
    <w:p w14:paraId="1F0EE385"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Čehovin, M., Medic, A., Scheideler, J., Mielcke, J., Ried, A., Kompare, B., Žgajnar Gotvajn, A., 2017. Hydrodynamic cavitation in combination with the ozone, hydrogen peroxide and the UV-based advanced oxidation processes for the removal of natural organic matter from drinking water. Ultrason. Sonochem. 37, 394–404. https://doi.org/10.1016/j.ultsonch.2017.01.036</w:t>
      </w:r>
    </w:p>
    <w:p w14:paraId="193B1F9D"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Changotra, R., Guin, J.P., Varshney, L., Dhir, A., 2018. Assessment of reaction intermediates of </w:t>
      </w:r>
      <w:r w:rsidRPr="006D3323">
        <w:rPr>
          <w:rFonts w:cs="Times New Roman"/>
          <w:noProof/>
          <w:szCs w:val="24"/>
        </w:rPr>
        <w:lastRenderedPageBreak/>
        <w:t>gamma radiation-induced degradation of ofloxacin in aqueous solution. Chemosphere 208, 606–613. https://doi.org/10.1016/j.chemosphere.2018.06.003</w:t>
      </w:r>
    </w:p>
    <w:p w14:paraId="0C3889A7"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Chen, H., Zhang, Z., Hu, D., Chen, C., Zhang, Y., He, S., Wang, J., 2021. Catalytic ozonation of norfloxacin using Co</w:t>
      </w:r>
      <w:r w:rsidRPr="00F17CBA">
        <w:rPr>
          <w:rFonts w:cs="Times New Roman"/>
          <w:noProof/>
          <w:szCs w:val="24"/>
          <w:vertAlign w:val="subscript"/>
        </w:rPr>
        <w:t>3</w:t>
      </w:r>
      <w:r w:rsidRPr="006D3323">
        <w:rPr>
          <w:rFonts w:cs="Times New Roman"/>
          <w:noProof/>
          <w:szCs w:val="24"/>
        </w:rPr>
        <w:t>O</w:t>
      </w:r>
      <w:r w:rsidRPr="00F17CBA">
        <w:rPr>
          <w:rFonts w:cs="Times New Roman"/>
          <w:noProof/>
          <w:szCs w:val="24"/>
          <w:vertAlign w:val="subscript"/>
        </w:rPr>
        <w:t>4</w:t>
      </w:r>
      <w:r w:rsidRPr="006D3323">
        <w:rPr>
          <w:rFonts w:cs="Times New Roman"/>
          <w:noProof/>
          <w:szCs w:val="24"/>
        </w:rPr>
        <w:t>/C composite derived from ZIF-67 as catalyst. Chemosphere 265. https://doi.org/10.1016/j.chemosphere.2020.129047</w:t>
      </w:r>
    </w:p>
    <w:p w14:paraId="7005874F"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Choi, J., Cui, M., Lee, Y., Kim, J., Son, Y., Lim, J., Ma, J., Khim, J., 2020. Application of persulfate with hydrodynamic cavitation and ferrous in the decomposition of pentachlorophenol. Ultrason. Sonochem. 66, 105106. https://doi.org/10.1016/j.ultsonch.2020.105106</w:t>
      </w:r>
    </w:p>
    <w:p w14:paraId="1F24D205"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Choi, J., Cui, M., Lee, Y., Ma, J., Kim, J., Son, Y., Khim, J., 2019. Hybrid reactor based on hydrodynamic cavitation, ozonation, and persulfate oxidation for oxalic acid decomposition during rare-earth extraction processes. Ultrason. Sonochem. 52, 326–335. https://doi.org/10.1016/j.ultsonch.2018.12.004</w:t>
      </w:r>
    </w:p>
    <w:p w14:paraId="6299C814"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Cuerda-Correa, E.M., Alexandre-Franco, M.F., Fernández-González, C., 2020. Advanced oxidation processes for the removal of antibiotics from water. An overview. Water (Switzerland). https://doi.org/10.3390/w12010102</w:t>
      </w:r>
    </w:p>
    <w:p w14:paraId="409DA54C"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D, V., A, R., K.N, P., P.V.A, P., V, K., 2019. Degradation of telmisartan (TELMA-H) compounds in aqueous solution using non-thermal atmospheric pressure plasma jet. Front. Adv. Mater. Res. 1, 46–52. https://doi.org/10.34256/famr1919</w:t>
      </w:r>
    </w:p>
    <w:p w14:paraId="7ADB1C03"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Della-Flora, A., Wilde, M.L., Thue, P.S., Lima, D., Lima, E.C., Sirtori, C., 2020. Combination of solar photo-Fenton and adsorption process for removal of the anticancer drug Flutamide and its transformation products from hospital wastewater. J. Hazard. Mater. 396, 122699. https://doi.org/10.1016/j.jhazmat.2020.122699</w:t>
      </w:r>
    </w:p>
    <w:p w14:paraId="42CEA343"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Deng, Y., Zhao, R., 2015. Advanced Oxidation Processes (AOPs) in Wastewater Treatment. Curr. Pollut. Reports 1, 167–176. https://doi.org/10.1007/s40726-015-0015-z</w:t>
      </w:r>
    </w:p>
    <w:p w14:paraId="0C5A2B1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Dewil, R., Mantzavinos, D., Poulios, I., Rodrigo, M.A., 2017. New perspectives for Advanced Oxidation Processes. J. Environ. Manage. 195, 93–99. https://doi.org/10.1016/j.jenvman.2017.04.010</w:t>
      </w:r>
    </w:p>
    <w:p w14:paraId="7A32E9F6"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Djeffal, L., Abderrahmane, S., Benzina, M., Fourmentin, M., Siffert, S., Fourmentin, S., 2014. Efficient degradation of phenol using natural clay as heterogeneous Fenton-like catalyst. Environ. Sci. Pollut. Res. 21, 3331–3338. https://doi.org/10.1007/s11356-013-2278-5</w:t>
      </w:r>
    </w:p>
    <w:p w14:paraId="0E468AD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lastRenderedPageBreak/>
        <w:t>Fast, S.A., Gude, V.G., Truax, D.D., Martin, J., Magbanua, B.S., 2017. A Critical Evaluation of Advanced Oxidation Processes for Emerging Contaminants Removal. Environ. Process. 4, 283–302. https://doi.org/10.1007/s40710-017-0207-1</w:t>
      </w:r>
    </w:p>
    <w:p w14:paraId="43481E8F"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Figueredo, M.A., Rodríguez, E.M., Checa, M., Beltran, F.J., 2019. Ozone-Based Advanced Oxidation Processes for Primidone Removal in Water using Simulated Solar Radiation and TiO2 or WO3 as Photocatalyst. Molecules 24, 1728. https://doi.org/10.3390/molecules24091728</w:t>
      </w:r>
    </w:p>
    <w:p w14:paraId="40C93B5A"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Flox, C., Ammar, S., Arias, C., Brillas, E., Vargas-Zavala, A.V., Abdelhedi, R., 2006. Electro-Fenton and photoelectro-Fenton degradation of indigo carmine in acidic aqueous medium. Appl. Catal. B Environ. 67, 93–104. https://doi.org/10.1016/j.apcatb.2006.04.020</w:t>
      </w:r>
    </w:p>
    <w:p w14:paraId="02F6B8A7"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Garcia-Segura, S., Ocon, J.D., Chong, M.N., 2018. Electrochemical oxidation remediation of real wastewater effluents — A review. Process Saf. Environ. Prot. 113, 48–67. https://doi.org/10.1016/j.psep.2017.09.014</w:t>
      </w:r>
    </w:p>
    <w:p w14:paraId="4E1680AF"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Giwa, A., Yusuf, A., Balogun, H.A., Sambudi, N.S., Bilad, M.R., Adeyemi, I., Chakraborty, S., Curcio, S., 2021. Recent advances in advanced oxidation processes for removal of contaminants from water: A comprehensive review. Process Saf. Environ. Prot. 146, 220–256. https://doi.org/10.1016/j.psep.2020.08.015</w:t>
      </w:r>
    </w:p>
    <w:p w14:paraId="5053A53F"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Gong, Y., Li, J., Zhang, Y., Zhang, M., Tian, X., Wang, A., 2016. Partial degradation of levofloxacin for biodegradability improvement by electro-Fenton process using an activated carbon fiber felt cathode. J. Hazard. Mater. 304, 320–328. https://doi.org/10.1016/j.jhazmat.2015.10.064</w:t>
      </w:r>
    </w:p>
    <w:p w14:paraId="33F75367"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Gonzalez-Olmos, R., Martin, M.J., Georgi, A., Kopinke, F.D., Oller, I., Malato, S., 2012. Fe-zeolites as heterogeneous catalysts in solar Fenton-like reactions at neutral pH. Appl. Catal. B Environ. 125, 51–58. https://doi.org/10.1016/j.apcatb.2012.05.022</w:t>
      </w:r>
    </w:p>
    <w:p w14:paraId="32477760"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Guo, Y., Zhao, E., Wang, J., Zhang, X., Huang, H., Yu, G., Wang, Y., 2020. Comparison of emerging contaminant abatement by conventional ozonation, catalytic ozonation, O3/H2O2 and electro-peroxone processes. J. Hazard. Mater. 389, 121829. https://doi.org/10.1016/j.jhazmat.2019.121829</w:t>
      </w:r>
    </w:p>
    <w:p w14:paraId="7ABB795C"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Haddou, N., Ghezzar, M.R., Abdelmalek, F., Ognier, S., Martel, M., Addou, A., 2014. Plasmacatalytic removal of lead acetate assisted by precipitation. Chemosphere. https://doi.org/10.1016/j.chemosphere.2013.12.071</w:t>
      </w:r>
    </w:p>
    <w:p w14:paraId="052BB650"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lastRenderedPageBreak/>
        <w:t>Hashemi, M., Sagharlo, N.G., 2020. Optimization and evaluation of the efficiency of sono-Fenton and photo-Fenton processes in the removal of 2 , 4 , 6 trinitrotoluene ( TNT ) from aqueous solutions. J. Adv. Env. Heal. Res 8, 38–45. https://doi.org/10.22102/jaehr.2020.196050.1139</w:t>
      </w:r>
    </w:p>
    <w:p w14:paraId="78FDC026"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Hayati, F., Isari, A.A., Anvaripour, B., Fattahi, M., Kakavandi, B., 2020. Ultrasound-assisted photocatalytic degradation of sulfadiazine using MgO@CNT heterojunction composite: Effective factors, pathway and biodegradability studies. Chem. Eng. J. 381, 122636. https://doi.org/10.1016/j.cej.2019.122636</w:t>
      </w:r>
    </w:p>
    <w:p w14:paraId="39C16EA3"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Hoigne, J., Bader, H., 1975. Ozonation of Water: Role of Hydroxyl Radicals as Oxidizing Intermediates. Science (80-. ). 190, 782–784. https://doi.org/10.1126/science.190.4216.782</w:t>
      </w:r>
    </w:p>
    <w:p w14:paraId="4CBE2E5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Hu, J., Bian, X., Xia, Y., Weng, M., Zhou, W., Dai, Q., 2020. Application of response surface methodology in electrochemical degradation of amoxicillin with Cu-PbO</w:t>
      </w:r>
      <w:r w:rsidRPr="00F17CBA">
        <w:rPr>
          <w:rFonts w:cs="Times New Roman"/>
          <w:noProof/>
          <w:szCs w:val="24"/>
          <w:vertAlign w:val="subscript"/>
        </w:rPr>
        <w:t>2</w:t>
      </w:r>
      <w:r w:rsidRPr="006D3323">
        <w:rPr>
          <w:rFonts w:cs="Times New Roman"/>
          <w:noProof/>
          <w:szCs w:val="24"/>
        </w:rPr>
        <w:t xml:space="preserve"> electrode: Optimization and mechanism. Sep. Purif. Technol. 250, 117109. https://doi.org/10.1016/j.seppur.2020.117109</w:t>
      </w:r>
    </w:p>
    <w:p w14:paraId="3705AD1B"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Ibukun, O., Jeong, H.K., 2020. Enhancement of photocatalytic activities of nitrogen-doped titanium dioxide by ambient plasma. Chem. Phys. Lett. 744, 137234. https://doi.org/10.1016/j.cplett.2020.137234</w:t>
      </w:r>
    </w:p>
    <w:p w14:paraId="6FCEC04B"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Iqbal, M., Bhatti, I.A., 2015. Gamma radiation/H2O2 treatment of a nonylphenol ethoxylates: Degradation, cytotoxicity, and mutagenicity evaluation. J. Hazard. Mater. 299, 351–360. https://doi.org/10.1016/j.jhazmat.2015.06.045</w:t>
      </w:r>
    </w:p>
    <w:p w14:paraId="69B3F52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Jiang, L., Zhang, L., Chen, J., Ji, H., 2013. Degradation of 17β-estradiol in aqueous solution by ozonation in the presence of manganese(II) and oxalic acid. Environ. Technol. (United Kingdom) 34, 131–138. https://doi.org/10.1080/09593330.2012.689358</w:t>
      </w:r>
    </w:p>
    <w:p w14:paraId="37CFE4C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Jiang, W.L., Xia, X., Han, J.L., Ding, Y.C., Haider, M.R., Wang, A.J., 2018. Graphene Modified Electro-Fenton Catalytic Membrane for in Situ Degradation of Antibiotic Florfenicol. Environ. Sci. Technol. 52, 9972–9982. https://doi.org/10.1021/acs.est.8b01894</w:t>
      </w:r>
    </w:p>
    <w:p w14:paraId="3D89894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Keykavoos, R., Mankidy, R., Ma, H., Jones, P., Soltan, J., 2013. Mineralization of bisphenol A by catalytic ozonation over alumina. Sep. Purif. Technol. 107, 310–317. https://doi.org/10.1016/j.seppur.2013.01.050</w:t>
      </w:r>
    </w:p>
    <w:p w14:paraId="60654056"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Khan, J.A., Sayed, M., Khan, S., Shah, N.S., Dionysiou, D.D., Boczkaj, G., 2020. Advanced oxidation processes for the treatment of contaminants of emerging concern, in: Contaminants of Emerging Concern in Water and Wastewater. Elsevier, pp. 299–365. </w:t>
      </w:r>
      <w:r w:rsidRPr="006D3323">
        <w:rPr>
          <w:rFonts w:cs="Times New Roman"/>
          <w:noProof/>
          <w:szCs w:val="24"/>
        </w:rPr>
        <w:lastRenderedPageBreak/>
        <w:t>https://doi.org/10.1016/B978-0-12-813561-7.00009-2</w:t>
      </w:r>
    </w:p>
    <w:p w14:paraId="27621CA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Khare, P., Patel, R.K., Sharan, S., Shankar, R., 2021. Recent trends in advanced oxidation process for treatment of recalcitrant industrial effluents. Adv. Oxid. Process. Effl. Treat. Plants 137–160. https://doi.org/10.1016/b978-0-12-821011-6.00008-6</w:t>
      </w:r>
    </w:p>
    <w:p w14:paraId="79F109DA"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Kornienko, G. V., Chaenko, N. V., Maksimov, N.G., Kornienko, V.L., Varnin, V.P., 2011. Electrochemical oxidation of phenol on boron-doped diamond electrode. Russ. J. Electrochem. 47, 225–229. https://doi.org/10.1134/S102319351102011X</w:t>
      </w:r>
    </w:p>
    <w:p w14:paraId="2F13E755"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Krishnan, R.Y., Manikandan, S., Subbaiya, R., Biruntha, M., Govarthanan, M., Karmegam, N., 2021. Removal of emerging micropollutants originating from pharmaceuticals and personal care products (PPCPs) in water and wastewater by advanced oxidation processes: A review. Environ. Technol. Innov. 23, 101757. https://doi.org/10.1016/j.eti.2021.101757</w:t>
      </w:r>
    </w:p>
    <w:p w14:paraId="299E7A87"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Kurt, U., Apaydin, O., Gonullu, M.T., 2007. Reduction of COD in wastewater from an organized tannery industrial region by Electro-Fenton process. J. Hazard. Mater. 143, 33–40. https://doi.org/10.1016/j.jhazmat.2006.08.065</w:t>
      </w:r>
    </w:p>
    <w:p w14:paraId="3FCF4DE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Li, G., Yi, L., Wang, J., Song, Y., 2020. Hydrodynamic cavitation degradation of Rhodamine B assisted by Fe3+-doped TiO2: Mechanisms, geometric and operation parameters. Ultrason. Sonochem. 60, 104806. https://doi.org/10.1016/j.ultsonch.2019.104806</w:t>
      </w:r>
    </w:p>
    <w:p w14:paraId="0EED88D8"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Li, H., Lei, H., Yu, Q., Li, Z., Feng, X., Yang, B., 2010. Effect of low frequency ultrasonic irradiation on the sonoelectro-Fenton degradation of cationic red X-GRL. Chem. Eng. J. 160, 417–422. https://doi.org/10.1016/j.cej.2010.03.027</w:t>
      </w:r>
    </w:p>
    <w:p w14:paraId="49A770BA"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Li, X., Chen, W., Tang, Y., Li, L., 2018. Relationship between the structure of Fe-MCM-48 and its activity in catalytic ozonation for diclofenac mineralization. Chemosphere 206, 615–621. https://doi.org/10.1016/j.chemosphere.2018.05.066</w:t>
      </w:r>
    </w:p>
    <w:p w14:paraId="379C7A7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Liang, J., Komarov, S., Hayashi, N., Kasai, E., 2007. Improvement in sonochemical degradation of 4-chlorophenol by combined use of Fenton-like reagents. Ultrason. Sonochem. 14, 201–207. https://doi.org/10.1016/j.ultsonch.2006.05.002</w:t>
      </w:r>
    </w:p>
    <w:p w14:paraId="09141555"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Liang, L., Yu, F., An, Y., Liu, M., Zhou, M., 2017. Preparation of transition metal composite graphite felt cathode for efficient heterogeneous electro-Fenton process. Environ. Sci. Pollut. Res. 24, 1122–1132. https://doi.org/10.1007/s11356-016-7389-3</w:t>
      </w:r>
    </w:p>
    <w:p w14:paraId="62832462"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Lin, N., Gong, Y., Wang, R., Wang, Y., Zhang, X., 2022. Critical review of perovskite-based materials in advanced oxidation system for wastewater treatment: Design, applications and </w:t>
      </w:r>
      <w:r w:rsidRPr="006D3323">
        <w:rPr>
          <w:rFonts w:cs="Times New Roman"/>
          <w:noProof/>
          <w:szCs w:val="24"/>
        </w:rPr>
        <w:lastRenderedPageBreak/>
        <w:t>mechanisms. J. Hazard. Mater. 424, 127637. https://doi.org/10.1016/j.jhazmat.2021.127637</w:t>
      </w:r>
    </w:p>
    <w:p w14:paraId="5C17C0E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Liu, Y.-J., Hu, C.-Y., Lo, S.-L., 2019. Direct and indirect electrochemical oxidation of amine-containing pharmaceuticals using graphite electrodes. J. Hazard. Mater. 366, 592–605. https://doi.org/10.1016/j.jhazmat.2018.12.037</w:t>
      </w:r>
    </w:p>
    <w:p w14:paraId="164F6C8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Lv, Y., Huang, S., Huang, G., Liu, Y., Yang, G., Lin, C., Xiao, G., Wang, Y., Liu, M., 2020. Remediation of organic arsenic contaminants with heterogeneous Fenton process mediated by SiO2-coated nano zero-valent iron. Environ. Sci. Pollut. Res. 27, 12017–12029. https://doi.org/10.1007/s11356-020-07808-2</w:t>
      </w:r>
    </w:p>
    <w:p w14:paraId="00043DE2"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Magureanu, M., Piroi, D., Mandache, N.B., David, V., Medvedovici, A., Parvulescu, V.I., 2010. Degradation of pharmaceutical compound pentoxifylline in water by non-thermal plasma treatment. Water Res. 44, 3445–3453. https://doi.org/10.1016/j.watres.2010.03.020</w:t>
      </w:r>
    </w:p>
    <w:p w14:paraId="3DC6C6B7"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Mahyar, A., Miessner, H., Mueller, S., Kalass, D., Piechotta, T., Moeller, D., 2016. Non-thermal Plasma Assisted Destruction of Persistent Organic Contaminants in Water - A New Approach Using a Planar Falling Film Reactor. Int. J. Plasma Environ. Sci. Technol. 10, 151–156.</w:t>
      </w:r>
    </w:p>
    <w:p w14:paraId="0DC23C7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Martínez-Huitle, C.A., Quiroz, M.A., Comninellis, C., Ferro, S., De Battisti, A., 2004. Electrochemical incineration of chloranilic acid using Ti/IrO</w:t>
      </w:r>
      <w:r w:rsidRPr="00F17CBA">
        <w:rPr>
          <w:rFonts w:cs="Times New Roman"/>
          <w:noProof/>
          <w:szCs w:val="24"/>
          <w:vertAlign w:val="subscript"/>
        </w:rPr>
        <w:t>2</w:t>
      </w:r>
      <w:r w:rsidRPr="006D3323">
        <w:rPr>
          <w:rFonts w:cs="Times New Roman"/>
          <w:noProof/>
          <w:szCs w:val="24"/>
        </w:rPr>
        <w:t>, Pb/PbO</w:t>
      </w:r>
      <w:r w:rsidRPr="00F17CBA">
        <w:rPr>
          <w:rFonts w:cs="Times New Roman"/>
          <w:noProof/>
          <w:szCs w:val="24"/>
          <w:vertAlign w:val="subscript"/>
        </w:rPr>
        <w:t>2</w:t>
      </w:r>
      <w:r w:rsidRPr="006D3323">
        <w:rPr>
          <w:rFonts w:cs="Times New Roman"/>
          <w:noProof/>
          <w:szCs w:val="24"/>
        </w:rPr>
        <w:t xml:space="preserve"> and Si/BDD electrodes. Electrochim. Acta 50, 949–956. https://doi.org/10.1016/j.electacta.2004.07.035</w:t>
      </w:r>
    </w:p>
    <w:p w14:paraId="6F975F39"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Melo, J.M.O., Duarte, J.L.S., Ferro, A.B., Meili, L., Zanta, C.L.P.S., 2020. Comparing Electrochemical and Fenton-Based Processes for Aquaculture Biocide Degradation. Water, Air, Soil Pollut. 231, 79. https://doi.org/10.1007/s11270-020-4454-9</w:t>
      </w:r>
    </w:p>
    <w:p w14:paraId="1D2D096B"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Meroni, D., Jiménez-Salcedo, M., Falletta, E., Bresolin, B.M., Kait, C.F., Boffito, D.C., Bianchi, C.L., Pirola, C., 2020. Sonophotocatalytic degradation of sodium diclofenac using low power ultrasound and micro sized TiO2. Ultrason. Sonochem. 67, 105123. https://doi.org/10.1016/j.ultsonch.2020.105123</w:t>
      </w:r>
    </w:p>
    <w:p w14:paraId="63CEFD26"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Mitrović, T., Tomić, N., Djukić-Vuković, A., Dohčević-Mitrović, Z., Lazović, S., 2020. Atmospheric Plasma Supported by TiO2 Catalyst for Decolourisation of Reactive Orange 16 Dye in Water. Waste and Biomass Valorization. https://doi.org/10.1007/s12649-019-00928-y</w:t>
      </w:r>
    </w:p>
    <w:p w14:paraId="16D28C40"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Montoya-Rodríguez, D.M., Serna-Galvis, E.A., Ferraro, F., Torres-Palma, R.A., 2020. Degradation of the emerging concern pollutant ampicillin in aqueous media by sonochemical advanced oxidation processes - Parameters effect, removal of antimicrobial activity and </w:t>
      </w:r>
      <w:r w:rsidRPr="006D3323">
        <w:rPr>
          <w:rFonts w:cs="Times New Roman"/>
          <w:noProof/>
          <w:szCs w:val="24"/>
        </w:rPr>
        <w:lastRenderedPageBreak/>
        <w:t>pollutant treatment in hydrolyzed urine. J. Environ. Manage. 261, 110224. https://doi.org/10.1016/j.jenvman.2020.110224</w:t>
      </w:r>
    </w:p>
    <w:p w14:paraId="265B26E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Mora-Gomez, J., Ortega, E., Mestre, S., Pérez-Herranz, V., García-Gabaldón, M., 2019. Electrochemical degradation of norfloxacin using BDD and new Sb-doped SnO</w:t>
      </w:r>
      <w:r w:rsidRPr="00F17CBA">
        <w:rPr>
          <w:rFonts w:cs="Times New Roman"/>
          <w:noProof/>
          <w:szCs w:val="24"/>
          <w:vertAlign w:val="subscript"/>
        </w:rPr>
        <w:t>2</w:t>
      </w:r>
      <w:r w:rsidRPr="006D3323">
        <w:rPr>
          <w:rFonts w:cs="Times New Roman"/>
          <w:noProof/>
          <w:szCs w:val="24"/>
        </w:rPr>
        <w:t xml:space="preserve"> ceramic anodes in an electrochemical reactor in the presence and absence of a cation-exchange membrane. Sep. Purif. Technol. 208, 68–75. https://doi.org/10.1016/j.seppur.2018.05.017</w:t>
      </w:r>
    </w:p>
    <w:p w14:paraId="11EF3EFD"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Nidheesh, P. V., Gandhimathi, R., Velmathi, S., Sanjini, N.S., 2014. Magnetite as a heterogeneous electro Fenton catalyst for the removal of Rhodamine B from aqueous solution. RSC Adv. 4, 5698–5708. https://doi.org/10.1039/c3ra46969g</w:t>
      </w:r>
    </w:p>
    <w:p w14:paraId="22501AB2"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Oliveira, H.S., Almeida, L.D., De Freitas, V.A.A., Moura, F.C.C., Souza, P.P., Oliveira, L.C.A., 2015. Nb-doped hematite: Highly active catalyst for the oxidation of organic dyes in water. Catal. Today 240, 176–181. https://doi.org/10.1016/j.cattod.2014.07.016</w:t>
      </w:r>
    </w:p>
    <w:p w14:paraId="761CEDA3"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Oturan, M.A., 2000. Ecologically effective water treatment technique using electrochemically generated hydroxyl radicals for in situ destruction of organic pollutants: Application to herbicide 2,4-D. J. Appl. Electrochem. 30, 475–482. https://doi.org/10.1023/A:1003994428571</w:t>
      </w:r>
    </w:p>
    <w:p w14:paraId="4ED57149"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Oturan, M.A., Aaron, J.J., 2014. Advanced oxidation processes in water/wastewater treatment: Principles and applications. A review. Crit. Rev. Environ. Sci. Technol. https://doi.org/10.1080/10643389.2013.829765</w:t>
      </w:r>
    </w:p>
    <w:p w14:paraId="6D67ED16"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Oturan, M.A., Brillas, E., 2007. Electrochemical Advanced Oxidation Processes (EAOPs) for Environmental Applications. Port. Electrochim. Acta 25, 1–18. https://doi.org/10.4152/pea.200701001</w:t>
      </w:r>
    </w:p>
    <w:p w14:paraId="46FF5097"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Oturan, M.A., Sirés, I., Oturan, N., Pérocheau, S., Laborde, J.-L., Trévin, S., 2008. Sonoelectro-Fenton process: A novel hybrid technique for the destruction of organic pollutants in water. J. Electroanal. Chem. 624, 329–332. https://doi.org/10.1016/j.jelechem.2008.08.005</w:t>
      </w:r>
    </w:p>
    <w:p w14:paraId="4BC38466"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Ouiriemmi, I., Karrab, A., Oturan, N., Pazos, M., Rozales, E., Gadri, A., Sanromán, M.Á., Ammar, S., Oturan, M.A., 2017. Heterogeneous electro-Fenton using natural pyrite as solid catalyst for oxidative degradation of vanillic acid. J. Electroanal. Chem. 797, 69–77. https://doi.org/10.1016/j.jelechem.2017.05.028</w:t>
      </w:r>
    </w:p>
    <w:p w14:paraId="26BB2B33"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Pan, G., Sun, X., Sun, Z., 2020. Fabrication of multi-walled carbon nanotubes and carbon black co-modified graphite felt cathode for amoxicillin removal by electrochemical advanced </w:t>
      </w:r>
      <w:r w:rsidRPr="006D3323">
        <w:rPr>
          <w:rFonts w:cs="Times New Roman"/>
          <w:noProof/>
          <w:szCs w:val="24"/>
        </w:rPr>
        <w:lastRenderedPageBreak/>
        <w:t>oxidation processes under mild pH condition. Environ. Sci. Pollut. Res. 27, 8231–8247. https://doi.org/10.1007/s11356-019-07358-2</w:t>
      </w:r>
    </w:p>
    <w:p w14:paraId="75751DD0"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Panda, D., Manickam, S., 2019. Hydrodynamic cavitation assisted degradation of persistent endocrine-disrupting organochlorine pesticide Dicofol: Optimization of operating parameters and investigations on the mechanism of intensification. Ultrason. Sonochem. 51, 526–532. https://doi.org/10.1016/j.ultsonch.2018.04.003</w:t>
      </w:r>
    </w:p>
    <w:p w14:paraId="2905B00C"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Panda, D., Sethu, V., Manickam, S., 2020. Removal of hexabromocyclododecane using ultrasound-based advanced oxidation process: Kinetics, pathways and influencing factors. Environ. Technol. Innov. 17, 100605. https://doi.org/10.1016/j.eti.2020.100605</w:t>
      </w:r>
    </w:p>
    <w:p w14:paraId="5A3F7D05"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Pimentel, M., Oturan, N., Dezotti, M., Oturan, M.A., 2008. Phenol degradation by advanced electrochemical oxidation process electro-Fenton using a carbon felt cathode. Appl. Catal. B Environ. 83, 140–149. https://doi.org/10.1016/j.apcatb.2008.02.011</w:t>
      </w:r>
    </w:p>
    <w:p w14:paraId="50AC1FA7"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Poulopoulos, S.G., Nikolaki, M., Karampetsos, D., Philippopoulos, C.J., 2008. Photochemical treatment of 2-chlorophenol aqueous solutions using ultraviolet radiation, hydrogen peroxide and photo-Fenton reaction. J. Hazard. Mater. 153, 582–587. https://doi.org/10.1016/j.jhazmat.2007.09.002</w:t>
      </w:r>
    </w:p>
    <w:p w14:paraId="764726A7"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Poyatos, J.M., Muñio, M.M., Almecija, M.C., Torres, J.C., Hontoria, E., Osorio, F., 2010. Advanced oxidation processes for wastewater treatment: State of the art. Water. Air. Soil Pollut. 205, 187–204. https://doi.org/10.1007/s11270-009-0065-1</w:t>
      </w:r>
    </w:p>
    <w:p w14:paraId="22A2BE78"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Rahim Pouran, S., Abdul Aziz, A.R., Wan Daud, W.M.A., 2015. Review on the main advances in photo-Fenton oxidation system for recalcitrant wastewaters. J. Ind. Eng. Chem. 21, 53–69. https://doi.org/10.1016/j.jiec.2014.05.005</w:t>
      </w:r>
    </w:p>
    <w:p w14:paraId="5871C75A"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Rayaroth, M.P., Aravindakumar, C.T., Shah, N.S., Boczkaj, G., 2022. Advanced oxidation processes (AOPs) based wastewater treatment - unexpected nitration side reactions - a serious environmental issue: A review. Chem. Eng. J. 430, 133002. https://doi.org/10.1016/j.cej.2021.133002</w:t>
      </w:r>
    </w:p>
    <w:p w14:paraId="1FF9A5A8"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Reddy, P.M.K., Subrahmanyam, C., 2012. Green approach for wastewater treatment-degradation and mineralization of aqueous organic pollutants by discharge plasma. Ind. Eng. Chem. Res. 51, 11097–11103. https://doi.org/10.1021/ie301122p</w:t>
      </w:r>
    </w:p>
    <w:p w14:paraId="4754EF54"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Ridruejo, C., Centellas, F., Cabot, P.L., Sirés, I., Brillas, E., 2018. Electrochemical Fenton-based treatment of tetracaine in synthetic and urban wastewater using active and non-active anodes. </w:t>
      </w:r>
      <w:r w:rsidRPr="006D3323">
        <w:rPr>
          <w:rFonts w:cs="Times New Roman"/>
          <w:noProof/>
          <w:szCs w:val="24"/>
        </w:rPr>
        <w:lastRenderedPageBreak/>
        <w:t>Water Res. 128, 71–81. https://doi.org/10.1016/j.watres.2017.10.048</w:t>
      </w:r>
    </w:p>
    <w:p w14:paraId="206E466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Rivas-Ortiz, I.B., Cruz-González, G., Lastre-Acosta, A.M., Manduca-Artiles, M., Rapado-Paneque, M., Chávez-Ardanza, A., Teixeira, A.C.S.C., Jáuregui-Haza, U.J., 2017. Optimization of radiolytic degradation of sulfadiazine by combining Fenton and gamma irradiation processes. J. Radioanal. Nucl. Chem. 314, 2597–2607. https://doi.org/10.1007/s10967-017-5629-8</w:t>
      </w:r>
    </w:p>
    <w:p w14:paraId="4190A66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Salimi, M., Esrafili, A., Gholami, M., Jafari, A.J., Kalantary, R.R., Farzadkia, M., Kermani, M., Sobhi, H.R., 2017. Contaminants of emerging concern: a review of new approach in AOP technologies. Environ. Monit. Assess. 189, 414. https://doi.org/10.1007/s10661-017-6097-x</w:t>
      </w:r>
    </w:p>
    <w:p w14:paraId="654D93D7"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Salmerón, I., Oller, I., Malato, S., 2020. Electro-oxidation process assisted by solar energy for the treatment of wastewater with high salinity. Sci. Total Environ. 705, 135831. https://doi.org/10.1016/j.scitotenv.2019.135831</w:t>
      </w:r>
    </w:p>
    <w:p w14:paraId="6C2D7CB0"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Scialdone, O., Galia, A., Randazzo, S., 2011. Oxidation of carboxylic acids in water at IrO</w:t>
      </w:r>
      <w:r w:rsidRPr="00F17CBA">
        <w:rPr>
          <w:rFonts w:cs="Times New Roman"/>
          <w:noProof/>
          <w:szCs w:val="24"/>
          <w:vertAlign w:val="subscript"/>
        </w:rPr>
        <w:t>2</w:t>
      </w:r>
      <w:r w:rsidRPr="006D3323">
        <w:rPr>
          <w:rFonts w:cs="Times New Roman"/>
          <w:noProof/>
          <w:szCs w:val="24"/>
        </w:rPr>
        <w:t>–Ta</w:t>
      </w:r>
      <w:r w:rsidRPr="00F17CBA">
        <w:rPr>
          <w:rFonts w:cs="Times New Roman"/>
          <w:noProof/>
          <w:szCs w:val="24"/>
          <w:vertAlign w:val="subscript"/>
        </w:rPr>
        <w:t>2</w:t>
      </w:r>
      <w:r w:rsidRPr="006D3323">
        <w:rPr>
          <w:rFonts w:cs="Times New Roman"/>
          <w:noProof/>
          <w:szCs w:val="24"/>
        </w:rPr>
        <w:t>O</w:t>
      </w:r>
      <w:r w:rsidRPr="00F17CBA">
        <w:rPr>
          <w:rFonts w:cs="Times New Roman"/>
          <w:noProof/>
          <w:szCs w:val="24"/>
          <w:vertAlign w:val="subscript"/>
        </w:rPr>
        <w:t>5</w:t>
      </w:r>
      <w:r w:rsidRPr="006D3323">
        <w:rPr>
          <w:rFonts w:cs="Times New Roman"/>
          <w:noProof/>
          <w:szCs w:val="24"/>
        </w:rPr>
        <w:t xml:space="preserve"> and boron doped diamond anodes. Chem. Eng. J. 174, 266–274. https://doi.org/10.1016/j.cej.2011.09.016</w:t>
      </w:r>
    </w:p>
    <w:p w14:paraId="2815671F"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Senthil Kumar, P., Siva Kumar, M., Pandit, A.., 2000. Experimental quantification of chemical effects of hydrodynamic cavitation. Chem. Eng. Sci. 55, 1633–1639. https://doi.org/10.1016/S0009-2509(99)00435-2</w:t>
      </w:r>
    </w:p>
    <w:p w14:paraId="5821DB6A"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Shokri, A., 2018. Application of Sono–photo-Fenton process for degradation of phenol derivatives in petrochemical wastewater using full factorial design of experiment. Int. J. Ind. Chem. 9, 295–303. https://doi.org/10.1007/s40090-018-0159-y</w:t>
      </w:r>
    </w:p>
    <w:p w14:paraId="25EB5278"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Sirés, I., Brillas, E., Oturan, M.A., Rodrigo, M.A., Panizza, M., 2014. Electrochemical advanced oxidation processes: Today and tomorrow. A review. Environ. Sci. Pollut. Res. 21, 8336–8367. https://doi.org/10.1007/s11356-014-2783-1</w:t>
      </w:r>
    </w:p>
    <w:p w14:paraId="4FC77AB8"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Sudoh, M., Kodera, T., Sakai, K., Zhang, J.Q., Koide, K., 1986. Oxidative degradation of aqueous phenol effluent with electrogenerated fenton’s reagent. J. Chem. Eng. Japan 19, 513–518. https://doi.org/10.1252/jcej.19.513</w:t>
      </w:r>
    </w:p>
    <w:p w14:paraId="32BBB65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Sun, M., Yao, Y., Ding, W., Anandan, S., 2020. N/Ti3+ co-doping biphasic TiO</w:t>
      </w:r>
      <w:r w:rsidRPr="00F17CBA">
        <w:rPr>
          <w:rFonts w:cs="Times New Roman"/>
          <w:noProof/>
          <w:szCs w:val="24"/>
          <w:vertAlign w:val="subscript"/>
        </w:rPr>
        <w:t>2</w:t>
      </w:r>
      <w:r w:rsidRPr="006D3323">
        <w:rPr>
          <w:rFonts w:cs="Times New Roman"/>
          <w:noProof/>
          <w:szCs w:val="24"/>
        </w:rPr>
        <w:t>/Bi</w:t>
      </w:r>
      <w:r w:rsidRPr="00F17CBA">
        <w:rPr>
          <w:rFonts w:cs="Times New Roman"/>
          <w:noProof/>
          <w:szCs w:val="24"/>
          <w:vertAlign w:val="subscript"/>
        </w:rPr>
        <w:t>2</w:t>
      </w:r>
      <w:r w:rsidRPr="006D3323">
        <w:rPr>
          <w:rFonts w:cs="Times New Roman"/>
          <w:noProof/>
          <w:szCs w:val="24"/>
        </w:rPr>
        <w:t>WO</w:t>
      </w:r>
      <w:r w:rsidRPr="00F17CBA">
        <w:rPr>
          <w:rFonts w:cs="Times New Roman"/>
          <w:noProof/>
          <w:szCs w:val="24"/>
          <w:vertAlign w:val="subscript"/>
        </w:rPr>
        <w:t>6</w:t>
      </w:r>
      <w:r w:rsidRPr="006D3323">
        <w:rPr>
          <w:rFonts w:cs="Times New Roman"/>
          <w:noProof/>
          <w:szCs w:val="24"/>
        </w:rPr>
        <w:t xml:space="preserve"> heterojunctions: Hydrothermal fabrication and sonophotocatalytic degradation of organic pollutants. J. Alloys Compd. 820, 153172. https://doi.org/10.1016/j.jallcom.2019.153172</w:t>
      </w:r>
    </w:p>
    <w:p w14:paraId="664FFF99"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Suslick, K.S., 1990. Sonochemistry. Science (80-. ). 247, 1439–1445. </w:t>
      </w:r>
      <w:r w:rsidRPr="006D3323">
        <w:rPr>
          <w:rFonts w:cs="Times New Roman"/>
          <w:noProof/>
          <w:szCs w:val="24"/>
        </w:rPr>
        <w:lastRenderedPageBreak/>
        <w:t>https://doi.org/10.1126/science.247.4949.1439</w:t>
      </w:r>
    </w:p>
    <w:p w14:paraId="260D8D6A"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Teng, J., Liu, G., Liang, J., You, S., 2020. Electrochemical oxidation of sulfadiazine with titanium suboxide mesh anode. Electrochim. Acta 331, 135441. https://doi.org/10.1016/j.electacta.2019.135441</w:t>
      </w:r>
    </w:p>
    <w:p w14:paraId="70F6E682"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Teymori, M., Khorsandi, H., Aghapour, A.A., Jafari, S.J., Maleki, R., 2020. Electro-Fenton method for the removal of Malachite Green: effect of operational parameters. Appl. Water Sci. 10, 39. https://doi.org/10.1007/s13201-019-1123-5</w:t>
      </w:r>
    </w:p>
    <w:p w14:paraId="4AF6029C"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Thanekar, P., Garg, S., Gogate, P.R., 2020. Hybrid Treatment Strategies Based on Hydrodynamic Cavitation, Advanced Oxidation Processes, and Aerobic Oxidation for Efficient Removal of Naproxen. Ind. Eng. Chem. Res. 59, 4058–4070. https://doi.org/10.1021/acs.iecr.9b01395</w:t>
      </w:r>
    </w:p>
    <w:p w14:paraId="5ACEFE66"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Thomas, S., Rayaroth, M.P., Menacherry, S.P.M., Aravind, U.K., Aravindakumar, C.T., 2020. Sonochemical degradation of benzenesulfonic acid in aqueous medium. Chemosphere 252, 126485. https://doi.org/10.1016/j.chemosphere.2020.126485</w:t>
      </w:r>
    </w:p>
    <w:p w14:paraId="5202863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Tufail, A., Price, W.E., Mohseni, M., Pramanik, B.K., Hai, F.I., 2021. A critical review of advanced oxidation processes for emerging trace organic contaminant degradation: Mechanisms, factors, degradation products, and effluent toxicity. J. Water Process Eng. 40, 101778. https://doi.org/10.1016/j.jwpe.2020.101778</w:t>
      </w:r>
    </w:p>
    <w:p w14:paraId="45E2D84C"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Vaishnave, P., Kumar, A., Ameta, R., Punjabi, P.B., Ameta, S.C., 2014. Photo oxidative degradation of azure-B by sono-photo-Fenton and photo-Fenton reagents. Arab. J. Chem. 7, 981–985. https://doi.org/10.1016/j.arabjc.2010.12.019</w:t>
      </w:r>
    </w:p>
    <w:p w14:paraId="2A90B4ED"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Wang, J., Chen, H., Yuan, R., Wang, F., Ma, F., Zhou, B., 2020. Intensified degradation of textile wastewater using a novel treatment of hydrodynamic cavitation with the combination of ozone. J. Environ. Chem. Eng. 8, 103959. https://doi.org/10.1016/j.jece.2020.103959</w:t>
      </w:r>
    </w:p>
    <w:p w14:paraId="0C79AF5C" w14:textId="16C0937E"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 xml:space="preserve">WANG, J.L., XU, L.J., 2012. Advanced </w:t>
      </w:r>
      <w:r w:rsidR="00F17CBA" w:rsidRPr="006D3323">
        <w:rPr>
          <w:rFonts w:cs="Times New Roman"/>
          <w:noProof/>
          <w:szCs w:val="24"/>
        </w:rPr>
        <w:t>oxidation processes for wastewater treatment: formation of hydroxyl radical and application</w:t>
      </w:r>
      <w:r w:rsidRPr="006D3323">
        <w:rPr>
          <w:rFonts w:cs="Times New Roman"/>
          <w:noProof/>
          <w:szCs w:val="24"/>
        </w:rPr>
        <w:t>. Crit. Rev. Environ. Sci. Technol. 42, 251–325. https://doi.org/10.1080/10643389.2010.507698</w:t>
      </w:r>
    </w:p>
    <w:p w14:paraId="334905EF"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Wilde, M.L., Montipó, S., Martins, A.F., 2014. Degradation of β-blockers in hospital wastewater by means of ozonation and Fe2+/ozonation. Water Res. 48, 280–295. https://doi.org/10.1016/j.watres.2013.09.039</w:t>
      </w:r>
    </w:p>
    <w:p w14:paraId="13756D6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Wu, C.D., Zhang, Z.L., Wu, Y., Wang, L., Chen, L.J., 2015. Effects of operating parameters and additives on degradation of phenol in water by the combination of H</w:t>
      </w:r>
      <w:r w:rsidRPr="00F17CBA">
        <w:rPr>
          <w:rFonts w:cs="Times New Roman"/>
          <w:noProof/>
          <w:szCs w:val="24"/>
          <w:vertAlign w:val="subscript"/>
        </w:rPr>
        <w:t>2</w:t>
      </w:r>
      <w:r w:rsidRPr="006D3323">
        <w:rPr>
          <w:rFonts w:cs="Times New Roman"/>
          <w:noProof/>
          <w:szCs w:val="24"/>
        </w:rPr>
        <w:t>O</w:t>
      </w:r>
      <w:r w:rsidRPr="00F17CBA">
        <w:rPr>
          <w:rFonts w:cs="Times New Roman"/>
          <w:noProof/>
          <w:szCs w:val="24"/>
          <w:vertAlign w:val="subscript"/>
        </w:rPr>
        <w:t>2</w:t>
      </w:r>
      <w:r w:rsidRPr="006D3323">
        <w:rPr>
          <w:rFonts w:cs="Times New Roman"/>
          <w:noProof/>
          <w:szCs w:val="24"/>
        </w:rPr>
        <w:t xml:space="preserve"> and hydrodynamic </w:t>
      </w:r>
      <w:r w:rsidRPr="006D3323">
        <w:rPr>
          <w:rFonts w:cs="Times New Roman"/>
          <w:noProof/>
          <w:szCs w:val="24"/>
        </w:rPr>
        <w:lastRenderedPageBreak/>
        <w:t>cavitation. Desalin. Water Treat. 53, 462–468. https://doi.org/10.1080/19443994.2013.846234</w:t>
      </w:r>
    </w:p>
    <w:p w14:paraId="1AF3D30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Wu, Y., Chen, R., Liu, H., Wei, Y., Wu, D., 2013. Feasibility and mechanism of p-nitrophenol decomposition in aqueous dispersions of ferrihydrite and H</w:t>
      </w:r>
      <w:r w:rsidRPr="00F17CBA">
        <w:rPr>
          <w:rFonts w:cs="Times New Roman"/>
          <w:noProof/>
          <w:szCs w:val="24"/>
          <w:vertAlign w:val="subscript"/>
        </w:rPr>
        <w:t>2</w:t>
      </w:r>
      <w:r w:rsidRPr="006D3323">
        <w:rPr>
          <w:rFonts w:cs="Times New Roman"/>
          <w:noProof/>
          <w:szCs w:val="24"/>
        </w:rPr>
        <w:t>O</w:t>
      </w:r>
      <w:r w:rsidRPr="00F17CBA">
        <w:rPr>
          <w:rFonts w:cs="Times New Roman"/>
          <w:noProof/>
          <w:szCs w:val="24"/>
          <w:vertAlign w:val="subscript"/>
        </w:rPr>
        <w:t>2</w:t>
      </w:r>
      <w:r w:rsidRPr="006D3323">
        <w:rPr>
          <w:rFonts w:cs="Times New Roman"/>
          <w:noProof/>
          <w:szCs w:val="24"/>
        </w:rPr>
        <w:t xml:space="preserve"> under irradiation. React. Kinet. Mech. Catal. 110, 87–99. https://doi.org/10.1007/s11144-013-0571-4</w:t>
      </w:r>
    </w:p>
    <w:p w14:paraId="16F2902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Xia, Y., Wang, G., Guo, L., Dai, Q., Ma, X., 2020a. Electrochemical oxidation of Acid Orange 7 azo dye using a PbO2 electrode: Parameter optimization, reaction mechanism and toxicity evaluation. Chemosphere 241, 125010. https://doi.org/10.1016/j.chemosphere.2019.125010</w:t>
      </w:r>
    </w:p>
    <w:p w14:paraId="728FEF64"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Xia, Yijing, Bian, X., Xia, Yi, Zhou, W., Wang, L., Fan, S., Xiong, P., Zhan, T., Dai, Q., Chen, J., 2020b. Effect of indium doping on the PbO</w:t>
      </w:r>
      <w:r w:rsidRPr="00F17CBA">
        <w:rPr>
          <w:rFonts w:cs="Times New Roman"/>
          <w:noProof/>
          <w:szCs w:val="24"/>
          <w:vertAlign w:val="subscript"/>
        </w:rPr>
        <w:t>2</w:t>
      </w:r>
      <w:r w:rsidRPr="006D3323">
        <w:rPr>
          <w:rFonts w:cs="Times New Roman"/>
          <w:noProof/>
          <w:szCs w:val="24"/>
        </w:rPr>
        <w:t xml:space="preserve"> electrode for the enhanced electrochemical oxidation of aspirin: An electrode comparative study. Sep. Purif. Technol. 237, 116321. https://doi.org/10.1016/j.seppur.2019.116321</w:t>
      </w:r>
    </w:p>
    <w:p w14:paraId="16DFD261"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Xu, B., Qi, F., Sun, D., Chen, Z., Robert, D., 2016. Cerium doped red mud catalytic ozonation for bezafibrate degradation in wastewater: Efficiency, intermediates, and toxicity. Chemosphere 146, 22–31. https://doi.org/10.1016/j.chemosphere.2015.12.016</w:t>
      </w:r>
    </w:p>
    <w:p w14:paraId="2396A13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Xu, L., Tang, S., Wang, K., Ma, X., Niu, J., 2020. Insights into the degradation and detoxication mechanisms of aqueous capecitabine in electrochemical oxidation process. Chemosphere 241, 125058. https://doi.org/10.1016/j.chemosphere.2019.125058</w:t>
      </w:r>
    </w:p>
    <w:p w14:paraId="64B47E5E"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Yang, C., Liu, H., Luo, S., Chen, X., He, H., 2012. Performance of modified electro-Fenton process for phenol degradation using bipolar graphite electrodes and activated carbon. J. Environ. Eng. (United States) 138, 613–619. https://doi.org/10.1061/(ASCE)EE.1943-7870.0000517</w:t>
      </w:r>
    </w:p>
    <w:p w14:paraId="7B60DAD9"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Yao, Y., Ren, B., Yang, Y., Huang, C., Li, M., 2019. Preparation and electrochemical treatment application of Ce-PbO2/ZrO2 composite electrode in the degradation of acridine orange by electrochemical advanced oxidation process. J. Hazard. Mater. 361, 141–151. https://doi.org/10.1016/j.jhazmat.2018.08.081</w:t>
      </w:r>
    </w:p>
    <w:p w14:paraId="4DB8BCF4"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Yosofi, Y., Mousavi, S.A., 2020. Sono-photo-fenton degradation of reactive black 5 from aqueous solutions: Performance and kinetics. Desalin. Water Treat. 174, 354–360. https://doi.org/10.5004/dwt.2020.24843</w:t>
      </w:r>
    </w:p>
    <w:p w14:paraId="4335BBE0"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Yousef Tizhoosh, N., Khataee, A., Hassandoost, R., Darvishi Cheshmeh Soltani, R., Doustkhah, E., 2020. Ultrasound-engineered synthesis of WS</w:t>
      </w:r>
      <w:r w:rsidRPr="00F17CBA">
        <w:rPr>
          <w:rFonts w:cs="Times New Roman"/>
          <w:noProof/>
          <w:szCs w:val="24"/>
          <w:vertAlign w:val="subscript"/>
        </w:rPr>
        <w:t>2</w:t>
      </w:r>
      <w:r w:rsidRPr="006D3323">
        <w:rPr>
          <w:rFonts w:cs="Times New Roman"/>
          <w:noProof/>
          <w:szCs w:val="24"/>
        </w:rPr>
        <w:t>@CeO</w:t>
      </w:r>
      <w:r w:rsidRPr="00F17CBA">
        <w:rPr>
          <w:rFonts w:cs="Times New Roman"/>
          <w:noProof/>
          <w:szCs w:val="24"/>
          <w:vertAlign w:val="subscript"/>
        </w:rPr>
        <w:t>2</w:t>
      </w:r>
      <w:r w:rsidRPr="006D3323">
        <w:rPr>
          <w:rFonts w:cs="Times New Roman"/>
          <w:noProof/>
          <w:szCs w:val="24"/>
        </w:rPr>
        <w:t xml:space="preserve"> heterostructure for sonocatalytic </w:t>
      </w:r>
      <w:r w:rsidRPr="006D3323">
        <w:rPr>
          <w:rFonts w:cs="Times New Roman"/>
          <w:noProof/>
          <w:szCs w:val="24"/>
        </w:rPr>
        <w:lastRenderedPageBreak/>
        <w:t>degradation of tylosin. Ultrason. Sonochem. 67, 105114. https://doi.org/10.1016/j.ultsonch.2020.105114</w:t>
      </w:r>
    </w:p>
    <w:p w14:paraId="7F75550A"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Yu, S., Hu, J., Wang, J., 2010. Gamma radiation-induced degradation of p-nitrophenol (PNP) in the presence of hydrogen peroxide (H2O2) in aqueous solution. J. Hazard. Mater. 177, 1061–1067. https://doi.org/10.1016/j.jhazmat.2010.01.028</w:t>
      </w:r>
    </w:p>
    <w:p w14:paraId="534C6A93"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Yu, X., Zhou, M., Ren, G., Ma, L., 2015. A novel dual gas diffusion electrodes system for efficient hydrogen peroxide generation used in electro-Fenton. Chem. Eng. J. 263, 92–100. https://doi.org/10.1016/j.cej.2014.11.053</w:t>
      </w:r>
    </w:p>
    <w:p w14:paraId="35A172AD" w14:textId="3D84A38B"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Yuan, S., Fan, Y., Zhang, Y., Tong, M., Liao, P., 2011. Pd-catalytic in situ generation of H</w:t>
      </w:r>
      <w:r w:rsidRPr="00F17CBA">
        <w:rPr>
          <w:rFonts w:cs="Times New Roman"/>
          <w:noProof/>
          <w:szCs w:val="24"/>
          <w:vertAlign w:val="subscript"/>
        </w:rPr>
        <w:t>2</w:t>
      </w:r>
      <w:r w:rsidRPr="006D3323">
        <w:rPr>
          <w:rFonts w:cs="Times New Roman"/>
          <w:noProof/>
          <w:szCs w:val="24"/>
        </w:rPr>
        <w:t>O</w:t>
      </w:r>
      <w:r w:rsidRPr="00F17CBA">
        <w:rPr>
          <w:rFonts w:cs="Times New Roman"/>
          <w:noProof/>
          <w:szCs w:val="24"/>
          <w:vertAlign w:val="subscript"/>
        </w:rPr>
        <w:t>2</w:t>
      </w:r>
      <w:r w:rsidRPr="006D3323">
        <w:rPr>
          <w:rFonts w:cs="Times New Roman"/>
          <w:noProof/>
          <w:szCs w:val="24"/>
        </w:rPr>
        <w:t xml:space="preserve"> from H</w:t>
      </w:r>
      <w:r w:rsidRPr="00F17CBA">
        <w:rPr>
          <w:rFonts w:cs="Times New Roman"/>
          <w:noProof/>
          <w:szCs w:val="24"/>
          <w:vertAlign w:val="subscript"/>
        </w:rPr>
        <w:t>2</w:t>
      </w:r>
      <w:r w:rsidRPr="006D3323">
        <w:rPr>
          <w:rFonts w:cs="Times New Roman"/>
          <w:noProof/>
          <w:szCs w:val="24"/>
        </w:rPr>
        <w:t xml:space="preserve"> and O</w:t>
      </w:r>
      <w:r w:rsidRPr="00F17CBA">
        <w:rPr>
          <w:rFonts w:cs="Times New Roman"/>
          <w:noProof/>
          <w:szCs w:val="24"/>
          <w:vertAlign w:val="subscript"/>
        </w:rPr>
        <w:t>2</w:t>
      </w:r>
      <w:r w:rsidRPr="006D3323">
        <w:rPr>
          <w:rFonts w:cs="Times New Roman"/>
          <w:noProof/>
          <w:szCs w:val="24"/>
        </w:rPr>
        <w:t xml:space="preserve"> produced by water electrolysis for the efficient electro-fenton degradation of Rhodamine B. Environ. Sci. Technol. 45, 8514–8520. https://doi.org/10.1021/es2022939</w:t>
      </w:r>
    </w:p>
    <w:p w14:paraId="0DB9388F"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Zaouak, A., Noomen, A., Jelassi, H., 2020. Gamma radiation induced degradation of the phenoxy acid herbicide diclofop-methyl in aqueous solutions. Appl. Radiat. Isot. 156, 108939. https://doi.org/10.1016/j.apradiso.2019.108939</w:t>
      </w:r>
    </w:p>
    <w:p w14:paraId="15BB7408"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Zaouak, A., Noomen, A., Jelassi, H., 2018. Gamma-radiation induced decolorization and degradation on aqueous solutions of Indigo Carmine dye. J. Radioanal. Nucl. Chem. 317, 37–44. https://doi.org/10.1007/s10967-018-5835-z</w:t>
      </w:r>
    </w:p>
    <w:p w14:paraId="535F2595"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Zhang, T., Yang, Y., Gao, J., Li, X., Yu, H., Wang, N., Du, P., Yu, R., Li, H., Fan, X., Zhou, Z., 2020. Synergistic degradation of chloramphenicol by ultrasound-enhanced nanoscale zero-valent iron/persulfate treatment. Sep. Purif. Technol. 240, 116575. https://doi.org/10.1016/j.seppur.2020.116575</w:t>
      </w:r>
    </w:p>
    <w:p w14:paraId="04319455"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Zhu, H., Ma, Wencheng, Han, H., Han, Y., Ma, Weiwei, 2017. Catalytic ozonation of quinoline using nano-MgO: Efficacy, pathways, mechanisms and its application to real biologically pretreated coal gasification wastewater. Chem. Eng. J. 327, 91–99. https://doi.org/10.1016/j.cej.2017.06.025</w:t>
      </w:r>
    </w:p>
    <w:p w14:paraId="7D143420" w14:textId="77777777" w:rsidR="006D3323" w:rsidRPr="006D3323" w:rsidRDefault="006D3323" w:rsidP="006D3323">
      <w:pPr>
        <w:widowControl w:val="0"/>
        <w:autoSpaceDE w:val="0"/>
        <w:autoSpaceDN w:val="0"/>
        <w:adjustRightInd w:val="0"/>
        <w:spacing w:after="0"/>
        <w:ind w:left="480" w:hanging="480"/>
        <w:rPr>
          <w:rFonts w:cs="Times New Roman"/>
          <w:noProof/>
          <w:szCs w:val="24"/>
        </w:rPr>
      </w:pPr>
      <w:r w:rsidRPr="006D3323">
        <w:rPr>
          <w:rFonts w:cs="Times New Roman"/>
          <w:noProof/>
          <w:szCs w:val="24"/>
        </w:rPr>
        <w:t>Zhu, X., Tong, M., Shi, S., Zhao, H., Ni, J., 2008. Essential Explanation of the Strong Mineralization Performance of Boron-Doped Diamond Electrodes. Environ. Sci. Technol. 42, 4914–4920. https://doi.org/10.1021/es800298p</w:t>
      </w:r>
    </w:p>
    <w:p w14:paraId="0B20B91F" w14:textId="77777777" w:rsidR="006D3323" w:rsidRPr="006D3323" w:rsidRDefault="006D3323" w:rsidP="006D3323">
      <w:pPr>
        <w:widowControl w:val="0"/>
        <w:autoSpaceDE w:val="0"/>
        <w:autoSpaceDN w:val="0"/>
        <w:adjustRightInd w:val="0"/>
        <w:spacing w:after="0"/>
        <w:ind w:left="480" w:hanging="480"/>
        <w:rPr>
          <w:rFonts w:cs="Times New Roman"/>
          <w:noProof/>
        </w:rPr>
      </w:pPr>
      <w:r w:rsidRPr="006D3323">
        <w:rPr>
          <w:rFonts w:cs="Times New Roman"/>
          <w:noProof/>
          <w:szCs w:val="24"/>
        </w:rPr>
        <w:t xml:space="preserve">Zou, J.-P., Chen, Y., Liu, S.-S., Xing, Q.-J., Dong, W.-H., Luo, X.-B., Dai, W.-L., Xiao, X., Luo, J.-M., Crittenden, J., 2019. Electrochemical oxidation and advanced oxidation processes using a 3D hexagonal Co3O4 array anode for 4-nitrophenol decomposition coupled with </w:t>
      </w:r>
      <w:r w:rsidRPr="006D3323">
        <w:rPr>
          <w:rFonts w:cs="Times New Roman"/>
          <w:noProof/>
          <w:szCs w:val="24"/>
        </w:rPr>
        <w:lastRenderedPageBreak/>
        <w:t>simultaneous CO</w:t>
      </w:r>
      <w:r w:rsidRPr="00F17CBA">
        <w:rPr>
          <w:rFonts w:cs="Times New Roman"/>
          <w:noProof/>
          <w:szCs w:val="24"/>
          <w:vertAlign w:val="subscript"/>
        </w:rPr>
        <w:t>2</w:t>
      </w:r>
      <w:r w:rsidRPr="006D3323">
        <w:rPr>
          <w:rFonts w:cs="Times New Roman"/>
          <w:noProof/>
          <w:szCs w:val="24"/>
        </w:rPr>
        <w:t xml:space="preserve"> conversion to liquid fuels via a flower-like CuO cathode. Water Res. 150, 330–339. https://doi.org/10.1016/j.watres.2018.11.077</w:t>
      </w:r>
    </w:p>
    <w:p w14:paraId="39DB53D0" w14:textId="36654ABB" w:rsidR="006A1E67" w:rsidRPr="000D50CC" w:rsidRDefault="006A1E67" w:rsidP="00AD4543">
      <w:pPr>
        <w:spacing w:after="0"/>
        <w:rPr>
          <w:rFonts w:cs="Times New Roman"/>
          <w:szCs w:val="24"/>
        </w:rPr>
      </w:pPr>
      <w:r w:rsidRPr="000D50CC">
        <w:rPr>
          <w:rFonts w:cs="Times New Roman"/>
          <w:szCs w:val="24"/>
        </w:rPr>
        <w:fldChar w:fldCharType="end"/>
      </w:r>
    </w:p>
    <w:sectPr w:rsidR="006A1E67" w:rsidRPr="000D50C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EFC963" w14:textId="77777777" w:rsidR="003E2EE4" w:rsidRDefault="003E2EE4" w:rsidP="00D2650C">
      <w:pPr>
        <w:spacing w:after="0" w:line="240" w:lineRule="auto"/>
      </w:pPr>
      <w:r>
        <w:separator/>
      </w:r>
    </w:p>
  </w:endnote>
  <w:endnote w:type="continuationSeparator" w:id="0">
    <w:p w14:paraId="092673CF" w14:textId="77777777" w:rsidR="003E2EE4" w:rsidRDefault="003E2EE4" w:rsidP="00D265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7410204"/>
      <w:docPartObj>
        <w:docPartGallery w:val="Page Numbers (Bottom of Page)"/>
        <w:docPartUnique/>
      </w:docPartObj>
    </w:sdtPr>
    <w:sdtEndPr>
      <w:rPr>
        <w:noProof/>
      </w:rPr>
    </w:sdtEndPr>
    <w:sdtContent>
      <w:p w14:paraId="6E4A7E8A" w14:textId="0C76BDFB" w:rsidR="00C0557E" w:rsidRDefault="00C0557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D2DD0E6" w14:textId="77777777" w:rsidR="00C0557E" w:rsidRDefault="00C055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148537"/>
      <w:docPartObj>
        <w:docPartGallery w:val="Page Numbers (Bottom of Page)"/>
        <w:docPartUnique/>
      </w:docPartObj>
    </w:sdtPr>
    <w:sdtEndPr>
      <w:rPr>
        <w:noProof/>
      </w:rPr>
    </w:sdtEndPr>
    <w:sdtContent>
      <w:p w14:paraId="38719E21" w14:textId="28E58C18" w:rsidR="0013236E" w:rsidRDefault="0013236E">
        <w:pPr>
          <w:pStyle w:val="Footer"/>
          <w:jc w:val="center"/>
        </w:pPr>
        <w:r>
          <w:fldChar w:fldCharType="begin"/>
        </w:r>
        <w:r>
          <w:instrText xml:space="preserve"> PAGE   \* MERGEFORMAT </w:instrText>
        </w:r>
        <w:r>
          <w:fldChar w:fldCharType="separate"/>
        </w:r>
        <w:r w:rsidR="00801CDF">
          <w:rPr>
            <w:noProof/>
          </w:rPr>
          <w:t>1</w:t>
        </w:r>
        <w:r>
          <w:rPr>
            <w:noProof/>
          </w:rPr>
          <w:fldChar w:fldCharType="end"/>
        </w:r>
      </w:p>
    </w:sdtContent>
  </w:sdt>
  <w:p w14:paraId="4BCC5662" w14:textId="77777777" w:rsidR="0013236E" w:rsidRDefault="001323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86CB7E" w14:textId="77777777" w:rsidR="003E2EE4" w:rsidRDefault="003E2EE4" w:rsidP="00D2650C">
      <w:pPr>
        <w:spacing w:after="0" w:line="240" w:lineRule="auto"/>
      </w:pPr>
      <w:r>
        <w:separator/>
      </w:r>
    </w:p>
  </w:footnote>
  <w:footnote w:type="continuationSeparator" w:id="0">
    <w:p w14:paraId="04BDBD47" w14:textId="77777777" w:rsidR="003E2EE4" w:rsidRDefault="003E2EE4" w:rsidP="00D2650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02C"/>
    <w:rsid w:val="000068A4"/>
    <w:rsid w:val="0002256F"/>
    <w:rsid w:val="00025C62"/>
    <w:rsid w:val="000307E3"/>
    <w:rsid w:val="00034267"/>
    <w:rsid w:val="00037B25"/>
    <w:rsid w:val="00040DF2"/>
    <w:rsid w:val="000438EC"/>
    <w:rsid w:val="00055CEE"/>
    <w:rsid w:val="0006049A"/>
    <w:rsid w:val="00066730"/>
    <w:rsid w:val="00067FA5"/>
    <w:rsid w:val="00075389"/>
    <w:rsid w:val="0008087C"/>
    <w:rsid w:val="000912FC"/>
    <w:rsid w:val="000963EB"/>
    <w:rsid w:val="000A1D6B"/>
    <w:rsid w:val="000C0219"/>
    <w:rsid w:val="000C226F"/>
    <w:rsid w:val="000D4CD1"/>
    <w:rsid w:val="000D50CC"/>
    <w:rsid w:val="000D51B4"/>
    <w:rsid w:val="000D5587"/>
    <w:rsid w:val="000E3D90"/>
    <w:rsid w:val="000F57E1"/>
    <w:rsid w:val="00100213"/>
    <w:rsid w:val="00104761"/>
    <w:rsid w:val="00122EEC"/>
    <w:rsid w:val="00123544"/>
    <w:rsid w:val="00123BD3"/>
    <w:rsid w:val="00123BE2"/>
    <w:rsid w:val="00130F27"/>
    <w:rsid w:val="0013236E"/>
    <w:rsid w:val="00140E67"/>
    <w:rsid w:val="00161878"/>
    <w:rsid w:val="00171012"/>
    <w:rsid w:val="00177DBB"/>
    <w:rsid w:val="00185A3B"/>
    <w:rsid w:val="00187AAC"/>
    <w:rsid w:val="00195B5C"/>
    <w:rsid w:val="001A53B0"/>
    <w:rsid w:val="001B41BA"/>
    <w:rsid w:val="001B6035"/>
    <w:rsid w:val="001C24D2"/>
    <w:rsid w:val="001C2B71"/>
    <w:rsid w:val="001D1E19"/>
    <w:rsid w:val="001E1E83"/>
    <w:rsid w:val="001E6F18"/>
    <w:rsid w:val="001F4558"/>
    <w:rsid w:val="00201BDF"/>
    <w:rsid w:val="00214C04"/>
    <w:rsid w:val="0021536B"/>
    <w:rsid w:val="00221520"/>
    <w:rsid w:val="00230170"/>
    <w:rsid w:val="00274E75"/>
    <w:rsid w:val="00276167"/>
    <w:rsid w:val="00276587"/>
    <w:rsid w:val="00283129"/>
    <w:rsid w:val="0029294C"/>
    <w:rsid w:val="002978C1"/>
    <w:rsid w:val="002A1253"/>
    <w:rsid w:val="002A4842"/>
    <w:rsid w:val="002B368F"/>
    <w:rsid w:val="002B371A"/>
    <w:rsid w:val="002D1605"/>
    <w:rsid w:val="002D50B9"/>
    <w:rsid w:val="002D7FB7"/>
    <w:rsid w:val="002E2E41"/>
    <w:rsid w:val="002E491C"/>
    <w:rsid w:val="002F0F25"/>
    <w:rsid w:val="002F49AA"/>
    <w:rsid w:val="00323044"/>
    <w:rsid w:val="00333FAC"/>
    <w:rsid w:val="003342E4"/>
    <w:rsid w:val="0033739D"/>
    <w:rsid w:val="0034106C"/>
    <w:rsid w:val="00345825"/>
    <w:rsid w:val="0035119C"/>
    <w:rsid w:val="00353D49"/>
    <w:rsid w:val="003768BF"/>
    <w:rsid w:val="003814D1"/>
    <w:rsid w:val="0038343B"/>
    <w:rsid w:val="003837FF"/>
    <w:rsid w:val="003967FC"/>
    <w:rsid w:val="003A3417"/>
    <w:rsid w:val="003B3D14"/>
    <w:rsid w:val="003B5FA4"/>
    <w:rsid w:val="003C79E8"/>
    <w:rsid w:val="003E2240"/>
    <w:rsid w:val="003E2EE4"/>
    <w:rsid w:val="003F4027"/>
    <w:rsid w:val="003F51B1"/>
    <w:rsid w:val="00402837"/>
    <w:rsid w:val="004329F4"/>
    <w:rsid w:val="00461B77"/>
    <w:rsid w:val="00461F57"/>
    <w:rsid w:val="00462728"/>
    <w:rsid w:val="00463D33"/>
    <w:rsid w:val="004643C4"/>
    <w:rsid w:val="004646D2"/>
    <w:rsid w:val="004744EC"/>
    <w:rsid w:val="00482734"/>
    <w:rsid w:val="004A0EE5"/>
    <w:rsid w:val="004A59CA"/>
    <w:rsid w:val="004C2A08"/>
    <w:rsid w:val="004C4CA4"/>
    <w:rsid w:val="004C6915"/>
    <w:rsid w:val="00503533"/>
    <w:rsid w:val="00507497"/>
    <w:rsid w:val="005074A1"/>
    <w:rsid w:val="00514975"/>
    <w:rsid w:val="005153C4"/>
    <w:rsid w:val="00517A17"/>
    <w:rsid w:val="00535125"/>
    <w:rsid w:val="0054051C"/>
    <w:rsid w:val="00545577"/>
    <w:rsid w:val="00553179"/>
    <w:rsid w:val="005647F0"/>
    <w:rsid w:val="00567993"/>
    <w:rsid w:val="005753AB"/>
    <w:rsid w:val="005771D0"/>
    <w:rsid w:val="00580696"/>
    <w:rsid w:val="0058606A"/>
    <w:rsid w:val="00587A64"/>
    <w:rsid w:val="00591420"/>
    <w:rsid w:val="00592865"/>
    <w:rsid w:val="005A0D94"/>
    <w:rsid w:val="005A4826"/>
    <w:rsid w:val="005A4A3B"/>
    <w:rsid w:val="005B2E24"/>
    <w:rsid w:val="005E1A74"/>
    <w:rsid w:val="005E3449"/>
    <w:rsid w:val="005E5E4F"/>
    <w:rsid w:val="005F736F"/>
    <w:rsid w:val="00602A4E"/>
    <w:rsid w:val="00605C91"/>
    <w:rsid w:val="00607960"/>
    <w:rsid w:val="00624FB7"/>
    <w:rsid w:val="00630ECE"/>
    <w:rsid w:val="006365B3"/>
    <w:rsid w:val="00643174"/>
    <w:rsid w:val="006522B3"/>
    <w:rsid w:val="006562F1"/>
    <w:rsid w:val="0065761E"/>
    <w:rsid w:val="006615AD"/>
    <w:rsid w:val="00662419"/>
    <w:rsid w:val="00664E96"/>
    <w:rsid w:val="00665903"/>
    <w:rsid w:val="00670EF3"/>
    <w:rsid w:val="006738A1"/>
    <w:rsid w:val="00680A88"/>
    <w:rsid w:val="0068753B"/>
    <w:rsid w:val="00687D1E"/>
    <w:rsid w:val="00691B87"/>
    <w:rsid w:val="0069564B"/>
    <w:rsid w:val="006970CD"/>
    <w:rsid w:val="006977CF"/>
    <w:rsid w:val="006A0A46"/>
    <w:rsid w:val="006A1E67"/>
    <w:rsid w:val="006A38A9"/>
    <w:rsid w:val="006A4743"/>
    <w:rsid w:val="006B2968"/>
    <w:rsid w:val="006B507D"/>
    <w:rsid w:val="006C10EC"/>
    <w:rsid w:val="006C2C3D"/>
    <w:rsid w:val="006D2376"/>
    <w:rsid w:val="006D2C1C"/>
    <w:rsid w:val="006D3323"/>
    <w:rsid w:val="006E4831"/>
    <w:rsid w:val="006F08EF"/>
    <w:rsid w:val="006F4B88"/>
    <w:rsid w:val="006F716D"/>
    <w:rsid w:val="007117C3"/>
    <w:rsid w:val="00712D5E"/>
    <w:rsid w:val="00726451"/>
    <w:rsid w:val="00730186"/>
    <w:rsid w:val="00732551"/>
    <w:rsid w:val="00734BA3"/>
    <w:rsid w:val="00735A48"/>
    <w:rsid w:val="007431C6"/>
    <w:rsid w:val="00745323"/>
    <w:rsid w:val="00745632"/>
    <w:rsid w:val="007504CE"/>
    <w:rsid w:val="00751F2A"/>
    <w:rsid w:val="007652D3"/>
    <w:rsid w:val="00775C0B"/>
    <w:rsid w:val="00776291"/>
    <w:rsid w:val="00794A18"/>
    <w:rsid w:val="007A3CFF"/>
    <w:rsid w:val="007A6FD2"/>
    <w:rsid w:val="007B7EC9"/>
    <w:rsid w:val="007C0B0C"/>
    <w:rsid w:val="007F104D"/>
    <w:rsid w:val="00801CDF"/>
    <w:rsid w:val="00803C21"/>
    <w:rsid w:val="00811D5B"/>
    <w:rsid w:val="00813919"/>
    <w:rsid w:val="00814DE6"/>
    <w:rsid w:val="00816084"/>
    <w:rsid w:val="0082702C"/>
    <w:rsid w:val="00830D38"/>
    <w:rsid w:val="00836242"/>
    <w:rsid w:val="008373D3"/>
    <w:rsid w:val="00844A46"/>
    <w:rsid w:val="00844DA9"/>
    <w:rsid w:val="00844E76"/>
    <w:rsid w:val="00854FEB"/>
    <w:rsid w:val="00855FF1"/>
    <w:rsid w:val="0086090F"/>
    <w:rsid w:val="008666F9"/>
    <w:rsid w:val="00872752"/>
    <w:rsid w:val="00874024"/>
    <w:rsid w:val="00877E30"/>
    <w:rsid w:val="00884E80"/>
    <w:rsid w:val="008912A6"/>
    <w:rsid w:val="008A32E6"/>
    <w:rsid w:val="008B2115"/>
    <w:rsid w:val="008B37C3"/>
    <w:rsid w:val="008D1AC9"/>
    <w:rsid w:val="008F25A5"/>
    <w:rsid w:val="008F2B8E"/>
    <w:rsid w:val="008F6D33"/>
    <w:rsid w:val="00900070"/>
    <w:rsid w:val="00900CD8"/>
    <w:rsid w:val="0090400A"/>
    <w:rsid w:val="009174B9"/>
    <w:rsid w:val="00923C1F"/>
    <w:rsid w:val="00924A42"/>
    <w:rsid w:val="009421B4"/>
    <w:rsid w:val="00944DB3"/>
    <w:rsid w:val="00953A7F"/>
    <w:rsid w:val="00955DCD"/>
    <w:rsid w:val="00961343"/>
    <w:rsid w:val="009704E8"/>
    <w:rsid w:val="00980493"/>
    <w:rsid w:val="009846A6"/>
    <w:rsid w:val="009874EF"/>
    <w:rsid w:val="009958EF"/>
    <w:rsid w:val="009B2FD5"/>
    <w:rsid w:val="009B3D36"/>
    <w:rsid w:val="009B4DAF"/>
    <w:rsid w:val="009B713C"/>
    <w:rsid w:val="009C092F"/>
    <w:rsid w:val="009D2F6A"/>
    <w:rsid w:val="009D3232"/>
    <w:rsid w:val="009D63AF"/>
    <w:rsid w:val="009E2D9A"/>
    <w:rsid w:val="009E6C09"/>
    <w:rsid w:val="009F1784"/>
    <w:rsid w:val="009F19D4"/>
    <w:rsid w:val="009F2877"/>
    <w:rsid w:val="009F7BC8"/>
    <w:rsid w:val="00A21D65"/>
    <w:rsid w:val="00A264B3"/>
    <w:rsid w:val="00A3096E"/>
    <w:rsid w:val="00A320FA"/>
    <w:rsid w:val="00A37173"/>
    <w:rsid w:val="00A4024E"/>
    <w:rsid w:val="00A66F1A"/>
    <w:rsid w:val="00A6763A"/>
    <w:rsid w:val="00A67E79"/>
    <w:rsid w:val="00A828D5"/>
    <w:rsid w:val="00A853B7"/>
    <w:rsid w:val="00A9291E"/>
    <w:rsid w:val="00A937A7"/>
    <w:rsid w:val="00AA0DD6"/>
    <w:rsid w:val="00AA1723"/>
    <w:rsid w:val="00AC1112"/>
    <w:rsid w:val="00AC3B13"/>
    <w:rsid w:val="00AC48F5"/>
    <w:rsid w:val="00AD4543"/>
    <w:rsid w:val="00AD4B11"/>
    <w:rsid w:val="00AD5B92"/>
    <w:rsid w:val="00AD70C3"/>
    <w:rsid w:val="00AD7664"/>
    <w:rsid w:val="00AE324D"/>
    <w:rsid w:val="00B076C1"/>
    <w:rsid w:val="00B12F60"/>
    <w:rsid w:val="00B416BC"/>
    <w:rsid w:val="00B45BCB"/>
    <w:rsid w:val="00B65095"/>
    <w:rsid w:val="00B73DE7"/>
    <w:rsid w:val="00B8446B"/>
    <w:rsid w:val="00B92F5D"/>
    <w:rsid w:val="00B94154"/>
    <w:rsid w:val="00BA0CB9"/>
    <w:rsid w:val="00BA4BA6"/>
    <w:rsid w:val="00BB5996"/>
    <w:rsid w:val="00BB7316"/>
    <w:rsid w:val="00BB7FA9"/>
    <w:rsid w:val="00BC0CA2"/>
    <w:rsid w:val="00BC5E99"/>
    <w:rsid w:val="00BD2F23"/>
    <w:rsid w:val="00BD3BAC"/>
    <w:rsid w:val="00BD55AC"/>
    <w:rsid w:val="00BD67D4"/>
    <w:rsid w:val="00BE1D90"/>
    <w:rsid w:val="00BE48AE"/>
    <w:rsid w:val="00C0557E"/>
    <w:rsid w:val="00C071A7"/>
    <w:rsid w:val="00C11AB6"/>
    <w:rsid w:val="00C22102"/>
    <w:rsid w:val="00C4030B"/>
    <w:rsid w:val="00C44017"/>
    <w:rsid w:val="00C7122D"/>
    <w:rsid w:val="00C82CA9"/>
    <w:rsid w:val="00C848FD"/>
    <w:rsid w:val="00C953D3"/>
    <w:rsid w:val="00C962B1"/>
    <w:rsid w:val="00CB0278"/>
    <w:rsid w:val="00CB46D3"/>
    <w:rsid w:val="00CC36A9"/>
    <w:rsid w:val="00CD0250"/>
    <w:rsid w:val="00CD6432"/>
    <w:rsid w:val="00CE54B6"/>
    <w:rsid w:val="00CE687C"/>
    <w:rsid w:val="00CE7DA4"/>
    <w:rsid w:val="00D059FE"/>
    <w:rsid w:val="00D14510"/>
    <w:rsid w:val="00D22ABB"/>
    <w:rsid w:val="00D23F1B"/>
    <w:rsid w:val="00D244EC"/>
    <w:rsid w:val="00D2650C"/>
    <w:rsid w:val="00D31AA1"/>
    <w:rsid w:val="00D36509"/>
    <w:rsid w:val="00D3740B"/>
    <w:rsid w:val="00D37901"/>
    <w:rsid w:val="00D43A30"/>
    <w:rsid w:val="00D54E80"/>
    <w:rsid w:val="00D62CC7"/>
    <w:rsid w:val="00D80111"/>
    <w:rsid w:val="00D86233"/>
    <w:rsid w:val="00D92EFA"/>
    <w:rsid w:val="00D97623"/>
    <w:rsid w:val="00DA7E69"/>
    <w:rsid w:val="00DB099C"/>
    <w:rsid w:val="00DB4097"/>
    <w:rsid w:val="00DE5A4F"/>
    <w:rsid w:val="00E01EB2"/>
    <w:rsid w:val="00E12924"/>
    <w:rsid w:val="00E1569B"/>
    <w:rsid w:val="00E24673"/>
    <w:rsid w:val="00E26194"/>
    <w:rsid w:val="00E30F52"/>
    <w:rsid w:val="00E3605D"/>
    <w:rsid w:val="00E41C1E"/>
    <w:rsid w:val="00E4332A"/>
    <w:rsid w:val="00E504BE"/>
    <w:rsid w:val="00E52107"/>
    <w:rsid w:val="00E5342E"/>
    <w:rsid w:val="00E553FA"/>
    <w:rsid w:val="00E57046"/>
    <w:rsid w:val="00E603B3"/>
    <w:rsid w:val="00E63640"/>
    <w:rsid w:val="00E74E2F"/>
    <w:rsid w:val="00E76BF3"/>
    <w:rsid w:val="00E773D7"/>
    <w:rsid w:val="00E77DF2"/>
    <w:rsid w:val="00E923D4"/>
    <w:rsid w:val="00E934B6"/>
    <w:rsid w:val="00E97254"/>
    <w:rsid w:val="00EC3868"/>
    <w:rsid w:val="00ED0C53"/>
    <w:rsid w:val="00ED14E1"/>
    <w:rsid w:val="00ED4580"/>
    <w:rsid w:val="00EE3047"/>
    <w:rsid w:val="00EE6A8D"/>
    <w:rsid w:val="00EE785D"/>
    <w:rsid w:val="00EF02A5"/>
    <w:rsid w:val="00EF3423"/>
    <w:rsid w:val="00EF394A"/>
    <w:rsid w:val="00EF4DDC"/>
    <w:rsid w:val="00F014A6"/>
    <w:rsid w:val="00F02886"/>
    <w:rsid w:val="00F17712"/>
    <w:rsid w:val="00F17CBA"/>
    <w:rsid w:val="00F25F84"/>
    <w:rsid w:val="00F264FD"/>
    <w:rsid w:val="00F27BA9"/>
    <w:rsid w:val="00F31DB6"/>
    <w:rsid w:val="00F333E6"/>
    <w:rsid w:val="00F41713"/>
    <w:rsid w:val="00F42BC5"/>
    <w:rsid w:val="00F43064"/>
    <w:rsid w:val="00F44AA0"/>
    <w:rsid w:val="00F44FC9"/>
    <w:rsid w:val="00F6089D"/>
    <w:rsid w:val="00F60DF8"/>
    <w:rsid w:val="00F6303A"/>
    <w:rsid w:val="00F73F9E"/>
    <w:rsid w:val="00F859B4"/>
    <w:rsid w:val="00F91705"/>
    <w:rsid w:val="00F92BA8"/>
    <w:rsid w:val="00F932B8"/>
    <w:rsid w:val="00F95BF7"/>
    <w:rsid w:val="00FB3888"/>
    <w:rsid w:val="00FB6D8C"/>
    <w:rsid w:val="00FC75FD"/>
    <w:rsid w:val="00FD07A3"/>
    <w:rsid w:val="00FD210A"/>
    <w:rsid w:val="00FD39CE"/>
    <w:rsid w:val="00FF64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0A87BB"/>
  <w15:chartTrackingRefBased/>
  <w15:docId w15:val="{CEDC001E-623F-4F4B-A041-FEEF3F866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2924"/>
    <w:pPr>
      <w:spacing w:after="240" w:line="360" w:lineRule="auto"/>
      <w:jc w:val="both"/>
    </w:pPr>
    <w:rPr>
      <w:rFonts w:ascii="Times New Roman" w:eastAsia="Calibri" w:hAnsi="Times New Roman" w:cs="SimSun"/>
      <w:sz w:val="24"/>
      <w:lang w:val="en-US"/>
    </w:rPr>
  </w:style>
  <w:style w:type="paragraph" w:styleId="Heading1">
    <w:name w:val="heading 1"/>
    <w:basedOn w:val="Normal"/>
    <w:next w:val="Normal"/>
    <w:link w:val="Heading1Char"/>
    <w:uiPriority w:val="9"/>
    <w:qFormat/>
    <w:rsid w:val="000963EB"/>
    <w:pPr>
      <w:keepNext/>
      <w:keepLines/>
      <w:spacing w:before="120" w:after="0"/>
      <w:outlineLvl w:val="0"/>
    </w:pPr>
    <w:rPr>
      <w:rFonts w:eastAsiaTheme="majorEastAsia" w:cstheme="majorBidi"/>
      <w:color w:val="000000" w:themeColor="text1"/>
      <w:szCs w:val="32"/>
    </w:rPr>
  </w:style>
  <w:style w:type="paragraph" w:styleId="Heading2">
    <w:name w:val="heading 2"/>
    <w:basedOn w:val="Normal"/>
    <w:next w:val="Normal"/>
    <w:link w:val="Heading2Char"/>
    <w:uiPriority w:val="9"/>
    <w:qFormat/>
    <w:rsid w:val="00C953D3"/>
    <w:pPr>
      <w:keepNext/>
      <w:keepLines/>
      <w:spacing w:before="240" w:after="120"/>
      <w:outlineLvl w:val="1"/>
    </w:pPr>
    <w:rPr>
      <w:rFonts w:eastAsia="SimSun"/>
      <w:color w:val="000000"/>
      <w:szCs w:val="26"/>
    </w:rPr>
  </w:style>
  <w:style w:type="paragraph" w:styleId="Heading3">
    <w:name w:val="heading 3"/>
    <w:basedOn w:val="Normal"/>
    <w:next w:val="Normal"/>
    <w:link w:val="Heading3Char"/>
    <w:uiPriority w:val="9"/>
    <w:qFormat/>
    <w:rsid w:val="00C953D3"/>
    <w:pPr>
      <w:keepNext/>
      <w:keepLines/>
      <w:spacing w:before="240" w:after="120"/>
      <w:outlineLvl w:val="2"/>
    </w:pPr>
    <w:rPr>
      <w:rFonts w:eastAsia="SimSun"/>
      <w:i/>
      <w:color w:val="00000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12924"/>
    <w:rPr>
      <w:color w:val="0563C1"/>
      <w:u w:val="single"/>
    </w:rPr>
  </w:style>
  <w:style w:type="paragraph" w:customStyle="1" w:styleId="Affiliations">
    <w:name w:val="*Affiliations*"/>
    <w:basedOn w:val="Normal"/>
    <w:rsid w:val="00E12924"/>
    <w:pPr>
      <w:autoSpaceDE w:val="0"/>
      <w:autoSpaceDN w:val="0"/>
      <w:spacing w:after="0" w:line="240" w:lineRule="auto"/>
      <w:jc w:val="center"/>
    </w:pPr>
    <w:rPr>
      <w:rFonts w:eastAsia="Times New Roman" w:cs="Times New Roman"/>
      <w:szCs w:val="24"/>
    </w:rPr>
  </w:style>
  <w:style w:type="paragraph" w:customStyle="1" w:styleId="Authors">
    <w:name w:val="*Authors*"/>
    <w:basedOn w:val="Normal"/>
    <w:next w:val="Affiliations"/>
    <w:rsid w:val="00E12924"/>
    <w:pPr>
      <w:autoSpaceDE w:val="0"/>
      <w:autoSpaceDN w:val="0"/>
      <w:spacing w:after="120" w:line="240" w:lineRule="auto"/>
      <w:jc w:val="center"/>
    </w:pPr>
    <w:rPr>
      <w:rFonts w:eastAsia="Times New Roman" w:cs="Times New Roman"/>
      <w:szCs w:val="24"/>
    </w:rPr>
  </w:style>
  <w:style w:type="paragraph" w:styleId="Caption">
    <w:name w:val="caption"/>
    <w:basedOn w:val="Normal"/>
    <w:next w:val="Normal"/>
    <w:uiPriority w:val="35"/>
    <w:unhideWhenUsed/>
    <w:qFormat/>
    <w:rsid w:val="00BD55AC"/>
    <w:pPr>
      <w:spacing w:before="240" w:after="120"/>
    </w:pPr>
    <w:rPr>
      <w:iCs/>
      <w:color w:val="000000"/>
      <w:szCs w:val="18"/>
    </w:rPr>
  </w:style>
  <w:style w:type="paragraph" w:styleId="NoSpacing">
    <w:name w:val="No Spacing"/>
    <w:uiPriority w:val="1"/>
    <w:qFormat/>
    <w:rsid w:val="00BD55AC"/>
    <w:pPr>
      <w:spacing w:after="0" w:line="240" w:lineRule="auto"/>
      <w:jc w:val="both"/>
    </w:pPr>
    <w:rPr>
      <w:rFonts w:ascii="Times New Roman" w:eastAsia="Calibri" w:hAnsi="Times New Roman" w:cs="SimSun"/>
      <w:sz w:val="24"/>
      <w:lang w:val="en-US"/>
    </w:rPr>
  </w:style>
  <w:style w:type="table" w:styleId="TableGrid">
    <w:name w:val="Table Grid"/>
    <w:basedOn w:val="TableNormal"/>
    <w:uiPriority w:val="39"/>
    <w:rsid w:val="00BD55AC"/>
    <w:pPr>
      <w:spacing w:after="0" w:line="240" w:lineRule="auto"/>
    </w:pPr>
    <w:rPr>
      <w:rFonts w:ascii="Calibri" w:eastAsia="Calibri"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C953D3"/>
    <w:rPr>
      <w:rFonts w:ascii="Times New Roman" w:eastAsia="SimSun" w:hAnsi="Times New Roman" w:cs="SimSun"/>
      <w:color w:val="000000"/>
      <w:sz w:val="24"/>
      <w:szCs w:val="26"/>
      <w:lang w:val="en-US"/>
    </w:rPr>
  </w:style>
  <w:style w:type="character" w:customStyle="1" w:styleId="Heading3Char">
    <w:name w:val="Heading 3 Char"/>
    <w:basedOn w:val="DefaultParagraphFont"/>
    <w:link w:val="Heading3"/>
    <w:uiPriority w:val="9"/>
    <w:rsid w:val="00C953D3"/>
    <w:rPr>
      <w:rFonts w:ascii="Times New Roman" w:eastAsia="SimSun" w:hAnsi="Times New Roman" w:cs="SimSun"/>
      <w:i/>
      <w:color w:val="000000"/>
      <w:sz w:val="24"/>
      <w:szCs w:val="24"/>
      <w:lang w:val="en-US"/>
    </w:rPr>
  </w:style>
  <w:style w:type="paragraph" w:styleId="BalloonText">
    <w:name w:val="Balloon Text"/>
    <w:basedOn w:val="Normal"/>
    <w:link w:val="BalloonTextChar"/>
    <w:uiPriority w:val="99"/>
    <w:semiHidden/>
    <w:unhideWhenUsed/>
    <w:rsid w:val="00C848F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48FD"/>
    <w:rPr>
      <w:rFonts w:ascii="Segoe UI" w:eastAsia="Calibri" w:hAnsi="Segoe UI" w:cs="Segoe UI"/>
      <w:sz w:val="18"/>
      <w:szCs w:val="18"/>
      <w:lang w:val="en-US"/>
    </w:rPr>
  </w:style>
  <w:style w:type="character" w:customStyle="1" w:styleId="Heading1Char">
    <w:name w:val="Heading 1 Char"/>
    <w:basedOn w:val="DefaultParagraphFont"/>
    <w:link w:val="Heading1"/>
    <w:uiPriority w:val="9"/>
    <w:rsid w:val="000963EB"/>
    <w:rPr>
      <w:rFonts w:ascii="Times New Roman" w:eastAsiaTheme="majorEastAsia" w:hAnsi="Times New Roman" w:cstheme="majorBidi"/>
      <w:color w:val="000000" w:themeColor="text1"/>
      <w:sz w:val="24"/>
      <w:szCs w:val="32"/>
      <w:lang w:val="en-US"/>
    </w:rPr>
  </w:style>
  <w:style w:type="paragraph" w:styleId="Header">
    <w:name w:val="header"/>
    <w:basedOn w:val="Normal"/>
    <w:link w:val="HeaderChar"/>
    <w:uiPriority w:val="99"/>
    <w:unhideWhenUsed/>
    <w:rsid w:val="00D265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650C"/>
    <w:rPr>
      <w:rFonts w:ascii="Times New Roman" w:eastAsia="Calibri" w:hAnsi="Times New Roman" w:cs="SimSun"/>
      <w:sz w:val="24"/>
      <w:lang w:val="en-US"/>
    </w:rPr>
  </w:style>
  <w:style w:type="paragraph" w:styleId="Footer">
    <w:name w:val="footer"/>
    <w:basedOn w:val="Normal"/>
    <w:link w:val="FooterChar"/>
    <w:uiPriority w:val="99"/>
    <w:unhideWhenUsed/>
    <w:rsid w:val="00D265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650C"/>
    <w:rPr>
      <w:rFonts w:ascii="Times New Roman" w:eastAsia="Calibri" w:hAnsi="Times New Roman" w:cs="SimSun"/>
      <w:sz w:val="24"/>
      <w:lang w:val="en-US"/>
    </w:rPr>
  </w:style>
  <w:style w:type="paragraph" w:styleId="TOCHeading">
    <w:name w:val="TOC Heading"/>
    <w:basedOn w:val="Heading1"/>
    <w:next w:val="Normal"/>
    <w:uiPriority w:val="39"/>
    <w:unhideWhenUsed/>
    <w:qFormat/>
    <w:rsid w:val="00D2650C"/>
    <w:pPr>
      <w:spacing w:before="240" w:line="259" w:lineRule="auto"/>
      <w:jc w:val="left"/>
      <w:outlineLvl w:val="9"/>
    </w:pPr>
    <w:rPr>
      <w:rFonts w:asciiTheme="majorHAnsi" w:hAnsiTheme="majorHAnsi"/>
      <w:color w:val="2F5496" w:themeColor="accent1" w:themeShade="BF"/>
      <w:sz w:val="32"/>
    </w:rPr>
  </w:style>
  <w:style w:type="paragraph" w:styleId="TOC1">
    <w:name w:val="toc 1"/>
    <w:basedOn w:val="Normal"/>
    <w:next w:val="Normal"/>
    <w:autoRedefine/>
    <w:uiPriority w:val="39"/>
    <w:unhideWhenUsed/>
    <w:rsid w:val="00D2650C"/>
    <w:pPr>
      <w:spacing w:after="100"/>
    </w:pPr>
  </w:style>
  <w:style w:type="paragraph" w:styleId="ListParagraph">
    <w:name w:val="List Paragraph"/>
    <w:basedOn w:val="Normal"/>
    <w:uiPriority w:val="34"/>
    <w:qFormat/>
    <w:rsid w:val="00D22ABB"/>
    <w:pPr>
      <w:ind w:left="720"/>
      <w:contextualSpacing/>
    </w:pPr>
  </w:style>
  <w:style w:type="character" w:styleId="LineNumber">
    <w:name w:val="line number"/>
    <w:basedOn w:val="DefaultParagraphFont"/>
    <w:uiPriority w:val="99"/>
    <w:semiHidden/>
    <w:unhideWhenUsed/>
    <w:rsid w:val="00B65095"/>
  </w:style>
  <w:style w:type="character" w:styleId="CommentReference">
    <w:name w:val="annotation reference"/>
    <w:basedOn w:val="DefaultParagraphFont"/>
    <w:uiPriority w:val="99"/>
    <w:rsid w:val="00F60DF8"/>
    <w:rPr>
      <w:sz w:val="16"/>
      <w:szCs w:val="16"/>
    </w:rPr>
  </w:style>
  <w:style w:type="paragraph" w:styleId="CommentText">
    <w:name w:val="annotation text"/>
    <w:basedOn w:val="Normal"/>
    <w:link w:val="CommentTextChar"/>
    <w:uiPriority w:val="99"/>
    <w:rsid w:val="00F60DF8"/>
    <w:pPr>
      <w:spacing w:after="0" w:line="240" w:lineRule="auto"/>
    </w:pPr>
    <w:rPr>
      <w:sz w:val="20"/>
      <w:szCs w:val="20"/>
    </w:rPr>
  </w:style>
  <w:style w:type="character" w:customStyle="1" w:styleId="CommentTextChar">
    <w:name w:val="Comment Text Char"/>
    <w:basedOn w:val="DefaultParagraphFont"/>
    <w:link w:val="CommentText"/>
    <w:uiPriority w:val="99"/>
    <w:rsid w:val="00F60DF8"/>
    <w:rPr>
      <w:rFonts w:ascii="Times New Roman" w:eastAsia="Calibri" w:hAnsi="Times New Roman" w:cs="SimSun"/>
      <w:sz w:val="20"/>
      <w:szCs w:val="20"/>
      <w:lang w:val="en-US"/>
    </w:rPr>
  </w:style>
  <w:style w:type="table" w:customStyle="1" w:styleId="TableGrid2">
    <w:name w:val="Table Grid2"/>
    <w:basedOn w:val="TableNormal"/>
    <w:next w:val="TableGrid"/>
    <w:uiPriority w:val="39"/>
    <w:rsid w:val="00F60DF8"/>
    <w:pPr>
      <w:spacing w:after="0" w:line="240" w:lineRule="auto"/>
    </w:pPr>
    <w:rPr>
      <w:rFonts w:ascii="Calibri" w:eastAsia="Calibri"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2B368F"/>
    <w:pPr>
      <w:spacing w:after="0" w:line="240" w:lineRule="auto"/>
    </w:pPr>
    <w:rPr>
      <w:rFonts w:ascii="Calibri" w:eastAsia="Calibri"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855FF1"/>
    <w:pPr>
      <w:spacing w:after="0" w:line="240" w:lineRule="auto"/>
    </w:pPr>
    <w:rPr>
      <w:rFonts w:ascii="Calibri" w:eastAsia="Calibri"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C7122D"/>
    <w:pPr>
      <w:spacing w:after="240"/>
    </w:pPr>
    <w:rPr>
      <w:b/>
      <w:bCs/>
    </w:rPr>
  </w:style>
  <w:style w:type="character" w:customStyle="1" w:styleId="CommentSubjectChar">
    <w:name w:val="Comment Subject Char"/>
    <w:basedOn w:val="CommentTextChar"/>
    <w:link w:val="CommentSubject"/>
    <w:uiPriority w:val="99"/>
    <w:semiHidden/>
    <w:rsid w:val="00C7122D"/>
    <w:rPr>
      <w:rFonts w:ascii="Times New Roman" w:eastAsia="Calibri" w:hAnsi="Times New Roman" w:cs="SimSun"/>
      <w:b/>
      <w:bCs/>
      <w:sz w:val="20"/>
      <w:szCs w:val="20"/>
      <w:lang w:val="en-US"/>
    </w:rPr>
  </w:style>
  <w:style w:type="paragraph" w:styleId="Revision">
    <w:name w:val="Revision"/>
    <w:hidden/>
    <w:uiPriority w:val="99"/>
    <w:semiHidden/>
    <w:rsid w:val="004A59CA"/>
    <w:pPr>
      <w:spacing w:after="0" w:line="240" w:lineRule="auto"/>
    </w:pPr>
    <w:rPr>
      <w:rFonts w:ascii="Times New Roman" w:eastAsia="Calibri" w:hAnsi="Times New Roman" w:cs="SimSun"/>
      <w:sz w:val="24"/>
      <w:lang w:val="en-US"/>
    </w:rPr>
  </w:style>
  <w:style w:type="table" w:customStyle="1" w:styleId="TableGrid11">
    <w:name w:val="Table Grid11"/>
    <w:basedOn w:val="TableNormal"/>
    <w:next w:val="TableGrid"/>
    <w:uiPriority w:val="39"/>
    <w:rsid w:val="00FF6451"/>
    <w:pPr>
      <w:spacing w:after="0" w:line="240" w:lineRule="auto"/>
    </w:pPr>
    <w:rPr>
      <w:rFonts w:ascii="Calibri" w:eastAsia="Calibri" w:hAnsi="Calibri" w:cs="Times New Roman"/>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932227">
      <w:bodyDiv w:val="1"/>
      <w:marLeft w:val="0"/>
      <w:marRight w:val="0"/>
      <w:marTop w:val="0"/>
      <w:marBottom w:val="0"/>
      <w:divBdr>
        <w:top w:val="none" w:sz="0" w:space="0" w:color="auto"/>
        <w:left w:val="none" w:sz="0" w:space="0" w:color="auto"/>
        <w:bottom w:val="none" w:sz="0" w:space="0" w:color="auto"/>
        <w:right w:val="none" w:sz="0" w:space="0" w:color="auto"/>
      </w:divBdr>
    </w:div>
    <w:div w:id="439565981">
      <w:bodyDiv w:val="1"/>
      <w:marLeft w:val="0"/>
      <w:marRight w:val="0"/>
      <w:marTop w:val="0"/>
      <w:marBottom w:val="0"/>
      <w:divBdr>
        <w:top w:val="none" w:sz="0" w:space="0" w:color="auto"/>
        <w:left w:val="none" w:sz="0" w:space="0" w:color="auto"/>
        <w:bottom w:val="none" w:sz="0" w:space="0" w:color="auto"/>
        <w:right w:val="none" w:sz="0" w:space="0" w:color="auto"/>
      </w:divBdr>
    </w:div>
    <w:div w:id="535505653">
      <w:bodyDiv w:val="1"/>
      <w:marLeft w:val="0"/>
      <w:marRight w:val="0"/>
      <w:marTop w:val="0"/>
      <w:marBottom w:val="0"/>
      <w:divBdr>
        <w:top w:val="none" w:sz="0" w:space="0" w:color="auto"/>
        <w:left w:val="none" w:sz="0" w:space="0" w:color="auto"/>
        <w:bottom w:val="none" w:sz="0" w:space="0" w:color="auto"/>
        <w:right w:val="none" w:sz="0" w:space="0" w:color="auto"/>
      </w:divBdr>
    </w:div>
    <w:div w:id="579683056">
      <w:bodyDiv w:val="1"/>
      <w:marLeft w:val="0"/>
      <w:marRight w:val="0"/>
      <w:marTop w:val="0"/>
      <w:marBottom w:val="0"/>
      <w:divBdr>
        <w:top w:val="none" w:sz="0" w:space="0" w:color="auto"/>
        <w:left w:val="none" w:sz="0" w:space="0" w:color="auto"/>
        <w:bottom w:val="none" w:sz="0" w:space="0" w:color="auto"/>
        <w:right w:val="none" w:sz="0" w:space="0" w:color="auto"/>
      </w:divBdr>
    </w:div>
    <w:div w:id="659308303">
      <w:bodyDiv w:val="1"/>
      <w:marLeft w:val="0"/>
      <w:marRight w:val="0"/>
      <w:marTop w:val="0"/>
      <w:marBottom w:val="0"/>
      <w:divBdr>
        <w:top w:val="none" w:sz="0" w:space="0" w:color="auto"/>
        <w:left w:val="none" w:sz="0" w:space="0" w:color="auto"/>
        <w:bottom w:val="none" w:sz="0" w:space="0" w:color="auto"/>
        <w:right w:val="none" w:sz="0" w:space="0" w:color="auto"/>
      </w:divBdr>
    </w:div>
    <w:div w:id="816803849">
      <w:bodyDiv w:val="1"/>
      <w:marLeft w:val="0"/>
      <w:marRight w:val="0"/>
      <w:marTop w:val="0"/>
      <w:marBottom w:val="0"/>
      <w:divBdr>
        <w:top w:val="none" w:sz="0" w:space="0" w:color="auto"/>
        <w:left w:val="none" w:sz="0" w:space="0" w:color="auto"/>
        <w:bottom w:val="none" w:sz="0" w:space="0" w:color="auto"/>
        <w:right w:val="none" w:sz="0" w:space="0" w:color="auto"/>
      </w:divBdr>
    </w:div>
    <w:div w:id="1051685757">
      <w:bodyDiv w:val="1"/>
      <w:marLeft w:val="0"/>
      <w:marRight w:val="0"/>
      <w:marTop w:val="0"/>
      <w:marBottom w:val="0"/>
      <w:divBdr>
        <w:top w:val="none" w:sz="0" w:space="0" w:color="auto"/>
        <w:left w:val="none" w:sz="0" w:space="0" w:color="auto"/>
        <w:bottom w:val="none" w:sz="0" w:space="0" w:color="auto"/>
        <w:right w:val="none" w:sz="0" w:space="0" w:color="auto"/>
      </w:divBdr>
    </w:div>
    <w:div w:id="1438787767">
      <w:bodyDiv w:val="1"/>
      <w:marLeft w:val="0"/>
      <w:marRight w:val="0"/>
      <w:marTop w:val="0"/>
      <w:marBottom w:val="0"/>
      <w:divBdr>
        <w:top w:val="none" w:sz="0" w:space="0" w:color="auto"/>
        <w:left w:val="none" w:sz="0" w:space="0" w:color="auto"/>
        <w:bottom w:val="none" w:sz="0" w:space="0" w:color="auto"/>
        <w:right w:val="none" w:sz="0" w:space="0" w:color="auto"/>
      </w:divBdr>
    </w:div>
    <w:div w:id="1447888006">
      <w:bodyDiv w:val="1"/>
      <w:marLeft w:val="0"/>
      <w:marRight w:val="0"/>
      <w:marTop w:val="0"/>
      <w:marBottom w:val="0"/>
      <w:divBdr>
        <w:top w:val="none" w:sz="0" w:space="0" w:color="auto"/>
        <w:left w:val="none" w:sz="0" w:space="0" w:color="auto"/>
        <w:bottom w:val="none" w:sz="0" w:space="0" w:color="auto"/>
        <w:right w:val="none" w:sz="0" w:space="0" w:color="auto"/>
      </w:divBdr>
    </w:div>
    <w:div w:id="1567303138">
      <w:bodyDiv w:val="1"/>
      <w:marLeft w:val="0"/>
      <w:marRight w:val="0"/>
      <w:marTop w:val="0"/>
      <w:marBottom w:val="0"/>
      <w:divBdr>
        <w:top w:val="none" w:sz="0" w:space="0" w:color="auto"/>
        <w:left w:val="none" w:sz="0" w:space="0" w:color="auto"/>
        <w:bottom w:val="none" w:sz="0" w:space="0" w:color="auto"/>
        <w:right w:val="none" w:sz="0" w:space="0" w:color="auto"/>
      </w:divBdr>
    </w:div>
    <w:div w:id="1582444841">
      <w:bodyDiv w:val="1"/>
      <w:marLeft w:val="0"/>
      <w:marRight w:val="0"/>
      <w:marTop w:val="0"/>
      <w:marBottom w:val="0"/>
      <w:divBdr>
        <w:top w:val="none" w:sz="0" w:space="0" w:color="auto"/>
        <w:left w:val="none" w:sz="0" w:space="0" w:color="auto"/>
        <w:bottom w:val="none" w:sz="0" w:space="0" w:color="auto"/>
        <w:right w:val="none" w:sz="0" w:space="0" w:color="auto"/>
      </w:divBdr>
    </w:div>
    <w:div w:id="1813281149">
      <w:bodyDiv w:val="1"/>
      <w:marLeft w:val="0"/>
      <w:marRight w:val="0"/>
      <w:marTop w:val="0"/>
      <w:marBottom w:val="0"/>
      <w:divBdr>
        <w:top w:val="none" w:sz="0" w:space="0" w:color="auto"/>
        <w:left w:val="none" w:sz="0" w:space="0" w:color="auto"/>
        <w:bottom w:val="none" w:sz="0" w:space="0" w:color="auto"/>
        <w:right w:val="none" w:sz="0" w:space="0" w:color="auto"/>
      </w:divBdr>
    </w:div>
    <w:div w:id="2040079188">
      <w:bodyDiv w:val="1"/>
      <w:marLeft w:val="0"/>
      <w:marRight w:val="0"/>
      <w:marTop w:val="0"/>
      <w:marBottom w:val="0"/>
      <w:divBdr>
        <w:top w:val="none" w:sz="0" w:space="0" w:color="auto"/>
        <w:left w:val="none" w:sz="0" w:space="0" w:color="auto"/>
        <w:bottom w:val="none" w:sz="0" w:space="0" w:color="auto"/>
        <w:right w:val="none" w:sz="0" w:space="0" w:color="auto"/>
      </w:divBdr>
    </w:div>
    <w:div w:id="2101441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laney@umbc.ed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ndrasis@clri.res.in"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sciencedirect.com/topics/chemical-engineering/acridine" TargetMode="Externa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FAB87D-3E92-4EAC-A41F-D10E70DE7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32</Pages>
  <Words>57929</Words>
  <Characters>330199</Characters>
  <Application>Microsoft Office Word</Application>
  <DocSecurity>0</DocSecurity>
  <Lines>2751</Lines>
  <Paragraphs>774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Indrasis Das</dc:creator>
  <cp:keywords/>
  <dc:description/>
  <cp:lastModifiedBy>Indrasis Das</cp:lastModifiedBy>
  <cp:revision>9</cp:revision>
  <dcterms:created xsi:type="dcterms:W3CDTF">2022-05-02T09:24:00Z</dcterms:created>
  <dcterms:modified xsi:type="dcterms:W3CDTF">2022-05-15T16:56:00Z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c9dd4a38-d5f9-34a1-9c60-d6e9e43fa134</vt:lpwstr>
  </property>
  <property fmtid="{D5CDD505-2E9C-101B-9397-08002B2CF9AE}" pid="4" name="Mendeley Citation Style_1">
    <vt:lpwstr>http://www.zotero.org/styles/journal-of-environmental-management</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 6th edition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http://www.zotero.org/styles/environmental-science-and-pollution-research</vt:lpwstr>
  </property>
  <property fmtid="{D5CDD505-2E9C-101B-9397-08002B2CF9AE}" pid="14" name="Mendeley Recent Style Name 4_1">
    <vt:lpwstr>Environmental Science and Pollution Research</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http://www.zotero.org/styles/journal-of-environmental-chemical-engineering</vt:lpwstr>
  </property>
  <property fmtid="{D5CDD505-2E9C-101B-9397-08002B2CF9AE}" pid="18" name="Mendeley Recent Style Name 6_1">
    <vt:lpwstr>Journal of Environmental Chemical Engineering</vt:lpwstr>
  </property>
  <property fmtid="{D5CDD505-2E9C-101B-9397-08002B2CF9AE}" pid="19" name="Mendeley Recent Style Id 7_1">
    <vt:lpwstr>http://www.zotero.org/styles/journal-of-environmental-management</vt:lpwstr>
  </property>
  <property fmtid="{D5CDD505-2E9C-101B-9397-08002B2CF9AE}" pid="20" name="Mendeley Recent Style Name 7_1">
    <vt:lpwstr>Journal of Environmental Management</vt:lpwstr>
  </property>
  <property fmtid="{D5CDD505-2E9C-101B-9397-08002B2CF9AE}" pid="21" name="Mendeley Recent Style Id 8_1">
    <vt:lpwstr>http://www.zotero.org/styles/journal-of-water-process-engineering</vt:lpwstr>
  </property>
  <property fmtid="{D5CDD505-2E9C-101B-9397-08002B2CF9AE}" pid="22" name="Mendeley Recent Style Name 8_1">
    <vt:lpwstr>Journal of Water Process Engineering</vt:lpwstr>
  </property>
  <property fmtid="{D5CDD505-2E9C-101B-9397-08002B2CF9AE}" pid="23" name="Mendeley Recent Style Id 9_1">
    <vt:lpwstr>http://www.zotero.org/styles/modern-humanities-research-association</vt:lpwstr>
  </property>
  <property fmtid="{D5CDD505-2E9C-101B-9397-08002B2CF9AE}" pid="24" name="Mendeley Recent Style Name 9_1">
    <vt:lpwstr>Modern Humanities Research Association 3rd edition (note with bibliography)</vt:lpwstr>
  </property>
</Properties>
</file>