
<file path=[Content_Types].xml><?xml version="1.0" encoding="utf-8"?>
<Types xmlns="http://schemas.openxmlformats.org/package/2006/content-types">
  <Default Extension="emf" ContentType="image/x-emf"/>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912BD0" w14:textId="77777777" w:rsidR="00C63ED1" w:rsidRPr="006C1E51" w:rsidRDefault="00C63ED1" w:rsidP="00775270">
      <w:pPr>
        <w:spacing w:line="480" w:lineRule="auto"/>
        <w:jc w:val="center"/>
        <w:rPr>
          <w:rFonts w:ascii="Times New Roman" w:hAnsi="Times New Roman" w:cs="Times New Roman"/>
          <w:b/>
          <w:bCs/>
          <w:sz w:val="24"/>
          <w:szCs w:val="24"/>
          <w:u w:val="single"/>
        </w:rPr>
      </w:pPr>
      <w:bookmarkStart w:id="0" w:name="_lzjmxl1uqz6m" w:colFirst="0" w:colLast="0"/>
      <w:bookmarkEnd w:id="0"/>
    </w:p>
    <w:p w14:paraId="75919045" w14:textId="77777777" w:rsidR="00C63ED1" w:rsidRPr="006C1E51" w:rsidRDefault="00C63ED1" w:rsidP="00775270">
      <w:pPr>
        <w:spacing w:line="480" w:lineRule="auto"/>
        <w:jc w:val="center"/>
        <w:rPr>
          <w:rFonts w:ascii="Times New Roman" w:hAnsi="Times New Roman" w:cs="Times New Roman"/>
          <w:b/>
          <w:bCs/>
          <w:sz w:val="24"/>
          <w:szCs w:val="24"/>
          <w:u w:val="single"/>
        </w:rPr>
      </w:pPr>
      <w:r w:rsidRPr="006C1E51">
        <w:rPr>
          <w:rFonts w:ascii="Times New Roman" w:hAnsi="Times New Roman" w:cs="Times New Roman"/>
          <w:b/>
          <w:bCs/>
          <w:sz w:val="24"/>
          <w:szCs w:val="24"/>
          <w:u w:val="single"/>
        </w:rPr>
        <w:t>ABSTRACT</w:t>
      </w:r>
    </w:p>
    <w:p w14:paraId="135DA021" w14:textId="77777777" w:rsidR="00C63ED1" w:rsidRPr="006C1E51" w:rsidRDefault="00C63ED1" w:rsidP="00775270">
      <w:pPr>
        <w:spacing w:line="480" w:lineRule="auto"/>
        <w:jc w:val="center"/>
        <w:rPr>
          <w:rFonts w:ascii="Times New Roman" w:hAnsi="Times New Roman" w:cs="Times New Roman"/>
          <w:b/>
          <w:bCs/>
          <w:sz w:val="24"/>
          <w:szCs w:val="24"/>
          <w:u w:val="single"/>
        </w:rPr>
      </w:pPr>
    </w:p>
    <w:p w14:paraId="20F609BA" w14:textId="18F1AA29" w:rsidR="00C63ED1" w:rsidRPr="006C1E51" w:rsidRDefault="00C63ED1" w:rsidP="00775270">
      <w:pPr>
        <w:spacing w:after="240" w:line="480" w:lineRule="auto"/>
        <w:ind w:left="3600" w:hanging="3600"/>
        <w:rPr>
          <w:rFonts w:ascii="Times New Roman" w:hAnsi="Times New Roman" w:cs="Times New Roman"/>
          <w:sz w:val="24"/>
          <w:szCs w:val="24"/>
        </w:rPr>
      </w:pPr>
      <w:r w:rsidRPr="006C1E51">
        <w:rPr>
          <w:rFonts w:ascii="Times New Roman" w:hAnsi="Times New Roman" w:cs="Times New Roman"/>
          <w:sz w:val="24"/>
          <w:szCs w:val="24"/>
        </w:rPr>
        <w:t xml:space="preserve">Title of Thesis: </w:t>
      </w:r>
      <w:r w:rsidRPr="006C1E51">
        <w:rPr>
          <w:rFonts w:ascii="Times New Roman" w:hAnsi="Times New Roman" w:cs="Times New Roman"/>
          <w:sz w:val="24"/>
          <w:szCs w:val="24"/>
        </w:rPr>
        <w:tab/>
      </w:r>
      <w:r w:rsidRPr="006C1E51">
        <w:rPr>
          <w:rFonts w:ascii="Times New Roman" w:hAnsi="Times New Roman" w:cs="Times New Roman"/>
          <w:sz w:val="24"/>
          <w:szCs w:val="24"/>
        </w:rPr>
        <w:t>Cooperative Heritage Communities: A Framework for Community-Led Preservation in Rural Black America</w:t>
      </w:r>
    </w:p>
    <w:p w14:paraId="19DFF678" w14:textId="61AD5488" w:rsidR="00C63ED1" w:rsidRPr="006C1E51" w:rsidRDefault="00C63ED1" w:rsidP="00775270">
      <w:p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 xml:space="preserve">Degree Candidate: </w:t>
      </w:r>
      <w:r w:rsidRPr="006C1E51">
        <w:rPr>
          <w:rFonts w:ascii="Times New Roman" w:hAnsi="Times New Roman" w:cs="Times New Roman"/>
          <w:sz w:val="24"/>
          <w:szCs w:val="24"/>
        </w:rPr>
        <w:tab/>
      </w:r>
      <w:r w:rsidRPr="006C1E51">
        <w:rPr>
          <w:rFonts w:ascii="Times New Roman" w:hAnsi="Times New Roman" w:cs="Times New Roman"/>
          <w:sz w:val="24"/>
          <w:szCs w:val="24"/>
        </w:rPr>
        <w:tab/>
      </w:r>
      <w:r w:rsidRPr="006C1E51">
        <w:rPr>
          <w:rFonts w:ascii="Times New Roman" w:hAnsi="Times New Roman" w:cs="Times New Roman"/>
          <w:sz w:val="24"/>
          <w:szCs w:val="24"/>
        </w:rPr>
        <w:tab/>
        <w:t>Darius Johnson</w:t>
      </w:r>
    </w:p>
    <w:p w14:paraId="3FFF2186" w14:textId="2510BBA8" w:rsidR="00C63ED1" w:rsidRPr="006C1E51" w:rsidRDefault="00C63ED1" w:rsidP="00775270">
      <w:p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 xml:space="preserve">Degree and Year: </w:t>
      </w:r>
      <w:r w:rsidRPr="006C1E51">
        <w:rPr>
          <w:rFonts w:ascii="Times New Roman" w:hAnsi="Times New Roman" w:cs="Times New Roman"/>
          <w:sz w:val="24"/>
          <w:szCs w:val="24"/>
        </w:rPr>
        <w:tab/>
      </w:r>
      <w:r w:rsidRPr="006C1E51">
        <w:rPr>
          <w:rFonts w:ascii="Times New Roman" w:hAnsi="Times New Roman" w:cs="Times New Roman"/>
          <w:sz w:val="24"/>
          <w:szCs w:val="24"/>
        </w:rPr>
        <w:tab/>
      </w:r>
      <w:r w:rsidRPr="006C1E51">
        <w:rPr>
          <w:rFonts w:ascii="Times New Roman" w:hAnsi="Times New Roman" w:cs="Times New Roman"/>
          <w:sz w:val="24"/>
          <w:szCs w:val="24"/>
        </w:rPr>
        <w:tab/>
      </w:r>
      <w:r w:rsidRPr="006C1E51">
        <w:rPr>
          <w:rFonts w:ascii="Times New Roman" w:hAnsi="Times New Roman" w:cs="Times New Roman"/>
          <w:sz w:val="24"/>
          <w:szCs w:val="24"/>
        </w:rPr>
        <w:t>Master of Arts in Historic Preservation, 202</w:t>
      </w:r>
      <w:r w:rsidRPr="006C1E51">
        <w:rPr>
          <w:rFonts w:ascii="Times New Roman" w:hAnsi="Times New Roman" w:cs="Times New Roman"/>
          <w:sz w:val="24"/>
          <w:szCs w:val="24"/>
        </w:rPr>
        <w:t>6</w:t>
      </w:r>
    </w:p>
    <w:p w14:paraId="39B5F9E8" w14:textId="7867638D" w:rsidR="00C63ED1" w:rsidRPr="006C1E51" w:rsidRDefault="00C63ED1" w:rsidP="00775270">
      <w:p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 xml:space="preserve">Thesis Directed by: </w:t>
      </w:r>
      <w:r w:rsidRPr="006C1E51">
        <w:rPr>
          <w:rFonts w:ascii="Times New Roman" w:hAnsi="Times New Roman" w:cs="Times New Roman"/>
          <w:sz w:val="24"/>
          <w:szCs w:val="24"/>
        </w:rPr>
        <w:tab/>
      </w:r>
      <w:r w:rsidRPr="006C1E51">
        <w:rPr>
          <w:rFonts w:ascii="Times New Roman" w:hAnsi="Times New Roman" w:cs="Times New Roman"/>
          <w:sz w:val="24"/>
          <w:szCs w:val="24"/>
        </w:rPr>
        <w:tab/>
      </w:r>
      <w:r w:rsidRPr="006C1E51">
        <w:rPr>
          <w:rFonts w:ascii="Times New Roman" w:hAnsi="Times New Roman" w:cs="Times New Roman"/>
          <w:sz w:val="24"/>
          <w:szCs w:val="24"/>
        </w:rPr>
        <w:tab/>
      </w:r>
      <w:r w:rsidRPr="006C1E51">
        <w:rPr>
          <w:rFonts w:ascii="Times New Roman" w:hAnsi="Times New Roman" w:cs="Times New Roman"/>
          <w:sz w:val="24"/>
          <w:szCs w:val="24"/>
        </w:rPr>
        <w:t>Dr. Betsy Bradley</w:t>
      </w:r>
    </w:p>
    <w:p w14:paraId="15410629" w14:textId="77777777" w:rsidR="00C63ED1" w:rsidRPr="006C1E51" w:rsidRDefault="00C63ED1" w:rsidP="00775270">
      <w:pPr>
        <w:spacing w:after="240" w:line="480" w:lineRule="auto"/>
        <w:ind w:left="2880" w:firstLine="720"/>
        <w:rPr>
          <w:rFonts w:ascii="Times New Roman" w:hAnsi="Times New Roman" w:cs="Times New Roman"/>
          <w:sz w:val="24"/>
          <w:szCs w:val="24"/>
        </w:rPr>
      </w:pPr>
      <w:r w:rsidRPr="006C1E51">
        <w:rPr>
          <w:rFonts w:ascii="Times New Roman" w:hAnsi="Times New Roman" w:cs="Times New Roman"/>
          <w:sz w:val="24"/>
          <w:szCs w:val="24"/>
        </w:rPr>
        <w:t>Welch Center for Graduate and Professional Studies</w:t>
      </w:r>
    </w:p>
    <w:p w14:paraId="2CBCC7A4" w14:textId="7A96144E" w:rsidR="00C63ED1" w:rsidRPr="006C1E51" w:rsidRDefault="00C63ED1" w:rsidP="00775270">
      <w:pPr>
        <w:spacing w:line="480" w:lineRule="auto"/>
        <w:ind w:left="2880" w:firstLine="720"/>
        <w:rPr>
          <w:rFonts w:ascii="Times New Roman" w:hAnsi="Times New Roman" w:cs="Times New Roman"/>
          <w:sz w:val="24"/>
          <w:szCs w:val="24"/>
        </w:rPr>
      </w:pPr>
      <w:r w:rsidRPr="006C1E51">
        <w:rPr>
          <w:rFonts w:ascii="Times New Roman" w:hAnsi="Times New Roman" w:cs="Times New Roman"/>
          <w:sz w:val="24"/>
          <w:szCs w:val="24"/>
        </w:rPr>
        <w:t>Goucher College</w:t>
      </w:r>
    </w:p>
    <w:p w14:paraId="72BEFAB4" w14:textId="77777777" w:rsidR="00C63ED1" w:rsidRPr="006C1E51" w:rsidRDefault="00C63ED1" w:rsidP="00775270">
      <w:pPr>
        <w:spacing w:line="480" w:lineRule="auto"/>
        <w:rPr>
          <w:rFonts w:ascii="Times New Roman" w:hAnsi="Times New Roman" w:cs="Times New Roman"/>
          <w:b/>
          <w:bCs/>
          <w:sz w:val="24"/>
          <w:szCs w:val="24"/>
          <w:u w:val="single"/>
        </w:rPr>
      </w:pPr>
    </w:p>
    <w:p w14:paraId="163310E6" w14:textId="011D4D22" w:rsidR="00C63ED1" w:rsidRPr="006C1E51" w:rsidRDefault="00C63ED1"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Across the United States, African American communities are celebrated in heritage interpretation while simultaneously facing displacement, population decline, and institutional erosion. Preservation policy measures success through heritage tourism revenue, property values, and architectural integrity—metrics that rarely translate into community stability or descendant empowerment. This study argues that heritage preservation is incomplete without community </w:t>
      </w:r>
      <w:r w:rsidR="00775270" w:rsidRPr="006C1E51">
        <w:rPr>
          <w:rFonts w:ascii="Times New Roman" w:hAnsi="Times New Roman" w:cs="Times New Roman"/>
          <w:sz w:val="24"/>
          <w:szCs w:val="24"/>
        </w:rPr>
        <w:t>survival and</w:t>
      </w:r>
      <w:r w:rsidRPr="006C1E51">
        <w:rPr>
          <w:rFonts w:ascii="Times New Roman" w:hAnsi="Times New Roman" w:cs="Times New Roman"/>
          <w:sz w:val="24"/>
          <w:szCs w:val="24"/>
        </w:rPr>
        <w:t xml:space="preserve"> introduces Cooperative Heritage Communities (CHCs) as a framework for aligning cultural stewardship with community well-being.</w:t>
      </w:r>
    </w:p>
    <w:p w14:paraId="401BF722" w14:textId="77777777" w:rsidR="00C63ED1" w:rsidRPr="006C1E51" w:rsidRDefault="00C63ED1"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CHCs are not organizations to build or programs to fund—they are a mindset and practice grounded in principles of shared experience, collective ownership, democratic </w:t>
      </w:r>
      <w:r w:rsidRPr="006C1E51">
        <w:rPr>
          <w:rFonts w:ascii="Times New Roman" w:hAnsi="Times New Roman" w:cs="Times New Roman"/>
          <w:sz w:val="24"/>
          <w:szCs w:val="24"/>
        </w:rPr>
        <w:lastRenderedPageBreak/>
        <w:t>governance, community resource building, equity and justice orientation, and shared language and trust. Drawing on African American traditions of mutual aid, collective ownership, and democratic governance, the CHC framework guides communities in recognizing their existing heritage work as cooperative practice and provides tools to formalize, strengthen, and sustain it. Through this lens, communities can pool resources for cemetery restoration, stabilize family land through revolving funds, establish community-sanctioned development agreements, and build intergenerational preservation capacity by organizing what already exists around principles of cooperation and shared stewardship.</w:t>
      </w:r>
    </w:p>
    <w:p w14:paraId="0BE4BA4E" w14:textId="0D47E556" w:rsidR="00C63ED1" w:rsidRPr="006C1E51" w:rsidRDefault="00C63ED1" w:rsidP="00595FAC">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This framework emerges from moral, structural, and policy challenges observed on Maryland's Eastern Shore</w:t>
      </w:r>
      <w:r w:rsidR="00595FAC" w:rsidRPr="006C1E51">
        <w:rPr>
          <w:rFonts w:ascii="Times New Roman" w:hAnsi="Times New Roman" w:cs="Times New Roman"/>
          <w:sz w:val="24"/>
          <w:szCs w:val="24"/>
        </w:rPr>
        <w:t>, by the author—</w:t>
      </w:r>
      <w:r w:rsidRPr="006C1E51">
        <w:rPr>
          <w:rFonts w:ascii="Times New Roman" w:hAnsi="Times New Roman" w:cs="Times New Roman"/>
          <w:sz w:val="24"/>
          <w:szCs w:val="24"/>
        </w:rPr>
        <w:t xml:space="preserve">challenges that mirror national trends: rural Black population decline, fragile community institutions, uneven development pressures, heirs' property vulnerabilities, and preservation systems that privilege architectural significance while overlooking cultural and cooperative significance. Through PESTLE analysis of preservation's external forces, case studies of cooperative heritage practice, and a scenario-building exercise set in a rural Black settlement, this </w:t>
      </w:r>
      <w:r w:rsidR="00595FAC" w:rsidRPr="006C1E51">
        <w:rPr>
          <w:rFonts w:ascii="Times New Roman" w:hAnsi="Times New Roman" w:cs="Times New Roman"/>
          <w:sz w:val="24"/>
          <w:szCs w:val="24"/>
        </w:rPr>
        <w:t>study</w:t>
      </w:r>
      <w:r w:rsidRPr="006C1E51">
        <w:rPr>
          <w:rFonts w:ascii="Times New Roman" w:hAnsi="Times New Roman" w:cs="Times New Roman"/>
          <w:sz w:val="24"/>
          <w:szCs w:val="24"/>
        </w:rPr>
        <w:t xml:space="preserve"> demonstrates how cooperative economics and heritage communities of practice converge to create sustainable, justice-oriented preservation models.</w:t>
      </w:r>
    </w:p>
    <w:p w14:paraId="60CC0BD7" w14:textId="77777777" w:rsidR="00C63ED1" w:rsidRPr="006C1E51" w:rsidRDefault="00C63ED1"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study contributes a replicable framework grounded in theory and practice, offering preservationists, community organizers, and policymakers a pathway to reorient heritage work from extractive storytelling toward community-centered stewardship. In rural Black communities where land, memory, and belonging are inseparable, CHCs offer a way to ensure that preservation sustains not only sites and stories, but the people, places, and futures those sites represent. The study culminates in a scenario set in Butlertown, Maryland, demonstrating how </w:t>
      </w:r>
      <w:r w:rsidRPr="006C1E51">
        <w:rPr>
          <w:rFonts w:ascii="Times New Roman" w:hAnsi="Times New Roman" w:cs="Times New Roman"/>
          <w:sz w:val="24"/>
          <w:szCs w:val="24"/>
        </w:rPr>
        <w:lastRenderedPageBreak/>
        <w:t>CHC principles translate into practice through a community-governed revolving fund that prevents land loss and maintains cultural continuity.</w:t>
      </w:r>
    </w:p>
    <w:p w14:paraId="0EEF1837" w14:textId="7FBBB980" w:rsidR="00C63ED1" w:rsidRPr="006C1E51" w:rsidRDefault="00C63ED1"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Future research should test CHC implementation across diverse geographic and cultural contexts while developing metrics that center community-defined measures of preservation success</w:t>
      </w:r>
      <w:r w:rsidR="00296B18">
        <w:rPr>
          <w:rFonts w:ascii="Times New Roman" w:hAnsi="Times New Roman" w:cs="Times New Roman"/>
          <w:sz w:val="24"/>
          <w:szCs w:val="24"/>
        </w:rPr>
        <w:t>.</w:t>
      </w:r>
    </w:p>
    <w:p w14:paraId="137784E8" w14:textId="3647A447" w:rsidR="00781A6F" w:rsidRPr="006C1E51" w:rsidRDefault="00C63ED1" w:rsidP="00775270">
      <w:pPr>
        <w:spacing w:before="240" w:after="240" w:line="480" w:lineRule="auto"/>
        <w:rPr>
          <w:rFonts w:ascii="Times New Roman" w:hAnsi="Times New Roman" w:cs="Times New Roman"/>
          <w:sz w:val="24"/>
          <w:szCs w:val="24"/>
        </w:rPr>
      </w:pPr>
      <w:r w:rsidRPr="006C1E51">
        <w:rPr>
          <w:rFonts w:ascii="Times New Roman" w:hAnsi="Times New Roman" w:cs="Times New Roman"/>
          <w:sz w:val="24"/>
          <w:szCs w:val="24"/>
        </w:rPr>
        <w:t>Key Words: Cooperative Economics, Historic Preservation, Placekeeping, Heritage Justice, African American Heritage, Cultural Landscape, Community Development, Vernacular Landscapes, Eastern Shore, Rural Black Communities, Descendant Communities</w:t>
      </w:r>
      <w:bookmarkStart w:id="1" w:name="_ueborhs44siz" w:colFirst="0" w:colLast="0"/>
      <w:bookmarkEnd w:id="1"/>
    </w:p>
    <w:p w14:paraId="698F3CF6" w14:textId="55190550" w:rsidR="006F6771" w:rsidRPr="006C1E51" w:rsidRDefault="00C63ED1" w:rsidP="00775270">
      <w:pPr>
        <w:spacing w:line="480" w:lineRule="auto"/>
        <w:jc w:val="center"/>
        <w:rPr>
          <w:rFonts w:ascii="Times New Roman" w:hAnsi="Times New Roman" w:cs="Times New Roman"/>
          <w:sz w:val="24"/>
          <w:szCs w:val="24"/>
        </w:rPr>
      </w:pPr>
      <w:r w:rsidRPr="006C1E51">
        <w:rPr>
          <w:rFonts w:ascii="Times New Roman" w:hAnsi="Times New Roman" w:cs="Times New Roman"/>
          <w:sz w:val="24"/>
          <w:szCs w:val="24"/>
        </w:rPr>
        <w:br w:type="page"/>
      </w:r>
      <w:r w:rsidR="006F6771" w:rsidRPr="006C1E51">
        <w:rPr>
          <w:rFonts w:ascii="Times New Roman" w:hAnsi="Times New Roman" w:cs="Times New Roman"/>
          <w:sz w:val="24"/>
          <w:szCs w:val="24"/>
        </w:rPr>
        <w:lastRenderedPageBreak/>
        <w:t>Cooperative Heritage Communities: A Framework for Community-Led Preservation in Rural Black America</w:t>
      </w:r>
    </w:p>
    <w:p w14:paraId="73C53324" w14:textId="77777777" w:rsidR="00486520" w:rsidRPr="006C1E51" w:rsidRDefault="00486520" w:rsidP="00775270">
      <w:pPr>
        <w:pStyle w:val="Subtitle"/>
        <w:spacing w:line="480" w:lineRule="auto"/>
        <w:rPr>
          <w:rFonts w:ascii="Times New Roman" w:hAnsi="Times New Roman" w:cs="Times New Roman"/>
          <w:sz w:val="24"/>
          <w:szCs w:val="24"/>
        </w:rPr>
      </w:pPr>
    </w:p>
    <w:p w14:paraId="09AE2A0C" w14:textId="77777777" w:rsidR="00775270" w:rsidRPr="006C1E51" w:rsidRDefault="00775270" w:rsidP="00775270">
      <w:pPr>
        <w:pStyle w:val="Subtitle"/>
        <w:spacing w:line="480" w:lineRule="auto"/>
        <w:rPr>
          <w:rFonts w:ascii="Times New Roman" w:hAnsi="Times New Roman" w:cs="Times New Roman"/>
          <w:b w:val="0"/>
          <w:bCs w:val="0"/>
          <w:sz w:val="24"/>
          <w:szCs w:val="24"/>
        </w:rPr>
      </w:pPr>
    </w:p>
    <w:p w14:paraId="199C10F8" w14:textId="77777777" w:rsidR="00775270" w:rsidRPr="006C1E51" w:rsidRDefault="00775270" w:rsidP="00775270">
      <w:pPr>
        <w:pStyle w:val="Subtitle"/>
        <w:spacing w:line="480" w:lineRule="auto"/>
        <w:rPr>
          <w:rFonts w:ascii="Times New Roman" w:hAnsi="Times New Roman" w:cs="Times New Roman"/>
          <w:b w:val="0"/>
          <w:bCs w:val="0"/>
          <w:sz w:val="24"/>
          <w:szCs w:val="24"/>
        </w:rPr>
      </w:pPr>
    </w:p>
    <w:p w14:paraId="2AA51AD4" w14:textId="77777777" w:rsidR="00775270" w:rsidRPr="006C1E51" w:rsidRDefault="00775270" w:rsidP="00775270">
      <w:pPr>
        <w:pStyle w:val="Subtitle"/>
        <w:spacing w:line="480" w:lineRule="auto"/>
        <w:rPr>
          <w:rFonts w:ascii="Times New Roman" w:hAnsi="Times New Roman" w:cs="Times New Roman"/>
          <w:b w:val="0"/>
          <w:bCs w:val="0"/>
          <w:sz w:val="24"/>
          <w:szCs w:val="24"/>
        </w:rPr>
      </w:pPr>
    </w:p>
    <w:p w14:paraId="5C1E1C19" w14:textId="77777777" w:rsidR="00775270" w:rsidRPr="006C1E51" w:rsidRDefault="00775270" w:rsidP="00775270">
      <w:pPr>
        <w:pStyle w:val="Subtitle"/>
        <w:spacing w:line="480" w:lineRule="auto"/>
        <w:rPr>
          <w:rFonts w:ascii="Times New Roman" w:hAnsi="Times New Roman" w:cs="Times New Roman"/>
          <w:b w:val="0"/>
          <w:bCs w:val="0"/>
          <w:sz w:val="24"/>
          <w:szCs w:val="24"/>
        </w:rPr>
      </w:pPr>
    </w:p>
    <w:p w14:paraId="58B5A7CD" w14:textId="77777777" w:rsidR="00775270" w:rsidRPr="006C1E51" w:rsidRDefault="00775270" w:rsidP="00775270">
      <w:pPr>
        <w:pStyle w:val="Subtitle"/>
        <w:spacing w:line="480" w:lineRule="auto"/>
        <w:rPr>
          <w:rFonts w:ascii="Times New Roman" w:hAnsi="Times New Roman" w:cs="Times New Roman"/>
          <w:b w:val="0"/>
          <w:bCs w:val="0"/>
          <w:sz w:val="24"/>
          <w:szCs w:val="24"/>
        </w:rPr>
      </w:pPr>
    </w:p>
    <w:p w14:paraId="5132CD51" w14:textId="77777777" w:rsidR="00775270" w:rsidRPr="006C1E51" w:rsidRDefault="00775270" w:rsidP="00775270">
      <w:pPr>
        <w:pStyle w:val="Subtitle"/>
        <w:spacing w:line="480" w:lineRule="auto"/>
        <w:rPr>
          <w:rFonts w:ascii="Times New Roman" w:hAnsi="Times New Roman" w:cs="Times New Roman"/>
          <w:b w:val="0"/>
          <w:bCs w:val="0"/>
          <w:sz w:val="24"/>
          <w:szCs w:val="24"/>
        </w:rPr>
      </w:pPr>
    </w:p>
    <w:p w14:paraId="63631360" w14:textId="4BF355E3" w:rsidR="00781A6F" w:rsidRPr="006C1E51" w:rsidRDefault="00781A6F" w:rsidP="00775270">
      <w:pPr>
        <w:pStyle w:val="Subtitle"/>
        <w:spacing w:line="480" w:lineRule="auto"/>
        <w:rPr>
          <w:rFonts w:ascii="Times New Roman" w:hAnsi="Times New Roman" w:cs="Times New Roman"/>
          <w:b w:val="0"/>
          <w:bCs w:val="0"/>
          <w:sz w:val="24"/>
          <w:szCs w:val="24"/>
        </w:rPr>
      </w:pPr>
      <w:r w:rsidRPr="006C1E51">
        <w:rPr>
          <w:rFonts w:ascii="Times New Roman" w:hAnsi="Times New Roman" w:cs="Times New Roman"/>
          <w:b w:val="0"/>
          <w:bCs w:val="0"/>
          <w:sz w:val="24"/>
          <w:szCs w:val="24"/>
        </w:rPr>
        <w:t>By Darius L. Johnson</w:t>
      </w:r>
    </w:p>
    <w:p w14:paraId="5DD82320" w14:textId="77777777" w:rsidR="00781A6F" w:rsidRPr="006C1E51" w:rsidRDefault="00781A6F" w:rsidP="00775270">
      <w:pPr>
        <w:spacing w:line="480" w:lineRule="auto"/>
        <w:jc w:val="center"/>
        <w:rPr>
          <w:rFonts w:ascii="Times New Roman" w:hAnsi="Times New Roman" w:cs="Times New Roman"/>
          <w:sz w:val="24"/>
          <w:szCs w:val="24"/>
        </w:rPr>
      </w:pPr>
    </w:p>
    <w:p w14:paraId="6FC62DEA" w14:textId="5F461C4F" w:rsidR="00781A6F" w:rsidRPr="006C1E51" w:rsidRDefault="00781A6F" w:rsidP="00775270">
      <w:pPr>
        <w:spacing w:line="480" w:lineRule="auto"/>
        <w:jc w:val="center"/>
        <w:rPr>
          <w:rFonts w:ascii="Times New Roman" w:hAnsi="Times New Roman" w:cs="Times New Roman"/>
          <w:sz w:val="24"/>
          <w:szCs w:val="24"/>
        </w:rPr>
      </w:pPr>
      <w:r w:rsidRPr="006C1E51">
        <w:rPr>
          <w:rFonts w:ascii="Times New Roman" w:hAnsi="Times New Roman" w:cs="Times New Roman"/>
          <w:sz w:val="24"/>
          <w:szCs w:val="24"/>
        </w:rPr>
        <w:t>Master of Arts in Historic Preservation</w:t>
      </w:r>
    </w:p>
    <w:p w14:paraId="04162EDA" w14:textId="6748FE50" w:rsidR="00781A6F" w:rsidRPr="006C1E51" w:rsidRDefault="00781A6F" w:rsidP="00775270">
      <w:pPr>
        <w:spacing w:line="480" w:lineRule="auto"/>
        <w:jc w:val="center"/>
        <w:rPr>
          <w:rFonts w:ascii="Times New Roman" w:hAnsi="Times New Roman" w:cs="Times New Roman"/>
          <w:sz w:val="24"/>
          <w:szCs w:val="24"/>
        </w:rPr>
      </w:pPr>
      <w:r w:rsidRPr="006C1E51">
        <w:rPr>
          <w:rFonts w:ascii="Times New Roman" w:hAnsi="Times New Roman" w:cs="Times New Roman"/>
          <w:sz w:val="24"/>
          <w:szCs w:val="24"/>
        </w:rPr>
        <w:t>Goucher College, Baltimore, Maryland</w:t>
      </w:r>
    </w:p>
    <w:p w14:paraId="252429AC" w14:textId="584EBA18" w:rsidR="00781A6F" w:rsidRPr="006C1E51" w:rsidRDefault="00781A6F" w:rsidP="00775270">
      <w:pPr>
        <w:spacing w:line="480" w:lineRule="auto"/>
        <w:jc w:val="center"/>
        <w:rPr>
          <w:rFonts w:ascii="Times New Roman" w:hAnsi="Times New Roman" w:cs="Times New Roman"/>
          <w:sz w:val="24"/>
          <w:szCs w:val="24"/>
        </w:rPr>
      </w:pPr>
      <w:r w:rsidRPr="006C1E51">
        <w:rPr>
          <w:rFonts w:ascii="Times New Roman" w:hAnsi="Times New Roman" w:cs="Times New Roman"/>
          <w:sz w:val="24"/>
          <w:szCs w:val="24"/>
        </w:rPr>
        <w:t>December 29, 20</w:t>
      </w:r>
      <w:r w:rsidR="00486520" w:rsidRPr="006C1E51">
        <w:rPr>
          <w:rFonts w:ascii="Times New Roman" w:hAnsi="Times New Roman" w:cs="Times New Roman"/>
          <w:sz w:val="24"/>
          <w:szCs w:val="24"/>
        </w:rPr>
        <w:t>25</w:t>
      </w:r>
    </w:p>
    <w:p w14:paraId="4E523EA7" w14:textId="77777777" w:rsidR="00781A6F" w:rsidRPr="006C1E51" w:rsidRDefault="00781A6F" w:rsidP="00775270">
      <w:pPr>
        <w:spacing w:line="480" w:lineRule="auto"/>
        <w:jc w:val="center"/>
        <w:rPr>
          <w:rFonts w:ascii="Times New Roman" w:hAnsi="Times New Roman" w:cs="Times New Roman"/>
          <w:sz w:val="24"/>
          <w:szCs w:val="24"/>
        </w:rPr>
      </w:pPr>
    </w:p>
    <w:p w14:paraId="7A47D0C9" w14:textId="5139229C" w:rsidR="00781A6F" w:rsidRPr="006C1E51" w:rsidRDefault="00781A6F" w:rsidP="00775270">
      <w:pPr>
        <w:spacing w:line="480" w:lineRule="auto"/>
        <w:rPr>
          <w:rFonts w:ascii="Times New Roman" w:hAnsi="Times New Roman" w:cs="Times New Roman"/>
          <w:sz w:val="24"/>
          <w:szCs w:val="24"/>
          <w:u w:val="single"/>
        </w:rPr>
      </w:pPr>
      <w:r w:rsidRPr="006C1E51">
        <w:rPr>
          <w:rFonts w:ascii="Times New Roman" w:hAnsi="Times New Roman" w:cs="Times New Roman"/>
          <w:sz w:val="24"/>
          <w:szCs w:val="24"/>
          <w:u w:val="single"/>
        </w:rPr>
        <w:t>Treatise Committee</w:t>
      </w:r>
      <w:r w:rsidR="00C8725C" w:rsidRPr="006C1E51">
        <w:rPr>
          <w:rFonts w:ascii="Times New Roman" w:hAnsi="Times New Roman" w:cs="Times New Roman"/>
          <w:sz w:val="24"/>
          <w:szCs w:val="24"/>
          <w:u w:val="single"/>
        </w:rPr>
        <w:t>:</w:t>
      </w:r>
    </w:p>
    <w:p w14:paraId="46990DBB" w14:textId="3884D4EB" w:rsidR="00781A6F" w:rsidRPr="006C1E51" w:rsidRDefault="00781A6F" w:rsidP="00775270">
      <w:pPr>
        <w:spacing w:line="480" w:lineRule="auto"/>
        <w:rPr>
          <w:rFonts w:ascii="Times New Roman" w:hAnsi="Times New Roman" w:cs="Times New Roman"/>
          <w:sz w:val="24"/>
          <w:szCs w:val="24"/>
        </w:rPr>
      </w:pPr>
      <w:r w:rsidRPr="006C1E51">
        <w:rPr>
          <w:rFonts w:ascii="Times New Roman" w:hAnsi="Times New Roman" w:cs="Times New Roman"/>
          <w:sz w:val="24"/>
          <w:szCs w:val="24"/>
        </w:rPr>
        <w:t>Dr. Betsy Bradley</w:t>
      </w:r>
    </w:p>
    <w:p w14:paraId="3ACE4B11" w14:textId="7DAF60FF" w:rsidR="00781A6F" w:rsidRPr="006C1E51" w:rsidRDefault="00781A6F" w:rsidP="00775270">
      <w:pPr>
        <w:spacing w:line="480" w:lineRule="auto"/>
        <w:rPr>
          <w:rFonts w:ascii="Times New Roman" w:hAnsi="Times New Roman" w:cs="Times New Roman"/>
          <w:sz w:val="24"/>
          <w:szCs w:val="24"/>
        </w:rPr>
      </w:pPr>
      <w:r w:rsidRPr="006C1E51">
        <w:rPr>
          <w:rFonts w:ascii="Times New Roman" w:hAnsi="Times New Roman" w:cs="Times New Roman"/>
          <w:sz w:val="24"/>
          <w:szCs w:val="24"/>
        </w:rPr>
        <w:t>Robert Forloney</w:t>
      </w:r>
    </w:p>
    <w:p w14:paraId="5F52885E" w14:textId="132E8DC6" w:rsidR="00C63ED1" w:rsidRPr="006C1E51" w:rsidRDefault="00781A6F" w:rsidP="00775270">
      <w:pPr>
        <w:spacing w:line="480" w:lineRule="auto"/>
        <w:rPr>
          <w:rFonts w:ascii="Times New Roman" w:hAnsi="Times New Roman" w:cs="Times New Roman"/>
          <w:sz w:val="24"/>
          <w:szCs w:val="24"/>
        </w:rPr>
      </w:pPr>
      <w:r w:rsidRPr="006C1E51">
        <w:rPr>
          <w:rFonts w:ascii="Times New Roman" w:hAnsi="Times New Roman" w:cs="Times New Roman"/>
          <w:sz w:val="24"/>
          <w:szCs w:val="24"/>
        </w:rPr>
        <w:t>Monica Rhodes</w:t>
      </w:r>
      <w:r w:rsidR="006E2CF8" w:rsidRPr="006C1E51">
        <w:rPr>
          <w:rFonts w:ascii="Times New Roman" w:hAnsi="Times New Roman" w:cs="Times New Roman"/>
          <w:sz w:val="24"/>
          <w:szCs w:val="24"/>
        </w:rPr>
        <w:t>, FAAR</w:t>
      </w:r>
    </w:p>
    <w:p w14:paraId="7C019C60" w14:textId="77777777" w:rsidR="00C63ED1" w:rsidRPr="006C1E51" w:rsidRDefault="00C63ED1" w:rsidP="00775270">
      <w:pPr>
        <w:spacing w:line="480" w:lineRule="auto"/>
        <w:rPr>
          <w:rFonts w:ascii="Times New Roman" w:hAnsi="Times New Roman" w:cs="Times New Roman"/>
          <w:sz w:val="24"/>
          <w:szCs w:val="24"/>
        </w:rPr>
      </w:pPr>
      <w:r w:rsidRPr="006C1E51">
        <w:rPr>
          <w:rFonts w:ascii="Times New Roman" w:hAnsi="Times New Roman" w:cs="Times New Roman"/>
          <w:sz w:val="24"/>
          <w:szCs w:val="24"/>
        </w:rPr>
        <w:br w:type="page"/>
      </w:r>
    </w:p>
    <w:p w14:paraId="37D92819" w14:textId="77777777" w:rsidR="00C63ED1" w:rsidRPr="006C1E51" w:rsidRDefault="00C63ED1" w:rsidP="00775270">
      <w:pPr>
        <w:spacing w:line="480" w:lineRule="auto"/>
        <w:jc w:val="center"/>
        <w:rPr>
          <w:rFonts w:ascii="Times New Roman" w:hAnsi="Times New Roman" w:cs="Times New Roman"/>
          <w:sz w:val="24"/>
          <w:szCs w:val="24"/>
        </w:rPr>
      </w:pPr>
    </w:p>
    <w:p w14:paraId="694EA0BC" w14:textId="77777777" w:rsidR="00C63ED1" w:rsidRPr="006C1E51" w:rsidRDefault="00C63ED1" w:rsidP="00775270">
      <w:pPr>
        <w:spacing w:line="480" w:lineRule="auto"/>
        <w:jc w:val="center"/>
        <w:rPr>
          <w:rFonts w:ascii="Times New Roman" w:hAnsi="Times New Roman" w:cs="Times New Roman"/>
          <w:sz w:val="24"/>
          <w:szCs w:val="24"/>
        </w:rPr>
      </w:pPr>
    </w:p>
    <w:p w14:paraId="2CEC450A" w14:textId="77777777" w:rsidR="00C63ED1" w:rsidRPr="006C1E51" w:rsidRDefault="00C63ED1" w:rsidP="00775270">
      <w:pPr>
        <w:spacing w:line="480" w:lineRule="auto"/>
        <w:jc w:val="center"/>
        <w:rPr>
          <w:rFonts w:ascii="Times New Roman" w:hAnsi="Times New Roman" w:cs="Times New Roman"/>
          <w:sz w:val="24"/>
          <w:szCs w:val="24"/>
        </w:rPr>
      </w:pPr>
    </w:p>
    <w:p w14:paraId="1F4E2001" w14:textId="087934D3" w:rsidR="00781A6F" w:rsidRPr="006C1E51" w:rsidRDefault="00C63ED1" w:rsidP="00775270">
      <w:pPr>
        <w:spacing w:line="480" w:lineRule="auto"/>
        <w:jc w:val="center"/>
        <w:rPr>
          <w:rFonts w:ascii="Times New Roman" w:hAnsi="Times New Roman" w:cs="Times New Roman"/>
          <w:sz w:val="24"/>
          <w:szCs w:val="24"/>
        </w:rPr>
      </w:pPr>
      <w:r w:rsidRPr="006C1E51">
        <w:rPr>
          <w:rFonts w:ascii="Times New Roman" w:hAnsi="Times New Roman" w:cs="Times New Roman"/>
          <w:sz w:val="24"/>
          <w:szCs w:val="24"/>
        </w:rPr>
        <w:t>Copyright by</w:t>
      </w:r>
    </w:p>
    <w:p w14:paraId="0A682E6F" w14:textId="0D836408" w:rsidR="00C63ED1" w:rsidRPr="006C1E51" w:rsidRDefault="00C63ED1" w:rsidP="00775270">
      <w:pPr>
        <w:spacing w:line="480" w:lineRule="auto"/>
        <w:jc w:val="center"/>
        <w:rPr>
          <w:rFonts w:ascii="Times New Roman" w:hAnsi="Times New Roman" w:cs="Times New Roman"/>
          <w:sz w:val="24"/>
          <w:szCs w:val="24"/>
        </w:rPr>
      </w:pPr>
      <w:r w:rsidRPr="006C1E51">
        <w:rPr>
          <w:rFonts w:ascii="Times New Roman" w:hAnsi="Times New Roman" w:cs="Times New Roman"/>
          <w:sz w:val="24"/>
          <w:szCs w:val="24"/>
        </w:rPr>
        <w:t>Darius Johnson</w:t>
      </w:r>
    </w:p>
    <w:p w14:paraId="39EA6086" w14:textId="2009BF1D" w:rsidR="00C63ED1" w:rsidRPr="006C1E51" w:rsidRDefault="00C63ED1" w:rsidP="00775270">
      <w:pPr>
        <w:spacing w:line="480" w:lineRule="auto"/>
        <w:jc w:val="center"/>
        <w:rPr>
          <w:rFonts w:ascii="Times New Roman" w:hAnsi="Times New Roman" w:cs="Times New Roman"/>
          <w:sz w:val="24"/>
          <w:szCs w:val="24"/>
        </w:rPr>
      </w:pPr>
      <w:r w:rsidRPr="006C1E51">
        <w:rPr>
          <w:rFonts w:ascii="Times New Roman" w:hAnsi="Times New Roman" w:cs="Times New Roman"/>
          <w:sz w:val="24"/>
          <w:szCs w:val="24"/>
        </w:rPr>
        <w:t>2026</w:t>
      </w:r>
    </w:p>
    <w:p w14:paraId="55AD9E02" w14:textId="77777777" w:rsidR="00C0632D" w:rsidRPr="006C1E51" w:rsidRDefault="00C0632D" w:rsidP="00775270">
      <w:pPr>
        <w:pStyle w:val="Heading2"/>
        <w:spacing w:before="240" w:after="240" w:line="480" w:lineRule="auto"/>
        <w:jc w:val="center"/>
        <w:rPr>
          <w:rFonts w:ascii="Times New Roman" w:hAnsi="Times New Roman" w:cs="Times New Roman"/>
        </w:rPr>
      </w:pPr>
    </w:p>
    <w:p w14:paraId="19772D33" w14:textId="77777777" w:rsidR="00C0632D" w:rsidRPr="006C1E51" w:rsidRDefault="00C0632D" w:rsidP="00775270">
      <w:pPr>
        <w:pStyle w:val="Heading2"/>
        <w:spacing w:before="240" w:after="240" w:line="480" w:lineRule="auto"/>
        <w:rPr>
          <w:rFonts w:ascii="Times New Roman" w:hAnsi="Times New Roman" w:cs="Times New Roman"/>
        </w:rPr>
      </w:pPr>
    </w:p>
    <w:p w14:paraId="03F0492D" w14:textId="77777777" w:rsidR="00C0632D" w:rsidRPr="006C1E51" w:rsidRDefault="00C0632D" w:rsidP="00775270">
      <w:pPr>
        <w:spacing w:line="480" w:lineRule="auto"/>
        <w:rPr>
          <w:rFonts w:ascii="Times New Roman" w:hAnsi="Times New Roman" w:cs="Times New Roman"/>
          <w:sz w:val="24"/>
          <w:szCs w:val="24"/>
        </w:rPr>
      </w:pPr>
    </w:p>
    <w:p w14:paraId="6D21D9A8" w14:textId="77777777" w:rsidR="00030576" w:rsidRPr="006C1E51" w:rsidRDefault="00030576" w:rsidP="00775270">
      <w:pPr>
        <w:spacing w:line="480" w:lineRule="auto"/>
        <w:rPr>
          <w:rFonts w:ascii="Times New Roman" w:hAnsi="Times New Roman" w:cs="Times New Roman"/>
          <w:sz w:val="24"/>
          <w:szCs w:val="24"/>
        </w:rPr>
      </w:pPr>
    </w:p>
    <w:p w14:paraId="369E4737" w14:textId="77777777" w:rsidR="00030576" w:rsidRPr="006C1E51" w:rsidRDefault="00030576" w:rsidP="00775270">
      <w:pPr>
        <w:spacing w:line="480" w:lineRule="auto"/>
        <w:rPr>
          <w:rFonts w:ascii="Times New Roman" w:hAnsi="Times New Roman" w:cs="Times New Roman"/>
          <w:sz w:val="24"/>
          <w:szCs w:val="24"/>
        </w:rPr>
      </w:pPr>
    </w:p>
    <w:p w14:paraId="38B0A0BF" w14:textId="772C9068" w:rsidR="00151D75" w:rsidRPr="006C1E51" w:rsidRDefault="00151D75" w:rsidP="00775270">
      <w:pPr>
        <w:spacing w:line="480" w:lineRule="auto"/>
        <w:rPr>
          <w:rFonts w:ascii="Times New Roman" w:hAnsi="Times New Roman" w:cs="Times New Roman"/>
          <w:sz w:val="24"/>
          <w:szCs w:val="24"/>
        </w:rPr>
      </w:pPr>
    </w:p>
    <w:p w14:paraId="75FA2CC9" w14:textId="77777777" w:rsidR="00151D75" w:rsidRPr="006C1E51" w:rsidRDefault="00151D75" w:rsidP="00775270">
      <w:pPr>
        <w:spacing w:line="480" w:lineRule="auto"/>
        <w:rPr>
          <w:rFonts w:ascii="Times New Roman" w:hAnsi="Times New Roman" w:cs="Times New Roman"/>
          <w:sz w:val="24"/>
          <w:szCs w:val="24"/>
        </w:rPr>
      </w:pPr>
    </w:p>
    <w:p w14:paraId="0726821C" w14:textId="77777777" w:rsidR="00030576" w:rsidRPr="006C1E51" w:rsidRDefault="00030576" w:rsidP="00775270">
      <w:pPr>
        <w:spacing w:line="480" w:lineRule="auto"/>
        <w:rPr>
          <w:rFonts w:ascii="Times New Roman" w:hAnsi="Times New Roman" w:cs="Times New Roman"/>
          <w:sz w:val="24"/>
          <w:szCs w:val="24"/>
        </w:rPr>
      </w:pPr>
    </w:p>
    <w:p w14:paraId="7DE4194C" w14:textId="77777777" w:rsidR="00030576" w:rsidRPr="006C1E51" w:rsidRDefault="00030576" w:rsidP="00775270">
      <w:pPr>
        <w:spacing w:line="480" w:lineRule="auto"/>
        <w:rPr>
          <w:rFonts w:ascii="Times New Roman" w:hAnsi="Times New Roman" w:cs="Times New Roman"/>
          <w:sz w:val="24"/>
          <w:szCs w:val="24"/>
        </w:rPr>
      </w:pPr>
    </w:p>
    <w:p w14:paraId="3C949945" w14:textId="19951142" w:rsidR="00C63ED1" w:rsidRPr="006C1E51" w:rsidRDefault="00C63ED1" w:rsidP="00997D8B">
      <w:pPr>
        <w:tabs>
          <w:tab w:val="left" w:pos="6044"/>
        </w:tabs>
        <w:spacing w:line="480" w:lineRule="auto"/>
        <w:rPr>
          <w:rFonts w:ascii="Times New Roman" w:hAnsi="Times New Roman" w:cs="Times New Roman"/>
          <w:sz w:val="24"/>
          <w:szCs w:val="24"/>
        </w:rPr>
      </w:pPr>
      <w:r w:rsidRPr="006C1E51">
        <w:rPr>
          <w:rFonts w:ascii="Times New Roman" w:hAnsi="Times New Roman" w:cs="Times New Roman"/>
          <w:sz w:val="24"/>
          <w:szCs w:val="24"/>
        </w:rPr>
        <w:br w:type="page"/>
      </w:r>
    </w:p>
    <w:p w14:paraId="051FF917" w14:textId="77777777" w:rsidR="00486520" w:rsidRPr="006C1E51" w:rsidRDefault="00486520" w:rsidP="00775270">
      <w:pPr>
        <w:tabs>
          <w:tab w:val="left" w:pos="6044"/>
        </w:tabs>
        <w:spacing w:line="480" w:lineRule="auto"/>
        <w:rPr>
          <w:rFonts w:ascii="Times New Roman" w:hAnsi="Times New Roman" w:cs="Times New Roman"/>
          <w:sz w:val="24"/>
          <w:szCs w:val="24"/>
        </w:rPr>
      </w:pPr>
    </w:p>
    <w:sdt>
      <w:sdtPr>
        <w:rPr>
          <w:rFonts w:ascii="Times New Roman" w:hAnsi="Times New Roman" w:cs="Times New Roman"/>
          <w:b/>
          <w:bCs/>
          <w:sz w:val="24"/>
          <w:szCs w:val="24"/>
        </w:rPr>
        <w:id w:val="1278060898"/>
        <w:docPartObj>
          <w:docPartGallery w:val="Table of Contents"/>
          <w:docPartUnique/>
        </w:docPartObj>
      </w:sdtPr>
      <w:sdtEndPr>
        <w:rPr>
          <w:noProof/>
        </w:rPr>
      </w:sdtEndPr>
      <w:sdtContent>
        <w:p w14:paraId="01DB90C4" w14:textId="02F8867A" w:rsidR="007C5799" w:rsidRPr="006C1E51" w:rsidRDefault="007C5799" w:rsidP="00775270">
          <w:pPr>
            <w:spacing w:line="480" w:lineRule="auto"/>
            <w:jc w:val="center"/>
            <w:rPr>
              <w:rFonts w:ascii="Times New Roman" w:hAnsi="Times New Roman" w:cs="Times New Roman"/>
              <w:b/>
              <w:bCs/>
              <w:sz w:val="24"/>
              <w:szCs w:val="24"/>
              <w:u w:val="single"/>
            </w:rPr>
          </w:pPr>
          <w:r w:rsidRPr="006C1E51">
            <w:rPr>
              <w:rFonts w:ascii="Times New Roman" w:hAnsi="Times New Roman" w:cs="Times New Roman"/>
              <w:b/>
              <w:bCs/>
              <w:sz w:val="24"/>
              <w:szCs w:val="24"/>
            </w:rPr>
            <w:t>Table of Contents</w:t>
          </w:r>
        </w:p>
        <w:p w14:paraId="35E2D516" w14:textId="19F8A5EB" w:rsidR="006C1E51" w:rsidRDefault="007C5799">
          <w:pPr>
            <w:pStyle w:val="TOC1"/>
            <w:rPr>
              <w:rFonts w:eastAsiaTheme="minorEastAsia" w:cstheme="minorBidi"/>
              <w:b w:val="0"/>
              <w:bCs w:val="0"/>
              <w:i w:val="0"/>
              <w:iCs w:val="0"/>
              <w:noProof/>
              <w:kern w:val="2"/>
              <w:lang w:val="en-US"/>
              <w14:ligatures w14:val="standardContextual"/>
            </w:rPr>
          </w:pPr>
          <w:r w:rsidRPr="006C1E51">
            <w:rPr>
              <w:rFonts w:ascii="Times New Roman" w:hAnsi="Times New Roman" w:cs="Times New Roman"/>
            </w:rPr>
            <w:fldChar w:fldCharType="begin"/>
          </w:r>
          <w:r w:rsidRPr="006C1E51">
            <w:rPr>
              <w:rFonts w:ascii="Times New Roman" w:hAnsi="Times New Roman" w:cs="Times New Roman"/>
            </w:rPr>
            <w:instrText xml:space="preserve"> TOC \o "1-3" \h \z \u </w:instrText>
          </w:r>
          <w:r w:rsidRPr="006C1E51">
            <w:rPr>
              <w:rFonts w:ascii="Times New Roman" w:hAnsi="Times New Roman" w:cs="Times New Roman"/>
            </w:rPr>
            <w:fldChar w:fldCharType="separate"/>
          </w:r>
          <w:hyperlink w:anchor="_Toc220011071" w:history="1">
            <w:r w:rsidR="006C1E51" w:rsidRPr="000A35B1">
              <w:rPr>
                <w:rStyle w:val="Hyperlink"/>
                <w:noProof/>
              </w:rPr>
              <w:t>List Of Figures</w:t>
            </w:r>
            <w:r w:rsidR="006C1E51">
              <w:rPr>
                <w:noProof/>
                <w:webHidden/>
              </w:rPr>
              <w:tab/>
            </w:r>
            <w:r w:rsidR="006C1E51">
              <w:rPr>
                <w:noProof/>
                <w:webHidden/>
              </w:rPr>
              <w:fldChar w:fldCharType="begin"/>
            </w:r>
            <w:r w:rsidR="006C1E51">
              <w:rPr>
                <w:noProof/>
                <w:webHidden/>
              </w:rPr>
              <w:instrText xml:space="preserve"> PAGEREF _Toc220011071 \h </w:instrText>
            </w:r>
            <w:r w:rsidR="006C1E51">
              <w:rPr>
                <w:noProof/>
                <w:webHidden/>
              </w:rPr>
            </w:r>
            <w:r w:rsidR="006C1E51">
              <w:rPr>
                <w:noProof/>
                <w:webHidden/>
              </w:rPr>
              <w:fldChar w:fldCharType="separate"/>
            </w:r>
            <w:r w:rsidR="006C1E51">
              <w:rPr>
                <w:noProof/>
                <w:webHidden/>
              </w:rPr>
              <w:t>1</w:t>
            </w:r>
            <w:r w:rsidR="006C1E51">
              <w:rPr>
                <w:noProof/>
                <w:webHidden/>
              </w:rPr>
              <w:fldChar w:fldCharType="end"/>
            </w:r>
          </w:hyperlink>
        </w:p>
        <w:p w14:paraId="5A1570F3" w14:textId="2D9D547E" w:rsidR="006C1E51" w:rsidRDefault="006C1E51">
          <w:pPr>
            <w:pStyle w:val="TOC1"/>
            <w:rPr>
              <w:rFonts w:eastAsiaTheme="minorEastAsia" w:cstheme="minorBidi"/>
              <w:b w:val="0"/>
              <w:bCs w:val="0"/>
              <w:i w:val="0"/>
              <w:iCs w:val="0"/>
              <w:noProof/>
              <w:kern w:val="2"/>
              <w:lang w:val="en-US"/>
              <w14:ligatures w14:val="standardContextual"/>
            </w:rPr>
          </w:pPr>
          <w:hyperlink w:anchor="_Toc220011072" w:history="1">
            <w:r w:rsidRPr="000A35B1">
              <w:rPr>
                <w:rStyle w:val="Hyperlink"/>
                <w:noProof/>
              </w:rPr>
              <w:t>Acknowledgements</w:t>
            </w:r>
            <w:r>
              <w:rPr>
                <w:noProof/>
                <w:webHidden/>
              </w:rPr>
              <w:tab/>
            </w:r>
            <w:r>
              <w:rPr>
                <w:noProof/>
                <w:webHidden/>
              </w:rPr>
              <w:fldChar w:fldCharType="begin"/>
            </w:r>
            <w:r>
              <w:rPr>
                <w:noProof/>
                <w:webHidden/>
              </w:rPr>
              <w:instrText xml:space="preserve"> PAGEREF _Toc220011072 \h </w:instrText>
            </w:r>
            <w:r>
              <w:rPr>
                <w:noProof/>
                <w:webHidden/>
              </w:rPr>
            </w:r>
            <w:r>
              <w:rPr>
                <w:noProof/>
                <w:webHidden/>
              </w:rPr>
              <w:fldChar w:fldCharType="separate"/>
            </w:r>
            <w:r>
              <w:rPr>
                <w:noProof/>
                <w:webHidden/>
              </w:rPr>
              <w:t>4</w:t>
            </w:r>
            <w:r>
              <w:rPr>
                <w:noProof/>
                <w:webHidden/>
              </w:rPr>
              <w:fldChar w:fldCharType="end"/>
            </w:r>
          </w:hyperlink>
        </w:p>
        <w:p w14:paraId="039B10D1" w14:textId="4AD0AB8F" w:rsidR="006C1E51" w:rsidRDefault="006C1E51">
          <w:pPr>
            <w:pStyle w:val="TOC1"/>
            <w:rPr>
              <w:rFonts w:eastAsiaTheme="minorEastAsia" w:cstheme="minorBidi"/>
              <w:b w:val="0"/>
              <w:bCs w:val="0"/>
              <w:i w:val="0"/>
              <w:iCs w:val="0"/>
              <w:noProof/>
              <w:kern w:val="2"/>
              <w:lang w:val="en-US"/>
              <w14:ligatures w14:val="standardContextual"/>
            </w:rPr>
          </w:pPr>
          <w:hyperlink w:anchor="_Toc220011073" w:history="1">
            <w:r w:rsidRPr="000A35B1">
              <w:rPr>
                <w:rStyle w:val="Hyperlink"/>
                <w:noProof/>
              </w:rPr>
              <w:t>Preface</w:t>
            </w:r>
            <w:r>
              <w:rPr>
                <w:noProof/>
                <w:webHidden/>
              </w:rPr>
              <w:tab/>
            </w:r>
            <w:r>
              <w:rPr>
                <w:noProof/>
                <w:webHidden/>
              </w:rPr>
              <w:fldChar w:fldCharType="begin"/>
            </w:r>
            <w:r>
              <w:rPr>
                <w:noProof/>
                <w:webHidden/>
              </w:rPr>
              <w:instrText xml:space="preserve"> PAGEREF _Toc220011073 \h </w:instrText>
            </w:r>
            <w:r>
              <w:rPr>
                <w:noProof/>
                <w:webHidden/>
              </w:rPr>
            </w:r>
            <w:r>
              <w:rPr>
                <w:noProof/>
                <w:webHidden/>
              </w:rPr>
              <w:fldChar w:fldCharType="separate"/>
            </w:r>
            <w:r>
              <w:rPr>
                <w:noProof/>
                <w:webHidden/>
              </w:rPr>
              <w:t>6</w:t>
            </w:r>
            <w:r>
              <w:rPr>
                <w:noProof/>
                <w:webHidden/>
              </w:rPr>
              <w:fldChar w:fldCharType="end"/>
            </w:r>
          </w:hyperlink>
        </w:p>
        <w:p w14:paraId="6EE0E309" w14:textId="6CB736A4" w:rsidR="006C1E51" w:rsidRDefault="006C1E51">
          <w:pPr>
            <w:pStyle w:val="TOC1"/>
            <w:rPr>
              <w:rFonts w:eastAsiaTheme="minorEastAsia" w:cstheme="minorBidi"/>
              <w:b w:val="0"/>
              <w:bCs w:val="0"/>
              <w:i w:val="0"/>
              <w:iCs w:val="0"/>
              <w:noProof/>
              <w:kern w:val="2"/>
              <w:lang w:val="en-US"/>
              <w14:ligatures w14:val="standardContextual"/>
            </w:rPr>
          </w:pPr>
          <w:hyperlink w:anchor="_Toc220011074" w:history="1">
            <w:r w:rsidRPr="000A35B1">
              <w:rPr>
                <w:rStyle w:val="Hyperlink"/>
                <w:noProof/>
              </w:rPr>
              <w:t>Chapter 1: The Problem: Heritage Inequity and Community Decline</w:t>
            </w:r>
            <w:r>
              <w:rPr>
                <w:noProof/>
                <w:webHidden/>
              </w:rPr>
              <w:tab/>
            </w:r>
            <w:r>
              <w:rPr>
                <w:noProof/>
                <w:webHidden/>
              </w:rPr>
              <w:fldChar w:fldCharType="begin"/>
            </w:r>
            <w:r>
              <w:rPr>
                <w:noProof/>
                <w:webHidden/>
              </w:rPr>
              <w:instrText xml:space="preserve"> PAGEREF _Toc220011074 \h </w:instrText>
            </w:r>
            <w:r>
              <w:rPr>
                <w:noProof/>
                <w:webHidden/>
              </w:rPr>
            </w:r>
            <w:r>
              <w:rPr>
                <w:noProof/>
                <w:webHidden/>
              </w:rPr>
              <w:fldChar w:fldCharType="separate"/>
            </w:r>
            <w:r>
              <w:rPr>
                <w:noProof/>
                <w:webHidden/>
              </w:rPr>
              <w:t>12</w:t>
            </w:r>
            <w:r>
              <w:rPr>
                <w:noProof/>
                <w:webHidden/>
              </w:rPr>
              <w:fldChar w:fldCharType="end"/>
            </w:r>
          </w:hyperlink>
        </w:p>
        <w:p w14:paraId="4472CA8D" w14:textId="720A720B"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75" w:history="1">
            <w:r w:rsidRPr="000A35B1">
              <w:rPr>
                <w:rStyle w:val="Hyperlink"/>
                <w:rFonts w:ascii="Times New Roman" w:hAnsi="Times New Roman" w:cs="Times New Roman"/>
                <w:noProof/>
              </w:rPr>
              <w:t>Why Cooperative Heritage Communities?</w:t>
            </w:r>
            <w:r>
              <w:rPr>
                <w:noProof/>
                <w:webHidden/>
              </w:rPr>
              <w:tab/>
            </w:r>
            <w:r>
              <w:rPr>
                <w:noProof/>
                <w:webHidden/>
              </w:rPr>
              <w:fldChar w:fldCharType="begin"/>
            </w:r>
            <w:r>
              <w:rPr>
                <w:noProof/>
                <w:webHidden/>
              </w:rPr>
              <w:instrText xml:space="preserve"> PAGEREF _Toc220011075 \h </w:instrText>
            </w:r>
            <w:r>
              <w:rPr>
                <w:noProof/>
                <w:webHidden/>
              </w:rPr>
            </w:r>
            <w:r>
              <w:rPr>
                <w:noProof/>
                <w:webHidden/>
              </w:rPr>
              <w:fldChar w:fldCharType="separate"/>
            </w:r>
            <w:r>
              <w:rPr>
                <w:noProof/>
                <w:webHidden/>
              </w:rPr>
              <w:t>12</w:t>
            </w:r>
            <w:r>
              <w:rPr>
                <w:noProof/>
                <w:webHidden/>
              </w:rPr>
              <w:fldChar w:fldCharType="end"/>
            </w:r>
          </w:hyperlink>
        </w:p>
        <w:p w14:paraId="02D16DDA" w14:textId="666054A0"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76" w:history="1">
            <w:r w:rsidRPr="000A35B1">
              <w:rPr>
                <w:rStyle w:val="Hyperlink"/>
                <w:rFonts w:ascii="Times New Roman" w:hAnsi="Times New Roman" w:cs="Times New Roman"/>
                <w:noProof/>
              </w:rPr>
              <w:t>Personal and Regional Context: A Heritage Worker Shaped by the Eastern Shore</w:t>
            </w:r>
            <w:r>
              <w:rPr>
                <w:noProof/>
                <w:webHidden/>
              </w:rPr>
              <w:tab/>
            </w:r>
            <w:r>
              <w:rPr>
                <w:noProof/>
                <w:webHidden/>
              </w:rPr>
              <w:fldChar w:fldCharType="begin"/>
            </w:r>
            <w:r>
              <w:rPr>
                <w:noProof/>
                <w:webHidden/>
              </w:rPr>
              <w:instrText xml:space="preserve"> PAGEREF _Toc220011076 \h </w:instrText>
            </w:r>
            <w:r>
              <w:rPr>
                <w:noProof/>
                <w:webHidden/>
              </w:rPr>
            </w:r>
            <w:r>
              <w:rPr>
                <w:noProof/>
                <w:webHidden/>
              </w:rPr>
              <w:fldChar w:fldCharType="separate"/>
            </w:r>
            <w:r>
              <w:rPr>
                <w:noProof/>
                <w:webHidden/>
              </w:rPr>
              <w:t>14</w:t>
            </w:r>
            <w:r>
              <w:rPr>
                <w:noProof/>
                <w:webHidden/>
              </w:rPr>
              <w:fldChar w:fldCharType="end"/>
            </w:r>
          </w:hyperlink>
        </w:p>
        <w:p w14:paraId="376FE384" w14:textId="1DB7EBCE"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77" w:history="1">
            <w:r w:rsidRPr="000A35B1">
              <w:rPr>
                <w:rStyle w:val="Hyperlink"/>
                <w:rFonts w:ascii="Times New Roman" w:hAnsi="Times New Roman" w:cs="Times New Roman"/>
                <w:noProof/>
              </w:rPr>
              <w:t>Structural Inequities in the Black Preservation Landscape</w:t>
            </w:r>
            <w:r>
              <w:rPr>
                <w:noProof/>
                <w:webHidden/>
              </w:rPr>
              <w:tab/>
            </w:r>
            <w:r>
              <w:rPr>
                <w:noProof/>
                <w:webHidden/>
              </w:rPr>
              <w:fldChar w:fldCharType="begin"/>
            </w:r>
            <w:r>
              <w:rPr>
                <w:noProof/>
                <w:webHidden/>
              </w:rPr>
              <w:instrText xml:space="preserve"> PAGEREF _Toc220011077 \h </w:instrText>
            </w:r>
            <w:r>
              <w:rPr>
                <w:noProof/>
                <w:webHidden/>
              </w:rPr>
            </w:r>
            <w:r>
              <w:rPr>
                <w:noProof/>
                <w:webHidden/>
              </w:rPr>
              <w:fldChar w:fldCharType="separate"/>
            </w:r>
            <w:r>
              <w:rPr>
                <w:noProof/>
                <w:webHidden/>
              </w:rPr>
              <w:t>19</w:t>
            </w:r>
            <w:r>
              <w:rPr>
                <w:noProof/>
                <w:webHidden/>
              </w:rPr>
              <w:fldChar w:fldCharType="end"/>
            </w:r>
          </w:hyperlink>
        </w:p>
        <w:p w14:paraId="5A7815F2" w14:textId="67E094CE"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78" w:history="1">
            <w:r w:rsidRPr="000A35B1">
              <w:rPr>
                <w:rStyle w:val="Hyperlink"/>
                <w:rFonts w:ascii="Times New Roman" w:hAnsi="Times New Roman" w:cs="Times New Roman"/>
                <w:noProof/>
              </w:rPr>
              <w:t>Principles for Cooperative Heritage Communities</w:t>
            </w:r>
            <w:r>
              <w:rPr>
                <w:noProof/>
                <w:webHidden/>
              </w:rPr>
              <w:tab/>
            </w:r>
            <w:r>
              <w:rPr>
                <w:noProof/>
                <w:webHidden/>
              </w:rPr>
              <w:fldChar w:fldCharType="begin"/>
            </w:r>
            <w:r>
              <w:rPr>
                <w:noProof/>
                <w:webHidden/>
              </w:rPr>
              <w:instrText xml:space="preserve"> PAGEREF _Toc220011078 \h </w:instrText>
            </w:r>
            <w:r>
              <w:rPr>
                <w:noProof/>
                <w:webHidden/>
              </w:rPr>
            </w:r>
            <w:r>
              <w:rPr>
                <w:noProof/>
                <w:webHidden/>
              </w:rPr>
              <w:fldChar w:fldCharType="separate"/>
            </w:r>
            <w:r>
              <w:rPr>
                <w:noProof/>
                <w:webHidden/>
              </w:rPr>
              <w:t>20</w:t>
            </w:r>
            <w:r>
              <w:rPr>
                <w:noProof/>
                <w:webHidden/>
              </w:rPr>
              <w:fldChar w:fldCharType="end"/>
            </w:r>
          </w:hyperlink>
        </w:p>
        <w:p w14:paraId="4BEED156" w14:textId="43B3BF32"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79" w:history="1">
            <w:r w:rsidRPr="000A35B1">
              <w:rPr>
                <w:rStyle w:val="Hyperlink"/>
                <w:rFonts w:ascii="Times New Roman" w:hAnsi="Times New Roman" w:cs="Times New Roman"/>
                <w:noProof/>
              </w:rPr>
              <w:t>Theoretical Foundations and Analytical Approach</w:t>
            </w:r>
            <w:r>
              <w:rPr>
                <w:noProof/>
                <w:webHidden/>
              </w:rPr>
              <w:tab/>
            </w:r>
            <w:r>
              <w:rPr>
                <w:noProof/>
                <w:webHidden/>
              </w:rPr>
              <w:fldChar w:fldCharType="begin"/>
            </w:r>
            <w:r>
              <w:rPr>
                <w:noProof/>
                <w:webHidden/>
              </w:rPr>
              <w:instrText xml:space="preserve"> PAGEREF _Toc220011079 \h </w:instrText>
            </w:r>
            <w:r>
              <w:rPr>
                <w:noProof/>
                <w:webHidden/>
              </w:rPr>
            </w:r>
            <w:r>
              <w:rPr>
                <w:noProof/>
                <w:webHidden/>
              </w:rPr>
              <w:fldChar w:fldCharType="separate"/>
            </w:r>
            <w:r>
              <w:rPr>
                <w:noProof/>
                <w:webHidden/>
              </w:rPr>
              <w:t>21</w:t>
            </w:r>
            <w:r>
              <w:rPr>
                <w:noProof/>
                <w:webHidden/>
              </w:rPr>
              <w:fldChar w:fldCharType="end"/>
            </w:r>
          </w:hyperlink>
        </w:p>
        <w:p w14:paraId="23E1A3B7" w14:textId="53A7C6E8"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80" w:history="1">
            <w:r w:rsidRPr="000A35B1">
              <w:rPr>
                <w:rStyle w:val="Hyperlink"/>
                <w:rFonts w:ascii="Times New Roman" w:hAnsi="Times New Roman" w:cs="Times New Roman"/>
                <w:noProof/>
              </w:rPr>
              <w:t>Bringing the Pieces Together</w:t>
            </w:r>
            <w:r>
              <w:rPr>
                <w:noProof/>
                <w:webHidden/>
              </w:rPr>
              <w:tab/>
            </w:r>
            <w:r>
              <w:rPr>
                <w:noProof/>
                <w:webHidden/>
              </w:rPr>
              <w:fldChar w:fldCharType="begin"/>
            </w:r>
            <w:r>
              <w:rPr>
                <w:noProof/>
                <w:webHidden/>
              </w:rPr>
              <w:instrText xml:space="preserve"> PAGEREF _Toc220011080 \h </w:instrText>
            </w:r>
            <w:r>
              <w:rPr>
                <w:noProof/>
                <w:webHidden/>
              </w:rPr>
            </w:r>
            <w:r>
              <w:rPr>
                <w:noProof/>
                <w:webHidden/>
              </w:rPr>
              <w:fldChar w:fldCharType="separate"/>
            </w:r>
            <w:r>
              <w:rPr>
                <w:noProof/>
                <w:webHidden/>
              </w:rPr>
              <w:t>25</w:t>
            </w:r>
            <w:r>
              <w:rPr>
                <w:noProof/>
                <w:webHidden/>
              </w:rPr>
              <w:fldChar w:fldCharType="end"/>
            </w:r>
          </w:hyperlink>
        </w:p>
        <w:p w14:paraId="2252644C" w14:textId="520AFAD2" w:rsidR="006C1E51" w:rsidRDefault="006C1E51">
          <w:pPr>
            <w:pStyle w:val="TOC1"/>
            <w:rPr>
              <w:rFonts w:eastAsiaTheme="minorEastAsia" w:cstheme="minorBidi"/>
              <w:b w:val="0"/>
              <w:bCs w:val="0"/>
              <w:i w:val="0"/>
              <w:iCs w:val="0"/>
              <w:noProof/>
              <w:kern w:val="2"/>
              <w:lang w:val="en-US"/>
              <w14:ligatures w14:val="standardContextual"/>
            </w:rPr>
          </w:pPr>
          <w:hyperlink w:anchor="_Toc220011081" w:history="1">
            <w:r w:rsidRPr="000A35B1">
              <w:rPr>
                <w:rStyle w:val="Hyperlink"/>
                <w:noProof/>
              </w:rPr>
              <w:t>Chapter 2: The Context: External Forces Shaping African American Heritage Preservation</w:t>
            </w:r>
            <w:r>
              <w:rPr>
                <w:noProof/>
                <w:webHidden/>
              </w:rPr>
              <w:tab/>
            </w:r>
            <w:r>
              <w:rPr>
                <w:noProof/>
                <w:webHidden/>
              </w:rPr>
              <w:fldChar w:fldCharType="begin"/>
            </w:r>
            <w:r>
              <w:rPr>
                <w:noProof/>
                <w:webHidden/>
              </w:rPr>
              <w:instrText xml:space="preserve"> PAGEREF _Toc220011081 \h </w:instrText>
            </w:r>
            <w:r>
              <w:rPr>
                <w:noProof/>
                <w:webHidden/>
              </w:rPr>
            </w:r>
            <w:r>
              <w:rPr>
                <w:noProof/>
                <w:webHidden/>
              </w:rPr>
              <w:fldChar w:fldCharType="separate"/>
            </w:r>
            <w:r>
              <w:rPr>
                <w:noProof/>
                <w:webHidden/>
              </w:rPr>
              <w:t>30</w:t>
            </w:r>
            <w:r>
              <w:rPr>
                <w:noProof/>
                <w:webHidden/>
              </w:rPr>
              <w:fldChar w:fldCharType="end"/>
            </w:r>
          </w:hyperlink>
        </w:p>
        <w:p w14:paraId="4DDE6FA8" w14:textId="1CA413D7"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82" w:history="1">
            <w:r w:rsidRPr="000A35B1">
              <w:rPr>
                <w:rStyle w:val="Hyperlink"/>
                <w:rFonts w:ascii="Times New Roman" w:hAnsi="Times New Roman" w:cs="Times New Roman"/>
                <w:noProof/>
              </w:rPr>
              <w:t>Political</w:t>
            </w:r>
            <w:r>
              <w:rPr>
                <w:noProof/>
                <w:webHidden/>
              </w:rPr>
              <w:tab/>
            </w:r>
            <w:r>
              <w:rPr>
                <w:noProof/>
                <w:webHidden/>
              </w:rPr>
              <w:fldChar w:fldCharType="begin"/>
            </w:r>
            <w:r>
              <w:rPr>
                <w:noProof/>
                <w:webHidden/>
              </w:rPr>
              <w:instrText xml:space="preserve"> PAGEREF _Toc220011082 \h </w:instrText>
            </w:r>
            <w:r>
              <w:rPr>
                <w:noProof/>
                <w:webHidden/>
              </w:rPr>
            </w:r>
            <w:r>
              <w:rPr>
                <w:noProof/>
                <w:webHidden/>
              </w:rPr>
              <w:fldChar w:fldCharType="separate"/>
            </w:r>
            <w:r>
              <w:rPr>
                <w:noProof/>
                <w:webHidden/>
              </w:rPr>
              <w:t>33</w:t>
            </w:r>
            <w:r>
              <w:rPr>
                <w:noProof/>
                <w:webHidden/>
              </w:rPr>
              <w:fldChar w:fldCharType="end"/>
            </w:r>
          </w:hyperlink>
        </w:p>
        <w:p w14:paraId="696E54C6" w14:textId="72868069"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083" w:history="1">
            <w:r w:rsidRPr="000A35B1">
              <w:rPr>
                <w:rStyle w:val="Hyperlink"/>
                <w:noProof/>
              </w:rPr>
              <w:t>Local Politics</w:t>
            </w:r>
            <w:r>
              <w:rPr>
                <w:noProof/>
                <w:webHidden/>
              </w:rPr>
              <w:tab/>
            </w:r>
            <w:r>
              <w:rPr>
                <w:noProof/>
                <w:webHidden/>
              </w:rPr>
              <w:fldChar w:fldCharType="begin"/>
            </w:r>
            <w:r>
              <w:rPr>
                <w:noProof/>
                <w:webHidden/>
              </w:rPr>
              <w:instrText xml:space="preserve"> PAGEREF _Toc220011083 \h </w:instrText>
            </w:r>
            <w:r>
              <w:rPr>
                <w:noProof/>
                <w:webHidden/>
              </w:rPr>
            </w:r>
            <w:r>
              <w:rPr>
                <w:noProof/>
                <w:webHidden/>
              </w:rPr>
              <w:fldChar w:fldCharType="separate"/>
            </w:r>
            <w:r>
              <w:rPr>
                <w:noProof/>
                <w:webHidden/>
              </w:rPr>
              <w:t>36</w:t>
            </w:r>
            <w:r>
              <w:rPr>
                <w:noProof/>
                <w:webHidden/>
              </w:rPr>
              <w:fldChar w:fldCharType="end"/>
            </w:r>
          </w:hyperlink>
        </w:p>
        <w:p w14:paraId="48B71A7A" w14:textId="6BFB08A3"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084" w:history="1">
            <w:r w:rsidRPr="000A35B1">
              <w:rPr>
                <w:rStyle w:val="Hyperlink"/>
                <w:noProof/>
              </w:rPr>
              <w:t>Grassroots Politics</w:t>
            </w:r>
            <w:r>
              <w:rPr>
                <w:noProof/>
                <w:webHidden/>
              </w:rPr>
              <w:tab/>
            </w:r>
            <w:r>
              <w:rPr>
                <w:noProof/>
                <w:webHidden/>
              </w:rPr>
              <w:fldChar w:fldCharType="begin"/>
            </w:r>
            <w:r>
              <w:rPr>
                <w:noProof/>
                <w:webHidden/>
              </w:rPr>
              <w:instrText xml:space="preserve"> PAGEREF _Toc220011084 \h </w:instrText>
            </w:r>
            <w:r>
              <w:rPr>
                <w:noProof/>
                <w:webHidden/>
              </w:rPr>
            </w:r>
            <w:r>
              <w:rPr>
                <w:noProof/>
                <w:webHidden/>
              </w:rPr>
              <w:fldChar w:fldCharType="separate"/>
            </w:r>
            <w:r>
              <w:rPr>
                <w:noProof/>
                <w:webHidden/>
              </w:rPr>
              <w:t>37</w:t>
            </w:r>
            <w:r>
              <w:rPr>
                <w:noProof/>
                <w:webHidden/>
              </w:rPr>
              <w:fldChar w:fldCharType="end"/>
            </w:r>
          </w:hyperlink>
        </w:p>
        <w:p w14:paraId="337F9F66" w14:textId="19386ED1"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85" w:history="1">
            <w:r w:rsidRPr="000A35B1">
              <w:rPr>
                <w:rStyle w:val="Hyperlink"/>
                <w:rFonts w:ascii="Times New Roman" w:hAnsi="Times New Roman" w:cs="Times New Roman"/>
                <w:noProof/>
              </w:rPr>
              <w:t>Economic</w:t>
            </w:r>
            <w:r>
              <w:rPr>
                <w:noProof/>
                <w:webHidden/>
              </w:rPr>
              <w:tab/>
            </w:r>
            <w:r>
              <w:rPr>
                <w:noProof/>
                <w:webHidden/>
              </w:rPr>
              <w:fldChar w:fldCharType="begin"/>
            </w:r>
            <w:r>
              <w:rPr>
                <w:noProof/>
                <w:webHidden/>
              </w:rPr>
              <w:instrText xml:space="preserve"> PAGEREF _Toc220011085 \h </w:instrText>
            </w:r>
            <w:r>
              <w:rPr>
                <w:noProof/>
                <w:webHidden/>
              </w:rPr>
            </w:r>
            <w:r>
              <w:rPr>
                <w:noProof/>
                <w:webHidden/>
              </w:rPr>
              <w:fldChar w:fldCharType="separate"/>
            </w:r>
            <w:r>
              <w:rPr>
                <w:noProof/>
                <w:webHidden/>
              </w:rPr>
              <w:t>40</w:t>
            </w:r>
            <w:r>
              <w:rPr>
                <w:noProof/>
                <w:webHidden/>
              </w:rPr>
              <w:fldChar w:fldCharType="end"/>
            </w:r>
          </w:hyperlink>
        </w:p>
        <w:p w14:paraId="4212E72B" w14:textId="0B53D07B"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86" w:history="1">
            <w:r w:rsidRPr="000A35B1">
              <w:rPr>
                <w:rStyle w:val="Hyperlink"/>
                <w:rFonts w:ascii="Times New Roman" w:hAnsi="Times New Roman" w:cs="Times New Roman"/>
                <w:noProof/>
              </w:rPr>
              <w:t>Social</w:t>
            </w:r>
            <w:r>
              <w:rPr>
                <w:noProof/>
                <w:webHidden/>
              </w:rPr>
              <w:tab/>
            </w:r>
            <w:r>
              <w:rPr>
                <w:noProof/>
                <w:webHidden/>
              </w:rPr>
              <w:fldChar w:fldCharType="begin"/>
            </w:r>
            <w:r>
              <w:rPr>
                <w:noProof/>
                <w:webHidden/>
              </w:rPr>
              <w:instrText xml:space="preserve"> PAGEREF _Toc220011086 \h </w:instrText>
            </w:r>
            <w:r>
              <w:rPr>
                <w:noProof/>
                <w:webHidden/>
              </w:rPr>
            </w:r>
            <w:r>
              <w:rPr>
                <w:noProof/>
                <w:webHidden/>
              </w:rPr>
              <w:fldChar w:fldCharType="separate"/>
            </w:r>
            <w:r>
              <w:rPr>
                <w:noProof/>
                <w:webHidden/>
              </w:rPr>
              <w:t>49</w:t>
            </w:r>
            <w:r>
              <w:rPr>
                <w:noProof/>
                <w:webHidden/>
              </w:rPr>
              <w:fldChar w:fldCharType="end"/>
            </w:r>
          </w:hyperlink>
        </w:p>
        <w:p w14:paraId="6A3B31AA" w14:textId="0B95AC02"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87" w:history="1">
            <w:r w:rsidRPr="000A35B1">
              <w:rPr>
                <w:rStyle w:val="Hyperlink"/>
                <w:rFonts w:ascii="Times New Roman" w:hAnsi="Times New Roman" w:cs="Times New Roman"/>
                <w:noProof/>
              </w:rPr>
              <w:t>Technological</w:t>
            </w:r>
            <w:r>
              <w:rPr>
                <w:noProof/>
                <w:webHidden/>
              </w:rPr>
              <w:tab/>
            </w:r>
            <w:r>
              <w:rPr>
                <w:noProof/>
                <w:webHidden/>
              </w:rPr>
              <w:fldChar w:fldCharType="begin"/>
            </w:r>
            <w:r>
              <w:rPr>
                <w:noProof/>
                <w:webHidden/>
              </w:rPr>
              <w:instrText xml:space="preserve"> PAGEREF _Toc220011087 \h </w:instrText>
            </w:r>
            <w:r>
              <w:rPr>
                <w:noProof/>
                <w:webHidden/>
              </w:rPr>
            </w:r>
            <w:r>
              <w:rPr>
                <w:noProof/>
                <w:webHidden/>
              </w:rPr>
              <w:fldChar w:fldCharType="separate"/>
            </w:r>
            <w:r>
              <w:rPr>
                <w:noProof/>
                <w:webHidden/>
              </w:rPr>
              <w:t>52</w:t>
            </w:r>
            <w:r>
              <w:rPr>
                <w:noProof/>
                <w:webHidden/>
              </w:rPr>
              <w:fldChar w:fldCharType="end"/>
            </w:r>
          </w:hyperlink>
        </w:p>
        <w:p w14:paraId="7BED26D0" w14:textId="48C68EA4"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88" w:history="1">
            <w:r w:rsidRPr="000A35B1">
              <w:rPr>
                <w:rStyle w:val="Hyperlink"/>
                <w:rFonts w:ascii="Times New Roman" w:hAnsi="Times New Roman" w:cs="Times New Roman"/>
                <w:noProof/>
              </w:rPr>
              <w:t>Legal</w:t>
            </w:r>
            <w:r>
              <w:rPr>
                <w:noProof/>
                <w:webHidden/>
              </w:rPr>
              <w:tab/>
            </w:r>
            <w:r>
              <w:rPr>
                <w:noProof/>
                <w:webHidden/>
              </w:rPr>
              <w:fldChar w:fldCharType="begin"/>
            </w:r>
            <w:r>
              <w:rPr>
                <w:noProof/>
                <w:webHidden/>
              </w:rPr>
              <w:instrText xml:space="preserve"> PAGEREF _Toc220011088 \h </w:instrText>
            </w:r>
            <w:r>
              <w:rPr>
                <w:noProof/>
                <w:webHidden/>
              </w:rPr>
            </w:r>
            <w:r>
              <w:rPr>
                <w:noProof/>
                <w:webHidden/>
              </w:rPr>
              <w:fldChar w:fldCharType="separate"/>
            </w:r>
            <w:r>
              <w:rPr>
                <w:noProof/>
                <w:webHidden/>
              </w:rPr>
              <w:t>54</w:t>
            </w:r>
            <w:r>
              <w:rPr>
                <w:noProof/>
                <w:webHidden/>
              </w:rPr>
              <w:fldChar w:fldCharType="end"/>
            </w:r>
          </w:hyperlink>
        </w:p>
        <w:p w14:paraId="53F6F485" w14:textId="32D58F16"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89" w:history="1">
            <w:r w:rsidRPr="000A35B1">
              <w:rPr>
                <w:rStyle w:val="Hyperlink"/>
                <w:rFonts w:ascii="Times New Roman" w:hAnsi="Times New Roman" w:cs="Times New Roman"/>
                <w:noProof/>
              </w:rPr>
              <w:t>Environmental</w:t>
            </w:r>
            <w:r>
              <w:rPr>
                <w:noProof/>
                <w:webHidden/>
              </w:rPr>
              <w:tab/>
            </w:r>
            <w:r>
              <w:rPr>
                <w:noProof/>
                <w:webHidden/>
              </w:rPr>
              <w:fldChar w:fldCharType="begin"/>
            </w:r>
            <w:r>
              <w:rPr>
                <w:noProof/>
                <w:webHidden/>
              </w:rPr>
              <w:instrText xml:space="preserve"> PAGEREF _Toc220011089 \h </w:instrText>
            </w:r>
            <w:r>
              <w:rPr>
                <w:noProof/>
                <w:webHidden/>
              </w:rPr>
            </w:r>
            <w:r>
              <w:rPr>
                <w:noProof/>
                <w:webHidden/>
              </w:rPr>
              <w:fldChar w:fldCharType="separate"/>
            </w:r>
            <w:r>
              <w:rPr>
                <w:noProof/>
                <w:webHidden/>
              </w:rPr>
              <w:t>59</w:t>
            </w:r>
            <w:r>
              <w:rPr>
                <w:noProof/>
                <w:webHidden/>
              </w:rPr>
              <w:fldChar w:fldCharType="end"/>
            </w:r>
          </w:hyperlink>
        </w:p>
        <w:p w14:paraId="440F6F01" w14:textId="1A7AD88C"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90" w:history="1">
            <w:r w:rsidRPr="000A35B1">
              <w:rPr>
                <w:rStyle w:val="Hyperlink"/>
                <w:rFonts w:ascii="Times New Roman" w:hAnsi="Times New Roman" w:cs="Times New Roman"/>
                <w:noProof/>
              </w:rPr>
              <w:t>PESTLE Analysis: Final Thoughts</w:t>
            </w:r>
            <w:r>
              <w:rPr>
                <w:noProof/>
                <w:webHidden/>
              </w:rPr>
              <w:tab/>
            </w:r>
            <w:r>
              <w:rPr>
                <w:noProof/>
                <w:webHidden/>
              </w:rPr>
              <w:fldChar w:fldCharType="begin"/>
            </w:r>
            <w:r>
              <w:rPr>
                <w:noProof/>
                <w:webHidden/>
              </w:rPr>
              <w:instrText xml:space="preserve"> PAGEREF _Toc220011090 \h </w:instrText>
            </w:r>
            <w:r>
              <w:rPr>
                <w:noProof/>
                <w:webHidden/>
              </w:rPr>
            </w:r>
            <w:r>
              <w:rPr>
                <w:noProof/>
                <w:webHidden/>
              </w:rPr>
              <w:fldChar w:fldCharType="separate"/>
            </w:r>
            <w:r>
              <w:rPr>
                <w:noProof/>
                <w:webHidden/>
              </w:rPr>
              <w:t>64</w:t>
            </w:r>
            <w:r>
              <w:rPr>
                <w:noProof/>
                <w:webHidden/>
              </w:rPr>
              <w:fldChar w:fldCharType="end"/>
            </w:r>
          </w:hyperlink>
        </w:p>
        <w:p w14:paraId="1F22474B" w14:textId="1971AA4A" w:rsidR="006C1E51" w:rsidRDefault="006C1E51">
          <w:pPr>
            <w:pStyle w:val="TOC1"/>
            <w:rPr>
              <w:rFonts w:eastAsiaTheme="minorEastAsia" w:cstheme="minorBidi"/>
              <w:b w:val="0"/>
              <w:bCs w:val="0"/>
              <w:i w:val="0"/>
              <w:iCs w:val="0"/>
              <w:noProof/>
              <w:kern w:val="2"/>
              <w:lang w:val="en-US"/>
              <w14:ligatures w14:val="standardContextual"/>
            </w:rPr>
          </w:pPr>
          <w:hyperlink w:anchor="_Toc220011091" w:history="1">
            <w:r w:rsidRPr="000A35B1">
              <w:rPr>
                <w:rStyle w:val="Hyperlink"/>
                <w:noProof/>
              </w:rPr>
              <w:t>Chapter 3: The Framework: Underpinnings Of Cooperative Heritage Communities</w:t>
            </w:r>
            <w:r>
              <w:rPr>
                <w:noProof/>
                <w:webHidden/>
              </w:rPr>
              <w:tab/>
            </w:r>
            <w:r>
              <w:rPr>
                <w:noProof/>
                <w:webHidden/>
              </w:rPr>
              <w:fldChar w:fldCharType="begin"/>
            </w:r>
            <w:r>
              <w:rPr>
                <w:noProof/>
                <w:webHidden/>
              </w:rPr>
              <w:instrText xml:space="preserve"> PAGEREF _Toc220011091 \h </w:instrText>
            </w:r>
            <w:r>
              <w:rPr>
                <w:noProof/>
                <w:webHidden/>
              </w:rPr>
            </w:r>
            <w:r>
              <w:rPr>
                <w:noProof/>
                <w:webHidden/>
              </w:rPr>
              <w:fldChar w:fldCharType="separate"/>
            </w:r>
            <w:r>
              <w:rPr>
                <w:noProof/>
                <w:webHidden/>
              </w:rPr>
              <w:t>65</w:t>
            </w:r>
            <w:r>
              <w:rPr>
                <w:noProof/>
                <w:webHidden/>
              </w:rPr>
              <w:fldChar w:fldCharType="end"/>
            </w:r>
          </w:hyperlink>
        </w:p>
        <w:p w14:paraId="0115B821" w14:textId="36222F98"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92" w:history="1">
            <w:r w:rsidRPr="000A35B1">
              <w:rPr>
                <w:rStyle w:val="Hyperlink"/>
                <w:rFonts w:ascii="Times New Roman" w:hAnsi="Times New Roman" w:cs="Times New Roman"/>
                <w:noProof/>
              </w:rPr>
              <w:t>Historical and Theoretical Foundations</w:t>
            </w:r>
            <w:r>
              <w:rPr>
                <w:noProof/>
                <w:webHidden/>
              </w:rPr>
              <w:tab/>
            </w:r>
            <w:r>
              <w:rPr>
                <w:noProof/>
                <w:webHidden/>
              </w:rPr>
              <w:fldChar w:fldCharType="begin"/>
            </w:r>
            <w:r>
              <w:rPr>
                <w:noProof/>
                <w:webHidden/>
              </w:rPr>
              <w:instrText xml:space="preserve"> PAGEREF _Toc220011092 \h </w:instrText>
            </w:r>
            <w:r>
              <w:rPr>
                <w:noProof/>
                <w:webHidden/>
              </w:rPr>
            </w:r>
            <w:r>
              <w:rPr>
                <w:noProof/>
                <w:webHidden/>
              </w:rPr>
              <w:fldChar w:fldCharType="separate"/>
            </w:r>
            <w:r>
              <w:rPr>
                <w:noProof/>
                <w:webHidden/>
              </w:rPr>
              <w:t>65</w:t>
            </w:r>
            <w:r>
              <w:rPr>
                <w:noProof/>
                <w:webHidden/>
              </w:rPr>
              <w:fldChar w:fldCharType="end"/>
            </w:r>
          </w:hyperlink>
        </w:p>
        <w:p w14:paraId="39458016" w14:textId="0E0C0529"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093" w:history="1">
            <w:r w:rsidRPr="000A35B1">
              <w:rPr>
                <w:rStyle w:val="Hyperlink"/>
                <w:noProof/>
              </w:rPr>
              <w:t>I. Cooperative Economics: A Survival Tradition</w:t>
            </w:r>
            <w:r>
              <w:rPr>
                <w:noProof/>
                <w:webHidden/>
              </w:rPr>
              <w:tab/>
            </w:r>
            <w:r>
              <w:rPr>
                <w:noProof/>
                <w:webHidden/>
              </w:rPr>
              <w:fldChar w:fldCharType="begin"/>
            </w:r>
            <w:r>
              <w:rPr>
                <w:noProof/>
                <w:webHidden/>
              </w:rPr>
              <w:instrText xml:space="preserve"> PAGEREF _Toc220011093 \h </w:instrText>
            </w:r>
            <w:r>
              <w:rPr>
                <w:noProof/>
                <w:webHidden/>
              </w:rPr>
            </w:r>
            <w:r>
              <w:rPr>
                <w:noProof/>
                <w:webHidden/>
              </w:rPr>
              <w:fldChar w:fldCharType="separate"/>
            </w:r>
            <w:r>
              <w:rPr>
                <w:noProof/>
                <w:webHidden/>
              </w:rPr>
              <w:t>70</w:t>
            </w:r>
            <w:r>
              <w:rPr>
                <w:noProof/>
                <w:webHidden/>
              </w:rPr>
              <w:fldChar w:fldCharType="end"/>
            </w:r>
          </w:hyperlink>
        </w:p>
        <w:p w14:paraId="3A4FAB61" w14:textId="60EA9EC0"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094" w:history="1">
            <w:r w:rsidRPr="000A35B1">
              <w:rPr>
                <w:rStyle w:val="Hyperlink"/>
                <w:noProof/>
              </w:rPr>
              <w:t>II. Policy for Us, By Us</w:t>
            </w:r>
            <w:r>
              <w:rPr>
                <w:noProof/>
                <w:webHidden/>
              </w:rPr>
              <w:tab/>
            </w:r>
            <w:r>
              <w:rPr>
                <w:noProof/>
                <w:webHidden/>
              </w:rPr>
              <w:fldChar w:fldCharType="begin"/>
            </w:r>
            <w:r>
              <w:rPr>
                <w:noProof/>
                <w:webHidden/>
              </w:rPr>
              <w:instrText xml:space="preserve"> PAGEREF _Toc220011094 \h </w:instrText>
            </w:r>
            <w:r>
              <w:rPr>
                <w:noProof/>
                <w:webHidden/>
              </w:rPr>
            </w:r>
            <w:r>
              <w:rPr>
                <w:noProof/>
                <w:webHidden/>
              </w:rPr>
              <w:fldChar w:fldCharType="separate"/>
            </w:r>
            <w:r>
              <w:rPr>
                <w:noProof/>
                <w:webHidden/>
              </w:rPr>
              <w:t>76</w:t>
            </w:r>
            <w:r>
              <w:rPr>
                <w:noProof/>
                <w:webHidden/>
              </w:rPr>
              <w:fldChar w:fldCharType="end"/>
            </w:r>
          </w:hyperlink>
        </w:p>
        <w:p w14:paraId="1D6E6FF2" w14:textId="57CF427E"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095" w:history="1">
            <w:r w:rsidRPr="000A35B1">
              <w:rPr>
                <w:rStyle w:val="Hyperlink"/>
                <w:noProof/>
              </w:rPr>
              <w:t>III. Heritage Communities of Practice (HCoPs)</w:t>
            </w:r>
            <w:r>
              <w:rPr>
                <w:noProof/>
                <w:webHidden/>
              </w:rPr>
              <w:tab/>
            </w:r>
            <w:r>
              <w:rPr>
                <w:noProof/>
                <w:webHidden/>
              </w:rPr>
              <w:fldChar w:fldCharType="begin"/>
            </w:r>
            <w:r>
              <w:rPr>
                <w:noProof/>
                <w:webHidden/>
              </w:rPr>
              <w:instrText xml:space="preserve"> PAGEREF _Toc220011095 \h </w:instrText>
            </w:r>
            <w:r>
              <w:rPr>
                <w:noProof/>
                <w:webHidden/>
              </w:rPr>
            </w:r>
            <w:r>
              <w:rPr>
                <w:noProof/>
                <w:webHidden/>
              </w:rPr>
              <w:fldChar w:fldCharType="separate"/>
            </w:r>
            <w:r>
              <w:rPr>
                <w:noProof/>
                <w:webHidden/>
              </w:rPr>
              <w:t>78</w:t>
            </w:r>
            <w:r>
              <w:rPr>
                <w:noProof/>
                <w:webHidden/>
              </w:rPr>
              <w:fldChar w:fldCharType="end"/>
            </w:r>
          </w:hyperlink>
        </w:p>
        <w:p w14:paraId="30C96A3C" w14:textId="5F9FD12B"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96" w:history="1">
            <w:r w:rsidRPr="000A35B1">
              <w:rPr>
                <w:rStyle w:val="Hyperlink"/>
                <w:rFonts w:ascii="Times New Roman" w:hAnsi="Times New Roman" w:cs="Times New Roman"/>
                <w:noProof/>
              </w:rPr>
              <w:t>Reclaiming Preservation as Cooperative Practice: Storytelling to Shared Prosperity</w:t>
            </w:r>
            <w:r>
              <w:rPr>
                <w:noProof/>
                <w:webHidden/>
              </w:rPr>
              <w:tab/>
            </w:r>
            <w:r>
              <w:rPr>
                <w:noProof/>
                <w:webHidden/>
              </w:rPr>
              <w:fldChar w:fldCharType="begin"/>
            </w:r>
            <w:r>
              <w:rPr>
                <w:noProof/>
                <w:webHidden/>
              </w:rPr>
              <w:instrText xml:space="preserve"> PAGEREF _Toc220011096 \h </w:instrText>
            </w:r>
            <w:r>
              <w:rPr>
                <w:noProof/>
                <w:webHidden/>
              </w:rPr>
            </w:r>
            <w:r>
              <w:rPr>
                <w:noProof/>
                <w:webHidden/>
              </w:rPr>
              <w:fldChar w:fldCharType="separate"/>
            </w:r>
            <w:r>
              <w:rPr>
                <w:noProof/>
                <w:webHidden/>
              </w:rPr>
              <w:t>80</w:t>
            </w:r>
            <w:r>
              <w:rPr>
                <w:noProof/>
                <w:webHidden/>
              </w:rPr>
              <w:fldChar w:fldCharType="end"/>
            </w:r>
          </w:hyperlink>
        </w:p>
        <w:p w14:paraId="39FD590A" w14:textId="54351D0C"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097" w:history="1">
            <w:r w:rsidRPr="000A35B1">
              <w:rPr>
                <w:rStyle w:val="Hyperlink"/>
                <w:rFonts w:ascii="Times New Roman" w:hAnsi="Times New Roman" w:cs="Times New Roman"/>
                <w:noProof/>
              </w:rPr>
              <w:t>Principles of CHCs</w:t>
            </w:r>
            <w:r>
              <w:rPr>
                <w:noProof/>
                <w:webHidden/>
              </w:rPr>
              <w:tab/>
            </w:r>
            <w:r>
              <w:rPr>
                <w:noProof/>
                <w:webHidden/>
              </w:rPr>
              <w:fldChar w:fldCharType="begin"/>
            </w:r>
            <w:r>
              <w:rPr>
                <w:noProof/>
                <w:webHidden/>
              </w:rPr>
              <w:instrText xml:space="preserve"> PAGEREF _Toc220011097 \h </w:instrText>
            </w:r>
            <w:r>
              <w:rPr>
                <w:noProof/>
                <w:webHidden/>
              </w:rPr>
            </w:r>
            <w:r>
              <w:rPr>
                <w:noProof/>
                <w:webHidden/>
              </w:rPr>
              <w:fldChar w:fldCharType="separate"/>
            </w:r>
            <w:r>
              <w:rPr>
                <w:noProof/>
                <w:webHidden/>
              </w:rPr>
              <w:t>85</w:t>
            </w:r>
            <w:r>
              <w:rPr>
                <w:noProof/>
                <w:webHidden/>
              </w:rPr>
              <w:fldChar w:fldCharType="end"/>
            </w:r>
          </w:hyperlink>
        </w:p>
        <w:p w14:paraId="474D94EC" w14:textId="1674A32E"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098" w:history="1">
            <w:r w:rsidRPr="000A35B1">
              <w:rPr>
                <w:rStyle w:val="Hyperlink"/>
                <w:noProof/>
              </w:rPr>
              <w:t>1. Get Rooted In Shared Experiences Through Exploration</w:t>
            </w:r>
            <w:r>
              <w:rPr>
                <w:noProof/>
                <w:webHidden/>
              </w:rPr>
              <w:tab/>
            </w:r>
            <w:r>
              <w:rPr>
                <w:noProof/>
                <w:webHidden/>
              </w:rPr>
              <w:fldChar w:fldCharType="begin"/>
            </w:r>
            <w:r>
              <w:rPr>
                <w:noProof/>
                <w:webHidden/>
              </w:rPr>
              <w:instrText xml:space="preserve"> PAGEREF _Toc220011098 \h </w:instrText>
            </w:r>
            <w:r>
              <w:rPr>
                <w:noProof/>
                <w:webHidden/>
              </w:rPr>
            </w:r>
            <w:r>
              <w:rPr>
                <w:noProof/>
                <w:webHidden/>
              </w:rPr>
              <w:fldChar w:fldCharType="separate"/>
            </w:r>
            <w:r>
              <w:rPr>
                <w:noProof/>
                <w:webHidden/>
              </w:rPr>
              <w:t>89</w:t>
            </w:r>
            <w:r>
              <w:rPr>
                <w:noProof/>
                <w:webHidden/>
              </w:rPr>
              <w:fldChar w:fldCharType="end"/>
            </w:r>
          </w:hyperlink>
        </w:p>
        <w:p w14:paraId="0656F5BC" w14:textId="37031B36"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099" w:history="1">
            <w:r w:rsidRPr="000A35B1">
              <w:rPr>
                <w:rStyle w:val="Hyperlink"/>
                <w:noProof/>
              </w:rPr>
              <w:t>2. Building Collective Ownership Through Seeing the Whole</w:t>
            </w:r>
            <w:r>
              <w:rPr>
                <w:noProof/>
                <w:webHidden/>
              </w:rPr>
              <w:tab/>
            </w:r>
            <w:r>
              <w:rPr>
                <w:noProof/>
                <w:webHidden/>
              </w:rPr>
              <w:fldChar w:fldCharType="begin"/>
            </w:r>
            <w:r>
              <w:rPr>
                <w:noProof/>
                <w:webHidden/>
              </w:rPr>
              <w:instrText xml:space="preserve"> PAGEREF _Toc220011099 \h </w:instrText>
            </w:r>
            <w:r>
              <w:rPr>
                <w:noProof/>
                <w:webHidden/>
              </w:rPr>
            </w:r>
            <w:r>
              <w:rPr>
                <w:noProof/>
                <w:webHidden/>
              </w:rPr>
              <w:fldChar w:fldCharType="separate"/>
            </w:r>
            <w:r>
              <w:rPr>
                <w:noProof/>
                <w:webHidden/>
              </w:rPr>
              <w:t>90</w:t>
            </w:r>
            <w:r>
              <w:rPr>
                <w:noProof/>
                <w:webHidden/>
              </w:rPr>
              <w:fldChar w:fldCharType="end"/>
            </w:r>
          </w:hyperlink>
        </w:p>
        <w:p w14:paraId="511DD229" w14:textId="2CD3F1B7"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00" w:history="1">
            <w:r w:rsidRPr="000A35B1">
              <w:rPr>
                <w:rStyle w:val="Hyperlink"/>
                <w:noProof/>
              </w:rPr>
              <w:t>3. Exercising Democratic Governance in Practice</w:t>
            </w:r>
            <w:r>
              <w:rPr>
                <w:noProof/>
                <w:webHidden/>
              </w:rPr>
              <w:tab/>
            </w:r>
            <w:r>
              <w:rPr>
                <w:noProof/>
                <w:webHidden/>
              </w:rPr>
              <w:fldChar w:fldCharType="begin"/>
            </w:r>
            <w:r>
              <w:rPr>
                <w:noProof/>
                <w:webHidden/>
              </w:rPr>
              <w:instrText xml:space="preserve"> PAGEREF _Toc220011100 \h </w:instrText>
            </w:r>
            <w:r>
              <w:rPr>
                <w:noProof/>
                <w:webHidden/>
              </w:rPr>
            </w:r>
            <w:r>
              <w:rPr>
                <w:noProof/>
                <w:webHidden/>
              </w:rPr>
              <w:fldChar w:fldCharType="separate"/>
            </w:r>
            <w:r>
              <w:rPr>
                <w:noProof/>
                <w:webHidden/>
              </w:rPr>
              <w:t>93</w:t>
            </w:r>
            <w:r>
              <w:rPr>
                <w:noProof/>
                <w:webHidden/>
              </w:rPr>
              <w:fldChar w:fldCharType="end"/>
            </w:r>
          </w:hyperlink>
        </w:p>
        <w:p w14:paraId="001456D3" w14:textId="6ACD60FB"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01" w:history="1">
            <w:r w:rsidRPr="000A35B1">
              <w:rPr>
                <w:rStyle w:val="Hyperlink"/>
                <w:noProof/>
              </w:rPr>
              <w:t>4. Sustaining Through Community Resource Building</w:t>
            </w:r>
            <w:r>
              <w:rPr>
                <w:noProof/>
                <w:webHidden/>
              </w:rPr>
              <w:tab/>
            </w:r>
            <w:r>
              <w:rPr>
                <w:noProof/>
                <w:webHidden/>
              </w:rPr>
              <w:fldChar w:fldCharType="begin"/>
            </w:r>
            <w:r>
              <w:rPr>
                <w:noProof/>
                <w:webHidden/>
              </w:rPr>
              <w:instrText xml:space="preserve"> PAGEREF _Toc220011101 \h </w:instrText>
            </w:r>
            <w:r>
              <w:rPr>
                <w:noProof/>
                <w:webHidden/>
              </w:rPr>
            </w:r>
            <w:r>
              <w:rPr>
                <w:noProof/>
                <w:webHidden/>
              </w:rPr>
              <w:fldChar w:fldCharType="separate"/>
            </w:r>
            <w:r>
              <w:rPr>
                <w:noProof/>
                <w:webHidden/>
              </w:rPr>
              <w:t>95</w:t>
            </w:r>
            <w:r>
              <w:rPr>
                <w:noProof/>
                <w:webHidden/>
              </w:rPr>
              <w:fldChar w:fldCharType="end"/>
            </w:r>
          </w:hyperlink>
        </w:p>
        <w:p w14:paraId="27538DA8" w14:textId="17217C6D"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02" w:history="1">
            <w:r w:rsidRPr="000A35B1">
              <w:rPr>
                <w:rStyle w:val="Hyperlink"/>
                <w:noProof/>
              </w:rPr>
              <w:t>5. Equity and Justice-Based</w:t>
            </w:r>
            <w:r>
              <w:rPr>
                <w:noProof/>
                <w:webHidden/>
              </w:rPr>
              <w:tab/>
            </w:r>
            <w:r>
              <w:rPr>
                <w:noProof/>
                <w:webHidden/>
              </w:rPr>
              <w:fldChar w:fldCharType="begin"/>
            </w:r>
            <w:r>
              <w:rPr>
                <w:noProof/>
                <w:webHidden/>
              </w:rPr>
              <w:instrText xml:space="preserve"> PAGEREF _Toc220011102 \h </w:instrText>
            </w:r>
            <w:r>
              <w:rPr>
                <w:noProof/>
                <w:webHidden/>
              </w:rPr>
            </w:r>
            <w:r>
              <w:rPr>
                <w:noProof/>
                <w:webHidden/>
              </w:rPr>
              <w:fldChar w:fldCharType="separate"/>
            </w:r>
            <w:r>
              <w:rPr>
                <w:noProof/>
                <w:webHidden/>
              </w:rPr>
              <w:t>96</w:t>
            </w:r>
            <w:r>
              <w:rPr>
                <w:noProof/>
                <w:webHidden/>
              </w:rPr>
              <w:fldChar w:fldCharType="end"/>
            </w:r>
          </w:hyperlink>
        </w:p>
        <w:p w14:paraId="4B6E37EE" w14:textId="2C888BE4"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03" w:history="1">
            <w:r w:rsidRPr="000A35B1">
              <w:rPr>
                <w:rStyle w:val="Hyperlink"/>
                <w:noProof/>
              </w:rPr>
              <w:t>6. Practicing Shared Language and Building Trust</w:t>
            </w:r>
            <w:r>
              <w:rPr>
                <w:noProof/>
                <w:webHidden/>
              </w:rPr>
              <w:tab/>
            </w:r>
            <w:r>
              <w:rPr>
                <w:noProof/>
                <w:webHidden/>
              </w:rPr>
              <w:fldChar w:fldCharType="begin"/>
            </w:r>
            <w:r>
              <w:rPr>
                <w:noProof/>
                <w:webHidden/>
              </w:rPr>
              <w:instrText xml:space="preserve"> PAGEREF _Toc220011103 \h </w:instrText>
            </w:r>
            <w:r>
              <w:rPr>
                <w:noProof/>
                <w:webHidden/>
              </w:rPr>
            </w:r>
            <w:r>
              <w:rPr>
                <w:noProof/>
                <w:webHidden/>
              </w:rPr>
              <w:fldChar w:fldCharType="separate"/>
            </w:r>
            <w:r>
              <w:rPr>
                <w:noProof/>
                <w:webHidden/>
              </w:rPr>
              <w:t>98</w:t>
            </w:r>
            <w:r>
              <w:rPr>
                <w:noProof/>
                <w:webHidden/>
              </w:rPr>
              <w:fldChar w:fldCharType="end"/>
            </w:r>
          </w:hyperlink>
        </w:p>
        <w:p w14:paraId="5E647B07" w14:textId="6EC41E84"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04" w:history="1">
            <w:r w:rsidRPr="000A35B1">
              <w:rPr>
                <w:rStyle w:val="Hyperlink"/>
                <w:rFonts w:ascii="Times New Roman" w:hAnsi="Times New Roman" w:cs="Times New Roman"/>
                <w:noProof/>
              </w:rPr>
              <w:t>Framework Rationale: From Principles to Practice</w:t>
            </w:r>
            <w:r>
              <w:rPr>
                <w:noProof/>
                <w:webHidden/>
              </w:rPr>
              <w:tab/>
            </w:r>
            <w:r>
              <w:rPr>
                <w:noProof/>
                <w:webHidden/>
              </w:rPr>
              <w:fldChar w:fldCharType="begin"/>
            </w:r>
            <w:r>
              <w:rPr>
                <w:noProof/>
                <w:webHidden/>
              </w:rPr>
              <w:instrText xml:space="preserve"> PAGEREF _Toc220011104 \h </w:instrText>
            </w:r>
            <w:r>
              <w:rPr>
                <w:noProof/>
                <w:webHidden/>
              </w:rPr>
            </w:r>
            <w:r>
              <w:rPr>
                <w:noProof/>
                <w:webHidden/>
              </w:rPr>
              <w:fldChar w:fldCharType="separate"/>
            </w:r>
            <w:r>
              <w:rPr>
                <w:noProof/>
                <w:webHidden/>
              </w:rPr>
              <w:t>99</w:t>
            </w:r>
            <w:r>
              <w:rPr>
                <w:noProof/>
                <w:webHidden/>
              </w:rPr>
              <w:fldChar w:fldCharType="end"/>
            </w:r>
          </w:hyperlink>
        </w:p>
        <w:p w14:paraId="4FD0A604" w14:textId="7800C3F2" w:rsidR="006C1E51" w:rsidRDefault="006C1E51">
          <w:pPr>
            <w:pStyle w:val="TOC1"/>
            <w:rPr>
              <w:rFonts w:eastAsiaTheme="minorEastAsia" w:cstheme="minorBidi"/>
              <w:b w:val="0"/>
              <w:bCs w:val="0"/>
              <w:i w:val="0"/>
              <w:iCs w:val="0"/>
              <w:noProof/>
              <w:kern w:val="2"/>
              <w:lang w:val="en-US"/>
              <w14:ligatures w14:val="standardContextual"/>
            </w:rPr>
          </w:pPr>
          <w:hyperlink w:anchor="_Toc220011105" w:history="1">
            <w:r w:rsidRPr="000A35B1">
              <w:rPr>
                <w:rStyle w:val="Hyperlink"/>
                <w:noProof/>
              </w:rPr>
              <w:t>Chapter 4: The Evidence: CHCs In Practice (Case Studies)</w:t>
            </w:r>
            <w:r>
              <w:rPr>
                <w:noProof/>
                <w:webHidden/>
              </w:rPr>
              <w:tab/>
            </w:r>
            <w:r>
              <w:rPr>
                <w:noProof/>
                <w:webHidden/>
              </w:rPr>
              <w:fldChar w:fldCharType="begin"/>
            </w:r>
            <w:r>
              <w:rPr>
                <w:noProof/>
                <w:webHidden/>
              </w:rPr>
              <w:instrText xml:space="preserve"> PAGEREF _Toc220011105 \h </w:instrText>
            </w:r>
            <w:r>
              <w:rPr>
                <w:noProof/>
                <w:webHidden/>
              </w:rPr>
            </w:r>
            <w:r>
              <w:rPr>
                <w:noProof/>
                <w:webHidden/>
              </w:rPr>
              <w:fldChar w:fldCharType="separate"/>
            </w:r>
            <w:r>
              <w:rPr>
                <w:noProof/>
                <w:webHidden/>
              </w:rPr>
              <w:t>102</w:t>
            </w:r>
            <w:r>
              <w:rPr>
                <w:noProof/>
                <w:webHidden/>
              </w:rPr>
              <w:fldChar w:fldCharType="end"/>
            </w:r>
          </w:hyperlink>
        </w:p>
        <w:p w14:paraId="127DC591" w14:textId="12FDCFDF"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06" w:history="1">
            <w:r w:rsidRPr="000A35B1">
              <w:rPr>
                <w:rStyle w:val="Hyperlink"/>
                <w:rFonts w:ascii="Times New Roman" w:hAnsi="Times New Roman" w:cs="Times New Roman"/>
                <w:noProof/>
              </w:rPr>
              <w:t>Introduction to Chapter Four</w:t>
            </w:r>
            <w:r>
              <w:rPr>
                <w:noProof/>
                <w:webHidden/>
              </w:rPr>
              <w:tab/>
            </w:r>
            <w:r>
              <w:rPr>
                <w:noProof/>
                <w:webHidden/>
              </w:rPr>
              <w:fldChar w:fldCharType="begin"/>
            </w:r>
            <w:r>
              <w:rPr>
                <w:noProof/>
                <w:webHidden/>
              </w:rPr>
              <w:instrText xml:space="preserve"> PAGEREF _Toc220011106 \h </w:instrText>
            </w:r>
            <w:r>
              <w:rPr>
                <w:noProof/>
                <w:webHidden/>
              </w:rPr>
            </w:r>
            <w:r>
              <w:rPr>
                <w:noProof/>
                <w:webHidden/>
              </w:rPr>
              <w:fldChar w:fldCharType="separate"/>
            </w:r>
            <w:r>
              <w:rPr>
                <w:noProof/>
                <w:webHidden/>
              </w:rPr>
              <w:t>102</w:t>
            </w:r>
            <w:r>
              <w:rPr>
                <w:noProof/>
                <w:webHidden/>
              </w:rPr>
              <w:fldChar w:fldCharType="end"/>
            </w:r>
          </w:hyperlink>
        </w:p>
        <w:p w14:paraId="7E11048B" w14:textId="0FCDD5D1"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07" w:history="1">
            <w:r w:rsidRPr="000A35B1">
              <w:rPr>
                <w:rStyle w:val="Hyperlink"/>
                <w:rFonts w:ascii="Times New Roman" w:hAnsi="Times New Roman" w:cs="Times New Roman"/>
                <w:noProof/>
              </w:rPr>
              <w:t>Case Study 1: Chesapeake Heartland - A Regional Model of Shared Stewardship</w:t>
            </w:r>
            <w:r>
              <w:rPr>
                <w:noProof/>
                <w:webHidden/>
              </w:rPr>
              <w:tab/>
            </w:r>
            <w:r>
              <w:rPr>
                <w:noProof/>
                <w:webHidden/>
              </w:rPr>
              <w:fldChar w:fldCharType="begin"/>
            </w:r>
            <w:r>
              <w:rPr>
                <w:noProof/>
                <w:webHidden/>
              </w:rPr>
              <w:instrText xml:space="preserve"> PAGEREF _Toc220011107 \h </w:instrText>
            </w:r>
            <w:r>
              <w:rPr>
                <w:noProof/>
                <w:webHidden/>
              </w:rPr>
            </w:r>
            <w:r>
              <w:rPr>
                <w:noProof/>
                <w:webHidden/>
              </w:rPr>
              <w:fldChar w:fldCharType="separate"/>
            </w:r>
            <w:r>
              <w:rPr>
                <w:noProof/>
                <w:webHidden/>
              </w:rPr>
              <w:t>104</w:t>
            </w:r>
            <w:r>
              <w:rPr>
                <w:noProof/>
                <w:webHidden/>
              </w:rPr>
              <w:fldChar w:fldCharType="end"/>
            </w:r>
          </w:hyperlink>
        </w:p>
        <w:p w14:paraId="6DE84387" w14:textId="4F41D1BB"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08" w:history="1">
            <w:r w:rsidRPr="000A35B1">
              <w:rPr>
                <w:rStyle w:val="Hyperlink"/>
                <w:noProof/>
              </w:rPr>
              <w:t>Cooperative Model and Operating Context</w:t>
            </w:r>
            <w:r>
              <w:rPr>
                <w:noProof/>
                <w:webHidden/>
              </w:rPr>
              <w:tab/>
            </w:r>
            <w:r>
              <w:rPr>
                <w:noProof/>
                <w:webHidden/>
              </w:rPr>
              <w:fldChar w:fldCharType="begin"/>
            </w:r>
            <w:r>
              <w:rPr>
                <w:noProof/>
                <w:webHidden/>
              </w:rPr>
              <w:instrText xml:space="preserve"> PAGEREF _Toc220011108 \h </w:instrText>
            </w:r>
            <w:r>
              <w:rPr>
                <w:noProof/>
                <w:webHidden/>
              </w:rPr>
            </w:r>
            <w:r>
              <w:rPr>
                <w:noProof/>
                <w:webHidden/>
              </w:rPr>
              <w:fldChar w:fldCharType="separate"/>
            </w:r>
            <w:r>
              <w:rPr>
                <w:noProof/>
                <w:webHidden/>
              </w:rPr>
              <w:t>104</w:t>
            </w:r>
            <w:r>
              <w:rPr>
                <w:noProof/>
                <w:webHidden/>
              </w:rPr>
              <w:fldChar w:fldCharType="end"/>
            </w:r>
          </w:hyperlink>
        </w:p>
        <w:p w14:paraId="027375A0" w14:textId="4E8FD1A4"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09" w:history="1">
            <w:r w:rsidRPr="000A35B1">
              <w:rPr>
                <w:rStyle w:val="Hyperlink"/>
                <w:noProof/>
              </w:rPr>
              <w:t>Alignment With CHC Principles</w:t>
            </w:r>
            <w:r>
              <w:rPr>
                <w:noProof/>
                <w:webHidden/>
              </w:rPr>
              <w:tab/>
            </w:r>
            <w:r>
              <w:rPr>
                <w:noProof/>
                <w:webHidden/>
              </w:rPr>
              <w:fldChar w:fldCharType="begin"/>
            </w:r>
            <w:r>
              <w:rPr>
                <w:noProof/>
                <w:webHidden/>
              </w:rPr>
              <w:instrText xml:space="preserve"> PAGEREF _Toc220011109 \h </w:instrText>
            </w:r>
            <w:r>
              <w:rPr>
                <w:noProof/>
                <w:webHidden/>
              </w:rPr>
            </w:r>
            <w:r>
              <w:rPr>
                <w:noProof/>
                <w:webHidden/>
              </w:rPr>
              <w:fldChar w:fldCharType="separate"/>
            </w:r>
            <w:r>
              <w:rPr>
                <w:noProof/>
                <w:webHidden/>
              </w:rPr>
              <w:t>107</w:t>
            </w:r>
            <w:r>
              <w:rPr>
                <w:noProof/>
                <w:webHidden/>
              </w:rPr>
              <w:fldChar w:fldCharType="end"/>
            </w:r>
          </w:hyperlink>
        </w:p>
        <w:p w14:paraId="22743E0A" w14:textId="4FEDBA1F"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10" w:history="1">
            <w:r w:rsidRPr="000A35B1">
              <w:rPr>
                <w:rStyle w:val="Hyperlink"/>
                <w:noProof/>
              </w:rPr>
              <w:t>Analysis Based on Research Questions</w:t>
            </w:r>
            <w:r>
              <w:rPr>
                <w:noProof/>
                <w:webHidden/>
              </w:rPr>
              <w:tab/>
            </w:r>
            <w:r>
              <w:rPr>
                <w:noProof/>
                <w:webHidden/>
              </w:rPr>
              <w:fldChar w:fldCharType="begin"/>
            </w:r>
            <w:r>
              <w:rPr>
                <w:noProof/>
                <w:webHidden/>
              </w:rPr>
              <w:instrText xml:space="preserve"> PAGEREF _Toc220011110 \h </w:instrText>
            </w:r>
            <w:r>
              <w:rPr>
                <w:noProof/>
                <w:webHidden/>
              </w:rPr>
            </w:r>
            <w:r>
              <w:rPr>
                <w:noProof/>
                <w:webHidden/>
              </w:rPr>
              <w:fldChar w:fldCharType="separate"/>
            </w:r>
            <w:r>
              <w:rPr>
                <w:noProof/>
                <w:webHidden/>
              </w:rPr>
              <w:t>110</w:t>
            </w:r>
            <w:r>
              <w:rPr>
                <w:noProof/>
                <w:webHidden/>
              </w:rPr>
              <w:fldChar w:fldCharType="end"/>
            </w:r>
          </w:hyperlink>
        </w:p>
        <w:p w14:paraId="607CC0FA" w14:textId="14CB9246"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11" w:history="1">
            <w:r w:rsidRPr="000A35B1">
              <w:rPr>
                <w:rStyle w:val="Hyperlink"/>
                <w:rFonts w:ascii="Times New Roman" w:hAnsi="Times New Roman" w:cs="Times New Roman"/>
                <w:noProof/>
              </w:rPr>
              <w:t>Case Study 2: Knoxville Reanimation Coalition - Community Stewardship and Cooperative Cemetery Restoration</w:t>
            </w:r>
            <w:r>
              <w:rPr>
                <w:noProof/>
                <w:webHidden/>
              </w:rPr>
              <w:tab/>
            </w:r>
            <w:r>
              <w:rPr>
                <w:noProof/>
                <w:webHidden/>
              </w:rPr>
              <w:fldChar w:fldCharType="begin"/>
            </w:r>
            <w:r>
              <w:rPr>
                <w:noProof/>
                <w:webHidden/>
              </w:rPr>
              <w:instrText xml:space="preserve"> PAGEREF _Toc220011111 \h </w:instrText>
            </w:r>
            <w:r>
              <w:rPr>
                <w:noProof/>
                <w:webHidden/>
              </w:rPr>
            </w:r>
            <w:r>
              <w:rPr>
                <w:noProof/>
                <w:webHidden/>
              </w:rPr>
              <w:fldChar w:fldCharType="separate"/>
            </w:r>
            <w:r>
              <w:rPr>
                <w:noProof/>
                <w:webHidden/>
              </w:rPr>
              <w:t>111</w:t>
            </w:r>
            <w:r>
              <w:rPr>
                <w:noProof/>
                <w:webHidden/>
              </w:rPr>
              <w:fldChar w:fldCharType="end"/>
            </w:r>
          </w:hyperlink>
        </w:p>
        <w:p w14:paraId="2D042245" w14:textId="714D1D16"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12" w:history="1">
            <w:r w:rsidRPr="000A35B1">
              <w:rPr>
                <w:rStyle w:val="Hyperlink"/>
                <w:noProof/>
              </w:rPr>
              <w:t>Cooperative Model and Operating Context</w:t>
            </w:r>
            <w:r>
              <w:rPr>
                <w:noProof/>
                <w:webHidden/>
              </w:rPr>
              <w:tab/>
            </w:r>
            <w:r>
              <w:rPr>
                <w:noProof/>
                <w:webHidden/>
              </w:rPr>
              <w:fldChar w:fldCharType="begin"/>
            </w:r>
            <w:r>
              <w:rPr>
                <w:noProof/>
                <w:webHidden/>
              </w:rPr>
              <w:instrText xml:space="preserve"> PAGEREF _Toc220011112 \h </w:instrText>
            </w:r>
            <w:r>
              <w:rPr>
                <w:noProof/>
                <w:webHidden/>
              </w:rPr>
            </w:r>
            <w:r>
              <w:rPr>
                <w:noProof/>
                <w:webHidden/>
              </w:rPr>
              <w:fldChar w:fldCharType="separate"/>
            </w:r>
            <w:r>
              <w:rPr>
                <w:noProof/>
                <w:webHidden/>
              </w:rPr>
              <w:t>112</w:t>
            </w:r>
            <w:r>
              <w:rPr>
                <w:noProof/>
                <w:webHidden/>
              </w:rPr>
              <w:fldChar w:fldCharType="end"/>
            </w:r>
          </w:hyperlink>
        </w:p>
        <w:p w14:paraId="12A376AE" w14:textId="6208F33D"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13" w:history="1">
            <w:r w:rsidRPr="000A35B1">
              <w:rPr>
                <w:rStyle w:val="Hyperlink"/>
                <w:noProof/>
              </w:rPr>
              <w:t>Alignment With CHC Principles</w:t>
            </w:r>
            <w:r>
              <w:rPr>
                <w:noProof/>
                <w:webHidden/>
              </w:rPr>
              <w:tab/>
            </w:r>
            <w:r>
              <w:rPr>
                <w:noProof/>
                <w:webHidden/>
              </w:rPr>
              <w:fldChar w:fldCharType="begin"/>
            </w:r>
            <w:r>
              <w:rPr>
                <w:noProof/>
                <w:webHidden/>
              </w:rPr>
              <w:instrText xml:space="preserve"> PAGEREF _Toc220011113 \h </w:instrText>
            </w:r>
            <w:r>
              <w:rPr>
                <w:noProof/>
                <w:webHidden/>
              </w:rPr>
            </w:r>
            <w:r>
              <w:rPr>
                <w:noProof/>
                <w:webHidden/>
              </w:rPr>
              <w:fldChar w:fldCharType="separate"/>
            </w:r>
            <w:r>
              <w:rPr>
                <w:noProof/>
                <w:webHidden/>
              </w:rPr>
              <w:t>113</w:t>
            </w:r>
            <w:r>
              <w:rPr>
                <w:noProof/>
                <w:webHidden/>
              </w:rPr>
              <w:fldChar w:fldCharType="end"/>
            </w:r>
          </w:hyperlink>
        </w:p>
        <w:p w14:paraId="240C9AE0" w14:textId="17C43BD2"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14" w:history="1">
            <w:r w:rsidRPr="000A35B1">
              <w:rPr>
                <w:rStyle w:val="Hyperlink"/>
                <w:noProof/>
              </w:rPr>
              <w:t>Analysis Based on Research Questions</w:t>
            </w:r>
            <w:r>
              <w:rPr>
                <w:noProof/>
                <w:webHidden/>
              </w:rPr>
              <w:tab/>
            </w:r>
            <w:r>
              <w:rPr>
                <w:noProof/>
                <w:webHidden/>
              </w:rPr>
              <w:fldChar w:fldCharType="begin"/>
            </w:r>
            <w:r>
              <w:rPr>
                <w:noProof/>
                <w:webHidden/>
              </w:rPr>
              <w:instrText xml:space="preserve"> PAGEREF _Toc220011114 \h </w:instrText>
            </w:r>
            <w:r>
              <w:rPr>
                <w:noProof/>
                <w:webHidden/>
              </w:rPr>
            </w:r>
            <w:r>
              <w:rPr>
                <w:noProof/>
                <w:webHidden/>
              </w:rPr>
              <w:fldChar w:fldCharType="separate"/>
            </w:r>
            <w:r>
              <w:rPr>
                <w:noProof/>
                <w:webHidden/>
              </w:rPr>
              <w:t>116</w:t>
            </w:r>
            <w:r>
              <w:rPr>
                <w:noProof/>
                <w:webHidden/>
              </w:rPr>
              <w:fldChar w:fldCharType="end"/>
            </w:r>
          </w:hyperlink>
        </w:p>
        <w:p w14:paraId="129E368E" w14:textId="17EB2F59"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15" w:history="1">
            <w:r w:rsidRPr="000A35B1">
              <w:rPr>
                <w:rStyle w:val="Hyperlink"/>
                <w:rFonts w:ascii="Times New Roman" w:hAnsi="Times New Roman" w:cs="Times New Roman"/>
                <w:noProof/>
              </w:rPr>
              <w:t>Case Study 3: HBCU History &amp; Culture Access Consortium- A National Model of Cooperative Cultural Infrastructure</w:t>
            </w:r>
            <w:r>
              <w:rPr>
                <w:noProof/>
                <w:webHidden/>
              </w:rPr>
              <w:tab/>
            </w:r>
            <w:r>
              <w:rPr>
                <w:noProof/>
                <w:webHidden/>
              </w:rPr>
              <w:fldChar w:fldCharType="begin"/>
            </w:r>
            <w:r>
              <w:rPr>
                <w:noProof/>
                <w:webHidden/>
              </w:rPr>
              <w:instrText xml:space="preserve"> PAGEREF _Toc220011115 \h </w:instrText>
            </w:r>
            <w:r>
              <w:rPr>
                <w:noProof/>
                <w:webHidden/>
              </w:rPr>
            </w:r>
            <w:r>
              <w:rPr>
                <w:noProof/>
                <w:webHidden/>
              </w:rPr>
              <w:fldChar w:fldCharType="separate"/>
            </w:r>
            <w:r>
              <w:rPr>
                <w:noProof/>
                <w:webHidden/>
              </w:rPr>
              <w:t>118</w:t>
            </w:r>
            <w:r>
              <w:rPr>
                <w:noProof/>
                <w:webHidden/>
              </w:rPr>
              <w:fldChar w:fldCharType="end"/>
            </w:r>
          </w:hyperlink>
        </w:p>
        <w:p w14:paraId="5A9F9B62" w14:textId="4FBBB00C"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16" w:history="1">
            <w:r w:rsidRPr="000A35B1">
              <w:rPr>
                <w:rStyle w:val="Hyperlink"/>
                <w:noProof/>
              </w:rPr>
              <w:t>Cooperative Model and Operating Context</w:t>
            </w:r>
            <w:r>
              <w:rPr>
                <w:noProof/>
                <w:webHidden/>
              </w:rPr>
              <w:tab/>
            </w:r>
            <w:r>
              <w:rPr>
                <w:noProof/>
                <w:webHidden/>
              </w:rPr>
              <w:fldChar w:fldCharType="begin"/>
            </w:r>
            <w:r>
              <w:rPr>
                <w:noProof/>
                <w:webHidden/>
              </w:rPr>
              <w:instrText xml:space="preserve"> PAGEREF _Toc220011116 \h </w:instrText>
            </w:r>
            <w:r>
              <w:rPr>
                <w:noProof/>
                <w:webHidden/>
              </w:rPr>
            </w:r>
            <w:r>
              <w:rPr>
                <w:noProof/>
                <w:webHidden/>
              </w:rPr>
              <w:fldChar w:fldCharType="separate"/>
            </w:r>
            <w:r>
              <w:rPr>
                <w:noProof/>
                <w:webHidden/>
              </w:rPr>
              <w:t>118</w:t>
            </w:r>
            <w:r>
              <w:rPr>
                <w:noProof/>
                <w:webHidden/>
              </w:rPr>
              <w:fldChar w:fldCharType="end"/>
            </w:r>
          </w:hyperlink>
        </w:p>
        <w:p w14:paraId="3818E87A" w14:textId="1607A355"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17" w:history="1">
            <w:r w:rsidRPr="000A35B1">
              <w:rPr>
                <w:rStyle w:val="Hyperlink"/>
                <w:noProof/>
              </w:rPr>
              <w:t>Alignment With CHC Principles</w:t>
            </w:r>
            <w:r>
              <w:rPr>
                <w:noProof/>
                <w:webHidden/>
              </w:rPr>
              <w:tab/>
            </w:r>
            <w:r>
              <w:rPr>
                <w:noProof/>
                <w:webHidden/>
              </w:rPr>
              <w:fldChar w:fldCharType="begin"/>
            </w:r>
            <w:r>
              <w:rPr>
                <w:noProof/>
                <w:webHidden/>
              </w:rPr>
              <w:instrText xml:space="preserve"> PAGEREF _Toc220011117 \h </w:instrText>
            </w:r>
            <w:r>
              <w:rPr>
                <w:noProof/>
                <w:webHidden/>
              </w:rPr>
            </w:r>
            <w:r>
              <w:rPr>
                <w:noProof/>
                <w:webHidden/>
              </w:rPr>
              <w:fldChar w:fldCharType="separate"/>
            </w:r>
            <w:r>
              <w:rPr>
                <w:noProof/>
                <w:webHidden/>
              </w:rPr>
              <w:t>119</w:t>
            </w:r>
            <w:r>
              <w:rPr>
                <w:noProof/>
                <w:webHidden/>
              </w:rPr>
              <w:fldChar w:fldCharType="end"/>
            </w:r>
          </w:hyperlink>
        </w:p>
        <w:p w14:paraId="2E9B5D0C" w14:textId="49843ABE"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18" w:history="1">
            <w:r w:rsidRPr="000A35B1">
              <w:rPr>
                <w:rStyle w:val="Hyperlink"/>
                <w:noProof/>
              </w:rPr>
              <w:t>Analysis Based on Research Questions</w:t>
            </w:r>
            <w:r>
              <w:rPr>
                <w:noProof/>
                <w:webHidden/>
              </w:rPr>
              <w:tab/>
            </w:r>
            <w:r>
              <w:rPr>
                <w:noProof/>
                <w:webHidden/>
              </w:rPr>
              <w:fldChar w:fldCharType="begin"/>
            </w:r>
            <w:r>
              <w:rPr>
                <w:noProof/>
                <w:webHidden/>
              </w:rPr>
              <w:instrText xml:space="preserve"> PAGEREF _Toc220011118 \h </w:instrText>
            </w:r>
            <w:r>
              <w:rPr>
                <w:noProof/>
                <w:webHidden/>
              </w:rPr>
            </w:r>
            <w:r>
              <w:rPr>
                <w:noProof/>
                <w:webHidden/>
              </w:rPr>
              <w:fldChar w:fldCharType="separate"/>
            </w:r>
            <w:r>
              <w:rPr>
                <w:noProof/>
                <w:webHidden/>
              </w:rPr>
              <w:t>120</w:t>
            </w:r>
            <w:r>
              <w:rPr>
                <w:noProof/>
                <w:webHidden/>
              </w:rPr>
              <w:fldChar w:fldCharType="end"/>
            </w:r>
          </w:hyperlink>
        </w:p>
        <w:p w14:paraId="194D6F33" w14:textId="3A87325F"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19" w:history="1">
            <w:r w:rsidRPr="000A35B1">
              <w:rPr>
                <w:rStyle w:val="Hyperlink"/>
                <w:rFonts w:ascii="Times New Roman" w:hAnsi="Times New Roman" w:cs="Times New Roman"/>
                <w:noProof/>
              </w:rPr>
              <w:t>Case Study 4: Culture Keeper Mutual Aid Fund - Mutual Aid as Cooperative Infrastructure for Cultural Workers</w:t>
            </w:r>
            <w:r>
              <w:rPr>
                <w:noProof/>
                <w:webHidden/>
              </w:rPr>
              <w:tab/>
            </w:r>
            <w:r>
              <w:rPr>
                <w:noProof/>
                <w:webHidden/>
              </w:rPr>
              <w:fldChar w:fldCharType="begin"/>
            </w:r>
            <w:r>
              <w:rPr>
                <w:noProof/>
                <w:webHidden/>
              </w:rPr>
              <w:instrText xml:space="preserve"> PAGEREF _Toc220011119 \h </w:instrText>
            </w:r>
            <w:r>
              <w:rPr>
                <w:noProof/>
                <w:webHidden/>
              </w:rPr>
            </w:r>
            <w:r>
              <w:rPr>
                <w:noProof/>
                <w:webHidden/>
              </w:rPr>
              <w:fldChar w:fldCharType="separate"/>
            </w:r>
            <w:r>
              <w:rPr>
                <w:noProof/>
                <w:webHidden/>
              </w:rPr>
              <w:t>122</w:t>
            </w:r>
            <w:r>
              <w:rPr>
                <w:noProof/>
                <w:webHidden/>
              </w:rPr>
              <w:fldChar w:fldCharType="end"/>
            </w:r>
          </w:hyperlink>
        </w:p>
        <w:p w14:paraId="4AAFC933" w14:textId="07B3777F"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20" w:history="1">
            <w:r w:rsidRPr="000A35B1">
              <w:rPr>
                <w:rStyle w:val="Hyperlink"/>
                <w:noProof/>
              </w:rPr>
              <w:t>Cooperative Model and Operating Context</w:t>
            </w:r>
            <w:r>
              <w:rPr>
                <w:noProof/>
                <w:webHidden/>
              </w:rPr>
              <w:tab/>
            </w:r>
            <w:r>
              <w:rPr>
                <w:noProof/>
                <w:webHidden/>
              </w:rPr>
              <w:fldChar w:fldCharType="begin"/>
            </w:r>
            <w:r>
              <w:rPr>
                <w:noProof/>
                <w:webHidden/>
              </w:rPr>
              <w:instrText xml:space="preserve"> PAGEREF _Toc220011120 \h </w:instrText>
            </w:r>
            <w:r>
              <w:rPr>
                <w:noProof/>
                <w:webHidden/>
              </w:rPr>
            </w:r>
            <w:r>
              <w:rPr>
                <w:noProof/>
                <w:webHidden/>
              </w:rPr>
              <w:fldChar w:fldCharType="separate"/>
            </w:r>
            <w:r>
              <w:rPr>
                <w:noProof/>
                <w:webHidden/>
              </w:rPr>
              <w:t>122</w:t>
            </w:r>
            <w:r>
              <w:rPr>
                <w:noProof/>
                <w:webHidden/>
              </w:rPr>
              <w:fldChar w:fldCharType="end"/>
            </w:r>
          </w:hyperlink>
        </w:p>
        <w:p w14:paraId="54C682EA" w14:textId="000B2CE2"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21" w:history="1">
            <w:r w:rsidRPr="000A35B1">
              <w:rPr>
                <w:rStyle w:val="Hyperlink"/>
                <w:noProof/>
              </w:rPr>
              <w:t>Alignment With CHC Principles</w:t>
            </w:r>
            <w:r>
              <w:rPr>
                <w:noProof/>
                <w:webHidden/>
              </w:rPr>
              <w:tab/>
            </w:r>
            <w:r>
              <w:rPr>
                <w:noProof/>
                <w:webHidden/>
              </w:rPr>
              <w:fldChar w:fldCharType="begin"/>
            </w:r>
            <w:r>
              <w:rPr>
                <w:noProof/>
                <w:webHidden/>
              </w:rPr>
              <w:instrText xml:space="preserve"> PAGEREF _Toc220011121 \h </w:instrText>
            </w:r>
            <w:r>
              <w:rPr>
                <w:noProof/>
                <w:webHidden/>
              </w:rPr>
            </w:r>
            <w:r>
              <w:rPr>
                <w:noProof/>
                <w:webHidden/>
              </w:rPr>
              <w:fldChar w:fldCharType="separate"/>
            </w:r>
            <w:r>
              <w:rPr>
                <w:noProof/>
                <w:webHidden/>
              </w:rPr>
              <w:t>123</w:t>
            </w:r>
            <w:r>
              <w:rPr>
                <w:noProof/>
                <w:webHidden/>
              </w:rPr>
              <w:fldChar w:fldCharType="end"/>
            </w:r>
          </w:hyperlink>
        </w:p>
        <w:p w14:paraId="5E993F98" w14:textId="7FD28413"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22" w:history="1">
            <w:r w:rsidRPr="000A35B1">
              <w:rPr>
                <w:rStyle w:val="Hyperlink"/>
                <w:noProof/>
              </w:rPr>
              <w:t>Analysis Based on Research Questions</w:t>
            </w:r>
            <w:r>
              <w:rPr>
                <w:noProof/>
                <w:webHidden/>
              </w:rPr>
              <w:tab/>
            </w:r>
            <w:r>
              <w:rPr>
                <w:noProof/>
                <w:webHidden/>
              </w:rPr>
              <w:fldChar w:fldCharType="begin"/>
            </w:r>
            <w:r>
              <w:rPr>
                <w:noProof/>
                <w:webHidden/>
              </w:rPr>
              <w:instrText xml:space="preserve"> PAGEREF _Toc220011122 \h </w:instrText>
            </w:r>
            <w:r>
              <w:rPr>
                <w:noProof/>
                <w:webHidden/>
              </w:rPr>
            </w:r>
            <w:r>
              <w:rPr>
                <w:noProof/>
                <w:webHidden/>
              </w:rPr>
              <w:fldChar w:fldCharType="separate"/>
            </w:r>
            <w:r>
              <w:rPr>
                <w:noProof/>
                <w:webHidden/>
              </w:rPr>
              <w:t>125</w:t>
            </w:r>
            <w:r>
              <w:rPr>
                <w:noProof/>
                <w:webHidden/>
              </w:rPr>
              <w:fldChar w:fldCharType="end"/>
            </w:r>
          </w:hyperlink>
        </w:p>
        <w:p w14:paraId="38299C56" w14:textId="0DD795C8"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23" w:history="1">
            <w:r w:rsidRPr="000A35B1">
              <w:rPr>
                <w:rStyle w:val="Hyperlink"/>
                <w:rFonts w:ascii="Times New Roman" w:hAnsi="Times New Roman" w:cs="Times New Roman"/>
                <w:noProof/>
              </w:rPr>
              <w:t>Case Study 5: Northeast African American History Initiative - Regional Capacity-Building as Cooperative Preservation Strategy</w:t>
            </w:r>
            <w:r>
              <w:rPr>
                <w:noProof/>
                <w:webHidden/>
              </w:rPr>
              <w:tab/>
            </w:r>
            <w:r>
              <w:rPr>
                <w:noProof/>
                <w:webHidden/>
              </w:rPr>
              <w:fldChar w:fldCharType="begin"/>
            </w:r>
            <w:r>
              <w:rPr>
                <w:noProof/>
                <w:webHidden/>
              </w:rPr>
              <w:instrText xml:space="preserve"> PAGEREF _Toc220011123 \h </w:instrText>
            </w:r>
            <w:r>
              <w:rPr>
                <w:noProof/>
                <w:webHidden/>
              </w:rPr>
            </w:r>
            <w:r>
              <w:rPr>
                <w:noProof/>
                <w:webHidden/>
              </w:rPr>
              <w:fldChar w:fldCharType="separate"/>
            </w:r>
            <w:r>
              <w:rPr>
                <w:noProof/>
                <w:webHidden/>
              </w:rPr>
              <w:t>126</w:t>
            </w:r>
            <w:r>
              <w:rPr>
                <w:noProof/>
                <w:webHidden/>
              </w:rPr>
              <w:fldChar w:fldCharType="end"/>
            </w:r>
          </w:hyperlink>
        </w:p>
        <w:p w14:paraId="2F5F5B39" w14:textId="0464A03D"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24" w:history="1">
            <w:r w:rsidRPr="000A35B1">
              <w:rPr>
                <w:rStyle w:val="Hyperlink"/>
                <w:noProof/>
              </w:rPr>
              <w:t>Cooperative Model and Operating Context</w:t>
            </w:r>
            <w:r>
              <w:rPr>
                <w:noProof/>
                <w:webHidden/>
              </w:rPr>
              <w:tab/>
            </w:r>
            <w:r>
              <w:rPr>
                <w:noProof/>
                <w:webHidden/>
              </w:rPr>
              <w:fldChar w:fldCharType="begin"/>
            </w:r>
            <w:r>
              <w:rPr>
                <w:noProof/>
                <w:webHidden/>
              </w:rPr>
              <w:instrText xml:space="preserve"> PAGEREF _Toc220011124 \h </w:instrText>
            </w:r>
            <w:r>
              <w:rPr>
                <w:noProof/>
                <w:webHidden/>
              </w:rPr>
            </w:r>
            <w:r>
              <w:rPr>
                <w:noProof/>
                <w:webHidden/>
              </w:rPr>
              <w:fldChar w:fldCharType="separate"/>
            </w:r>
            <w:r>
              <w:rPr>
                <w:noProof/>
                <w:webHidden/>
              </w:rPr>
              <w:t>126</w:t>
            </w:r>
            <w:r>
              <w:rPr>
                <w:noProof/>
                <w:webHidden/>
              </w:rPr>
              <w:fldChar w:fldCharType="end"/>
            </w:r>
          </w:hyperlink>
        </w:p>
        <w:p w14:paraId="783B5439" w14:textId="4DA713CF"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25" w:history="1">
            <w:r w:rsidRPr="000A35B1">
              <w:rPr>
                <w:rStyle w:val="Hyperlink"/>
                <w:noProof/>
              </w:rPr>
              <w:t>Alignment With CHC Principles</w:t>
            </w:r>
            <w:r>
              <w:rPr>
                <w:noProof/>
                <w:webHidden/>
              </w:rPr>
              <w:tab/>
            </w:r>
            <w:r>
              <w:rPr>
                <w:noProof/>
                <w:webHidden/>
              </w:rPr>
              <w:fldChar w:fldCharType="begin"/>
            </w:r>
            <w:r>
              <w:rPr>
                <w:noProof/>
                <w:webHidden/>
              </w:rPr>
              <w:instrText xml:space="preserve"> PAGEREF _Toc220011125 \h </w:instrText>
            </w:r>
            <w:r>
              <w:rPr>
                <w:noProof/>
                <w:webHidden/>
              </w:rPr>
            </w:r>
            <w:r>
              <w:rPr>
                <w:noProof/>
                <w:webHidden/>
              </w:rPr>
              <w:fldChar w:fldCharType="separate"/>
            </w:r>
            <w:r>
              <w:rPr>
                <w:noProof/>
                <w:webHidden/>
              </w:rPr>
              <w:t>127</w:t>
            </w:r>
            <w:r>
              <w:rPr>
                <w:noProof/>
                <w:webHidden/>
              </w:rPr>
              <w:fldChar w:fldCharType="end"/>
            </w:r>
          </w:hyperlink>
        </w:p>
        <w:p w14:paraId="171B0998" w14:textId="7AF4234F"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26" w:history="1">
            <w:r w:rsidRPr="000A35B1">
              <w:rPr>
                <w:rStyle w:val="Hyperlink"/>
                <w:noProof/>
              </w:rPr>
              <w:t>Analysis Based on Research Questions</w:t>
            </w:r>
            <w:r>
              <w:rPr>
                <w:noProof/>
                <w:webHidden/>
              </w:rPr>
              <w:tab/>
            </w:r>
            <w:r>
              <w:rPr>
                <w:noProof/>
                <w:webHidden/>
              </w:rPr>
              <w:fldChar w:fldCharType="begin"/>
            </w:r>
            <w:r>
              <w:rPr>
                <w:noProof/>
                <w:webHidden/>
              </w:rPr>
              <w:instrText xml:space="preserve"> PAGEREF _Toc220011126 \h </w:instrText>
            </w:r>
            <w:r>
              <w:rPr>
                <w:noProof/>
                <w:webHidden/>
              </w:rPr>
            </w:r>
            <w:r>
              <w:rPr>
                <w:noProof/>
                <w:webHidden/>
              </w:rPr>
              <w:fldChar w:fldCharType="separate"/>
            </w:r>
            <w:r>
              <w:rPr>
                <w:noProof/>
                <w:webHidden/>
              </w:rPr>
              <w:t>129</w:t>
            </w:r>
            <w:r>
              <w:rPr>
                <w:noProof/>
                <w:webHidden/>
              </w:rPr>
              <w:fldChar w:fldCharType="end"/>
            </w:r>
          </w:hyperlink>
        </w:p>
        <w:p w14:paraId="034BBB81" w14:textId="09543383"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27" w:history="1">
            <w:r w:rsidRPr="000A35B1">
              <w:rPr>
                <w:rStyle w:val="Hyperlink"/>
                <w:rFonts w:ascii="Times New Roman" w:hAnsi="Times New Roman" w:cs="Times New Roman"/>
                <w:noProof/>
              </w:rPr>
              <w:t>Conclusion: Patterns, Frictions, and Refinements for Cooperative Heritage Communities</w:t>
            </w:r>
            <w:r>
              <w:rPr>
                <w:noProof/>
                <w:webHidden/>
              </w:rPr>
              <w:tab/>
            </w:r>
            <w:r>
              <w:rPr>
                <w:noProof/>
                <w:webHidden/>
              </w:rPr>
              <w:fldChar w:fldCharType="begin"/>
            </w:r>
            <w:r>
              <w:rPr>
                <w:noProof/>
                <w:webHidden/>
              </w:rPr>
              <w:instrText xml:space="preserve"> PAGEREF _Toc220011127 \h </w:instrText>
            </w:r>
            <w:r>
              <w:rPr>
                <w:noProof/>
                <w:webHidden/>
              </w:rPr>
            </w:r>
            <w:r>
              <w:rPr>
                <w:noProof/>
                <w:webHidden/>
              </w:rPr>
              <w:fldChar w:fldCharType="separate"/>
            </w:r>
            <w:r>
              <w:rPr>
                <w:noProof/>
                <w:webHidden/>
              </w:rPr>
              <w:t>130</w:t>
            </w:r>
            <w:r>
              <w:rPr>
                <w:noProof/>
                <w:webHidden/>
              </w:rPr>
              <w:fldChar w:fldCharType="end"/>
            </w:r>
          </w:hyperlink>
        </w:p>
        <w:p w14:paraId="0B64E895" w14:textId="4EEFA128" w:rsidR="006C1E51" w:rsidRDefault="006C1E51">
          <w:pPr>
            <w:pStyle w:val="TOC1"/>
            <w:rPr>
              <w:rFonts w:eastAsiaTheme="minorEastAsia" w:cstheme="minorBidi"/>
              <w:b w:val="0"/>
              <w:bCs w:val="0"/>
              <w:i w:val="0"/>
              <w:iCs w:val="0"/>
              <w:noProof/>
              <w:kern w:val="2"/>
              <w:lang w:val="en-US"/>
              <w14:ligatures w14:val="standardContextual"/>
            </w:rPr>
          </w:pPr>
          <w:hyperlink w:anchor="_Toc220011128" w:history="1">
            <w:r w:rsidRPr="000A35B1">
              <w:rPr>
                <w:rStyle w:val="Hyperlink"/>
                <w:noProof/>
              </w:rPr>
              <w:t>Chapter 5: The Application: A CHC Scenario In Butlertown</w:t>
            </w:r>
            <w:r>
              <w:rPr>
                <w:noProof/>
                <w:webHidden/>
              </w:rPr>
              <w:tab/>
            </w:r>
            <w:r>
              <w:rPr>
                <w:noProof/>
                <w:webHidden/>
              </w:rPr>
              <w:fldChar w:fldCharType="begin"/>
            </w:r>
            <w:r>
              <w:rPr>
                <w:noProof/>
                <w:webHidden/>
              </w:rPr>
              <w:instrText xml:space="preserve"> PAGEREF _Toc220011128 \h </w:instrText>
            </w:r>
            <w:r>
              <w:rPr>
                <w:noProof/>
                <w:webHidden/>
              </w:rPr>
            </w:r>
            <w:r>
              <w:rPr>
                <w:noProof/>
                <w:webHidden/>
              </w:rPr>
              <w:fldChar w:fldCharType="separate"/>
            </w:r>
            <w:r>
              <w:rPr>
                <w:noProof/>
                <w:webHidden/>
              </w:rPr>
              <w:t>132</w:t>
            </w:r>
            <w:r>
              <w:rPr>
                <w:noProof/>
                <w:webHidden/>
              </w:rPr>
              <w:fldChar w:fldCharType="end"/>
            </w:r>
          </w:hyperlink>
        </w:p>
        <w:p w14:paraId="393B4FC2" w14:textId="4039ACDB"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29" w:history="1">
            <w:r w:rsidRPr="000A35B1">
              <w:rPr>
                <w:rStyle w:val="Hyperlink"/>
                <w:rFonts w:ascii="Times New Roman" w:hAnsi="Times New Roman" w:cs="Times New Roman"/>
                <w:noProof/>
              </w:rPr>
              <w:t>Introduction to Chapter Five</w:t>
            </w:r>
            <w:r>
              <w:rPr>
                <w:noProof/>
                <w:webHidden/>
              </w:rPr>
              <w:tab/>
            </w:r>
            <w:r>
              <w:rPr>
                <w:noProof/>
                <w:webHidden/>
              </w:rPr>
              <w:fldChar w:fldCharType="begin"/>
            </w:r>
            <w:r>
              <w:rPr>
                <w:noProof/>
                <w:webHidden/>
              </w:rPr>
              <w:instrText xml:space="preserve"> PAGEREF _Toc220011129 \h </w:instrText>
            </w:r>
            <w:r>
              <w:rPr>
                <w:noProof/>
                <w:webHidden/>
              </w:rPr>
            </w:r>
            <w:r>
              <w:rPr>
                <w:noProof/>
                <w:webHidden/>
              </w:rPr>
              <w:fldChar w:fldCharType="separate"/>
            </w:r>
            <w:r>
              <w:rPr>
                <w:noProof/>
                <w:webHidden/>
              </w:rPr>
              <w:t>132</w:t>
            </w:r>
            <w:r>
              <w:rPr>
                <w:noProof/>
                <w:webHidden/>
              </w:rPr>
              <w:fldChar w:fldCharType="end"/>
            </w:r>
          </w:hyperlink>
        </w:p>
        <w:p w14:paraId="336F95B7" w14:textId="17A9C21C"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30" w:history="1">
            <w:r w:rsidRPr="000A35B1">
              <w:rPr>
                <w:rStyle w:val="Hyperlink"/>
                <w:rFonts w:ascii="Times New Roman" w:hAnsi="Times New Roman" w:cs="Times New Roman"/>
                <w:noProof/>
              </w:rPr>
              <w:t>Scenario: Henrietta Brown’s Backwoods (Butlertown)</w:t>
            </w:r>
            <w:r>
              <w:rPr>
                <w:noProof/>
                <w:webHidden/>
              </w:rPr>
              <w:tab/>
            </w:r>
            <w:r>
              <w:rPr>
                <w:noProof/>
                <w:webHidden/>
              </w:rPr>
              <w:fldChar w:fldCharType="begin"/>
            </w:r>
            <w:r>
              <w:rPr>
                <w:noProof/>
                <w:webHidden/>
              </w:rPr>
              <w:instrText xml:space="preserve"> PAGEREF _Toc220011130 \h </w:instrText>
            </w:r>
            <w:r>
              <w:rPr>
                <w:noProof/>
                <w:webHidden/>
              </w:rPr>
            </w:r>
            <w:r>
              <w:rPr>
                <w:noProof/>
                <w:webHidden/>
              </w:rPr>
              <w:fldChar w:fldCharType="separate"/>
            </w:r>
            <w:r>
              <w:rPr>
                <w:noProof/>
                <w:webHidden/>
              </w:rPr>
              <w:t>133</w:t>
            </w:r>
            <w:r>
              <w:rPr>
                <w:noProof/>
                <w:webHidden/>
              </w:rPr>
              <w:fldChar w:fldCharType="end"/>
            </w:r>
          </w:hyperlink>
        </w:p>
        <w:p w14:paraId="5ACF6CA3" w14:textId="18AD7646"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31" w:history="1">
            <w:r w:rsidRPr="000A35B1">
              <w:rPr>
                <w:rStyle w:val="Hyperlink"/>
                <w:rFonts w:ascii="Times New Roman" w:hAnsi="Times New Roman" w:cs="Times New Roman"/>
                <w:noProof/>
              </w:rPr>
              <w:t>Act I. A Living Landscape</w:t>
            </w:r>
            <w:r>
              <w:rPr>
                <w:noProof/>
                <w:webHidden/>
              </w:rPr>
              <w:tab/>
            </w:r>
            <w:r>
              <w:rPr>
                <w:noProof/>
                <w:webHidden/>
              </w:rPr>
              <w:fldChar w:fldCharType="begin"/>
            </w:r>
            <w:r>
              <w:rPr>
                <w:noProof/>
                <w:webHidden/>
              </w:rPr>
              <w:instrText xml:space="preserve"> PAGEREF _Toc220011131 \h </w:instrText>
            </w:r>
            <w:r>
              <w:rPr>
                <w:noProof/>
                <w:webHidden/>
              </w:rPr>
            </w:r>
            <w:r>
              <w:rPr>
                <w:noProof/>
                <w:webHidden/>
              </w:rPr>
              <w:fldChar w:fldCharType="separate"/>
            </w:r>
            <w:r>
              <w:rPr>
                <w:noProof/>
                <w:webHidden/>
              </w:rPr>
              <w:t>133</w:t>
            </w:r>
            <w:r>
              <w:rPr>
                <w:noProof/>
                <w:webHidden/>
              </w:rPr>
              <w:fldChar w:fldCharType="end"/>
            </w:r>
          </w:hyperlink>
        </w:p>
        <w:p w14:paraId="62879D47" w14:textId="5E67A7D0"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32" w:history="1">
            <w:r w:rsidRPr="000A35B1">
              <w:rPr>
                <w:rStyle w:val="Hyperlink"/>
                <w:noProof/>
              </w:rPr>
              <w:t>Planning Prompts (CHC Principle: Shared Experience)</w:t>
            </w:r>
            <w:r>
              <w:rPr>
                <w:noProof/>
                <w:webHidden/>
              </w:rPr>
              <w:tab/>
            </w:r>
            <w:r>
              <w:rPr>
                <w:noProof/>
                <w:webHidden/>
              </w:rPr>
              <w:fldChar w:fldCharType="begin"/>
            </w:r>
            <w:r>
              <w:rPr>
                <w:noProof/>
                <w:webHidden/>
              </w:rPr>
              <w:instrText xml:space="preserve"> PAGEREF _Toc220011132 \h </w:instrText>
            </w:r>
            <w:r>
              <w:rPr>
                <w:noProof/>
                <w:webHidden/>
              </w:rPr>
            </w:r>
            <w:r>
              <w:rPr>
                <w:noProof/>
                <w:webHidden/>
              </w:rPr>
              <w:fldChar w:fldCharType="separate"/>
            </w:r>
            <w:r>
              <w:rPr>
                <w:noProof/>
                <w:webHidden/>
              </w:rPr>
              <w:t>137</w:t>
            </w:r>
            <w:r>
              <w:rPr>
                <w:noProof/>
                <w:webHidden/>
              </w:rPr>
              <w:fldChar w:fldCharType="end"/>
            </w:r>
          </w:hyperlink>
        </w:p>
        <w:p w14:paraId="07A9947F" w14:textId="44AFCC9F"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33" w:history="1">
            <w:r w:rsidRPr="000A35B1">
              <w:rPr>
                <w:rStyle w:val="Hyperlink"/>
                <w:rFonts w:ascii="Times New Roman" w:hAnsi="Times New Roman" w:cs="Times New Roman"/>
                <w:noProof/>
              </w:rPr>
              <w:t>Act II. Rising Pressure – Encroachment &amp; Remembrance</w:t>
            </w:r>
            <w:r>
              <w:rPr>
                <w:noProof/>
                <w:webHidden/>
              </w:rPr>
              <w:tab/>
            </w:r>
            <w:r>
              <w:rPr>
                <w:noProof/>
                <w:webHidden/>
              </w:rPr>
              <w:fldChar w:fldCharType="begin"/>
            </w:r>
            <w:r>
              <w:rPr>
                <w:noProof/>
                <w:webHidden/>
              </w:rPr>
              <w:instrText xml:space="preserve"> PAGEREF _Toc220011133 \h </w:instrText>
            </w:r>
            <w:r>
              <w:rPr>
                <w:noProof/>
                <w:webHidden/>
              </w:rPr>
            </w:r>
            <w:r>
              <w:rPr>
                <w:noProof/>
                <w:webHidden/>
              </w:rPr>
              <w:fldChar w:fldCharType="separate"/>
            </w:r>
            <w:r>
              <w:rPr>
                <w:noProof/>
                <w:webHidden/>
              </w:rPr>
              <w:t>137</w:t>
            </w:r>
            <w:r>
              <w:rPr>
                <w:noProof/>
                <w:webHidden/>
              </w:rPr>
              <w:fldChar w:fldCharType="end"/>
            </w:r>
          </w:hyperlink>
        </w:p>
        <w:p w14:paraId="0FB28E9A" w14:textId="53077ECB"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34" w:history="1">
            <w:r w:rsidRPr="000A35B1">
              <w:rPr>
                <w:rStyle w:val="Hyperlink"/>
                <w:noProof/>
              </w:rPr>
              <w:t>Planning Prompts (CHC Principle: Equity &amp; Justice Orientation)</w:t>
            </w:r>
            <w:r>
              <w:rPr>
                <w:noProof/>
                <w:webHidden/>
              </w:rPr>
              <w:tab/>
            </w:r>
            <w:r>
              <w:rPr>
                <w:noProof/>
                <w:webHidden/>
              </w:rPr>
              <w:fldChar w:fldCharType="begin"/>
            </w:r>
            <w:r>
              <w:rPr>
                <w:noProof/>
                <w:webHidden/>
              </w:rPr>
              <w:instrText xml:space="preserve"> PAGEREF _Toc220011134 \h </w:instrText>
            </w:r>
            <w:r>
              <w:rPr>
                <w:noProof/>
                <w:webHidden/>
              </w:rPr>
            </w:r>
            <w:r>
              <w:rPr>
                <w:noProof/>
                <w:webHidden/>
              </w:rPr>
              <w:fldChar w:fldCharType="separate"/>
            </w:r>
            <w:r>
              <w:rPr>
                <w:noProof/>
                <w:webHidden/>
              </w:rPr>
              <w:t>139</w:t>
            </w:r>
            <w:r>
              <w:rPr>
                <w:noProof/>
                <w:webHidden/>
              </w:rPr>
              <w:fldChar w:fldCharType="end"/>
            </w:r>
          </w:hyperlink>
        </w:p>
        <w:p w14:paraId="501561D7" w14:textId="1F8B9BFB"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35" w:history="1">
            <w:r w:rsidRPr="000A35B1">
              <w:rPr>
                <w:rStyle w:val="Hyperlink"/>
                <w:rFonts w:ascii="Times New Roman" w:hAnsi="Times New Roman" w:cs="Times New Roman"/>
                <w:noProof/>
              </w:rPr>
              <w:t>Act III. Discovery – Realizing Collective Wealth</w:t>
            </w:r>
            <w:r>
              <w:rPr>
                <w:noProof/>
                <w:webHidden/>
              </w:rPr>
              <w:tab/>
            </w:r>
            <w:r>
              <w:rPr>
                <w:noProof/>
                <w:webHidden/>
              </w:rPr>
              <w:fldChar w:fldCharType="begin"/>
            </w:r>
            <w:r>
              <w:rPr>
                <w:noProof/>
                <w:webHidden/>
              </w:rPr>
              <w:instrText xml:space="preserve"> PAGEREF _Toc220011135 \h </w:instrText>
            </w:r>
            <w:r>
              <w:rPr>
                <w:noProof/>
                <w:webHidden/>
              </w:rPr>
            </w:r>
            <w:r>
              <w:rPr>
                <w:noProof/>
                <w:webHidden/>
              </w:rPr>
              <w:fldChar w:fldCharType="separate"/>
            </w:r>
            <w:r>
              <w:rPr>
                <w:noProof/>
                <w:webHidden/>
              </w:rPr>
              <w:t>140</w:t>
            </w:r>
            <w:r>
              <w:rPr>
                <w:noProof/>
                <w:webHidden/>
              </w:rPr>
              <w:fldChar w:fldCharType="end"/>
            </w:r>
          </w:hyperlink>
        </w:p>
        <w:p w14:paraId="5F576246" w14:textId="6F13EB2B"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36" w:history="1">
            <w:r w:rsidRPr="000A35B1">
              <w:rPr>
                <w:rStyle w:val="Hyperlink"/>
                <w:noProof/>
              </w:rPr>
              <w:t>Planning Prompts (CHC Principle: Collective Ownership)</w:t>
            </w:r>
            <w:r>
              <w:rPr>
                <w:noProof/>
                <w:webHidden/>
              </w:rPr>
              <w:tab/>
            </w:r>
            <w:r>
              <w:rPr>
                <w:noProof/>
                <w:webHidden/>
              </w:rPr>
              <w:fldChar w:fldCharType="begin"/>
            </w:r>
            <w:r>
              <w:rPr>
                <w:noProof/>
                <w:webHidden/>
              </w:rPr>
              <w:instrText xml:space="preserve"> PAGEREF _Toc220011136 \h </w:instrText>
            </w:r>
            <w:r>
              <w:rPr>
                <w:noProof/>
                <w:webHidden/>
              </w:rPr>
            </w:r>
            <w:r>
              <w:rPr>
                <w:noProof/>
                <w:webHidden/>
              </w:rPr>
              <w:fldChar w:fldCharType="separate"/>
            </w:r>
            <w:r>
              <w:rPr>
                <w:noProof/>
                <w:webHidden/>
              </w:rPr>
              <w:t>143</w:t>
            </w:r>
            <w:r>
              <w:rPr>
                <w:noProof/>
                <w:webHidden/>
              </w:rPr>
              <w:fldChar w:fldCharType="end"/>
            </w:r>
          </w:hyperlink>
        </w:p>
        <w:p w14:paraId="36620A39" w14:textId="11A6DD1D"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37" w:history="1">
            <w:r w:rsidRPr="000A35B1">
              <w:rPr>
                <w:rStyle w:val="Hyperlink"/>
                <w:rFonts w:ascii="Times New Roman" w:hAnsi="Times New Roman" w:cs="Times New Roman"/>
                <w:noProof/>
              </w:rPr>
              <w:t>Act IV. Back to the Old Landmark – Reclaiming Power</w:t>
            </w:r>
            <w:r>
              <w:rPr>
                <w:noProof/>
                <w:webHidden/>
              </w:rPr>
              <w:tab/>
            </w:r>
            <w:r>
              <w:rPr>
                <w:noProof/>
                <w:webHidden/>
              </w:rPr>
              <w:fldChar w:fldCharType="begin"/>
            </w:r>
            <w:r>
              <w:rPr>
                <w:noProof/>
                <w:webHidden/>
              </w:rPr>
              <w:instrText xml:space="preserve"> PAGEREF _Toc220011137 \h </w:instrText>
            </w:r>
            <w:r>
              <w:rPr>
                <w:noProof/>
                <w:webHidden/>
              </w:rPr>
            </w:r>
            <w:r>
              <w:rPr>
                <w:noProof/>
                <w:webHidden/>
              </w:rPr>
              <w:fldChar w:fldCharType="separate"/>
            </w:r>
            <w:r>
              <w:rPr>
                <w:noProof/>
                <w:webHidden/>
              </w:rPr>
              <w:t>144</w:t>
            </w:r>
            <w:r>
              <w:rPr>
                <w:noProof/>
                <w:webHidden/>
              </w:rPr>
              <w:fldChar w:fldCharType="end"/>
            </w:r>
          </w:hyperlink>
        </w:p>
        <w:p w14:paraId="6A2EEAAC" w14:textId="684D0498"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38" w:history="1">
            <w:r w:rsidRPr="000A35B1">
              <w:rPr>
                <w:rStyle w:val="Hyperlink"/>
                <w:noProof/>
              </w:rPr>
              <w:t>Planning Prompts (CHC Principle: Democratic Governance)</w:t>
            </w:r>
            <w:r>
              <w:rPr>
                <w:noProof/>
                <w:webHidden/>
              </w:rPr>
              <w:tab/>
            </w:r>
            <w:r>
              <w:rPr>
                <w:noProof/>
                <w:webHidden/>
              </w:rPr>
              <w:fldChar w:fldCharType="begin"/>
            </w:r>
            <w:r>
              <w:rPr>
                <w:noProof/>
                <w:webHidden/>
              </w:rPr>
              <w:instrText xml:space="preserve"> PAGEREF _Toc220011138 \h </w:instrText>
            </w:r>
            <w:r>
              <w:rPr>
                <w:noProof/>
                <w:webHidden/>
              </w:rPr>
            </w:r>
            <w:r>
              <w:rPr>
                <w:noProof/>
                <w:webHidden/>
              </w:rPr>
              <w:fldChar w:fldCharType="separate"/>
            </w:r>
            <w:r>
              <w:rPr>
                <w:noProof/>
                <w:webHidden/>
              </w:rPr>
              <w:t>149</w:t>
            </w:r>
            <w:r>
              <w:rPr>
                <w:noProof/>
                <w:webHidden/>
              </w:rPr>
              <w:fldChar w:fldCharType="end"/>
            </w:r>
          </w:hyperlink>
        </w:p>
        <w:p w14:paraId="24EDAAA4" w14:textId="03320E7D"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39" w:history="1">
            <w:r w:rsidRPr="000A35B1">
              <w:rPr>
                <w:rStyle w:val="Hyperlink"/>
                <w:rFonts w:ascii="Times New Roman" w:hAnsi="Times New Roman" w:cs="Times New Roman"/>
                <w:noProof/>
              </w:rPr>
              <w:t>Henrietta’s Interlude</w:t>
            </w:r>
            <w:r>
              <w:rPr>
                <w:noProof/>
                <w:webHidden/>
              </w:rPr>
              <w:tab/>
            </w:r>
            <w:r>
              <w:rPr>
                <w:noProof/>
                <w:webHidden/>
              </w:rPr>
              <w:fldChar w:fldCharType="begin"/>
            </w:r>
            <w:r>
              <w:rPr>
                <w:noProof/>
                <w:webHidden/>
              </w:rPr>
              <w:instrText xml:space="preserve"> PAGEREF _Toc220011139 \h </w:instrText>
            </w:r>
            <w:r>
              <w:rPr>
                <w:noProof/>
                <w:webHidden/>
              </w:rPr>
            </w:r>
            <w:r>
              <w:rPr>
                <w:noProof/>
                <w:webHidden/>
              </w:rPr>
              <w:fldChar w:fldCharType="separate"/>
            </w:r>
            <w:r>
              <w:rPr>
                <w:noProof/>
                <w:webHidden/>
              </w:rPr>
              <w:t>149</w:t>
            </w:r>
            <w:r>
              <w:rPr>
                <w:noProof/>
                <w:webHidden/>
              </w:rPr>
              <w:fldChar w:fldCharType="end"/>
            </w:r>
          </w:hyperlink>
        </w:p>
        <w:p w14:paraId="4CB82D78" w14:textId="077716D1"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40" w:history="1">
            <w:r w:rsidRPr="000A35B1">
              <w:rPr>
                <w:rStyle w:val="Hyperlink"/>
                <w:rFonts w:ascii="Times New Roman" w:hAnsi="Times New Roman" w:cs="Times New Roman"/>
                <w:noProof/>
              </w:rPr>
              <w:t>Act V. Formation – Building the Butlertown Fund</w:t>
            </w:r>
            <w:r>
              <w:rPr>
                <w:noProof/>
                <w:webHidden/>
              </w:rPr>
              <w:tab/>
            </w:r>
            <w:r>
              <w:rPr>
                <w:noProof/>
                <w:webHidden/>
              </w:rPr>
              <w:fldChar w:fldCharType="begin"/>
            </w:r>
            <w:r>
              <w:rPr>
                <w:noProof/>
                <w:webHidden/>
              </w:rPr>
              <w:instrText xml:space="preserve"> PAGEREF _Toc220011140 \h </w:instrText>
            </w:r>
            <w:r>
              <w:rPr>
                <w:noProof/>
                <w:webHidden/>
              </w:rPr>
            </w:r>
            <w:r>
              <w:rPr>
                <w:noProof/>
                <w:webHidden/>
              </w:rPr>
              <w:fldChar w:fldCharType="separate"/>
            </w:r>
            <w:r>
              <w:rPr>
                <w:noProof/>
                <w:webHidden/>
              </w:rPr>
              <w:t>150</w:t>
            </w:r>
            <w:r>
              <w:rPr>
                <w:noProof/>
                <w:webHidden/>
              </w:rPr>
              <w:fldChar w:fldCharType="end"/>
            </w:r>
          </w:hyperlink>
        </w:p>
        <w:p w14:paraId="50B530E8" w14:textId="353FF076"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41" w:history="1">
            <w:r w:rsidRPr="000A35B1">
              <w:rPr>
                <w:rStyle w:val="Hyperlink"/>
                <w:noProof/>
              </w:rPr>
              <w:t>THE BUTLERTOWN FUND</w:t>
            </w:r>
            <w:r>
              <w:rPr>
                <w:noProof/>
                <w:webHidden/>
              </w:rPr>
              <w:tab/>
            </w:r>
            <w:r>
              <w:rPr>
                <w:noProof/>
                <w:webHidden/>
              </w:rPr>
              <w:fldChar w:fldCharType="begin"/>
            </w:r>
            <w:r>
              <w:rPr>
                <w:noProof/>
                <w:webHidden/>
              </w:rPr>
              <w:instrText xml:space="preserve"> PAGEREF _Toc220011141 \h </w:instrText>
            </w:r>
            <w:r>
              <w:rPr>
                <w:noProof/>
                <w:webHidden/>
              </w:rPr>
            </w:r>
            <w:r>
              <w:rPr>
                <w:noProof/>
                <w:webHidden/>
              </w:rPr>
              <w:fldChar w:fldCharType="separate"/>
            </w:r>
            <w:r>
              <w:rPr>
                <w:noProof/>
                <w:webHidden/>
              </w:rPr>
              <w:t>150</w:t>
            </w:r>
            <w:r>
              <w:rPr>
                <w:noProof/>
                <w:webHidden/>
              </w:rPr>
              <w:fldChar w:fldCharType="end"/>
            </w:r>
          </w:hyperlink>
        </w:p>
        <w:p w14:paraId="522205BA" w14:textId="0ED32073"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42" w:history="1">
            <w:r w:rsidRPr="000A35B1">
              <w:rPr>
                <w:rStyle w:val="Hyperlink"/>
                <w:noProof/>
              </w:rPr>
              <w:t>Planning Prompts (CHC Principle: Community Resource Building)</w:t>
            </w:r>
            <w:r>
              <w:rPr>
                <w:noProof/>
                <w:webHidden/>
              </w:rPr>
              <w:tab/>
            </w:r>
            <w:r>
              <w:rPr>
                <w:noProof/>
                <w:webHidden/>
              </w:rPr>
              <w:fldChar w:fldCharType="begin"/>
            </w:r>
            <w:r>
              <w:rPr>
                <w:noProof/>
                <w:webHidden/>
              </w:rPr>
              <w:instrText xml:space="preserve"> PAGEREF _Toc220011142 \h </w:instrText>
            </w:r>
            <w:r>
              <w:rPr>
                <w:noProof/>
                <w:webHidden/>
              </w:rPr>
            </w:r>
            <w:r>
              <w:rPr>
                <w:noProof/>
                <w:webHidden/>
              </w:rPr>
              <w:fldChar w:fldCharType="separate"/>
            </w:r>
            <w:r>
              <w:rPr>
                <w:noProof/>
                <w:webHidden/>
              </w:rPr>
              <w:t>152</w:t>
            </w:r>
            <w:r>
              <w:rPr>
                <w:noProof/>
                <w:webHidden/>
              </w:rPr>
              <w:fldChar w:fldCharType="end"/>
            </w:r>
          </w:hyperlink>
        </w:p>
        <w:p w14:paraId="7E429B6A" w14:textId="49757B0B"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43" w:history="1">
            <w:r w:rsidRPr="000A35B1">
              <w:rPr>
                <w:rStyle w:val="Hyperlink"/>
                <w:rFonts w:ascii="Times New Roman" w:hAnsi="Times New Roman" w:cs="Times New Roman"/>
                <w:noProof/>
              </w:rPr>
              <w:t>ACT VI. – First Test: Miss Lillian’s Heired Property</w:t>
            </w:r>
            <w:r>
              <w:rPr>
                <w:noProof/>
                <w:webHidden/>
              </w:rPr>
              <w:tab/>
            </w:r>
            <w:r>
              <w:rPr>
                <w:noProof/>
                <w:webHidden/>
              </w:rPr>
              <w:fldChar w:fldCharType="begin"/>
            </w:r>
            <w:r>
              <w:rPr>
                <w:noProof/>
                <w:webHidden/>
              </w:rPr>
              <w:instrText xml:space="preserve"> PAGEREF _Toc220011143 \h </w:instrText>
            </w:r>
            <w:r>
              <w:rPr>
                <w:noProof/>
                <w:webHidden/>
              </w:rPr>
            </w:r>
            <w:r>
              <w:rPr>
                <w:noProof/>
                <w:webHidden/>
              </w:rPr>
              <w:fldChar w:fldCharType="separate"/>
            </w:r>
            <w:r>
              <w:rPr>
                <w:noProof/>
                <w:webHidden/>
              </w:rPr>
              <w:t>153</w:t>
            </w:r>
            <w:r>
              <w:rPr>
                <w:noProof/>
                <w:webHidden/>
              </w:rPr>
              <w:fldChar w:fldCharType="end"/>
            </w:r>
          </w:hyperlink>
        </w:p>
        <w:p w14:paraId="5C513275" w14:textId="442F5B3A"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44" w:history="1">
            <w:r w:rsidRPr="000A35B1">
              <w:rPr>
                <w:rStyle w:val="Hyperlink"/>
                <w:noProof/>
              </w:rPr>
              <w:t>Planning Prompts (CHC Principles: Resource Building, Equity &amp; Justice)</w:t>
            </w:r>
            <w:r>
              <w:rPr>
                <w:noProof/>
                <w:webHidden/>
              </w:rPr>
              <w:tab/>
            </w:r>
            <w:r>
              <w:rPr>
                <w:noProof/>
                <w:webHidden/>
              </w:rPr>
              <w:fldChar w:fldCharType="begin"/>
            </w:r>
            <w:r>
              <w:rPr>
                <w:noProof/>
                <w:webHidden/>
              </w:rPr>
              <w:instrText xml:space="preserve"> PAGEREF _Toc220011144 \h </w:instrText>
            </w:r>
            <w:r>
              <w:rPr>
                <w:noProof/>
                <w:webHidden/>
              </w:rPr>
            </w:r>
            <w:r>
              <w:rPr>
                <w:noProof/>
                <w:webHidden/>
              </w:rPr>
              <w:fldChar w:fldCharType="separate"/>
            </w:r>
            <w:r>
              <w:rPr>
                <w:noProof/>
                <w:webHidden/>
              </w:rPr>
              <w:t>156</w:t>
            </w:r>
            <w:r>
              <w:rPr>
                <w:noProof/>
                <w:webHidden/>
              </w:rPr>
              <w:fldChar w:fldCharType="end"/>
            </w:r>
          </w:hyperlink>
        </w:p>
        <w:p w14:paraId="3209A392" w14:textId="05F0F2F2"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45" w:history="1">
            <w:r w:rsidRPr="000A35B1">
              <w:rPr>
                <w:rStyle w:val="Hyperlink"/>
                <w:rFonts w:ascii="Times New Roman" w:hAnsi="Times New Roman" w:cs="Times New Roman"/>
                <w:noProof/>
              </w:rPr>
              <w:t>Act VII. Now We’re Speaking The Same Language</w:t>
            </w:r>
            <w:r>
              <w:rPr>
                <w:noProof/>
                <w:webHidden/>
              </w:rPr>
              <w:tab/>
            </w:r>
            <w:r>
              <w:rPr>
                <w:noProof/>
                <w:webHidden/>
              </w:rPr>
              <w:fldChar w:fldCharType="begin"/>
            </w:r>
            <w:r>
              <w:rPr>
                <w:noProof/>
                <w:webHidden/>
              </w:rPr>
              <w:instrText xml:space="preserve"> PAGEREF _Toc220011145 \h </w:instrText>
            </w:r>
            <w:r>
              <w:rPr>
                <w:noProof/>
                <w:webHidden/>
              </w:rPr>
            </w:r>
            <w:r>
              <w:rPr>
                <w:noProof/>
                <w:webHidden/>
              </w:rPr>
              <w:fldChar w:fldCharType="separate"/>
            </w:r>
            <w:r>
              <w:rPr>
                <w:noProof/>
                <w:webHidden/>
              </w:rPr>
              <w:t>157</w:t>
            </w:r>
            <w:r>
              <w:rPr>
                <w:noProof/>
                <w:webHidden/>
              </w:rPr>
              <w:fldChar w:fldCharType="end"/>
            </w:r>
          </w:hyperlink>
        </w:p>
        <w:p w14:paraId="36D4F58D" w14:textId="5AEED06E" w:rsidR="006C1E51" w:rsidRDefault="006C1E51">
          <w:pPr>
            <w:pStyle w:val="TOC3"/>
            <w:tabs>
              <w:tab w:val="right" w:leader="dot" w:pos="9350"/>
            </w:tabs>
            <w:rPr>
              <w:rFonts w:eastAsiaTheme="minorEastAsia" w:cstheme="minorBidi"/>
              <w:noProof/>
              <w:kern w:val="2"/>
              <w:sz w:val="24"/>
              <w:szCs w:val="24"/>
              <w:lang w:val="en-US"/>
              <w14:ligatures w14:val="standardContextual"/>
            </w:rPr>
          </w:pPr>
          <w:hyperlink w:anchor="_Toc220011146" w:history="1">
            <w:r w:rsidRPr="000A35B1">
              <w:rPr>
                <w:rStyle w:val="Hyperlink"/>
                <w:noProof/>
              </w:rPr>
              <w:t>Planning Prompts (CHC Principle: Shared Language &amp; Trust)</w:t>
            </w:r>
            <w:r>
              <w:rPr>
                <w:noProof/>
                <w:webHidden/>
              </w:rPr>
              <w:tab/>
            </w:r>
            <w:r>
              <w:rPr>
                <w:noProof/>
                <w:webHidden/>
              </w:rPr>
              <w:fldChar w:fldCharType="begin"/>
            </w:r>
            <w:r>
              <w:rPr>
                <w:noProof/>
                <w:webHidden/>
              </w:rPr>
              <w:instrText xml:space="preserve"> PAGEREF _Toc220011146 \h </w:instrText>
            </w:r>
            <w:r>
              <w:rPr>
                <w:noProof/>
                <w:webHidden/>
              </w:rPr>
            </w:r>
            <w:r>
              <w:rPr>
                <w:noProof/>
                <w:webHidden/>
              </w:rPr>
              <w:fldChar w:fldCharType="separate"/>
            </w:r>
            <w:r>
              <w:rPr>
                <w:noProof/>
                <w:webHidden/>
              </w:rPr>
              <w:t>158</w:t>
            </w:r>
            <w:r>
              <w:rPr>
                <w:noProof/>
                <w:webHidden/>
              </w:rPr>
              <w:fldChar w:fldCharType="end"/>
            </w:r>
          </w:hyperlink>
        </w:p>
        <w:p w14:paraId="22DCF013" w14:textId="37629A0A" w:rsidR="006C1E51" w:rsidRDefault="006C1E51">
          <w:pPr>
            <w:pStyle w:val="TOC2"/>
            <w:tabs>
              <w:tab w:val="right" w:leader="dot" w:pos="9350"/>
            </w:tabs>
            <w:rPr>
              <w:rFonts w:eastAsiaTheme="minorEastAsia" w:cstheme="minorBidi"/>
              <w:b w:val="0"/>
              <w:bCs w:val="0"/>
              <w:noProof/>
              <w:kern w:val="2"/>
              <w:sz w:val="24"/>
              <w:szCs w:val="24"/>
              <w:lang w:val="en-US"/>
              <w14:ligatures w14:val="standardContextual"/>
            </w:rPr>
          </w:pPr>
          <w:hyperlink w:anchor="_Toc220011147" w:history="1">
            <w:r w:rsidRPr="000A35B1">
              <w:rPr>
                <w:rStyle w:val="Hyperlink"/>
                <w:rFonts w:ascii="Times New Roman" w:hAnsi="Times New Roman" w:cs="Times New Roman"/>
                <w:noProof/>
              </w:rPr>
              <w:t>ACT VIII. Looking Ahead</w:t>
            </w:r>
            <w:r>
              <w:rPr>
                <w:noProof/>
                <w:webHidden/>
              </w:rPr>
              <w:tab/>
            </w:r>
            <w:r>
              <w:rPr>
                <w:noProof/>
                <w:webHidden/>
              </w:rPr>
              <w:fldChar w:fldCharType="begin"/>
            </w:r>
            <w:r>
              <w:rPr>
                <w:noProof/>
                <w:webHidden/>
              </w:rPr>
              <w:instrText xml:space="preserve"> PAGEREF _Toc220011147 \h </w:instrText>
            </w:r>
            <w:r>
              <w:rPr>
                <w:noProof/>
                <w:webHidden/>
              </w:rPr>
            </w:r>
            <w:r>
              <w:rPr>
                <w:noProof/>
                <w:webHidden/>
              </w:rPr>
              <w:fldChar w:fldCharType="separate"/>
            </w:r>
            <w:r>
              <w:rPr>
                <w:noProof/>
                <w:webHidden/>
              </w:rPr>
              <w:t>159</w:t>
            </w:r>
            <w:r>
              <w:rPr>
                <w:noProof/>
                <w:webHidden/>
              </w:rPr>
              <w:fldChar w:fldCharType="end"/>
            </w:r>
          </w:hyperlink>
        </w:p>
        <w:p w14:paraId="10F2D82E" w14:textId="3BB71483" w:rsidR="006C1E51" w:rsidRDefault="006C1E51">
          <w:pPr>
            <w:pStyle w:val="TOC1"/>
            <w:rPr>
              <w:rFonts w:eastAsiaTheme="minorEastAsia" w:cstheme="minorBidi"/>
              <w:b w:val="0"/>
              <w:bCs w:val="0"/>
              <w:i w:val="0"/>
              <w:iCs w:val="0"/>
              <w:noProof/>
              <w:kern w:val="2"/>
              <w:lang w:val="en-US"/>
              <w14:ligatures w14:val="standardContextual"/>
            </w:rPr>
          </w:pPr>
          <w:hyperlink w:anchor="_Toc220011148" w:history="1">
            <w:r w:rsidRPr="000A35B1">
              <w:rPr>
                <w:rStyle w:val="Hyperlink"/>
                <w:noProof/>
              </w:rPr>
              <w:t>Conclusion</w:t>
            </w:r>
            <w:r>
              <w:rPr>
                <w:noProof/>
                <w:webHidden/>
              </w:rPr>
              <w:tab/>
            </w:r>
            <w:r>
              <w:rPr>
                <w:noProof/>
                <w:webHidden/>
              </w:rPr>
              <w:fldChar w:fldCharType="begin"/>
            </w:r>
            <w:r>
              <w:rPr>
                <w:noProof/>
                <w:webHidden/>
              </w:rPr>
              <w:instrText xml:space="preserve"> PAGEREF _Toc220011148 \h </w:instrText>
            </w:r>
            <w:r>
              <w:rPr>
                <w:noProof/>
                <w:webHidden/>
              </w:rPr>
            </w:r>
            <w:r>
              <w:rPr>
                <w:noProof/>
                <w:webHidden/>
              </w:rPr>
              <w:fldChar w:fldCharType="separate"/>
            </w:r>
            <w:r>
              <w:rPr>
                <w:noProof/>
                <w:webHidden/>
              </w:rPr>
              <w:t>160</w:t>
            </w:r>
            <w:r>
              <w:rPr>
                <w:noProof/>
                <w:webHidden/>
              </w:rPr>
              <w:fldChar w:fldCharType="end"/>
            </w:r>
          </w:hyperlink>
        </w:p>
        <w:p w14:paraId="5868969E" w14:textId="4F5C16EE" w:rsidR="00506024" w:rsidRPr="006C1E51" w:rsidRDefault="007C5799" w:rsidP="00775270">
          <w:pPr>
            <w:spacing w:line="480" w:lineRule="auto"/>
            <w:rPr>
              <w:rFonts w:ascii="Times New Roman" w:hAnsi="Times New Roman" w:cs="Times New Roman"/>
              <w:sz w:val="24"/>
              <w:szCs w:val="24"/>
            </w:rPr>
            <w:sectPr w:rsidR="00506024" w:rsidRPr="006C1E51" w:rsidSect="00045AE1">
              <w:headerReference w:type="even" r:id="rId8"/>
              <w:footerReference w:type="default" r:id="rId9"/>
              <w:type w:val="continuous"/>
              <w:pgSz w:w="12240" w:h="15840"/>
              <w:pgMar w:top="1440" w:right="1440" w:bottom="1440" w:left="1440" w:header="720" w:footer="720" w:gutter="0"/>
              <w:pgNumType w:start="1"/>
              <w:cols w:space="720"/>
              <w:titlePg/>
              <w:docGrid w:linePitch="299"/>
            </w:sectPr>
          </w:pPr>
          <w:r w:rsidRPr="006C1E51">
            <w:rPr>
              <w:rFonts w:ascii="Times New Roman" w:hAnsi="Times New Roman" w:cs="Times New Roman"/>
              <w:b/>
              <w:bCs/>
              <w:noProof/>
              <w:sz w:val="24"/>
              <w:szCs w:val="24"/>
            </w:rPr>
            <w:fldChar w:fldCharType="end"/>
          </w:r>
        </w:p>
      </w:sdtContent>
    </w:sdt>
    <w:p w14:paraId="72262FEF" w14:textId="5224D193" w:rsidR="006810D2" w:rsidRPr="006C1E51" w:rsidRDefault="009E7825" w:rsidP="00B97F99">
      <w:pPr>
        <w:pStyle w:val="Heading1"/>
      </w:pPr>
      <w:bookmarkStart w:id="2" w:name="_Toc220011071"/>
      <w:r w:rsidRPr="006C1E51">
        <w:lastRenderedPageBreak/>
        <w:t>List Of Figures</w:t>
      </w:r>
      <w:bookmarkEnd w:id="2"/>
    </w:p>
    <w:p w14:paraId="23923BE9" w14:textId="558D7EAE" w:rsidR="006C1E51" w:rsidRPr="006C1E51" w:rsidRDefault="006810D2">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r w:rsidRPr="006C1E51">
        <w:rPr>
          <w:rFonts w:ascii="Times New Roman" w:hAnsi="Times New Roman" w:cs="Times New Roman"/>
          <w:szCs w:val="24"/>
        </w:rPr>
        <w:fldChar w:fldCharType="begin"/>
      </w:r>
      <w:r w:rsidRPr="006C1E51">
        <w:rPr>
          <w:rFonts w:ascii="Times New Roman" w:hAnsi="Times New Roman" w:cs="Times New Roman"/>
          <w:szCs w:val="24"/>
        </w:rPr>
        <w:instrText xml:space="preserve"> TOC \h \z \c "Figure" </w:instrText>
      </w:r>
      <w:r w:rsidRPr="006C1E51">
        <w:rPr>
          <w:rFonts w:ascii="Times New Roman" w:hAnsi="Times New Roman" w:cs="Times New Roman"/>
          <w:szCs w:val="24"/>
        </w:rPr>
        <w:fldChar w:fldCharType="separate"/>
      </w:r>
      <w:hyperlink w:anchor="_Toc220010996" w:history="1">
        <w:r w:rsidR="006C1E51" w:rsidRPr="006C1E51">
          <w:rPr>
            <w:rStyle w:val="Hyperlink"/>
            <w:rFonts w:ascii="Times New Roman" w:hAnsi="Times New Roman"/>
            <w:noProof/>
          </w:rPr>
          <w:t>Figure 1. Haydee Lunn, Thomas Groce, Asbury Hunley, and Nat Veeney at a Masonic fish fry. May 9, 2009. Church Hill, Maryland. Courtesy of the Chesapeake Heartland Digital Archive.</w:t>
        </w:r>
        <w:r w:rsidR="006C1E51" w:rsidRPr="006C1E51">
          <w:rPr>
            <w:rFonts w:ascii="Times New Roman" w:hAnsi="Times New Roman"/>
            <w:noProof/>
            <w:webHidden/>
          </w:rPr>
          <w:tab/>
        </w:r>
        <w:r w:rsidR="006C1E51" w:rsidRPr="006C1E51">
          <w:rPr>
            <w:rFonts w:ascii="Times New Roman" w:hAnsi="Times New Roman"/>
            <w:noProof/>
            <w:webHidden/>
          </w:rPr>
          <w:fldChar w:fldCharType="begin"/>
        </w:r>
        <w:r w:rsidR="006C1E51" w:rsidRPr="006C1E51">
          <w:rPr>
            <w:rFonts w:ascii="Times New Roman" w:hAnsi="Times New Roman"/>
            <w:noProof/>
            <w:webHidden/>
          </w:rPr>
          <w:instrText xml:space="preserve"> PAGEREF _Toc220010996 \h </w:instrText>
        </w:r>
        <w:r w:rsidR="006C1E51" w:rsidRPr="006C1E51">
          <w:rPr>
            <w:rFonts w:ascii="Times New Roman" w:hAnsi="Times New Roman"/>
            <w:noProof/>
            <w:webHidden/>
          </w:rPr>
        </w:r>
        <w:r w:rsidR="006C1E51" w:rsidRPr="006C1E51">
          <w:rPr>
            <w:rFonts w:ascii="Times New Roman" w:hAnsi="Times New Roman"/>
            <w:noProof/>
            <w:webHidden/>
          </w:rPr>
          <w:fldChar w:fldCharType="separate"/>
        </w:r>
        <w:r w:rsidR="006C1E51" w:rsidRPr="006C1E51">
          <w:rPr>
            <w:rFonts w:ascii="Times New Roman" w:hAnsi="Times New Roman"/>
            <w:noProof/>
            <w:webHidden/>
          </w:rPr>
          <w:t>9</w:t>
        </w:r>
        <w:r w:rsidR="006C1E51" w:rsidRPr="006C1E51">
          <w:rPr>
            <w:rFonts w:ascii="Times New Roman" w:hAnsi="Times New Roman"/>
            <w:noProof/>
            <w:webHidden/>
          </w:rPr>
          <w:fldChar w:fldCharType="end"/>
        </w:r>
      </w:hyperlink>
    </w:p>
    <w:p w14:paraId="3C11270C" w14:textId="64987EB8"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0997" w:history="1">
        <w:r w:rsidRPr="006C1E51">
          <w:rPr>
            <w:rStyle w:val="Hyperlink"/>
            <w:rFonts w:ascii="Times New Roman" w:hAnsi="Times New Roman"/>
            <w:noProof/>
          </w:rPr>
          <w:t>Figure 2: House and site plan in a “Backwoods Community.” Red circle is a brick pile.</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_Toc220010997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10</w:t>
        </w:r>
        <w:r w:rsidRPr="006C1E51">
          <w:rPr>
            <w:rFonts w:ascii="Times New Roman" w:hAnsi="Times New Roman"/>
            <w:noProof/>
            <w:webHidden/>
          </w:rPr>
          <w:fldChar w:fldCharType="end"/>
        </w:r>
      </w:hyperlink>
    </w:p>
    <w:p w14:paraId="7913CEAF" w14:textId="0E4596BA"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0998" w:history="1">
        <w:r w:rsidRPr="006C1E51">
          <w:rPr>
            <w:rStyle w:val="Hyperlink"/>
            <w:rFonts w:ascii="Times New Roman" w:hAnsi="Times New Roman"/>
            <w:noProof/>
          </w:rPr>
          <w:t>Figure 3: Chesapeake Bay Watershed boundary (map), by Forest and Rangeland Ecosystem Science Center, February 19, 2021, United States Geological Survey (USGS), https://www.usgs.gov/media/images/chesapeake-bay-watershed-boundary-usa.</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_Toc220010998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14</w:t>
        </w:r>
        <w:r w:rsidRPr="006C1E51">
          <w:rPr>
            <w:rFonts w:ascii="Times New Roman" w:hAnsi="Times New Roman"/>
            <w:noProof/>
            <w:webHidden/>
          </w:rPr>
          <w:fldChar w:fldCharType="end"/>
        </w:r>
      </w:hyperlink>
    </w:p>
    <w:p w14:paraId="07ED1793" w14:textId="00A7E0E0"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0999" w:history="1">
        <w:r w:rsidRPr="006C1E51">
          <w:rPr>
            <w:rStyle w:val="Hyperlink"/>
            <w:rFonts w:ascii="Times New Roman" w:hAnsi="Times New Roman"/>
            <w:noProof/>
          </w:rPr>
          <w:t>Figure 4: Chesapeake Bay Water</w:t>
        </w:r>
        <w:r w:rsidRPr="006C1E51">
          <w:rPr>
            <w:rStyle w:val="Hyperlink"/>
            <w:rFonts w:ascii="Times New Roman" w:hAnsi="Times New Roman"/>
            <w:noProof/>
          </w:rPr>
          <w:t>s</w:t>
        </w:r>
        <w:r w:rsidRPr="006C1E51">
          <w:rPr>
            <w:rStyle w:val="Hyperlink"/>
            <w:rFonts w:ascii="Times New Roman" w:hAnsi="Times New Roman"/>
            <w:noProof/>
          </w:rPr>
          <w:t>hed with African American historical figures and moments.</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_Toc220010999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15</w:t>
        </w:r>
        <w:r w:rsidRPr="006C1E51">
          <w:rPr>
            <w:rFonts w:ascii="Times New Roman" w:hAnsi="Times New Roman"/>
            <w:noProof/>
            <w:webHidden/>
          </w:rPr>
          <w:fldChar w:fldCharType="end"/>
        </w:r>
      </w:hyperlink>
    </w:p>
    <w:p w14:paraId="2DAE0997" w14:textId="6D1512EF"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00" w:history="1">
        <w:r w:rsidRPr="006C1E51">
          <w:rPr>
            <w:rStyle w:val="Hyperlink"/>
            <w:rFonts w:ascii="Times New Roman" w:hAnsi="Times New Roman"/>
            <w:noProof/>
          </w:rPr>
          <w:t>Figure 5. Ringgold family at Carrs &amp; Sparrow’s Beach, south of Annapolis, Maryland. Featuring (from left) Airlee Ringgold, Essie Nickerson, Emma Hutchins, Jimmy Manuel, and Gertrude Manuel.</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_Toc220011000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30</w:t>
        </w:r>
        <w:r w:rsidRPr="006C1E51">
          <w:rPr>
            <w:rFonts w:ascii="Times New Roman" w:hAnsi="Times New Roman"/>
            <w:noProof/>
            <w:webHidden/>
          </w:rPr>
          <w:fldChar w:fldCharType="end"/>
        </w:r>
      </w:hyperlink>
    </w:p>
    <w:p w14:paraId="08B2BFA0" w14:textId="5CAD8CD3"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01" w:history="1">
        <w:r w:rsidRPr="006C1E51">
          <w:rPr>
            <w:rStyle w:val="Hyperlink"/>
            <w:rFonts w:ascii="Times New Roman" w:hAnsi="Times New Roman"/>
            <w:noProof/>
          </w:rPr>
          <w:t>Figure 6. (Left to right) Darius Johnson, Bilal Bahar, Brent Leggs, and Vince Leggett following a public program on African American heritage, memory, and preservation held at Washington College, Chestertown, Maryland, November 4, 2024. Image courtesy of the author.</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_Toc220011001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31</w:t>
        </w:r>
        <w:r w:rsidRPr="006C1E51">
          <w:rPr>
            <w:rFonts w:ascii="Times New Roman" w:hAnsi="Times New Roman"/>
            <w:noProof/>
            <w:webHidden/>
          </w:rPr>
          <w:fldChar w:fldCharType="end"/>
        </w:r>
      </w:hyperlink>
    </w:p>
    <w:p w14:paraId="4C6E0177" w14:textId="708A6B58"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02" w:history="1">
        <w:r w:rsidRPr="006C1E51">
          <w:rPr>
            <w:rStyle w:val="Hyperlink"/>
            <w:rFonts w:ascii="Times New Roman" w:hAnsi="Times New Roman"/>
            <w:noProof/>
          </w:rPr>
          <w:t>Figure 7. Maryland Department of Housing and Community Development (DHCD) Division of Just Communities designated areas (highlighted in purple).</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_Toc220011002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35</w:t>
        </w:r>
        <w:r w:rsidRPr="006C1E51">
          <w:rPr>
            <w:rFonts w:ascii="Times New Roman" w:hAnsi="Times New Roman"/>
            <w:noProof/>
            <w:webHidden/>
          </w:rPr>
          <w:fldChar w:fldCharType="end"/>
        </w:r>
      </w:hyperlink>
    </w:p>
    <w:p w14:paraId="333B0FBE" w14:textId="35B22735"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03" w:history="1">
        <w:r w:rsidRPr="006C1E51">
          <w:rPr>
            <w:rStyle w:val="Hyperlink"/>
            <w:rFonts w:ascii="Times New Roman" w:hAnsi="Times New Roman"/>
            <w:noProof/>
          </w:rPr>
          <w:t>Figure 8. Darius Johnson speaking at a December 3, 2025, public program on revising Chestertown’s National Register Historic District. Image courtesy of the author.</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_Toc220011003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37</w:t>
        </w:r>
        <w:r w:rsidRPr="006C1E51">
          <w:rPr>
            <w:rFonts w:ascii="Times New Roman" w:hAnsi="Times New Roman"/>
            <w:noProof/>
            <w:webHidden/>
          </w:rPr>
          <w:fldChar w:fldCharType="end"/>
        </w:r>
      </w:hyperlink>
    </w:p>
    <w:p w14:paraId="7BD7B9DF" w14:textId="4C91D4C0"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04" w:history="1">
        <w:r w:rsidRPr="006C1E51">
          <w:rPr>
            <w:rStyle w:val="Hyperlink"/>
            <w:rFonts w:ascii="Times New Roman" w:hAnsi="Times New Roman"/>
            <w:noProof/>
          </w:rPr>
          <w:t>Figure 9. Left to Right: Cheryl Reid, Ethiel Garlington, Jennie L. Stephens, Brett Wadford, Darius Johnson, Mary Adams. Author with staff from 1772 Foundation and Center for Heirs' Property. September 18, 2023.</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_Toc220011004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45</w:t>
        </w:r>
        <w:r w:rsidRPr="006C1E51">
          <w:rPr>
            <w:rFonts w:ascii="Times New Roman" w:hAnsi="Times New Roman"/>
            <w:noProof/>
            <w:webHidden/>
          </w:rPr>
          <w:fldChar w:fldCharType="end"/>
        </w:r>
      </w:hyperlink>
    </w:p>
    <w:p w14:paraId="1E0295A7" w14:textId="19EB5486"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05" w:history="1">
        <w:r w:rsidRPr="006C1E51">
          <w:rPr>
            <w:rStyle w:val="Hyperlink"/>
            <w:rFonts w:ascii="Times New Roman" w:hAnsi="Times New Roman"/>
            <w:noProof/>
          </w:rPr>
          <w:t>Figure 10. Mother Emmanuel Church in Charleston, South Carolina. September 17, 2023.</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_Toc220011005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46</w:t>
        </w:r>
        <w:r w:rsidRPr="006C1E51">
          <w:rPr>
            <w:rFonts w:ascii="Times New Roman" w:hAnsi="Times New Roman"/>
            <w:noProof/>
            <w:webHidden/>
          </w:rPr>
          <w:fldChar w:fldCharType="end"/>
        </w:r>
      </w:hyperlink>
    </w:p>
    <w:p w14:paraId="6433E1E3" w14:textId="1723C451"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06" w:history="1">
        <w:r w:rsidRPr="006C1E51">
          <w:rPr>
            <w:rStyle w:val="Hyperlink"/>
            <w:rFonts w:ascii="Times New Roman" w:hAnsi="Times New Roman"/>
            <w:noProof/>
          </w:rPr>
          <w:t>Figure 11. A man driving of work horses while a woman stands in the foreground in Kent County, Maryland. Courtesy of Chesapeake Heartland: An African American Humanities Project. Circa 1945.</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_Toc220011006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61</w:t>
        </w:r>
        <w:r w:rsidRPr="006C1E51">
          <w:rPr>
            <w:rFonts w:ascii="Times New Roman" w:hAnsi="Times New Roman"/>
            <w:noProof/>
            <w:webHidden/>
          </w:rPr>
          <w:fldChar w:fldCharType="end"/>
        </w:r>
      </w:hyperlink>
    </w:p>
    <w:p w14:paraId="356DA07A" w14:textId="7445F49E"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07" w:history="1">
        <w:r w:rsidRPr="006C1E51">
          <w:rPr>
            <w:rStyle w:val="Hyperlink"/>
            <w:rFonts w:ascii="Times New Roman" w:hAnsi="Times New Roman"/>
            <w:noProof/>
          </w:rPr>
          <w:t>Figure 12. Various images from the author’s visit to the Kent County Courthouse on May 1, 2025. Documents are Original Articles of Incorporation in Kent County, Maryland from 1869 through 1960.</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_Toc220011007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70</w:t>
        </w:r>
        <w:r w:rsidRPr="006C1E51">
          <w:rPr>
            <w:rFonts w:ascii="Times New Roman" w:hAnsi="Times New Roman"/>
            <w:noProof/>
            <w:webHidden/>
          </w:rPr>
          <w:fldChar w:fldCharType="end"/>
        </w:r>
      </w:hyperlink>
    </w:p>
    <w:p w14:paraId="49B22816" w14:textId="64C8179B"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08" w:history="1">
        <w:r w:rsidRPr="006C1E51">
          <w:rPr>
            <w:rStyle w:val="Hyperlink"/>
            <w:rFonts w:ascii="Times New Roman" w:hAnsi="Times New Roman"/>
            <w:noProof/>
          </w:rPr>
          <w:t>Figure 13. Map of housing clusters and community assets in Big Woods. 1978.</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_Toc220011008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73</w:t>
        </w:r>
        <w:r w:rsidRPr="006C1E51">
          <w:rPr>
            <w:rFonts w:ascii="Times New Roman" w:hAnsi="Times New Roman"/>
            <w:noProof/>
            <w:webHidden/>
          </w:rPr>
          <w:fldChar w:fldCharType="end"/>
        </w:r>
      </w:hyperlink>
    </w:p>
    <w:p w14:paraId="52B89D92" w14:textId="56ADA5CB"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09" w:history="1">
        <w:r w:rsidRPr="006C1E51">
          <w:rPr>
            <w:rStyle w:val="Hyperlink"/>
            <w:rFonts w:ascii="Times New Roman" w:hAnsi="Times New Roman"/>
            <w:noProof/>
          </w:rPr>
          <w:t>Figure 14. Map of family network in Big Woods. 1978. Brian Sullivan.</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_Toc220011009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74</w:t>
        </w:r>
        <w:r w:rsidRPr="006C1E51">
          <w:rPr>
            <w:rFonts w:ascii="Times New Roman" w:hAnsi="Times New Roman"/>
            <w:noProof/>
            <w:webHidden/>
          </w:rPr>
          <w:fldChar w:fldCharType="end"/>
        </w:r>
      </w:hyperlink>
    </w:p>
    <w:p w14:paraId="0F81D21E" w14:textId="4304615F"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10" w:history="1">
        <w:r w:rsidRPr="006C1E51">
          <w:rPr>
            <w:rStyle w:val="Hyperlink"/>
            <w:rFonts w:ascii="Times New Roman" w:hAnsi="Times New Roman"/>
            <w:noProof/>
          </w:rPr>
          <w:t>Figure 15. Edesville, Maryland baseball field—former home of the Rock Hall Tigers, a local Black baseball team. Photo courtesy of the Chesapeake Heartland Digital Archive; taken by Community Historian Karen Somerville.</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_Toc220011010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91</w:t>
        </w:r>
        <w:r w:rsidRPr="006C1E51">
          <w:rPr>
            <w:rFonts w:ascii="Times New Roman" w:hAnsi="Times New Roman"/>
            <w:noProof/>
            <w:webHidden/>
          </w:rPr>
          <w:fldChar w:fldCharType="end"/>
        </w:r>
      </w:hyperlink>
    </w:p>
    <w:p w14:paraId="026687D8" w14:textId="3070CA52"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11" w:history="1">
        <w:r w:rsidRPr="006C1E51">
          <w:rPr>
            <w:rStyle w:val="Hyperlink"/>
            <w:rFonts w:ascii="Times New Roman" w:hAnsi="Times New Roman"/>
            <w:noProof/>
          </w:rPr>
          <w:t>Figure 16. Lonnie Bunch, Founding Director of the Smithsonian's National Museum of African American History and Culture, meets with community partners, February 23, 2017.</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_Toc220011011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94</w:t>
        </w:r>
        <w:r w:rsidRPr="006C1E51">
          <w:rPr>
            <w:rFonts w:ascii="Times New Roman" w:hAnsi="Times New Roman"/>
            <w:noProof/>
            <w:webHidden/>
          </w:rPr>
          <w:fldChar w:fldCharType="end"/>
        </w:r>
      </w:hyperlink>
    </w:p>
    <w:p w14:paraId="32760CC3" w14:textId="2EA86B83"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12" w:history="1">
        <w:r w:rsidRPr="006C1E51">
          <w:rPr>
            <w:rStyle w:val="Hyperlink"/>
            <w:rFonts w:ascii="Times New Roman" w:hAnsi="Times New Roman"/>
            <w:noProof/>
          </w:rPr>
          <w:t>Figure 17. First board building workshop in Philadelphia in September 2010 hosted by the National Trust African American History Initiative.</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_Toc220011012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103</w:t>
        </w:r>
        <w:r w:rsidRPr="006C1E51">
          <w:rPr>
            <w:rFonts w:ascii="Times New Roman" w:hAnsi="Times New Roman"/>
            <w:noProof/>
            <w:webHidden/>
          </w:rPr>
          <w:fldChar w:fldCharType="end"/>
        </w:r>
      </w:hyperlink>
    </w:p>
    <w:p w14:paraId="75D45D85" w14:textId="138CE07C"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13" w:history="1">
        <w:r w:rsidRPr="006C1E51">
          <w:rPr>
            <w:rStyle w:val="Hyperlink"/>
            <w:rFonts w:ascii="Times New Roman" w:hAnsi="Times New Roman"/>
            <w:noProof/>
          </w:rPr>
          <w:t>Figure 18. Collage of images from the Chesapeake Heartland Digital Archive representing more than two-hundred years of family history in Butlertown.</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_Toc220011013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106</w:t>
        </w:r>
        <w:r w:rsidRPr="006C1E51">
          <w:rPr>
            <w:rFonts w:ascii="Times New Roman" w:hAnsi="Times New Roman"/>
            <w:noProof/>
            <w:webHidden/>
          </w:rPr>
          <w:fldChar w:fldCharType="end"/>
        </w:r>
      </w:hyperlink>
    </w:p>
    <w:p w14:paraId="6F14AF80" w14:textId="16BC5C40"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14" w:history="1">
        <w:r w:rsidRPr="006C1E51">
          <w:rPr>
            <w:rStyle w:val="Hyperlink"/>
            <w:rFonts w:ascii="Times New Roman" w:hAnsi="Times New Roman"/>
            <w:noProof/>
          </w:rPr>
          <w:t>Figure 19. A bayside African American cemetery on Hoopers Island in Dorchester County, Maryland, collapses into the Chesapeake Bay.</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_Toc220011014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113</w:t>
        </w:r>
        <w:r w:rsidRPr="006C1E51">
          <w:rPr>
            <w:rFonts w:ascii="Times New Roman" w:hAnsi="Times New Roman"/>
            <w:noProof/>
            <w:webHidden/>
          </w:rPr>
          <w:fldChar w:fldCharType="end"/>
        </w:r>
      </w:hyperlink>
    </w:p>
    <w:p w14:paraId="079DA8D4" w14:textId="4EC3129B"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15" w:history="1">
        <w:r w:rsidRPr="006C1E51">
          <w:rPr>
            <w:rStyle w:val="Hyperlink"/>
            <w:rFonts w:ascii="Times New Roman" w:hAnsi="Times New Roman"/>
            <w:noProof/>
          </w:rPr>
          <w:t>Figure 20. Screenshot of the Butlertown water tower from the music video.</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_Toc220011015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134</w:t>
        </w:r>
        <w:r w:rsidRPr="006C1E51">
          <w:rPr>
            <w:rFonts w:ascii="Times New Roman" w:hAnsi="Times New Roman"/>
            <w:noProof/>
            <w:webHidden/>
          </w:rPr>
          <w:fldChar w:fldCharType="end"/>
        </w:r>
      </w:hyperlink>
    </w:p>
    <w:p w14:paraId="46629313" w14:textId="1A56F7F7"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16" w:history="1">
        <w:r w:rsidRPr="006C1E51">
          <w:rPr>
            <w:rStyle w:val="Hyperlink"/>
            <w:rFonts w:ascii="Times New Roman" w:hAnsi="Times New Roman"/>
            <w:noProof/>
          </w:rPr>
          <w:t>Figure 21. Original church bell from Mount Olive AME Church in Butlertown, Maryland. Photo by the author, 2023.</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_Toc220011016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135</w:t>
        </w:r>
        <w:r w:rsidRPr="006C1E51">
          <w:rPr>
            <w:rFonts w:ascii="Times New Roman" w:hAnsi="Times New Roman"/>
            <w:noProof/>
            <w:webHidden/>
          </w:rPr>
          <w:fldChar w:fldCharType="end"/>
        </w:r>
      </w:hyperlink>
    </w:p>
    <w:p w14:paraId="4EB1135F" w14:textId="090DEBA3"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17" w:history="1">
        <w:r w:rsidRPr="006C1E51">
          <w:rPr>
            <w:rStyle w:val="Hyperlink"/>
            <w:rFonts w:ascii="Times New Roman" w:hAnsi="Times New Roman"/>
            <w:noProof/>
          </w:rPr>
          <w:t>Figure 22. Article of incorporation for the Colored Building and Protective Association of Kent County, Maryland, circa 1895, recorded at the Kent County Courthouse, April 8, 2024, photo by the author.</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_Toc220011017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141</w:t>
        </w:r>
        <w:r w:rsidRPr="006C1E51">
          <w:rPr>
            <w:rFonts w:ascii="Times New Roman" w:hAnsi="Times New Roman"/>
            <w:noProof/>
            <w:webHidden/>
          </w:rPr>
          <w:fldChar w:fldCharType="end"/>
        </w:r>
      </w:hyperlink>
    </w:p>
    <w:p w14:paraId="7A410AAF" w14:textId="315200AA"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18" w:history="1">
        <w:r w:rsidRPr="006C1E51">
          <w:rPr>
            <w:rStyle w:val="Hyperlink"/>
            <w:rFonts w:ascii="Times New Roman" w:hAnsi="Times New Roman"/>
            <w:noProof/>
          </w:rPr>
          <w:t>Figure 23. Mount Olive AME Church dedication service.</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_Toc220011018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144</w:t>
        </w:r>
        <w:r w:rsidRPr="006C1E51">
          <w:rPr>
            <w:rFonts w:ascii="Times New Roman" w:hAnsi="Times New Roman"/>
            <w:noProof/>
            <w:webHidden/>
          </w:rPr>
          <w:fldChar w:fldCharType="end"/>
        </w:r>
      </w:hyperlink>
    </w:p>
    <w:p w14:paraId="2C43E059" w14:textId="6A203922" w:rsidR="006C1E51" w:rsidRPr="006C1E51" w:rsidRDefault="006C1E51">
      <w:pPr>
        <w:pStyle w:val="TableofFigures"/>
        <w:tabs>
          <w:tab w:val="right" w:leader="dot" w:pos="9350"/>
        </w:tabs>
        <w:rPr>
          <w:rFonts w:ascii="Times New Roman" w:eastAsiaTheme="minorEastAsia" w:hAnsi="Times New Roman" w:cstheme="minorBidi"/>
          <w:noProof/>
          <w:kern w:val="2"/>
          <w:szCs w:val="24"/>
          <w:lang w:val="en-US"/>
          <w14:ligatures w14:val="standardContextual"/>
        </w:rPr>
      </w:pPr>
      <w:hyperlink w:anchor="_Toc220011019" w:history="1">
        <w:r w:rsidRPr="006C1E51">
          <w:rPr>
            <w:rStyle w:val="Hyperlink"/>
            <w:rFonts w:ascii="Times New Roman" w:hAnsi="Times New Roman"/>
            <w:noProof/>
          </w:rPr>
          <w:t>Figure 24. Butlertown residents at one of the planning sessions in 2007, including the author’s late great aunt, late cousins, and other community members. Source: 2007 Village Master Plan.</w:t>
        </w:r>
        <w:r w:rsidRPr="006C1E51">
          <w:rPr>
            <w:rFonts w:ascii="Times New Roman" w:hAnsi="Times New Roman"/>
            <w:noProof/>
            <w:webHidden/>
          </w:rPr>
          <w:tab/>
        </w:r>
        <w:r w:rsidRPr="006C1E51">
          <w:rPr>
            <w:rFonts w:ascii="Times New Roman" w:hAnsi="Times New Roman"/>
            <w:noProof/>
            <w:webHidden/>
          </w:rPr>
          <w:fldChar w:fldCharType="begin"/>
        </w:r>
        <w:r w:rsidRPr="006C1E51">
          <w:rPr>
            <w:rFonts w:ascii="Times New Roman" w:hAnsi="Times New Roman"/>
            <w:noProof/>
            <w:webHidden/>
          </w:rPr>
          <w:instrText xml:space="preserve"> PAGEREF _Toc220011019 \h </w:instrText>
        </w:r>
        <w:r w:rsidRPr="006C1E51">
          <w:rPr>
            <w:rFonts w:ascii="Times New Roman" w:hAnsi="Times New Roman"/>
            <w:noProof/>
            <w:webHidden/>
          </w:rPr>
        </w:r>
        <w:r w:rsidRPr="006C1E51">
          <w:rPr>
            <w:rFonts w:ascii="Times New Roman" w:hAnsi="Times New Roman"/>
            <w:noProof/>
            <w:webHidden/>
          </w:rPr>
          <w:fldChar w:fldCharType="separate"/>
        </w:r>
        <w:r w:rsidRPr="006C1E51">
          <w:rPr>
            <w:rFonts w:ascii="Times New Roman" w:hAnsi="Times New Roman"/>
            <w:noProof/>
            <w:webHidden/>
          </w:rPr>
          <w:t>148</w:t>
        </w:r>
        <w:r w:rsidRPr="006C1E51">
          <w:rPr>
            <w:rFonts w:ascii="Times New Roman" w:hAnsi="Times New Roman"/>
            <w:noProof/>
            <w:webHidden/>
          </w:rPr>
          <w:fldChar w:fldCharType="end"/>
        </w:r>
      </w:hyperlink>
    </w:p>
    <w:p w14:paraId="27EBDFC5" w14:textId="43028B13" w:rsidR="006810D2" w:rsidRPr="006C1E51" w:rsidRDefault="006810D2" w:rsidP="006810D2">
      <w:pPr>
        <w:spacing w:before="240" w:after="240" w:line="480" w:lineRule="auto"/>
        <w:rPr>
          <w:rFonts w:ascii="Times New Roman" w:hAnsi="Times New Roman" w:cs="Times New Roman"/>
          <w:sz w:val="24"/>
          <w:szCs w:val="24"/>
        </w:rPr>
      </w:pPr>
      <w:r w:rsidRPr="006C1E51">
        <w:rPr>
          <w:rFonts w:ascii="Times New Roman" w:hAnsi="Times New Roman" w:cs="Times New Roman"/>
          <w:sz w:val="24"/>
          <w:szCs w:val="24"/>
        </w:rPr>
        <w:fldChar w:fldCharType="end"/>
      </w:r>
    </w:p>
    <w:p w14:paraId="63F6989E" w14:textId="77777777" w:rsidR="006810D2" w:rsidRPr="006C1E51" w:rsidRDefault="006810D2">
      <w:pPr>
        <w:rPr>
          <w:rFonts w:ascii="Times New Roman" w:hAnsi="Times New Roman" w:cs="Times New Roman"/>
          <w:b/>
          <w:bCs/>
          <w:sz w:val="24"/>
          <w:szCs w:val="24"/>
        </w:rPr>
      </w:pPr>
      <w:r w:rsidRPr="006C1E51">
        <w:rPr>
          <w:rFonts w:ascii="Times New Roman" w:hAnsi="Times New Roman" w:cs="Times New Roman"/>
          <w:sz w:val="24"/>
          <w:szCs w:val="24"/>
        </w:rPr>
        <w:br w:type="page"/>
      </w:r>
    </w:p>
    <w:p w14:paraId="648572E6" w14:textId="40C46D8A" w:rsidR="006810D2" w:rsidRPr="006C1E51" w:rsidRDefault="009E7825" w:rsidP="00B97F99">
      <w:pPr>
        <w:pStyle w:val="Heading1"/>
      </w:pPr>
      <w:bookmarkStart w:id="3" w:name="_Toc220011072"/>
      <w:r w:rsidRPr="006C1E51">
        <w:lastRenderedPageBreak/>
        <w:t>Acknowledgements</w:t>
      </w:r>
      <w:bookmarkEnd w:id="3"/>
    </w:p>
    <w:p w14:paraId="086638C9" w14:textId="42AAA588" w:rsidR="00D83599" w:rsidRPr="006C1E51" w:rsidRDefault="00D83599" w:rsidP="00D83599">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Over the last three years of working towards my </w:t>
      </w:r>
      <w:r w:rsidR="0098408D" w:rsidRPr="006C1E51">
        <w:rPr>
          <w:rFonts w:ascii="Times New Roman" w:hAnsi="Times New Roman" w:cs="Times New Roman"/>
          <w:sz w:val="24"/>
          <w:szCs w:val="24"/>
        </w:rPr>
        <w:t>master’s</w:t>
      </w:r>
      <w:r w:rsidRPr="006C1E51">
        <w:rPr>
          <w:rFonts w:ascii="Times New Roman" w:hAnsi="Times New Roman" w:cs="Times New Roman"/>
          <w:sz w:val="24"/>
          <w:szCs w:val="24"/>
        </w:rPr>
        <w:t xml:space="preserve"> degree, I’ve learned that the</w:t>
      </w:r>
      <w:r w:rsidRPr="006C1E51">
        <w:rPr>
          <w:rFonts w:ascii="Times New Roman" w:hAnsi="Times New Roman" w:cs="Times New Roman"/>
          <w:sz w:val="24"/>
          <w:szCs w:val="24"/>
        </w:rPr>
        <w:t xml:space="preserve"> pursuit of graduate education</w:t>
      </w:r>
      <w:r w:rsidRPr="006C1E51">
        <w:rPr>
          <w:rFonts w:ascii="Times New Roman" w:hAnsi="Times New Roman" w:cs="Times New Roman"/>
          <w:sz w:val="24"/>
          <w:szCs w:val="24"/>
        </w:rPr>
        <w:t xml:space="preserve"> can take your family, friends, and colleagues along for the ride. </w:t>
      </w:r>
      <w:r w:rsidRPr="006C1E51">
        <w:rPr>
          <w:rFonts w:ascii="Times New Roman" w:hAnsi="Times New Roman" w:cs="Times New Roman"/>
          <w:sz w:val="24"/>
          <w:szCs w:val="24"/>
        </w:rPr>
        <w:t>I am so appreciat</w:t>
      </w:r>
      <w:r w:rsidRPr="006C1E51">
        <w:rPr>
          <w:rFonts w:ascii="Times New Roman" w:hAnsi="Times New Roman" w:cs="Times New Roman"/>
          <w:sz w:val="24"/>
          <w:szCs w:val="24"/>
        </w:rPr>
        <w:t>ive for those who were with me. First and foremost, thank you to Arden, my wife and partner in life. Your support has been everything to me during this journey. You’ve sacrificed so much as I’ve worked late nights, early mornings, and full weekends, to achieve this goal I set for myself. I’m eternal</w:t>
      </w:r>
      <w:r w:rsidR="001218B7">
        <w:rPr>
          <w:rFonts w:ascii="Times New Roman" w:hAnsi="Times New Roman" w:cs="Times New Roman"/>
          <w:sz w:val="24"/>
          <w:szCs w:val="24"/>
        </w:rPr>
        <w:t>ly</w:t>
      </w:r>
      <w:r w:rsidRPr="006C1E51">
        <w:rPr>
          <w:rFonts w:ascii="Times New Roman" w:hAnsi="Times New Roman" w:cs="Times New Roman"/>
          <w:sz w:val="24"/>
          <w:szCs w:val="24"/>
        </w:rPr>
        <w:t xml:space="preserve"> grateful. </w:t>
      </w:r>
    </w:p>
    <w:p w14:paraId="434757E4" w14:textId="324CAD8C" w:rsidR="00D83599" w:rsidRPr="006C1E51" w:rsidRDefault="00D83599" w:rsidP="00D83599">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Then there’s Noah. You arrived right in the middle of my final year</w:t>
      </w:r>
      <w:r w:rsidR="003E78C1" w:rsidRPr="006C1E51">
        <w:rPr>
          <w:rFonts w:ascii="Times New Roman" w:hAnsi="Times New Roman" w:cs="Times New Roman"/>
          <w:sz w:val="24"/>
          <w:szCs w:val="24"/>
        </w:rPr>
        <w:t xml:space="preserve">. When you were finally here, I started to write to you through my ideas and visions for my work. I’m passionate about work that shapes places and people’s lives, and as a </w:t>
      </w:r>
      <w:r w:rsidR="001218B7" w:rsidRPr="006C1E51">
        <w:rPr>
          <w:rFonts w:ascii="Times New Roman" w:hAnsi="Times New Roman" w:cs="Times New Roman"/>
          <w:sz w:val="24"/>
          <w:szCs w:val="24"/>
        </w:rPr>
        <w:t>father</w:t>
      </w:r>
      <w:r w:rsidR="003E78C1" w:rsidRPr="006C1E51">
        <w:rPr>
          <w:rFonts w:ascii="Times New Roman" w:hAnsi="Times New Roman" w:cs="Times New Roman"/>
          <w:sz w:val="24"/>
          <w:szCs w:val="24"/>
        </w:rPr>
        <w:t>, I want to shape places that you can grow in—to your fullest potential. Thank you for showing up in our lives and inspiring me every day.</w:t>
      </w:r>
    </w:p>
    <w:p w14:paraId="667F0E63" w14:textId="714654AB" w:rsidR="003E78C1" w:rsidRPr="006C1E51" w:rsidRDefault="003E78C1" w:rsidP="00C14A09">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Mom and Dad. Ya’ll have always encouraged me to pursue the next level and </w:t>
      </w:r>
      <w:r w:rsidR="00C14A09" w:rsidRPr="006C1E51">
        <w:rPr>
          <w:rFonts w:ascii="Times New Roman" w:hAnsi="Times New Roman" w:cs="Times New Roman"/>
          <w:sz w:val="24"/>
          <w:szCs w:val="24"/>
        </w:rPr>
        <w:t>to have faith when life comes around testing you</w:t>
      </w:r>
      <w:r w:rsidRPr="006C1E51">
        <w:rPr>
          <w:rFonts w:ascii="Times New Roman" w:hAnsi="Times New Roman" w:cs="Times New Roman"/>
          <w:sz w:val="24"/>
          <w:szCs w:val="24"/>
        </w:rPr>
        <w:t>.</w:t>
      </w:r>
      <w:r w:rsidR="00C14A09" w:rsidRPr="006C1E51">
        <w:rPr>
          <w:rFonts w:ascii="Times New Roman" w:hAnsi="Times New Roman" w:cs="Times New Roman"/>
          <w:sz w:val="24"/>
          <w:szCs w:val="24"/>
        </w:rPr>
        <w:t xml:space="preserve"> This degree was a major test for me. In many ways</w:t>
      </w:r>
      <w:r w:rsidRPr="006C1E51">
        <w:rPr>
          <w:rFonts w:ascii="Times New Roman" w:hAnsi="Times New Roman" w:cs="Times New Roman"/>
          <w:sz w:val="24"/>
          <w:szCs w:val="24"/>
        </w:rPr>
        <w:t xml:space="preserve"> Thank you for instilling </w:t>
      </w:r>
      <w:r w:rsidR="00C14A09" w:rsidRPr="006C1E51">
        <w:rPr>
          <w:rFonts w:ascii="Times New Roman" w:hAnsi="Times New Roman" w:cs="Times New Roman"/>
          <w:sz w:val="24"/>
          <w:szCs w:val="24"/>
        </w:rPr>
        <w:t xml:space="preserve">in me, </w:t>
      </w:r>
      <w:r w:rsidRPr="006C1E51">
        <w:rPr>
          <w:rFonts w:ascii="Times New Roman" w:hAnsi="Times New Roman" w:cs="Times New Roman"/>
          <w:sz w:val="24"/>
          <w:szCs w:val="24"/>
        </w:rPr>
        <w:t>the value of education</w:t>
      </w:r>
      <w:r w:rsidR="00C14A09" w:rsidRPr="006C1E51">
        <w:rPr>
          <w:rFonts w:ascii="Times New Roman" w:hAnsi="Times New Roman" w:cs="Times New Roman"/>
          <w:sz w:val="24"/>
          <w:szCs w:val="24"/>
        </w:rPr>
        <w:t>, hard work, and having a vision. That has carried me through. Thank you for making sure that I know my people and where I come from too. There are so many people who don’t have that connection, but it’s meant so much to me. I’ll keep striving.</w:t>
      </w:r>
    </w:p>
    <w:p w14:paraId="0CFF69D5" w14:textId="0C5E097A" w:rsidR="006810D2" w:rsidRPr="006C1E51" w:rsidRDefault="006810D2" w:rsidP="001218B7">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Mommy Shirley. Poppop Marvin.</w:t>
      </w:r>
      <w:r w:rsidR="00C14A09" w:rsidRPr="006C1E51">
        <w:rPr>
          <w:rFonts w:ascii="Times New Roman" w:hAnsi="Times New Roman" w:cs="Times New Roman"/>
          <w:sz w:val="24"/>
          <w:szCs w:val="24"/>
        </w:rPr>
        <w:t xml:space="preserve"> The sky is the limit. Always keep moving up. So many things I’ve learned from both of you in my life. So much I’ve learned about our family through this program. I cherish the relationship I have with you both, so much. Thank you for always being there.</w:t>
      </w:r>
    </w:p>
    <w:p w14:paraId="327B736B" w14:textId="59F825B4" w:rsidR="00C14A09" w:rsidRPr="006C1E51" w:rsidRDefault="00C14A09" w:rsidP="00C14A09">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Mommom Betty</w:t>
      </w:r>
      <w:r w:rsidRPr="006C1E51">
        <w:rPr>
          <w:rFonts w:ascii="Times New Roman" w:hAnsi="Times New Roman" w:cs="Times New Roman"/>
          <w:sz w:val="24"/>
          <w:szCs w:val="24"/>
        </w:rPr>
        <w:t xml:space="preserve">. Your high school diploma </w:t>
      </w:r>
      <w:r w:rsidR="00D16C8F" w:rsidRPr="006C1E51">
        <w:rPr>
          <w:rFonts w:ascii="Times New Roman" w:hAnsi="Times New Roman" w:cs="Times New Roman"/>
          <w:sz w:val="24"/>
          <w:szCs w:val="24"/>
        </w:rPr>
        <w:t>is mounted above the very place where I’ve wrote these pages, and hundreds of others. The spirit of you has manifested through my love for history. I miss you and Poppop Bubby.</w:t>
      </w:r>
    </w:p>
    <w:p w14:paraId="7F82BD28" w14:textId="3C5CE515" w:rsidR="00D16C8F" w:rsidRPr="006C1E51" w:rsidRDefault="006810D2" w:rsidP="006D0EBF">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Dr. Patrick Nugent</w:t>
      </w:r>
      <w:r w:rsidR="00D16C8F" w:rsidRPr="006C1E51">
        <w:rPr>
          <w:rFonts w:ascii="Times New Roman" w:hAnsi="Times New Roman" w:cs="Times New Roman"/>
          <w:sz w:val="24"/>
          <w:szCs w:val="24"/>
        </w:rPr>
        <w:t xml:space="preserve">. About 8 years ago, you and I had a few conversations that really </w:t>
      </w:r>
      <w:r w:rsidR="001218B7">
        <w:rPr>
          <w:rFonts w:ascii="Times New Roman" w:hAnsi="Times New Roman" w:cs="Times New Roman"/>
          <w:sz w:val="24"/>
          <w:szCs w:val="24"/>
        </w:rPr>
        <w:t>made this path seem realistic</w:t>
      </w:r>
      <w:r w:rsidR="00D16C8F" w:rsidRPr="006C1E51">
        <w:rPr>
          <w:rFonts w:ascii="Times New Roman" w:hAnsi="Times New Roman" w:cs="Times New Roman"/>
          <w:sz w:val="24"/>
          <w:szCs w:val="24"/>
        </w:rPr>
        <w:t xml:space="preserve">. Thank you for </w:t>
      </w:r>
      <w:r w:rsidR="006D0EBF" w:rsidRPr="006C1E51">
        <w:rPr>
          <w:rFonts w:ascii="Times New Roman" w:hAnsi="Times New Roman" w:cs="Times New Roman"/>
          <w:sz w:val="24"/>
          <w:szCs w:val="24"/>
        </w:rPr>
        <w:t xml:space="preserve">always </w:t>
      </w:r>
      <w:r w:rsidR="00D16C8F" w:rsidRPr="006C1E51">
        <w:rPr>
          <w:rFonts w:ascii="Times New Roman" w:hAnsi="Times New Roman" w:cs="Times New Roman"/>
          <w:sz w:val="24"/>
          <w:szCs w:val="24"/>
        </w:rPr>
        <w:t>being a great through-partner</w:t>
      </w:r>
      <w:r w:rsidR="006D0EBF" w:rsidRPr="006C1E51">
        <w:rPr>
          <w:rFonts w:ascii="Times New Roman" w:hAnsi="Times New Roman" w:cs="Times New Roman"/>
          <w:sz w:val="24"/>
          <w:szCs w:val="24"/>
        </w:rPr>
        <w:t xml:space="preserve"> and encouraging out-of-the box ideas.</w:t>
      </w:r>
      <w:r w:rsidR="001218B7">
        <w:rPr>
          <w:rFonts w:ascii="Times New Roman" w:hAnsi="Times New Roman" w:cs="Times New Roman"/>
          <w:sz w:val="24"/>
          <w:szCs w:val="24"/>
        </w:rPr>
        <w:t xml:space="preserve"> More to come!</w:t>
      </w:r>
    </w:p>
    <w:p w14:paraId="061DBFB1" w14:textId="4964D4A6" w:rsidR="006810D2" w:rsidRPr="006C1E51" w:rsidRDefault="006810D2" w:rsidP="00D16C8F">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Adam Goodheart</w:t>
      </w:r>
      <w:r w:rsidR="00D16C8F" w:rsidRPr="006C1E51">
        <w:rPr>
          <w:rFonts w:ascii="Times New Roman" w:hAnsi="Times New Roman" w:cs="Times New Roman"/>
          <w:sz w:val="24"/>
          <w:szCs w:val="24"/>
        </w:rPr>
        <w:t xml:space="preserve">. Thank you </w:t>
      </w:r>
      <w:r w:rsidRPr="006C1E51">
        <w:rPr>
          <w:rFonts w:ascii="Times New Roman" w:hAnsi="Times New Roman" w:cs="Times New Roman"/>
          <w:sz w:val="24"/>
          <w:szCs w:val="24"/>
        </w:rPr>
        <w:t>for welcoming me into the Starr Center</w:t>
      </w:r>
      <w:r w:rsidR="00D16C8F" w:rsidRPr="006C1E51">
        <w:rPr>
          <w:rFonts w:ascii="Times New Roman" w:hAnsi="Times New Roman" w:cs="Times New Roman"/>
          <w:sz w:val="24"/>
          <w:szCs w:val="24"/>
        </w:rPr>
        <w:t xml:space="preserve">. I can’t imagine </w:t>
      </w:r>
      <w:r w:rsidRPr="006C1E51">
        <w:rPr>
          <w:rFonts w:ascii="Times New Roman" w:hAnsi="Times New Roman" w:cs="Times New Roman"/>
          <w:sz w:val="24"/>
          <w:szCs w:val="24"/>
        </w:rPr>
        <w:t xml:space="preserve">my thoughts and perspective </w:t>
      </w:r>
      <w:r w:rsidR="00D16C8F" w:rsidRPr="006C1E51">
        <w:rPr>
          <w:rFonts w:ascii="Times New Roman" w:hAnsi="Times New Roman" w:cs="Times New Roman"/>
          <w:sz w:val="24"/>
          <w:szCs w:val="24"/>
        </w:rPr>
        <w:t>being able to flourish, anywhere else, as they have at Washington College. Our work has expanded my perspective of how deep history goes, and the type of impact it can have</w:t>
      </w:r>
      <w:r w:rsidR="006D0EBF" w:rsidRPr="006C1E51">
        <w:rPr>
          <w:rFonts w:ascii="Times New Roman" w:hAnsi="Times New Roman" w:cs="Times New Roman"/>
          <w:sz w:val="24"/>
          <w:szCs w:val="24"/>
        </w:rPr>
        <w:t xml:space="preserve"> when leveraged with the right mission behind it. I appreciate the organization you’ve built, and being able to contribute its legacy.</w:t>
      </w:r>
    </w:p>
    <w:p w14:paraId="458ECE64" w14:textId="464C13C6" w:rsidR="006810D2" w:rsidRPr="006C1E51" w:rsidRDefault="006810D2" w:rsidP="00A71B5B">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Jaelon, Airlee, Carolyn, Melissa</w:t>
      </w:r>
      <w:r w:rsidR="006D0EBF" w:rsidRPr="006C1E51">
        <w:rPr>
          <w:rFonts w:ascii="Times New Roman" w:hAnsi="Times New Roman" w:cs="Times New Roman"/>
          <w:sz w:val="24"/>
          <w:szCs w:val="24"/>
        </w:rPr>
        <w:t xml:space="preserve">, I could say so much about each of you. But more than anything, I’m so, so, so, grateful for the work we do together. I’m amazed every day, that I get to work with such an awesome crew. Ya’ll represent so much diversity, and so much oneness at the same time. I learn so much from you all. This is the best team I’ve </w:t>
      </w:r>
      <w:r w:rsidR="00A71B5B" w:rsidRPr="006C1E51">
        <w:rPr>
          <w:rFonts w:ascii="Times New Roman" w:hAnsi="Times New Roman" w:cs="Times New Roman"/>
          <w:sz w:val="24"/>
          <w:szCs w:val="24"/>
        </w:rPr>
        <w:t>ever</w:t>
      </w:r>
      <w:r w:rsidR="006D0EBF" w:rsidRPr="006C1E51">
        <w:rPr>
          <w:rFonts w:ascii="Times New Roman" w:hAnsi="Times New Roman" w:cs="Times New Roman"/>
          <w:sz w:val="24"/>
          <w:szCs w:val="24"/>
        </w:rPr>
        <w:t xml:space="preserve"> worked with. </w:t>
      </w:r>
      <w:r w:rsidR="001218B7">
        <w:rPr>
          <w:rFonts w:ascii="Times New Roman" w:hAnsi="Times New Roman" w:cs="Times New Roman"/>
          <w:sz w:val="24"/>
          <w:szCs w:val="24"/>
        </w:rPr>
        <w:t>I’ll</w:t>
      </w:r>
      <w:r w:rsidR="006D0EBF" w:rsidRPr="006C1E51">
        <w:rPr>
          <w:rFonts w:ascii="Times New Roman" w:hAnsi="Times New Roman" w:cs="Times New Roman"/>
          <w:sz w:val="24"/>
          <w:szCs w:val="24"/>
        </w:rPr>
        <w:t xml:space="preserve"> always cherish it. </w:t>
      </w:r>
    </w:p>
    <w:p w14:paraId="4366E992" w14:textId="073945A4" w:rsidR="00C63ED1" w:rsidRPr="006C1E51" w:rsidRDefault="006D0EBF" w:rsidP="00A71B5B">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So many others</w:t>
      </w:r>
      <w:r w:rsidR="00A71B5B" w:rsidRPr="006C1E51">
        <w:rPr>
          <w:rFonts w:ascii="Times New Roman" w:hAnsi="Times New Roman" w:cs="Times New Roman"/>
          <w:sz w:val="24"/>
          <w:szCs w:val="24"/>
        </w:rPr>
        <w:t xml:space="preserve">, but I </w:t>
      </w:r>
      <w:r w:rsidR="001218B7" w:rsidRPr="006C1E51">
        <w:rPr>
          <w:rFonts w:ascii="Times New Roman" w:hAnsi="Times New Roman" w:cs="Times New Roman"/>
          <w:sz w:val="24"/>
          <w:szCs w:val="24"/>
        </w:rPr>
        <w:t>must</w:t>
      </w:r>
      <w:r w:rsidR="00A71B5B" w:rsidRPr="006C1E51">
        <w:rPr>
          <w:rFonts w:ascii="Times New Roman" w:hAnsi="Times New Roman" w:cs="Times New Roman"/>
          <w:sz w:val="24"/>
          <w:szCs w:val="24"/>
        </w:rPr>
        <w:t xml:space="preserve"> shout out Melanie </w:t>
      </w:r>
      <w:r w:rsidR="006810D2" w:rsidRPr="006C1E51">
        <w:rPr>
          <w:rFonts w:ascii="Times New Roman" w:hAnsi="Times New Roman" w:cs="Times New Roman"/>
          <w:sz w:val="24"/>
          <w:szCs w:val="24"/>
        </w:rPr>
        <w:t>Lytle. Betsy Bradley.</w:t>
      </w:r>
      <w:r w:rsidR="00A71B5B" w:rsidRPr="006C1E51">
        <w:rPr>
          <w:rFonts w:ascii="Times New Roman" w:hAnsi="Times New Roman" w:cs="Times New Roman"/>
          <w:sz w:val="24"/>
          <w:szCs w:val="24"/>
        </w:rPr>
        <w:t xml:space="preserve"> The “</w:t>
      </w:r>
      <w:proofErr w:type="spellStart"/>
      <w:r w:rsidR="00A71B5B" w:rsidRPr="006C1E51">
        <w:rPr>
          <w:rFonts w:ascii="Times New Roman" w:hAnsi="Times New Roman" w:cs="Times New Roman"/>
          <w:sz w:val="24"/>
          <w:szCs w:val="24"/>
        </w:rPr>
        <w:t>Withinification</w:t>
      </w:r>
      <w:proofErr w:type="spellEnd"/>
      <w:r w:rsidR="00A71B5B" w:rsidRPr="006C1E51">
        <w:rPr>
          <w:rFonts w:ascii="Times New Roman" w:hAnsi="Times New Roman" w:cs="Times New Roman"/>
          <w:sz w:val="24"/>
          <w:szCs w:val="24"/>
        </w:rPr>
        <w:t>” crew.</w:t>
      </w:r>
      <w:r w:rsidR="006810D2" w:rsidRPr="006C1E51">
        <w:rPr>
          <w:rFonts w:ascii="Times New Roman" w:hAnsi="Times New Roman" w:cs="Times New Roman"/>
          <w:sz w:val="24"/>
          <w:szCs w:val="24"/>
        </w:rPr>
        <w:t xml:space="preserve"> </w:t>
      </w:r>
      <w:r w:rsidR="00A71B5B" w:rsidRPr="006C1E51">
        <w:rPr>
          <w:rFonts w:ascii="Times New Roman" w:hAnsi="Times New Roman" w:cs="Times New Roman"/>
          <w:sz w:val="24"/>
          <w:szCs w:val="24"/>
        </w:rPr>
        <w:t xml:space="preserve">Brent Leggs. </w:t>
      </w:r>
      <w:r w:rsidR="006810D2" w:rsidRPr="006C1E51">
        <w:rPr>
          <w:rFonts w:ascii="Times New Roman" w:hAnsi="Times New Roman" w:cs="Times New Roman"/>
          <w:sz w:val="24"/>
          <w:szCs w:val="24"/>
        </w:rPr>
        <w:t xml:space="preserve">Monica Rhodes. Mary Anthony. Robert Forloney. </w:t>
      </w:r>
      <w:r w:rsidR="00C14A09" w:rsidRPr="006C1E51">
        <w:rPr>
          <w:rFonts w:ascii="Times New Roman" w:hAnsi="Times New Roman" w:cs="Times New Roman"/>
          <w:sz w:val="24"/>
          <w:szCs w:val="24"/>
        </w:rPr>
        <w:t xml:space="preserve">Brian Sullivan. </w:t>
      </w:r>
      <w:r w:rsidR="006810D2" w:rsidRPr="006C1E51">
        <w:rPr>
          <w:rFonts w:ascii="Times New Roman" w:hAnsi="Times New Roman" w:cs="Times New Roman"/>
          <w:sz w:val="24"/>
          <w:szCs w:val="24"/>
        </w:rPr>
        <w:t xml:space="preserve">Lawana Holland-Moore. Elizabeth Watson. Rob Etgen. </w:t>
      </w:r>
      <w:r w:rsidR="00A71B5B" w:rsidRPr="006C1E51">
        <w:rPr>
          <w:rFonts w:ascii="Times New Roman" w:hAnsi="Times New Roman" w:cs="Times New Roman"/>
          <w:sz w:val="24"/>
          <w:szCs w:val="24"/>
        </w:rPr>
        <w:t xml:space="preserve">David Field. </w:t>
      </w:r>
      <w:r w:rsidR="006810D2" w:rsidRPr="006C1E51">
        <w:rPr>
          <w:rFonts w:ascii="Times New Roman" w:hAnsi="Times New Roman" w:cs="Times New Roman"/>
          <w:sz w:val="24"/>
          <w:szCs w:val="24"/>
        </w:rPr>
        <w:t>Vincent Hynson. Bill Susen.</w:t>
      </w:r>
      <w:r w:rsidR="00A71B5B" w:rsidRPr="006C1E51">
        <w:rPr>
          <w:rFonts w:ascii="Times New Roman" w:hAnsi="Times New Roman" w:cs="Times New Roman"/>
          <w:sz w:val="24"/>
          <w:szCs w:val="24"/>
        </w:rPr>
        <w:t xml:space="preserve"> Thank you for supporting me along the way. You all have done more for me than you know. Forever </w:t>
      </w:r>
      <w:r w:rsidR="001218B7">
        <w:rPr>
          <w:rFonts w:ascii="Times New Roman" w:hAnsi="Times New Roman" w:cs="Times New Roman"/>
          <w:sz w:val="24"/>
          <w:szCs w:val="24"/>
        </w:rPr>
        <w:t>grateful</w:t>
      </w:r>
      <w:r w:rsidR="00A71B5B" w:rsidRPr="006C1E51">
        <w:rPr>
          <w:rFonts w:ascii="Times New Roman" w:hAnsi="Times New Roman" w:cs="Times New Roman"/>
          <w:sz w:val="24"/>
          <w:szCs w:val="24"/>
        </w:rPr>
        <w:t>.</w:t>
      </w:r>
      <w:r w:rsidR="00C63ED1" w:rsidRPr="006C1E51">
        <w:rPr>
          <w:rFonts w:ascii="Times New Roman" w:hAnsi="Times New Roman" w:cs="Times New Roman"/>
          <w:sz w:val="24"/>
          <w:szCs w:val="24"/>
        </w:rPr>
        <w:br w:type="page"/>
      </w:r>
    </w:p>
    <w:p w14:paraId="00000005" w14:textId="31953033" w:rsidR="0006233B" w:rsidRPr="006C1E51" w:rsidRDefault="00C5531F" w:rsidP="00B97F99">
      <w:pPr>
        <w:pStyle w:val="Heading1"/>
      </w:pPr>
      <w:bookmarkStart w:id="4" w:name="_Toc220011073"/>
      <w:r w:rsidRPr="006C1E51">
        <w:lastRenderedPageBreak/>
        <w:t>Preface</w:t>
      </w:r>
      <w:bookmarkEnd w:id="4"/>
    </w:p>
    <w:p w14:paraId="00000006" w14:textId="77777777"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My father was my first line into understanding how a cooperative way of thinking materializes—not as theory, but as practice. He is the most generous person I have ever met. He grew up in poverty with four siblings who didn’t have money, but they had a little bit of land and livestock. Many days, many hours, I remember riding with him to concrete jobs where he would tell me how they made cornflake sandwiches because that was all they had in the house to eat. Or how he and his brother would walk to the farm up the road and bale hay so they could get name-brand shoes and not be made fun of on the school bus.</w:t>
      </w:r>
    </w:p>
    <w:p w14:paraId="00000007" w14:textId="77777777"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My paternal grandmother didn’t drive; she worked as a seamstress at historic Drayton Manor.</w:t>
      </w:r>
      <w:r w:rsidRPr="006C1E51">
        <w:rPr>
          <w:rFonts w:ascii="Times New Roman" w:hAnsi="Times New Roman" w:cs="Times New Roman"/>
          <w:sz w:val="24"/>
          <w:szCs w:val="24"/>
          <w:vertAlign w:val="superscript"/>
        </w:rPr>
        <w:footnoteReference w:id="1"/>
      </w:r>
      <w:r w:rsidRPr="006C1E51">
        <w:rPr>
          <w:rFonts w:ascii="Times New Roman" w:hAnsi="Times New Roman" w:cs="Times New Roman"/>
          <w:sz w:val="24"/>
          <w:szCs w:val="24"/>
        </w:rPr>
        <w:t xml:space="preserve"> My paternal grandfather had an eighth-grade education, but he always said, “I might give out, but I’ll never give up.” I grew up hearing about “the good old bad times.” How men used to get drunk on the bank down the street from my grandparents’ house in Big Woods or the annual hog roast where a few men had steady roles in butchering a hog that would be shared with the community—my grandfather among them.</w:t>
      </w:r>
    </w:p>
    <w:p w14:paraId="00000008" w14:textId="77777777"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My family lived on land we had occupied for more than 200 years–on both paternal and material sides. We knew what it meant to experience the duality of life as enslaved and as free people. Our family stretched across many layers of kin with different surnames. My father understood that legacy and worked hard to move it forward. His parents told him to graduate </w:t>
      </w:r>
      <w:r w:rsidRPr="006C1E51">
        <w:rPr>
          <w:rFonts w:ascii="Times New Roman" w:hAnsi="Times New Roman" w:cs="Times New Roman"/>
          <w:sz w:val="24"/>
          <w:szCs w:val="24"/>
        </w:rPr>
        <w:lastRenderedPageBreak/>
        <w:t>from high school and get a job, and he did. And when he achieved his version of success, he rarely hesitated to share his expertise or his resources with others for the collective good.</w:t>
      </w:r>
    </w:p>
    <w:p w14:paraId="00000009" w14:textId="106C6E3B"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When his brother returned home from the military, my father helped him purchase a home—securing the land</w:t>
      </w:r>
      <w:r w:rsidR="006E4D77" w:rsidRPr="006C1E51">
        <w:rPr>
          <w:rFonts w:ascii="Times New Roman" w:hAnsi="Times New Roman" w:cs="Times New Roman"/>
          <w:sz w:val="24"/>
          <w:szCs w:val="24"/>
        </w:rPr>
        <w:t xml:space="preserve"> and</w:t>
      </w:r>
      <w:r w:rsidRPr="006C1E51">
        <w:rPr>
          <w:rFonts w:ascii="Times New Roman" w:hAnsi="Times New Roman" w:cs="Times New Roman"/>
          <w:sz w:val="24"/>
          <w:szCs w:val="24"/>
        </w:rPr>
        <w:t xml:space="preserve"> house himself</w:t>
      </w:r>
      <w:r w:rsidR="006E4D77" w:rsidRPr="006C1E51">
        <w:rPr>
          <w:rFonts w:ascii="Times New Roman" w:hAnsi="Times New Roman" w:cs="Times New Roman"/>
          <w:sz w:val="24"/>
          <w:szCs w:val="24"/>
        </w:rPr>
        <w:t xml:space="preserve">; then, </w:t>
      </w:r>
      <w:r w:rsidRPr="006C1E51">
        <w:rPr>
          <w:rFonts w:ascii="Times New Roman" w:hAnsi="Times New Roman" w:cs="Times New Roman"/>
          <w:sz w:val="24"/>
          <w:szCs w:val="24"/>
        </w:rPr>
        <w:t>selling it at a discounted price.</w:t>
      </w:r>
      <w:r w:rsidR="006E4D77" w:rsidRPr="006C1E51">
        <w:rPr>
          <w:rStyle w:val="FootnoteReference"/>
          <w:rFonts w:ascii="Times New Roman" w:hAnsi="Times New Roman" w:cs="Times New Roman"/>
          <w:sz w:val="24"/>
          <w:szCs w:val="24"/>
        </w:rPr>
        <w:footnoteReference w:id="2"/>
      </w:r>
      <w:r w:rsidRPr="006C1E51">
        <w:rPr>
          <w:rFonts w:ascii="Times New Roman" w:hAnsi="Times New Roman" w:cs="Times New Roman"/>
          <w:sz w:val="24"/>
          <w:szCs w:val="24"/>
        </w:rPr>
        <w:t xml:space="preserve"> Years before I even knew what a community land trust</w:t>
      </w:r>
      <w:r w:rsidR="006E4D77" w:rsidRPr="006C1E51">
        <w:rPr>
          <w:rFonts w:ascii="Times New Roman" w:hAnsi="Times New Roman" w:cs="Times New Roman"/>
          <w:sz w:val="24"/>
          <w:szCs w:val="24"/>
        </w:rPr>
        <w:t xml:space="preserve"> </w:t>
      </w:r>
      <w:r w:rsidRPr="006C1E51">
        <w:rPr>
          <w:rFonts w:ascii="Times New Roman" w:hAnsi="Times New Roman" w:cs="Times New Roman"/>
          <w:sz w:val="24"/>
          <w:szCs w:val="24"/>
        </w:rPr>
        <w:t>was, I had already seen one in practice. He had help building the home I grew up in—cousins who were carpenters and masons with all the skills needed to do the work.</w:t>
      </w:r>
    </w:p>
    <w:p w14:paraId="0000000A" w14:textId="1F221A9F"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From him I learned about the community baseball leagues where each neighborhood had a team, and lawn parties that drew people from as far as Philadelphia. I learned about the general stores in every village. I remember seeing funeral programs from the 1980s through the early 2000s where the deceased often had anywhere from fifteen to eighty grandchildren—testament to the density of kinship that shaped rural Black life.</w:t>
      </w:r>
      <w:r w:rsidR="00B33D2F" w:rsidRPr="006C1E51">
        <w:rPr>
          <w:rStyle w:val="FootnoteReference"/>
          <w:rFonts w:ascii="Times New Roman" w:hAnsi="Times New Roman" w:cs="Times New Roman"/>
          <w:sz w:val="24"/>
          <w:szCs w:val="24"/>
        </w:rPr>
        <w:footnoteReference w:id="3"/>
      </w:r>
    </w:p>
    <w:p w14:paraId="0000000B" w14:textId="11D2B3D2" w:rsidR="0006233B" w:rsidRPr="006C1E51" w:rsidRDefault="00DA4DD5"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So,</w:t>
      </w:r>
      <w:r w:rsidR="00C5531F" w:rsidRPr="006C1E51">
        <w:rPr>
          <w:rFonts w:ascii="Times New Roman" w:hAnsi="Times New Roman" w:cs="Times New Roman"/>
          <w:sz w:val="24"/>
          <w:szCs w:val="24"/>
        </w:rPr>
        <w:t xml:space="preserve"> what does all of this have to do with Cooperative Heritage Communities—or with historic preservation?</w:t>
      </w:r>
      <w:r w:rsidR="00B33D2F" w:rsidRPr="006C1E51">
        <w:rPr>
          <w:rFonts w:ascii="Times New Roman" w:hAnsi="Times New Roman" w:cs="Times New Roman"/>
          <w:sz w:val="24"/>
          <w:szCs w:val="24"/>
        </w:rPr>
        <w:t xml:space="preserve"> </w:t>
      </w:r>
    </w:p>
    <w:p w14:paraId="0000000C" w14:textId="21AC00B2"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 am thinking about loss. Particularly, scholars like Caitlin DeSilvey, who challenges us to consider what we can find in the void. She focuses on the loss of heritage, especially tangible heritage.</w:t>
      </w:r>
      <w:r w:rsidR="00332AEB" w:rsidRPr="006C1E51">
        <w:rPr>
          <w:rStyle w:val="FootnoteReference"/>
          <w:rFonts w:ascii="Times New Roman" w:hAnsi="Times New Roman" w:cs="Times New Roman"/>
          <w:sz w:val="24"/>
          <w:szCs w:val="24"/>
        </w:rPr>
        <w:footnoteReference w:id="4"/>
      </w:r>
      <w:r w:rsidRPr="006C1E51">
        <w:rPr>
          <w:rFonts w:ascii="Times New Roman" w:hAnsi="Times New Roman" w:cs="Times New Roman"/>
          <w:sz w:val="24"/>
          <w:szCs w:val="24"/>
        </w:rPr>
        <w:t xml:space="preserve"> Sometimes loss means we have something to gain</w:t>
      </w:r>
      <w:r w:rsidR="00DA4DD5" w:rsidRPr="006C1E51">
        <w:rPr>
          <w:rFonts w:ascii="Times New Roman" w:hAnsi="Times New Roman" w:cs="Times New Roman"/>
          <w:sz w:val="24"/>
          <w:szCs w:val="24"/>
        </w:rPr>
        <w:t>;</w:t>
      </w:r>
      <w:r w:rsidRPr="006C1E51">
        <w:rPr>
          <w:rFonts w:ascii="Times New Roman" w:hAnsi="Times New Roman" w:cs="Times New Roman"/>
          <w:sz w:val="24"/>
          <w:szCs w:val="24"/>
        </w:rPr>
        <w:t xml:space="preserve"> something positive that caused that changeover or something we can draw from it. I’m thinking about the loss of the communities I </w:t>
      </w:r>
      <w:r w:rsidRPr="006C1E51">
        <w:rPr>
          <w:rFonts w:ascii="Times New Roman" w:hAnsi="Times New Roman" w:cs="Times New Roman"/>
          <w:sz w:val="24"/>
          <w:szCs w:val="24"/>
        </w:rPr>
        <w:lastRenderedPageBreak/>
        <w:t>call my own. We’re losing people. We’re losing homes. We’re losing institutions. We’re eroding, slowly, but surely.</w:t>
      </w:r>
    </w:p>
    <w:p w14:paraId="0000000D" w14:textId="25345723"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What no one is talking about, when it comes to Kent County’s population loss, is that we are losing Black folks. We’re down from </w:t>
      </w:r>
      <w:r w:rsidR="00332AEB" w:rsidRPr="006C1E51">
        <w:rPr>
          <w:rFonts w:ascii="Times New Roman" w:hAnsi="Times New Roman" w:cs="Times New Roman"/>
          <w:sz w:val="24"/>
          <w:szCs w:val="24"/>
        </w:rPr>
        <w:t>more</w:t>
      </w:r>
      <w:r w:rsidRPr="006C1E51">
        <w:rPr>
          <w:rFonts w:ascii="Times New Roman" w:hAnsi="Times New Roman" w:cs="Times New Roman"/>
          <w:sz w:val="24"/>
          <w:szCs w:val="24"/>
        </w:rPr>
        <w:t xml:space="preserve"> 7,000 Black people at the peak in the late nineteenth century to about 3,000 today.</w:t>
      </w:r>
      <w:r w:rsidR="00332AEB" w:rsidRPr="006C1E51">
        <w:rPr>
          <w:rStyle w:val="FootnoteReference"/>
          <w:rFonts w:ascii="Times New Roman" w:hAnsi="Times New Roman" w:cs="Times New Roman"/>
          <w:sz w:val="24"/>
          <w:szCs w:val="24"/>
        </w:rPr>
        <w:footnoteReference w:id="5"/>
      </w:r>
      <w:r w:rsidRPr="006C1E51">
        <w:rPr>
          <w:rFonts w:ascii="Times New Roman" w:hAnsi="Times New Roman" w:cs="Times New Roman"/>
          <w:sz w:val="24"/>
          <w:szCs w:val="24"/>
        </w:rPr>
        <w:t xml:space="preserve"> This reflects the broader population decline Kent County has seen since the 1970s. Look at the census charts. Look at the schools, where the average class size has shrunk to dangerously low levels. My dad always says Kent County was predominantly Black. What he means is that our presence was powerful but it’s dwindling.</w:t>
      </w:r>
    </w:p>
    <w:p w14:paraId="0000000E" w14:textId="1E2B56A5"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My fear is that in twenty years, unless the current and next generations create and follow a plan to sustain these communities, Kent County’s historic Black settlements will be stripped of their cultural heritage and forgotten. There are very few things that say, “We’re here and we matter,” except the people themselves. Even with efforts like </w:t>
      </w:r>
      <w:r w:rsidRPr="006C1E51">
        <w:rPr>
          <w:rFonts w:ascii="Times New Roman" w:hAnsi="Times New Roman" w:cs="Times New Roman"/>
          <w:i/>
          <w:iCs/>
          <w:sz w:val="24"/>
          <w:szCs w:val="24"/>
        </w:rPr>
        <w:t>Chesapeake Heartland</w:t>
      </w:r>
      <w:r w:rsidR="00836252" w:rsidRPr="006C1E51">
        <w:rPr>
          <w:rFonts w:ascii="Times New Roman" w:hAnsi="Times New Roman" w:cs="Times New Roman"/>
          <w:i/>
          <w:iCs/>
          <w:sz w:val="24"/>
          <w:szCs w:val="24"/>
        </w:rPr>
        <w:t>: An African American Humanities</w:t>
      </w:r>
      <w:r w:rsidRPr="006C1E51">
        <w:rPr>
          <w:rFonts w:ascii="Times New Roman" w:hAnsi="Times New Roman" w:cs="Times New Roman"/>
          <w:i/>
          <w:iCs/>
          <w:sz w:val="24"/>
          <w:szCs w:val="24"/>
        </w:rPr>
        <w:t xml:space="preserve"> Project,</w:t>
      </w:r>
      <w:r w:rsidRPr="006C1E51">
        <w:rPr>
          <w:rFonts w:ascii="Times New Roman" w:hAnsi="Times New Roman" w:cs="Times New Roman"/>
          <w:sz w:val="24"/>
          <w:szCs w:val="24"/>
        </w:rPr>
        <w:t xml:space="preserve"> which is documenting and digitizing this history to create experiential learning opportunities for youth and adults, the physical loss of people and places, is outweighing the digital preservation work.</w:t>
      </w:r>
      <w:r w:rsidR="00836252" w:rsidRPr="006C1E51">
        <w:rPr>
          <w:rStyle w:val="FootnoteReference"/>
          <w:rFonts w:ascii="Times New Roman" w:hAnsi="Times New Roman" w:cs="Times New Roman"/>
          <w:sz w:val="24"/>
          <w:szCs w:val="24"/>
        </w:rPr>
        <w:footnoteReference w:id="6"/>
      </w:r>
    </w:p>
    <w:p w14:paraId="0000000F" w14:textId="41CC263E"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generation before mine left for the military or for jobs in nearby metro areas. With them went children, families, and the labor and leadership that once sustained our places.</w:t>
      </w:r>
      <w:r w:rsidR="00836252" w:rsidRPr="006C1E51">
        <w:rPr>
          <w:rStyle w:val="FootnoteReference"/>
          <w:rFonts w:ascii="Times New Roman" w:hAnsi="Times New Roman" w:cs="Times New Roman"/>
          <w:sz w:val="24"/>
          <w:szCs w:val="24"/>
        </w:rPr>
        <w:footnoteReference w:id="7"/>
      </w:r>
      <w:r w:rsidRPr="006C1E51">
        <w:rPr>
          <w:rFonts w:ascii="Times New Roman" w:hAnsi="Times New Roman" w:cs="Times New Roman"/>
          <w:sz w:val="24"/>
          <w:szCs w:val="24"/>
        </w:rPr>
        <w:t xml:space="preserve"> Can </w:t>
      </w:r>
      <w:r w:rsidRPr="006C1E51">
        <w:rPr>
          <w:rFonts w:ascii="Times New Roman" w:hAnsi="Times New Roman" w:cs="Times New Roman"/>
          <w:sz w:val="24"/>
          <w:szCs w:val="24"/>
        </w:rPr>
        <w:lastRenderedPageBreak/>
        <w:t>we get them to come back? Some have, and several of us are reinvesting in our own ways. I see the CHC framework as my contribution to that effort—a way to frame the economic and cultural capacity we still have if we work cooperatively to meet our needs.</w:t>
      </w:r>
    </w:p>
    <w:p w14:paraId="7288312A" w14:textId="11E8908A" w:rsidR="00836252"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At the end of the day, these communities can’t sustain their properties off fish fries and small fundraisers. Building costs are extensive. Borrowing is expensive. Communities don’t have the same labor force anymore. They don’t have the Asbury Hunleys and Charles Hiltons and others who organized community days, ran fish fries, and maintained the church</w:t>
      </w:r>
      <w:r w:rsidR="000F6B03" w:rsidRPr="006C1E51">
        <w:rPr>
          <w:rFonts w:ascii="Times New Roman" w:hAnsi="Times New Roman" w:cs="Times New Roman"/>
          <w:sz w:val="24"/>
          <w:szCs w:val="24"/>
        </w:rPr>
        <w:t>es</w:t>
      </w:r>
      <w:r w:rsidRPr="006C1E51">
        <w:rPr>
          <w:rFonts w:ascii="Times New Roman" w:hAnsi="Times New Roman" w:cs="Times New Roman"/>
          <w:sz w:val="24"/>
          <w:szCs w:val="24"/>
        </w:rPr>
        <w:t xml:space="preserve">. </w:t>
      </w:r>
    </w:p>
    <w:p w14:paraId="54E8896D" w14:textId="55743B5D" w:rsidR="00836252" w:rsidRPr="006C1E51" w:rsidRDefault="000F6B03" w:rsidP="00775270">
      <w:pPr>
        <w:spacing w:before="240" w:after="240" w:line="480" w:lineRule="auto"/>
        <w:rPr>
          <w:rFonts w:ascii="Times New Roman" w:hAnsi="Times New Roman" w:cs="Times New Roman"/>
          <w:sz w:val="24"/>
          <w:szCs w:val="24"/>
        </w:rPr>
      </w:pPr>
      <w:r w:rsidRPr="006C1E51">
        <w:rPr>
          <w:rFonts w:ascii="Times New Roman" w:hAnsi="Times New Roman" w:cs="Times New Roman"/>
          <w:noProof/>
          <w:sz w:val="24"/>
          <w:szCs w:val="24"/>
        </w:rPr>
        <w:drawing>
          <wp:inline distT="0" distB="0" distL="0" distR="0" wp14:anchorId="67163985" wp14:editId="3DCF1BD0">
            <wp:extent cx="5943600" cy="2051685"/>
            <wp:effectExtent l="0" t="0" r="0" b="5715"/>
            <wp:docPr id="1976663302" name="Picture 1" descr="A person sitting in a chai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663302" name="Picture 1" descr="A person sitting in a chair&#10;&#10;AI-generated content may be incorrect."/>
                    <pic:cNvPicPr/>
                  </pic:nvPicPr>
                  <pic:blipFill>
                    <a:blip r:embed="rId10" cstate="email">
                      <a:extLst>
                        <a:ext uri="{28A0092B-C50C-407E-A947-70E740481C1C}">
                          <a14:useLocalDpi xmlns:a14="http://schemas.microsoft.com/office/drawing/2010/main"/>
                        </a:ext>
                      </a:extLst>
                    </a:blip>
                    <a:stretch>
                      <a:fillRect/>
                    </a:stretch>
                  </pic:blipFill>
                  <pic:spPr>
                    <a:xfrm>
                      <a:off x="0" y="0"/>
                      <a:ext cx="5943600" cy="2051685"/>
                    </a:xfrm>
                    <a:prstGeom prst="rect">
                      <a:avLst/>
                    </a:prstGeom>
                  </pic:spPr>
                </pic:pic>
              </a:graphicData>
            </a:graphic>
          </wp:inline>
        </w:drawing>
      </w:r>
    </w:p>
    <w:p w14:paraId="36C626A0" w14:textId="3006D9B5" w:rsidR="000F6B03" w:rsidRPr="006C1E51" w:rsidRDefault="00C63ED1" w:rsidP="00F50E4B">
      <w:pPr>
        <w:pStyle w:val="Caption"/>
      </w:pPr>
      <w:bookmarkStart w:id="5" w:name="_Toc220010996"/>
      <w:r w:rsidRPr="006C1E51">
        <w:t xml:space="preserve">Figure </w:t>
      </w:r>
      <w:r w:rsidRPr="006C1E51">
        <w:fldChar w:fldCharType="begin"/>
      </w:r>
      <w:r w:rsidRPr="006C1E51">
        <w:instrText xml:space="preserve"> SEQ Figure \* ARABIC </w:instrText>
      </w:r>
      <w:r w:rsidRPr="006C1E51">
        <w:fldChar w:fldCharType="separate"/>
      </w:r>
      <w:r w:rsidRPr="006C1E51">
        <w:t>1</w:t>
      </w:r>
      <w:r w:rsidRPr="006C1E51">
        <w:fldChar w:fldCharType="end"/>
      </w:r>
      <w:r w:rsidRPr="006C1E51">
        <w:t xml:space="preserve">. </w:t>
      </w:r>
      <w:r w:rsidRPr="006C1E51">
        <w:t>Haydee Lunn, Thomas Groce, Asbury Hunley, and Nat Veeney at a Masonic fish fry</w:t>
      </w:r>
      <w:r w:rsidR="009E7825" w:rsidRPr="006C1E51">
        <w:t xml:space="preserve">. </w:t>
      </w:r>
      <w:r w:rsidRPr="006C1E51">
        <w:t>May 9, 2009</w:t>
      </w:r>
      <w:r w:rsidR="009E7825" w:rsidRPr="006C1E51">
        <w:t xml:space="preserve">. </w:t>
      </w:r>
      <w:r w:rsidRPr="006C1E51">
        <w:t xml:space="preserve">Church Hill, Maryland. </w:t>
      </w:r>
      <w:r w:rsidR="009E7825" w:rsidRPr="006C1E51">
        <w:t xml:space="preserve">Courtesy of the </w:t>
      </w:r>
      <w:r w:rsidRPr="006C1E51">
        <w:t>Chesapeake Heartland Digital Archive</w:t>
      </w:r>
      <w:r w:rsidR="009E7825" w:rsidRPr="006C1E51">
        <w:t>.</w:t>
      </w:r>
      <w:bookmarkEnd w:id="5"/>
    </w:p>
    <w:p w14:paraId="00000010" w14:textId="633D8309"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Back in the day, every man with a home had a scrap pile—scrap lumber, brick, siding, random buckets of nails.</w:t>
      </w:r>
      <w:r w:rsidR="00216BA1" w:rsidRPr="006C1E51">
        <w:rPr>
          <w:rStyle w:val="FootnoteReference"/>
          <w:rFonts w:ascii="Times New Roman" w:hAnsi="Times New Roman" w:cs="Times New Roman"/>
          <w:sz w:val="24"/>
          <w:szCs w:val="24"/>
        </w:rPr>
        <w:footnoteReference w:id="8"/>
      </w:r>
      <w:r w:rsidRPr="006C1E51">
        <w:rPr>
          <w:rFonts w:ascii="Times New Roman" w:hAnsi="Times New Roman" w:cs="Times New Roman"/>
          <w:sz w:val="24"/>
          <w:szCs w:val="24"/>
        </w:rPr>
        <w:t xml:space="preserve"> These were always around to fix up a place when someone had time. </w:t>
      </w:r>
      <w:r w:rsidRPr="006C1E51">
        <w:rPr>
          <w:rFonts w:ascii="Times New Roman" w:hAnsi="Times New Roman" w:cs="Times New Roman"/>
          <w:sz w:val="24"/>
          <w:szCs w:val="24"/>
        </w:rPr>
        <w:lastRenderedPageBreak/>
        <w:t>The women formed benefit societies and church auxiliary groups to promote healthcare and collective well-being. What happened to those times?</w:t>
      </w:r>
    </w:p>
    <w:p w14:paraId="681BCE82" w14:textId="3FF75146" w:rsidR="00E41BA2" w:rsidRPr="006C1E51" w:rsidRDefault="00986ACE" w:rsidP="00986ACE">
      <w:pPr>
        <w:keepNext/>
        <w:spacing w:before="240" w:after="240" w:line="480" w:lineRule="auto"/>
        <w:jc w:val="center"/>
        <w:rPr>
          <w:rFonts w:ascii="Times New Roman" w:hAnsi="Times New Roman" w:cs="Times New Roman"/>
          <w:sz w:val="24"/>
          <w:szCs w:val="24"/>
        </w:rPr>
      </w:pPr>
      <w:r w:rsidRPr="006C1E51">
        <w:rPr>
          <w:rFonts w:ascii="Times New Roman" w:hAnsi="Times New Roman"/>
          <w:noProof/>
          <w:sz w:val="24"/>
          <w:szCs w:val="24"/>
        </w:rPr>
        <w:drawing>
          <wp:inline distT="0" distB="0" distL="0" distR="0" wp14:anchorId="0DF5B390" wp14:editId="25F65994">
            <wp:extent cx="5103628" cy="3361524"/>
            <wp:effectExtent l="0" t="0" r="1905" b="4445"/>
            <wp:docPr id="1337730680" name="Picture 1" descr="A house and a dra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730680" name="Picture 1" descr="A house and a drawing&#10;&#10;AI-generated content may be incorrect."/>
                    <pic:cNvPicPr/>
                  </pic:nvPicPr>
                  <pic:blipFill>
                    <a:blip r:embed="rId11"/>
                    <a:stretch>
                      <a:fillRect/>
                    </a:stretch>
                  </pic:blipFill>
                  <pic:spPr>
                    <a:xfrm>
                      <a:off x="0" y="0"/>
                      <a:ext cx="5125302" cy="3375800"/>
                    </a:xfrm>
                    <a:prstGeom prst="rect">
                      <a:avLst/>
                    </a:prstGeom>
                  </pic:spPr>
                </pic:pic>
              </a:graphicData>
            </a:graphic>
          </wp:inline>
        </w:drawing>
      </w:r>
    </w:p>
    <w:p w14:paraId="362A8EAE" w14:textId="4F7165F6" w:rsidR="000F6B03" w:rsidRPr="006C1E51" w:rsidRDefault="00E41BA2" w:rsidP="00F50E4B">
      <w:pPr>
        <w:pStyle w:val="Caption"/>
      </w:pPr>
      <w:bookmarkStart w:id="6" w:name="_Toc220010997"/>
      <w:r w:rsidRPr="006C1E51">
        <w:t xml:space="preserve">Figure </w:t>
      </w:r>
      <w:r w:rsidRPr="006C1E51">
        <w:fldChar w:fldCharType="begin"/>
      </w:r>
      <w:r w:rsidRPr="006C1E51">
        <w:instrText xml:space="preserve"> SEQ Figure \* ARABIC </w:instrText>
      </w:r>
      <w:r w:rsidRPr="006C1E51">
        <w:fldChar w:fldCharType="separate"/>
      </w:r>
      <w:r w:rsidR="00C63ED1" w:rsidRPr="006C1E51">
        <w:t>2</w:t>
      </w:r>
      <w:r w:rsidRPr="006C1E51">
        <w:fldChar w:fldCharType="end"/>
      </w:r>
      <w:r w:rsidRPr="006C1E51">
        <w:t xml:space="preserve">: House and site plan </w:t>
      </w:r>
      <w:r w:rsidR="00F50E4B" w:rsidRPr="006C1E51">
        <w:t>in a “Backwoods Community.”</w:t>
      </w:r>
      <w:r w:rsidR="00C63ED1" w:rsidRPr="006C1E51">
        <w:t xml:space="preserve"> Red circle is a brick pile.</w:t>
      </w:r>
      <w:bookmarkEnd w:id="6"/>
    </w:p>
    <w:p w14:paraId="00000011" w14:textId="1BCDC0CA" w:rsidR="0006233B" w:rsidRPr="006C1E51" w:rsidRDefault="00C5531F" w:rsidP="00F50E4B">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I’m looking back at what we had before: the Concrete Club, the Embarrassed Relief Association of Coleman, the fraternal orders.</w:t>
      </w:r>
      <w:r w:rsidR="00D93FFB" w:rsidRPr="006C1E51">
        <w:rPr>
          <w:rStyle w:val="FootnoteReference"/>
          <w:rFonts w:ascii="Times New Roman" w:hAnsi="Times New Roman" w:cs="Times New Roman"/>
          <w:sz w:val="24"/>
          <w:szCs w:val="24"/>
        </w:rPr>
        <w:footnoteReference w:id="9"/>
      </w:r>
      <w:r w:rsidRPr="006C1E51">
        <w:rPr>
          <w:rFonts w:ascii="Times New Roman" w:hAnsi="Times New Roman" w:cs="Times New Roman"/>
          <w:sz w:val="24"/>
          <w:szCs w:val="24"/>
        </w:rPr>
        <w:t xml:space="preserve"> Reinvigorating those economic structures is my interest, and the CHC framework is giving me an approach to do it—hopefully in ways others can learn from too.</w:t>
      </w:r>
    </w:p>
    <w:p w14:paraId="00000012" w14:textId="6BF793B1"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Historic preservation has long overlooked the everyday and the vernacular as culturally significant. Preservationists celebrate Chestertown’s colonial architecture–its Georgian, Victorian, and Craftsman homes, but rarely celebrated, are the rural Black communities whose labor made that architecture possible.</w:t>
      </w:r>
      <w:r w:rsidR="00D93FFB" w:rsidRPr="006C1E51">
        <w:rPr>
          <w:rStyle w:val="FootnoteReference"/>
          <w:rFonts w:ascii="Times New Roman" w:hAnsi="Times New Roman" w:cs="Times New Roman"/>
          <w:sz w:val="24"/>
          <w:szCs w:val="24"/>
        </w:rPr>
        <w:footnoteReference w:id="10"/>
      </w:r>
      <w:r w:rsidRPr="006C1E51">
        <w:rPr>
          <w:rFonts w:ascii="Times New Roman" w:hAnsi="Times New Roman" w:cs="Times New Roman"/>
          <w:sz w:val="24"/>
          <w:szCs w:val="24"/>
        </w:rPr>
        <w:t xml:space="preserve"> The homes in the countryside are best understood collectively, not individually, and this is where the bulk of the Black population remains. On family lands that my ancestors rose out of slavery to acquire and build lives, and communities. </w:t>
      </w:r>
    </w:p>
    <w:p w14:paraId="4051B888" w14:textId="119ACBB4" w:rsidR="00EF46C8" w:rsidRPr="006C1E51" w:rsidRDefault="007C5799"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As a descendant of James Butler, founder of Butlertown, and </w:t>
      </w:r>
      <w:r w:rsidR="009E7825" w:rsidRPr="006C1E51">
        <w:rPr>
          <w:rFonts w:ascii="Times New Roman" w:hAnsi="Times New Roman" w:cs="Times New Roman"/>
          <w:sz w:val="24"/>
          <w:szCs w:val="24"/>
        </w:rPr>
        <w:t xml:space="preserve">as </w:t>
      </w:r>
      <w:r w:rsidRPr="006C1E51">
        <w:rPr>
          <w:rFonts w:ascii="Times New Roman" w:hAnsi="Times New Roman" w:cs="Times New Roman"/>
          <w:sz w:val="24"/>
          <w:szCs w:val="24"/>
        </w:rPr>
        <w:t xml:space="preserve">a preservation professional working across housing, land conservation, and public history on Maryland's Eastern Shore, this </w:t>
      </w:r>
      <w:r w:rsidR="009E7825" w:rsidRPr="006C1E51">
        <w:rPr>
          <w:rFonts w:ascii="Times New Roman" w:hAnsi="Times New Roman" w:cs="Times New Roman"/>
          <w:sz w:val="24"/>
          <w:szCs w:val="24"/>
        </w:rPr>
        <w:t>study</w:t>
      </w:r>
      <w:r w:rsidRPr="006C1E51">
        <w:rPr>
          <w:rFonts w:ascii="Times New Roman" w:hAnsi="Times New Roman" w:cs="Times New Roman"/>
          <w:sz w:val="24"/>
          <w:szCs w:val="24"/>
        </w:rPr>
        <w:t xml:space="preserve"> emerges from </w:t>
      </w:r>
      <w:r w:rsidR="009E7825" w:rsidRPr="006C1E51">
        <w:rPr>
          <w:rFonts w:ascii="Times New Roman" w:hAnsi="Times New Roman" w:cs="Times New Roman"/>
          <w:sz w:val="24"/>
          <w:szCs w:val="24"/>
        </w:rPr>
        <w:t xml:space="preserve">my </w:t>
      </w:r>
      <w:r w:rsidRPr="006C1E51">
        <w:rPr>
          <w:rFonts w:ascii="Times New Roman" w:hAnsi="Times New Roman" w:cs="Times New Roman"/>
          <w:sz w:val="24"/>
          <w:szCs w:val="24"/>
        </w:rPr>
        <w:t xml:space="preserve">lived experience navigating the tensions between heritage celebration and community survival. </w:t>
      </w:r>
      <w:r w:rsidR="00C5531F" w:rsidRPr="006C1E51">
        <w:rPr>
          <w:rFonts w:ascii="Times New Roman" w:hAnsi="Times New Roman" w:cs="Times New Roman"/>
          <w:sz w:val="24"/>
          <w:szCs w:val="24"/>
        </w:rPr>
        <w:t xml:space="preserve">My work is about helping Black communities operate within and outside traditional preservation frameworks—taking what works for us from within the system, while creating tools that meet needs the system ignores. </w:t>
      </w:r>
      <w:r w:rsidR="005915C7" w:rsidRPr="006C1E51">
        <w:rPr>
          <w:rFonts w:ascii="Times New Roman" w:hAnsi="Times New Roman" w:cs="Times New Roman"/>
          <w:sz w:val="24"/>
          <w:szCs w:val="24"/>
        </w:rPr>
        <w:t xml:space="preserve">My approach echoes a long intellectual tradition, from W. E. B. Du Bois’s arguments for mastering dominant institutions </w:t>
      </w:r>
      <w:r w:rsidR="00FD6498" w:rsidRPr="006C1E51">
        <w:rPr>
          <w:rFonts w:ascii="Times New Roman" w:hAnsi="Times New Roman" w:cs="Times New Roman"/>
          <w:sz w:val="24"/>
          <w:szCs w:val="24"/>
        </w:rPr>
        <w:t>to</w:t>
      </w:r>
      <w:r w:rsidR="005915C7" w:rsidRPr="006C1E51">
        <w:rPr>
          <w:rFonts w:ascii="Times New Roman" w:hAnsi="Times New Roman" w:cs="Times New Roman"/>
          <w:sz w:val="24"/>
          <w:szCs w:val="24"/>
        </w:rPr>
        <w:t xml:space="preserve"> uplift Black communities, to contemporary scholars such as Jessica Gordon Nembhard and Monica M. White, who demonstrate how Black people have historically navigated exclusionary systems while building parallel structures of cooperation, mutual aid, and community resilience.</w:t>
      </w:r>
      <w:r w:rsidR="00C349EF" w:rsidRPr="006C1E51">
        <w:rPr>
          <w:rFonts w:ascii="Times New Roman" w:hAnsi="Times New Roman" w:cs="Times New Roman"/>
          <w:sz w:val="24"/>
          <w:szCs w:val="24"/>
        </w:rPr>
        <w:t xml:space="preserve"> </w:t>
      </w:r>
      <w:r w:rsidR="00C5531F" w:rsidRPr="006C1E51">
        <w:rPr>
          <w:rFonts w:ascii="Times New Roman" w:hAnsi="Times New Roman" w:cs="Times New Roman"/>
          <w:sz w:val="24"/>
          <w:szCs w:val="24"/>
        </w:rPr>
        <w:t>This has always been my goal in pursuing my education: learn the systems so I can bring them back to work for my people. And if I can’t do that, then it’s not worth it to me.</w:t>
      </w:r>
      <w:r w:rsidR="00EF46C8" w:rsidRPr="006C1E51">
        <w:rPr>
          <w:rFonts w:ascii="Times New Roman" w:hAnsi="Times New Roman" w:cs="Times New Roman"/>
          <w:sz w:val="24"/>
          <w:szCs w:val="24"/>
        </w:rPr>
        <w:br w:type="page"/>
      </w:r>
    </w:p>
    <w:p w14:paraId="00000015" w14:textId="58726D04" w:rsidR="0006233B" w:rsidRPr="006C1E51" w:rsidRDefault="00C5531F" w:rsidP="00B97F99">
      <w:pPr>
        <w:pStyle w:val="Heading1"/>
      </w:pPr>
      <w:bookmarkStart w:id="7" w:name="_Toc220011074"/>
      <w:r w:rsidRPr="006C1E51">
        <w:lastRenderedPageBreak/>
        <w:t xml:space="preserve">Chapter </w:t>
      </w:r>
      <w:r w:rsidR="007C5799" w:rsidRPr="006C1E51">
        <w:t>1</w:t>
      </w:r>
      <w:r w:rsidRPr="006C1E51">
        <w:t xml:space="preserve">: </w:t>
      </w:r>
      <w:r w:rsidR="007C5799" w:rsidRPr="006C1E51">
        <w:t xml:space="preserve">The Problem: </w:t>
      </w:r>
      <w:r w:rsidRPr="006C1E51">
        <w:t xml:space="preserve">Heritage Inequity </w:t>
      </w:r>
      <w:r w:rsidR="007C5799" w:rsidRPr="006C1E51">
        <w:t>and Community Decline</w:t>
      </w:r>
      <w:bookmarkEnd w:id="7"/>
    </w:p>
    <w:p w14:paraId="00000016" w14:textId="77777777" w:rsidR="0006233B" w:rsidRPr="006C1E51" w:rsidRDefault="00C5531F" w:rsidP="00775270">
      <w:pPr>
        <w:pStyle w:val="Heading2"/>
        <w:spacing w:line="480" w:lineRule="auto"/>
        <w:rPr>
          <w:rFonts w:ascii="Times New Roman" w:hAnsi="Times New Roman" w:cs="Times New Roman"/>
        </w:rPr>
      </w:pPr>
      <w:bookmarkStart w:id="8" w:name="_b61xz7bhic4j" w:colFirst="0" w:colLast="0"/>
      <w:bookmarkStart w:id="9" w:name="_Toc220011075"/>
      <w:bookmarkEnd w:id="8"/>
      <w:r w:rsidRPr="006C1E51">
        <w:rPr>
          <w:rFonts w:ascii="Times New Roman" w:hAnsi="Times New Roman" w:cs="Times New Roman"/>
        </w:rPr>
        <w:t>Why Cooperative Heritage Communities?</w:t>
      </w:r>
      <w:bookmarkEnd w:id="9"/>
    </w:p>
    <w:p w14:paraId="00000017" w14:textId="35B1AC49" w:rsidR="0006233B" w:rsidRPr="006C1E51" w:rsidRDefault="00C5531F" w:rsidP="009E7825">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Through my work on Maryland’s Eastern Shore, I have observed patterns in historic preservation practice that raise a question not asked nearly enough: What does it mean to preserve heritage in communities where the people themselves are struggling to remain?</w:t>
      </w:r>
      <w:r w:rsidR="00B15006" w:rsidRPr="006C1E51">
        <w:rPr>
          <w:rStyle w:val="FootnoteReference"/>
          <w:rFonts w:ascii="Times New Roman" w:hAnsi="Times New Roman" w:cs="Times New Roman"/>
          <w:sz w:val="24"/>
          <w:szCs w:val="24"/>
        </w:rPr>
        <w:footnoteReference w:id="11"/>
      </w:r>
      <w:r w:rsidRPr="006C1E51">
        <w:rPr>
          <w:rFonts w:ascii="Times New Roman" w:hAnsi="Times New Roman" w:cs="Times New Roman"/>
          <w:sz w:val="24"/>
          <w:szCs w:val="24"/>
        </w:rPr>
        <w:t xml:space="preserve"> This question is neither rhetorical nor abstract. It emerges from practical realities in African American communities where cultural narratives are increasingly highlighted, yet the material conditions necessary for those communities to thrive do not always improve at the same pace.</w:t>
      </w:r>
      <w:r w:rsidR="00B15006" w:rsidRPr="006C1E51">
        <w:rPr>
          <w:rStyle w:val="FootnoteReference"/>
          <w:rFonts w:ascii="Times New Roman" w:hAnsi="Times New Roman" w:cs="Times New Roman"/>
          <w:sz w:val="24"/>
          <w:szCs w:val="24"/>
        </w:rPr>
        <w:footnoteReference w:id="12"/>
      </w:r>
      <w:r w:rsidRPr="006C1E51">
        <w:rPr>
          <w:rFonts w:ascii="Times New Roman" w:hAnsi="Times New Roman" w:cs="Times New Roman"/>
          <w:sz w:val="24"/>
          <w:szCs w:val="24"/>
        </w:rPr>
        <w:t xml:space="preserve"> The patterns that led me to this question—patterns related to access, capacity, and community well-being—are explored more fully in the next section.</w:t>
      </w:r>
    </w:p>
    <w:p w14:paraId="00000018" w14:textId="1C74B9EB"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This </w:t>
      </w:r>
      <w:r w:rsidR="009E7825" w:rsidRPr="006C1E51">
        <w:rPr>
          <w:rFonts w:ascii="Times New Roman" w:hAnsi="Times New Roman" w:cs="Times New Roman"/>
          <w:sz w:val="24"/>
          <w:szCs w:val="24"/>
        </w:rPr>
        <w:t>study</w:t>
      </w:r>
      <w:r w:rsidRPr="006C1E51">
        <w:rPr>
          <w:rFonts w:ascii="Times New Roman" w:hAnsi="Times New Roman" w:cs="Times New Roman"/>
          <w:sz w:val="24"/>
          <w:szCs w:val="24"/>
        </w:rPr>
        <w:t xml:space="preserve"> introduces Cooperative Heritage Communities (CHCs) as one possible response to these observations. The CHC framework is not presented as a universal solution, but as a model that may help address some of the ongoing challenges facing </w:t>
      </w:r>
      <w:r w:rsidR="00E36027" w:rsidRPr="006C1E51">
        <w:rPr>
          <w:rFonts w:ascii="Times New Roman" w:hAnsi="Times New Roman" w:cs="Times New Roman"/>
          <w:sz w:val="24"/>
          <w:szCs w:val="24"/>
        </w:rPr>
        <w:t xml:space="preserve">historically </w:t>
      </w:r>
      <w:r w:rsidRPr="006C1E51">
        <w:rPr>
          <w:rFonts w:ascii="Times New Roman" w:hAnsi="Times New Roman" w:cs="Times New Roman"/>
          <w:sz w:val="24"/>
          <w:szCs w:val="24"/>
        </w:rPr>
        <w:t>Black communities, particularly in rural regions. It suggests that a more cooperative, community-</w:t>
      </w:r>
      <w:r w:rsidRPr="006C1E51">
        <w:rPr>
          <w:rFonts w:ascii="Times New Roman" w:hAnsi="Times New Roman" w:cs="Times New Roman"/>
          <w:sz w:val="24"/>
          <w:szCs w:val="24"/>
        </w:rPr>
        <w:lastRenderedPageBreak/>
        <w:t xml:space="preserve">centered approach to heritage work may strengthen participation, distribute </w:t>
      </w:r>
      <w:r w:rsidR="00E17499" w:rsidRPr="006C1E51">
        <w:rPr>
          <w:rFonts w:ascii="Times New Roman" w:hAnsi="Times New Roman" w:cs="Times New Roman"/>
          <w:sz w:val="24"/>
          <w:szCs w:val="24"/>
        </w:rPr>
        <w:t>authority</w:t>
      </w:r>
      <w:r w:rsidRPr="006C1E51">
        <w:rPr>
          <w:rFonts w:ascii="Times New Roman" w:hAnsi="Times New Roman" w:cs="Times New Roman"/>
          <w:sz w:val="24"/>
          <w:szCs w:val="24"/>
        </w:rPr>
        <w:t xml:space="preserve"> more equitably, and align preservation practice with broader definitions of well-being.</w:t>
      </w:r>
    </w:p>
    <w:p w14:paraId="00000019" w14:textId="5457D29B"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Eastern Shore of Maryland provides a compelling context for considering this idea. The region contains a deep continuum of African American history—landscapes shaped by enslavement, resistance, Reconstruction, Black landownership, and longstanding cultural traditions. Yet many of the communities connected to this history are experiencing population decline, institutional fragility, environmental pressures, and economic vulnerability. At the same time, the region’s heritage narratives contribute to a thriving tourism economy whose benefits do not consistently return to local African American communities.</w:t>
      </w:r>
      <w:r w:rsidR="00E36027" w:rsidRPr="006C1E51">
        <w:rPr>
          <w:rStyle w:val="FootnoteReference"/>
          <w:rFonts w:ascii="Times New Roman" w:hAnsi="Times New Roman" w:cs="Times New Roman"/>
          <w:sz w:val="24"/>
          <w:szCs w:val="24"/>
        </w:rPr>
        <w:footnoteReference w:id="13"/>
      </w:r>
    </w:p>
    <w:p w14:paraId="0000001A" w14:textId="77777777"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These contradictions do not necessarily reflect deliberate exclusion; rather, they reveal structural conditions within preservation systems that make it difficult for grassroots African American organizations to participate fully or benefit equitably. CHCs are introduced in this thesis as a framework that may help communities navigate these conditions by drawing on cooperative traditions, shared governance, and community-defined priorities.</w:t>
      </w:r>
    </w:p>
    <w:p w14:paraId="0000001B" w14:textId="77777777"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premise here is not that preservation practice is fundamentally broken, nor that cooperative approaches are the singular path forward. Instead, it is that preservation could benefit from frameworks that support community stability alongside the conservation of sites and stories, especially in places where the stakes are particularly high. CHCs are offered as one such framework—grounded in lived experience, shaped by regional context, and informed by cooperative economic theory and cultural landscape scholarship.</w:t>
      </w:r>
    </w:p>
    <w:p w14:paraId="0276A22B" w14:textId="13EFB04B" w:rsidR="000469BE" w:rsidRPr="006C1E51" w:rsidRDefault="000469BE" w:rsidP="00775270">
      <w:pPr>
        <w:pStyle w:val="Heading2"/>
        <w:spacing w:line="480" w:lineRule="auto"/>
        <w:rPr>
          <w:rFonts w:ascii="Times New Roman" w:hAnsi="Times New Roman" w:cs="Times New Roman"/>
        </w:rPr>
      </w:pPr>
      <w:bookmarkStart w:id="10" w:name="_Toc220011076"/>
      <w:r w:rsidRPr="006C1E51">
        <w:rPr>
          <w:rFonts w:ascii="Times New Roman" w:hAnsi="Times New Roman" w:cs="Times New Roman"/>
        </w:rPr>
        <w:lastRenderedPageBreak/>
        <w:t>Personal and Regional Context: A Heritage Worker Shaped by the Eastern Shore</w:t>
      </w:r>
      <w:bookmarkEnd w:id="10"/>
    </w:p>
    <w:p w14:paraId="3AB2B8AA" w14:textId="25CF4D1C" w:rsidR="004F7384" w:rsidRPr="006C1E51" w:rsidRDefault="00C5531F" w:rsidP="009E7825">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My perspective on heritage work is shaped by my experiences as an African American man raised on Maryland’s Eastern Shore—a region where land, water, culture, and memory are deeply intertwined. My family has lived in this area for more than 200 years, and my work in preservation is inseparable from the places and people who formed me. The Eastern Shore is part of the Chesapeake Bay watershed</w:t>
      </w:r>
      <w:r w:rsidR="00986ACE" w:rsidRPr="006C1E51">
        <w:rPr>
          <w:rFonts w:ascii="Times New Roman" w:hAnsi="Times New Roman" w:cs="Times New Roman"/>
          <w:sz w:val="24"/>
          <w:szCs w:val="24"/>
        </w:rPr>
        <w:t xml:space="preserve"> (see fig. 3) </w:t>
      </w:r>
      <w:r w:rsidRPr="006C1E51">
        <w:rPr>
          <w:rFonts w:ascii="Times New Roman" w:hAnsi="Times New Roman" w:cs="Times New Roman"/>
          <w:sz w:val="24"/>
          <w:szCs w:val="24"/>
        </w:rPr>
        <w:t xml:space="preserve">—the largest in the United States—and remains one of the country’s most </w:t>
      </w:r>
      <w:r w:rsidR="009E5727" w:rsidRPr="006C1E51">
        <w:rPr>
          <w:rFonts w:ascii="Times New Roman" w:hAnsi="Times New Roman" w:cs="Times New Roman"/>
          <w:sz w:val="24"/>
          <w:szCs w:val="24"/>
        </w:rPr>
        <w:t>significant</w:t>
      </w:r>
      <w:r w:rsidRPr="006C1E51">
        <w:rPr>
          <w:rFonts w:ascii="Times New Roman" w:hAnsi="Times New Roman" w:cs="Times New Roman"/>
          <w:sz w:val="24"/>
          <w:szCs w:val="24"/>
        </w:rPr>
        <w:t xml:space="preserve"> landscapes of African American history</w:t>
      </w:r>
      <w:r w:rsidR="00E36027" w:rsidRPr="006C1E51">
        <w:rPr>
          <w:rFonts w:ascii="Times New Roman" w:hAnsi="Times New Roman" w:cs="Times New Roman"/>
          <w:sz w:val="24"/>
          <w:szCs w:val="24"/>
        </w:rPr>
        <w:t xml:space="preserve"> and ecological vitality</w:t>
      </w:r>
      <w:r w:rsidRPr="006C1E51">
        <w:rPr>
          <w:rFonts w:ascii="Times New Roman" w:hAnsi="Times New Roman" w:cs="Times New Roman"/>
          <w:sz w:val="24"/>
          <w:szCs w:val="24"/>
        </w:rPr>
        <w:t>.</w:t>
      </w:r>
      <w:r w:rsidR="00E36027" w:rsidRPr="006C1E51">
        <w:rPr>
          <w:rStyle w:val="FootnoteReference"/>
          <w:rFonts w:ascii="Times New Roman" w:hAnsi="Times New Roman" w:cs="Times New Roman"/>
          <w:sz w:val="24"/>
          <w:szCs w:val="24"/>
        </w:rPr>
        <w:footnoteReference w:id="14"/>
      </w:r>
      <w:r w:rsidR="00E36027" w:rsidRPr="006C1E51">
        <w:rPr>
          <w:rFonts w:ascii="Times New Roman" w:hAnsi="Times New Roman" w:cs="Times New Roman"/>
          <w:sz w:val="24"/>
          <w:szCs w:val="24"/>
        </w:rPr>
        <w:t xml:space="preserve"> </w:t>
      </w:r>
    </w:p>
    <w:p w14:paraId="476613CF" w14:textId="77777777" w:rsidR="00E41BA2" w:rsidRPr="006C1E51" w:rsidRDefault="00E41BA2" w:rsidP="00FE75CC">
      <w:pPr>
        <w:keepNext/>
        <w:spacing w:after="240" w:line="480" w:lineRule="auto"/>
        <w:jc w:val="center"/>
        <w:rPr>
          <w:rFonts w:ascii="Times New Roman" w:hAnsi="Times New Roman" w:cs="Times New Roman"/>
          <w:sz w:val="24"/>
          <w:szCs w:val="24"/>
        </w:rPr>
      </w:pPr>
      <w:r w:rsidRPr="006C1E51">
        <w:rPr>
          <w:rFonts w:ascii="Times New Roman" w:hAnsi="Times New Roman" w:cs="Times New Roman"/>
          <w:noProof/>
          <w:sz w:val="24"/>
          <w:szCs w:val="24"/>
        </w:rPr>
        <w:drawing>
          <wp:inline distT="0" distB="0" distL="0" distR="0" wp14:anchorId="14920753" wp14:editId="49C6849D">
            <wp:extent cx="3950538" cy="2809271"/>
            <wp:effectExtent l="0" t="0" r="0" b="0"/>
            <wp:docPr id="2043867886" name="Picture 1" descr="A map of the eastern shore of the eastern shore of the united sta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867886" name="Picture 1" descr="A map of the eastern shore of the eastern shore of the united states&#10;&#10;AI-generated content may be incorrect."/>
                    <pic:cNvPicPr/>
                  </pic:nvPicPr>
                  <pic:blipFill>
                    <a:blip r:embed="rId12" cstate="email">
                      <a:extLst>
                        <a:ext uri="{28A0092B-C50C-407E-A947-70E740481C1C}">
                          <a14:useLocalDpi xmlns:a14="http://schemas.microsoft.com/office/drawing/2010/main"/>
                        </a:ext>
                      </a:extLst>
                    </a:blip>
                    <a:stretch>
                      <a:fillRect/>
                    </a:stretch>
                  </pic:blipFill>
                  <pic:spPr>
                    <a:xfrm>
                      <a:off x="0" y="0"/>
                      <a:ext cx="3982131" cy="2831737"/>
                    </a:xfrm>
                    <a:prstGeom prst="rect">
                      <a:avLst/>
                    </a:prstGeom>
                  </pic:spPr>
                </pic:pic>
              </a:graphicData>
            </a:graphic>
          </wp:inline>
        </w:drawing>
      </w:r>
    </w:p>
    <w:p w14:paraId="481ACE38" w14:textId="2A6E480E" w:rsidR="00E41BA2" w:rsidRPr="006C1E51" w:rsidRDefault="00E41BA2" w:rsidP="00F50E4B">
      <w:pPr>
        <w:pStyle w:val="Caption"/>
      </w:pPr>
      <w:bookmarkStart w:id="11" w:name="_Toc220010998"/>
      <w:r w:rsidRPr="006C1E51">
        <w:t xml:space="preserve">Figure </w:t>
      </w:r>
      <w:r w:rsidRPr="006C1E51">
        <w:fldChar w:fldCharType="begin"/>
      </w:r>
      <w:r w:rsidRPr="006C1E51">
        <w:instrText xml:space="preserve"> SEQ Figure \* ARABIC </w:instrText>
      </w:r>
      <w:r w:rsidRPr="006C1E51">
        <w:fldChar w:fldCharType="separate"/>
      </w:r>
      <w:r w:rsidR="00C63ED1" w:rsidRPr="006C1E51">
        <w:rPr>
          <w:noProof/>
        </w:rPr>
        <w:t>3</w:t>
      </w:r>
      <w:r w:rsidRPr="006C1E51">
        <w:fldChar w:fldCharType="end"/>
      </w:r>
      <w:r w:rsidRPr="006C1E51">
        <w:t xml:space="preserve">: Chesapeake Bay Watershed boundary (map), by Forest and Rangeland Ecosystem Science Center, February 19, 2021, United States Geological Survey (USGS), </w:t>
      </w:r>
      <w:hyperlink r:id="rId13" w:history="1">
        <w:r w:rsidR="00C63ED1" w:rsidRPr="006C1E51">
          <w:rPr>
            <w:rStyle w:val="Hyperlink"/>
          </w:rPr>
          <w:t>https://www.usgs.gov/me</w:t>
        </w:r>
        <w:r w:rsidR="00C63ED1" w:rsidRPr="006C1E51">
          <w:rPr>
            <w:rStyle w:val="Hyperlink"/>
          </w:rPr>
          <w:t>d</w:t>
        </w:r>
        <w:r w:rsidR="00C63ED1" w:rsidRPr="006C1E51">
          <w:rPr>
            <w:rStyle w:val="Hyperlink"/>
          </w:rPr>
          <w:t>ia/images/chesapeake-bay-watershed-boundary-usa</w:t>
        </w:r>
      </w:hyperlink>
      <w:r w:rsidR="00C63ED1" w:rsidRPr="006C1E51">
        <w:t>.</w:t>
      </w:r>
      <w:bookmarkEnd w:id="11"/>
      <w:r w:rsidR="00C63ED1" w:rsidRPr="006C1E51">
        <w:t xml:space="preserve"> </w:t>
      </w:r>
    </w:p>
    <w:p w14:paraId="638441B8" w14:textId="77777777" w:rsidR="006C1E51" w:rsidRDefault="00C5531F" w:rsidP="00986ACE">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 xml:space="preserve">Across this region, the arc of Black history </w:t>
      </w:r>
      <w:r w:rsidR="00E41BA2" w:rsidRPr="006C1E51">
        <w:rPr>
          <w:rFonts w:ascii="Times New Roman" w:hAnsi="Times New Roman" w:cs="Times New Roman"/>
          <w:sz w:val="24"/>
          <w:szCs w:val="24"/>
        </w:rPr>
        <w:t xml:space="preserve">in Maryland’s Eastern Shore </w:t>
      </w:r>
      <w:r w:rsidRPr="006C1E51">
        <w:rPr>
          <w:rFonts w:ascii="Times New Roman" w:hAnsi="Times New Roman" w:cs="Times New Roman"/>
          <w:sz w:val="24"/>
          <w:szCs w:val="24"/>
        </w:rPr>
        <w:t xml:space="preserve">stretches from the earliest days of </w:t>
      </w:r>
      <w:r w:rsidR="00E41BA2" w:rsidRPr="006C1E51">
        <w:rPr>
          <w:rFonts w:ascii="Times New Roman" w:hAnsi="Times New Roman" w:cs="Times New Roman"/>
          <w:sz w:val="24"/>
          <w:szCs w:val="24"/>
        </w:rPr>
        <w:t xml:space="preserve">first contact and </w:t>
      </w:r>
      <w:r w:rsidRPr="006C1E51">
        <w:rPr>
          <w:rFonts w:ascii="Times New Roman" w:hAnsi="Times New Roman" w:cs="Times New Roman"/>
          <w:sz w:val="24"/>
          <w:szCs w:val="24"/>
        </w:rPr>
        <w:t>colon</w:t>
      </w:r>
      <w:r w:rsidR="00E41BA2" w:rsidRPr="006C1E51">
        <w:rPr>
          <w:rFonts w:ascii="Times New Roman" w:hAnsi="Times New Roman" w:cs="Times New Roman"/>
          <w:sz w:val="24"/>
          <w:szCs w:val="24"/>
        </w:rPr>
        <w:t xml:space="preserve">ization </w:t>
      </w:r>
      <w:r w:rsidRPr="006C1E51">
        <w:rPr>
          <w:rFonts w:ascii="Times New Roman" w:hAnsi="Times New Roman" w:cs="Times New Roman"/>
          <w:sz w:val="24"/>
          <w:szCs w:val="24"/>
        </w:rPr>
        <w:t>through the self-liberation journeys of Harriet Tubman and Frederick Douglass, through Reconstruction-era community building, the rise of Black landownership, twentieth-century civil rights leadership</w:t>
      </w:r>
      <w:r w:rsidR="000469BE" w:rsidRPr="006C1E51">
        <w:rPr>
          <w:rFonts w:ascii="Times New Roman" w:hAnsi="Times New Roman" w:cs="Times New Roman"/>
          <w:sz w:val="24"/>
          <w:szCs w:val="24"/>
        </w:rPr>
        <w:t xml:space="preserve"> throug</w:t>
      </w:r>
      <w:r w:rsidR="004F7384" w:rsidRPr="006C1E51">
        <w:rPr>
          <w:rFonts w:ascii="Times New Roman" w:hAnsi="Times New Roman" w:cs="Times New Roman"/>
          <w:sz w:val="24"/>
          <w:szCs w:val="24"/>
        </w:rPr>
        <w:t>h dynamic figures like Gloria Richardson</w:t>
      </w:r>
      <w:r w:rsidRPr="006C1E51">
        <w:rPr>
          <w:rFonts w:ascii="Times New Roman" w:hAnsi="Times New Roman" w:cs="Times New Roman"/>
          <w:sz w:val="24"/>
          <w:szCs w:val="24"/>
        </w:rPr>
        <w:t>, and ongoing efforts to sustain cultural identity and political voice</w:t>
      </w:r>
      <w:r w:rsidR="00E65F7C" w:rsidRPr="006C1E51">
        <w:rPr>
          <w:rFonts w:ascii="Times New Roman" w:hAnsi="Times New Roman" w:cs="Times New Roman"/>
          <w:sz w:val="24"/>
          <w:szCs w:val="24"/>
        </w:rPr>
        <w:t>, while relying on ecological conditions for survival and sustenance</w:t>
      </w:r>
      <w:r w:rsidR="00986ACE" w:rsidRPr="006C1E51">
        <w:rPr>
          <w:rFonts w:ascii="Times New Roman" w:hAnsi="Times New Roman" w:cs="Times New Roman"/>
          <w:sz w:val="24"/>
          <w:szCs w:val="24"/>
        </w:rPr>
        <w:t xml:space="preserve"> (see fig. 4)</w:t>
      </w:r>
      <w:r w:rsidRPr="006C1E51">
        <w:rPr>
          <w:rFonts w:ascii="Times New Roman" w:hAnsi="Times New Roman" w:cs="Times New Roman"/>
          <w:sz w:val="24"/>
          <w:szCs w:val="24"/>
        </w:rPr>
        <w:t>.</w:t>
      </w:r>
      <w:r w:rsidR="00E65F7C" w:rsidRPr="006C1E51">
        <w:rPr>
          <w:rStyle w:val="FootnoteReference"/>
          <w:rFonts w:ascii="Times New Roman" w:hAnsi="Times New Roman" w:cs="Times New Roman"/>
          <w:sz w:val="24"/>
          <w:szCs w:val="24"/>
        </w:rPr>
        <w:footnoteReference w:id="15"/>
      </w:r>
      <w:r w:rsidRPr="006C1E51">
        <w:rPr>
          <w:rFonts w:ascii="Times New Roman" w:hAnsi="Times New Roman" w:cs="Times New Roman"/>
          <w:sz w:val="24"/>
          <w:szCs w:val="24"/>
        </w:rPr>
        <w:t xml:space="preserve"> The communities that carry this history—small rural settlements, churches, farms, benevolent society halls, schools, burial grounds, and family lands—represent a form of heritage that is lived rather than curated. It is reflected in everyday practices, intergenerational rel</w:t>
      </w:r>
      <w:r w:rsidR="00986ACE" w:rsidRPr="006C1E51">
        <w:rPr>
          <w:rFonts w:ascii="Times New Roman" w:hAnsi="Times New Roman" w:cs="Times New Roman"/>
          <w:sz w:val="24"/>
          <w:szCs w:val="24"/>
        </w:rPr>
        <w:t>ationships, collective memory, and distributed authority.</w:t>
      </w:r>
    </w:p>
    <w:p w14:paraId="5F10AEE1" w14:textId="720D3F71" w:rsidR="006C1E51" w:rsidRDefault="006C1E51" w:rsidP="006C1E51">
      <w:pPr>
        <w:spacing w:line="480" w:lineRule="auto"/>
        <w:ind w:left="720"/>
        <w:rPr>
          <w:rFonts w:ascii="Times New Roman" w:hAnsi="Times New Roman"/>
        </w:rPr>
      </w:pPr>
      <w:r w:rsidRPr="006C1E51">
        <w:rPr>
          <w:rFonts w:ascii="Times New Roman" w:hAnsi="Times New Roman" w:cs="Times New Roman"/>
          <w:noProof/>
          <w:sz w:val="24"/>
          <w:szCs w:val="24"/>
        </w:rPr>
        <w:drawing>
          <wp:inline distT="0" distB="0" distL="0" distR="0" wp14:anchorId="0147C9B7" wp14:editId="3A12281B">
            <wp:extent cx="5658416" cy="3182862"/>
            <wp:effectExtent l="0" t="0" r="6350" b="5080"/>
            <wp:docPr id="14957848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784833" name=""/>
                    <pic:cNvPicPr/>
                  </pic:nvPicPr>
                  <pic:blipFill>
                    <a:blip r:embed="rId14"/>
                    <a:stretch>
                      <a:fillRect/>
                    </a:stretch>
                  </pic:blipFill>
                  <pic:spPr>
                    <a:xfrm>
                      <a:off x="0" y="0"/>
                      <a:ext cx="5765708" cy="3243214"/>
                    </a:xfrm>
                    <a:prstGeom prst="rect">
                      <a:avLst/>
                    </a:prstGeom>
                  </pic:spPr>
                </pic:pic>
              </a:graphicData>
            </a:graphic>
          </wp:inline>
        </w:drawing>
      </w:r>
    </w:p>
    <w:p w14:paraId="6E219311" w14:textId="44B7ED20" w:rsidR="00E41BA2" w:rsidRPr="006C1E51" w:rsidRDefault="00E41BA2" w:rsidP="006C1E51">
      <w:pPr>
        <w:spacing w:line="480" w:lineRule="auto"/>
        <w:rPr>
          <w:rFonts w:ascii="Times New Roman" w:hAnsi="Times New Roman" w:cs="Times New Roman"/>
          <w:sz w:val="24"/>
          <w:szCs w:val="24"/>
        </w:rPr>
      </w:pPr>
      <w:bookmarkStart w:id="12" w:name="_Toc220010999"/>
      <w:r w:rsidRPr="006C1E51">
        <w:rPr>
          <w:rFonts w:ascii="Times New Roman" w:hAnsi="Times New Roman"/>
        </w:rPr>
        <w:t xml:space="preserve">Figure </w:t>
      </w:r>
      <w:r w:rsidRPr="006C1E51">
        <w:rPr>
          <w:rFonts w:ascii="Times New Roman" w:hAnsi="Times New Roman"/>
        </w:rPr>
        <w:fldChar w:fldCharType="begin"/>
      </w:r>
      <w:r w:rsidRPr="006C1E51">
        <w:rPr>
          <w:rFonts w:ascii="Times New Roman" w:hAnsi="Times New Roman"/>
        </w:rPr>
        <w:instrText xml:space="preserve"> SEQ Figure \* ARABIC </w:instrText>
      </w:r>
      <w:r w:rsidRPr="006C1E51">
        <w:rPr>
          <w:rFonts w:ascii="Times New Roman" w:hAnsi="Times New Roman"/>
        </w:rPr>
        <w:fldChar w:fldCharType="separate"/>
      </w:r>
      <w:r w:rsidR="00C63ED1" w:rsidRPr="006C1E51">
        <w:rPr>
          <w:rFonts w:ascii="Times New Roman" w:hAnsi="Times New Roman"/>
          <w:noProof/>
        </w:rPr>
        <w:t>4</w:t>
      </w:r>
      <w:r w:rsidRPr="006C1E51">
        <w:rPr>
          <w:rFonts w:ascii="Times New Roman" w:hAnsi="Times New Roman"/>
        </w:rPr>
        <w:fldChar w:fldCharType="end"/>
      </w:r>
      <w:r w:rsidRPr="006C1E51">
        <w:rPr>
          <w:rFonts w:ascii="Times New Roman" w:hAnsi="Times New Roman"/>
        </w:rPr>
        <w:t>: Chesapeake Bay Watershed with African American historical figures and moments.</w:t>
      </w:r>
      <w:r w:rsidRPr="006C1E51">
        <w:rPr>
          <w:rStyle w:val="FootnoteReference"/>
          <w:rFonts w:ascii="Times New Roman" w:hAnsi="Times New Roman" w:cs="Times New Roman"/>
          <w:sz w:val="24"/>
          <w:szCs w:val="24"/>
        </w:rPr>
        <w:footnoteReference w:id="16"/>
      </w:r>
      <w:bookmarkEnd w:id="12"/>
    </w:p>
    <w:p w14:paraId="0000001E" w14:textId="466AA31E"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 xml:space="preserve">Working </w:t>
      </w:r>
      <w:r w:rsidR="009E7825" w:rsidRPr="006C1E51">
        <w:rPr>
          <w:rFonts w:ascii="Times New Roman" w:hAnsi="Times New Roman" w:cs="Times New Roman"/>
          <w:sz w:val="24"/>
          <w:szCs w:val="24"/>
        </w:rPr>
        <w:t>across</w:t>
      </w:r>
      <w:r w:rsidRPr="006C1E51">
        <w:rPr>
          <w:rFonts w:ascii="Times New Roman" w:hAnsi="Times New Roman" w:cs="Times New Roman"/>
          <w:sz w:val="24"/>
          <w:szCs w:val="24"/>
        </w:rPr>
        <w:t xml:space="preserve"> this region has given me a front-row view of the mismatch between </w:t>
      </w:r>
      <w:r w:rsidR="009E7825" w:rsidRPr="006C1E51">
        <w:rPr>
          <w:rFonts w:ascii="Times New Roman" w:hAnsi="Times New Roman" w:cs="Times New Roman"/>
          <w:sz w:val="24"/>
          <w:szCs w:val="24"/>
        </w:rPr>
        <w:t xml:space="preserve">narratives of </w:t>
      </w:r>
      <w:r w:rsidRPr="006C1E51">
        <w:rPr>
          <w:rFonts w:ascii="Times New Roman" w:hAnsi="Times New Roman" w:cs="Times New Roman"/>
          <w:sz w:val="24"/>
          <w:szCs w:val="24"/>
        </w:rPr>
        <w:t>preservation</w:t>
      </w:r>
      <w:r w:rsidR="009E7825" w:rsidRPr="006C1E51">
        <w:rPr>
          <w:rFonts w:ascii="Times New Roman" w:hAnsi="Times New Roman" w:cs="Times New Roman"/>
          <w:sz w:val="24"/>
          <w:szCs w:val="24"/>
        </w:rPr>
        <w:t>-based outcomes</w:t>
      </w:r>
      <w:r w:rsidRPr="006C1E51">
        <w:rPr>
          <w:rFonts w:ascii="Times New Roman" w:hAnsi="Times New Roman" w:cs="Times New Roman"/>
          <w:sz w:val="24"/>
          <w:szCs w:val="24"/>
        </w:rPr>
        <w:t xml:space="preserve"> and community realities. During my time as a board member for the Stories of the Chesapeake Heritage Area, I saw encouraging signs of progress: more grants directed toward African American history, more interpretive projects celebrating Black stories, and broader recognition of contributions that had long been omitted from official histories. Yet while the visibility of African American heritage increased, the underlying conditions affecting Black communities remained deeply challenging. The programs, budgets, and institutional decision-making structures did not reflect the same diversity as the stories being told.</w:t>
      </w:r>
    </w:p>
    <w:p w14:paraId="0000001F" w14:textId="21E2F0C1"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It became clear that the work of interpretation—while meaningful—was not translating into improvements in community well-being. This realization deepened as I co-developed the webinar series </w:t>
      </w:r>
      <w:r w:rsidRPr="006C1E51">
        <w:rPr>
          <w:rFonts w:ascii="Times New Roman" w:hAnsi="Times New Roman" w:cs="Times New Roman"/>
          <w:i/>
          <w:iCs/>
          <w:sz w:val="24"/>
          <w:szCs w:val="24"/>
        </w:rPr>
        <w:t>Nothing About Me, Without Me: Making Shared Heritage Interpretations a Reality</w:t>
      </w:r>
      <w:r w:rsidRPr="006C1E51">
        <w:rPr>
          <w:rFonts w:ascii="Times New Roman" w:hAnsi="Times New Roman" w:cs="Times New Roman"/>
          <w:sz w:val="24"/>
          <w:szCs w:val="24"/>
        </w:rPr>
        <w:t>.</w:t>
      </w:r>
      <w:r w:rsidR="00E65F7C" w:rsidRPr="006C1E51">
        <w:rPr>
          <w:rStyle w:val="FootnoteReference"/>
          <w:rFonts w:ascii="Times New Roman" w:hAnsi="Times New Roman" w:cs="Times New Roman"/>
          <w:sz w:val="24"/>
          <w:szCs w:val="24"/>
        </w:rPr>
        <w:footnoteReference w:id="17"/>
      </w:r>
      <w:r w:rsidRPr="006C1E51">
        <w:rPr>
          <w:rFonts w:ascii="Times New Roman" w:hAnsi="Times New Roman" w:cs="Times New Roman"/>
          <w:sz w:val="24"/>
          <w:szCs w:val="24"/>
        </w:rPr>
        <w:t xml:space="preserve"> The series showcased successful collaborations between mainstream organizations and Black communities, and participants were eager to explore models of shared authority. Yet even these promising examples existed alongside a set of persistent challenges facing local African American communities: substandard housing, land loss, public health disparities, climate vulnerability, heirs’ property issues, and shrinking community institutions due to population decline.</w:t>
      </w:r>
    </w:p>
    <w:p w14:paraId="00000020" w14:textId="46EC43F0"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My professional experiences outside preservation—in housing, environmental resilience, and community development—made it increasingly difficult to separate heritage work from these broader quality-of-life concerns. Heritage tourism, often celebrated as an economic asset, did not consistently generate benefits for African American residents. In some cases, it reproduced inequalities by drawing value from communities without reinvesting in them</w:t>
      </w:r>
      <w:r w:rsidR="001376DC" w:rsidRPr="006C1E51">
        <w:rPr>
          <w:rFonts w:ascii="Times New Roman" w:hAnsi="Times New Roman" w:cs="Times New Roman"/>
          <w:sz w:val="24"/>
          <w:szCs w:val="24"/>
        </w:rPr>
        <w:t>, while concentrating authority in the hands of funders and policymakers</w:t>
      </w:r>
      <w:r w:rsidRPr="006C1E51">
        <w:rPr>
          <w:rFonts w:ascii="Times New Roman" w:hAnsi="Times New Roman" w:cs="Times New Roman"/>
          <w:sz w:val="24"/>
          <w:szCs w:val="24"/>
        </w:rPr>
        <w:t>.</w:t>
      </w:r>
    </w:p>
    <w:p w14:paraId="00000021" w14:textId="77777777"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As I worked more closely with Black-led heritage groups, I saw how systemic and interconnected these challenges were. Many organizations carried a deep sense of responsibility for preserving local history, but lacked the administrative capacity, financial tools, or institutional power needed to navigate preservation systems designed around ownership stability, access to capital, and compliance requirements. I encountered groups limited by heirs’ property constraints, navigating discriminatory lending practices, or struggling to meet the demands of preservation grant reporting. I saw preservation standards that privileged architectural grandeur over the vernacular landscapes that most meaningfully express Black cultural life.</w:t>
      </w:r>
    </w:p>
    <w:p w14:paraId="00000022" w14:textId="2D292671"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One situation in Cambridge, Maryland captured this complexity. A Black-led nonprofit secured state historic tax credits to rehabilitate a culturally important building. The project was viable, the plan was sound, and the community supported the effort. But when the tax credit award required the organization to refinance the building into its own name, a local bank refused to underwrite the loan needed to complete that step. Without the mortgage transfer, the organization was forced to relinquish the tax credits and its investment in the project.</w:t>
      </w:r>
      <w:r w:rsidR="000469BE" w:rsidRPr="006C1E51">
        <w:rPr>
          <w:rStyle w:val="FootnoteReference"/>
          <w:rFonts w:ascii="Times New Roman" w:hAnsi="Times New Roman" w:cs="Times New Roman"/>
          <w:sz w:val="24"/>
          <w:szCs w:val="24"/>
        </w:rPr>
        <w:footnoteReference w:id="18"/>
      </w:r>
      <w:r w:rsidRPr="006C1E51">
        <w:rPr>
          <w:rFonts w:ascii="Times New Roman" w:hAnsi="Times New Roman" w:cs="Times New Roman"/>
          <w:sz w:val="24"/>
          <w:szCs w:val="24"/>
        </w:rPr>
        <w:t xml:space="preserve"> The issue </w:t>
      </w:r>
      <w:r w:rsidRPr="006C1E51">
        <w:rPr>
          <w:rFonts w:ascii="Times New Roman" w:hAnsi="Times New Roman" w:cs="Times New Roman"/>
          <w:sz w:val="24"/>
          <w:szCs w:val="24"/>
        </w:rPr>
        <w:lastRenderedPageBreak/>
        <w:t>was not a lack of community commitment or preservation skill—it was the structure of preservation incentives interacting with lending practices that were not designed with Black community organizations in mind.</w:t>
      </w:r>
    </w:p>
    <w:p w14:paraId="00000023" w14:textId="77777777"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Experiences like this made me more attentive to the absence of a clear “on-ramp” for grassroots, African American-led organizations seeking to participate in the preservation and heritage economy. Their work is frequently limited by barriers that originate outside preservation—banking, real estate, zoning, public health, environmental policy—yet shape whether heritage work can even begin.</w:t>
      </w:r>
    </w:p>
    <w:p w14:paraId="00000024" w14:textId="75EC424B" w:rsidR="0006233B" w:rsidRPr="006C1E51" w:rsidRDefault="00C5531F" w:rsidP="00775270">
      <w:pPr>
        <w:spacing w:before="240" w:after="240" w:line="480" w:lineRule="auto"/>
        <w:rPr>
          <w:rFonts w:ascii="Times New Roman" w:hAnsi="Times New Roman" w:cs="Times New Roman"/>
          <w:sz w:val="24"/>
          <w:szCs w:val="24"/>
        </w:rPr>
      </w:pPr>
      <w:r w:rsidRPr="006C1E51">
        <w:rPr>
          <w:rFonts w:ascii="Times New Roman" w:hAnsi="Times New Roman" w:cs="Times New Roman"/>
          <w:sz w:val="24"/>
          <w:szCs w:val="24"/>
        </w:rPr>
        <w:t>T</w:t>
      </w:r>
      <w:r w:rsidR="009E7825" w:rsidRPr="006C1E51">
        <w:rPr>
          <w:rFonts w:ascii="Times New Roman" w:hAnsi="Times New Roman" w:cs="Times New Roman"/>
          <w:sz w:val="24"/>
          <w:szCs w:val="24"/>
        </w:rPr>
        <w:tab/>
      </w:r>
      <w:proofErr w:type="spellStart"/>
      <w:r w:rsidRPr="006C1E51">
        <w:rPr>
          <w:rFonts w:ascii="Times New Roman" w:hAnsi="Times New Roman" w:cs="Times New Roman"/>
          <w:sz w:val="24"/>
          <w:szCs w:val="24"/>
        </w:rPr>
        <w:t>hese</w:t>
      </w:r>
      <w:proofErr w:type="spellEnd"/>
      <w:r w:rsidRPr="006C1E51">
        <w:rPr>
          <w:rFonts w:ascii="Times New Roman" w:hAnsi="Times New Roman" w:cs="Times New Roman"/>
          <w:sz w:val="24"/>
          <w:szCs w:val="24"/>
        </w:rPr>
        <w:t xml:space="preserve"> patterns convinced me that the Eastern Shore is not only an appropriate focus for this thesis, but a necessary one. It is a place where the tensions between storytelling and community survival are especially visible, where heritage</w:t>
      </w:r>
      <w:r w:rsidR="000469BE" w:rsidRPr="006C1E51">
        <w:rPr>
          <w:rFonts w:ascii="Times New Roman" w:hAnsi="Times New Roman" w:cs="Times New Roman"/>
          <w:sz w:val="24"/>
          <w:szCs w:val="24"/>
        </w:rPr>
        <w:t>-specific opportunities</w:t>
      </w:r>
      <w:r w:rsidRPr="006C1E51">
        <w:rPr>
          <w:rFonts w:ascii="Times New Roman" w:hAnsi="Times New Roman" w:cs="Times New Roman"/>
          <w:sz w:val="24"/>
          <w:szCs w:val="24"/>
        </w:rPr>
        <w:t xml:space="preserve"> </w:t>
      </w:r>
      <w:r w:rsidR="000469BE" w:rsidRPr="006C1E51">
        <w:rPr>
          <w:rFonts w:ascii="Times New Roman" w:hAnsi="Times New Roman" w:cs="Times New Roman"/>
          <w:sz w:val="24"/>
          <w:szCs w:val="24"/>
        </w:rPr>
        <w:t>are</w:t>
      </w:r>
      <w:r w:rsidRPr="006C1E51">
        <w:rPr>
          <w:rFonts w:ascii="Times New Roman" w:hAnsi="Times New Roman" w:cs="Times New Roman"/>
          <w:sz w:val="24"/>
          <w:szCs w:val="24"/>
        </w:rPr>
        <w:t xml:space="preserve"> </w:t>
      </w:r>
      <w:r w:rsidR="000469BE" w:rsidRPr="006C1E51">
        <w:rPr>
          <w:rFonts w:ascii="Times New Roman" w:hAnsi="Times New Roman" w:cs="Times New Roman"/>
          <w:sz w:val="24"/>
          <w:szCs w:val="24"/>
        </w:rPr>
        <w:t>abundant,</w:t>
      </w:r>
      <w:r w:rsidRPr="006C1E51">
        <w:rPr>
          <w:rFonts w:ascii="Times New Roman" w:hAnsi="Times New Roman" w:cs="Times New Roman"/>
          <w:sz w:val="24"/>
          <w:szCs w:val="24"/>
        </w:rPr>
        <w:t xml:space="preserve"> but community stability is precarious, and where cooperative solutions feel both culturally resonant and practically needed. My commitment to this region is personal, but the patterns I observe are not unique to it; they mirror similar dynamics across the country. The Eastern Shore is simply where I have learned to see them most clearly.</w:t>
      </w:r>
    </w:p>
    <w:p w14:paraId="00000025" w14:textId="6E373C24"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This context is the grounding for the framework proposed in the following pages. It is the reason I believe that exploring Cooperative Heritage Communities—rooted in shared governance, cooperative economics, and community-defined priorities—may help </w:t>
      </w:r>
      <w:r w:rsidR="004F7384" w:rsidRPr="006C1E51">
        <w:rPr>
          <w:rFonts w:ascii="Times New Roman" w:hAnsi="Times New Roman" w:cs="Times New Roman"/>
          <w:sz w:val="24"/>
          <w:szCs w:val="24"/>
        </w:rPr>
        <w:t>rural Black</w:t>
      </w:r>
      <w:r w:rsidRPr="006C1E51">
        <w:rPr>
          <w:rFonts w:ascii="Times New Roman" w:hAnsi="Times New Roman" w:cs="Times New Roman"/>
          <w:sz w:val="24"/>
          <w:szCs w:val="24"/>
        </w:rPr>
        <w:t xml:space="preserve"> communities better navigate the preservation landscape and reclaim a more equitable share of the heritage economy.</w:t>
      </w:r>
    </w:p>
    <w:p w14:paraId="00000030" w14:textId="77777777" w:rsidR="0006233B" w:rsidRPr="006C1E51" w:rsidRDefault="00C5531F" w:rsidP="00775270">
      <w:pPr>
        <w:pStyle w:val="Heading2"/>
        <w:spacing w:line="480" w:lineRule="auto"/>
        <w:rPr>
          <w:rFonts w:ascii="Times New Roman" w:hAnsi="Times New Roman" w:cs="Times New Roman"/>
        </w:rPr>
      </w:pPr>
      <w:bookmarkStart w:id="13" w:name="_x6braagnc52j" w:colFirst="0" w:colLast="0"/>
      <w:bookmarkStart w:id="14" w:name="_Toc220011077"/>
      <w:bookmarkEnd w:id="13"/>
      <w:r w:rsidRPr="006C1E51">
        <w:rPr>
          <w:rFonts w:ascii="Times New Roman" w:hAnsi="Times New Roman" w:cs="Times New Roman"/>
        </w:rPr>
        <w:lastRenderedPageBreak/>
        <w:t>Structural Inequities in the Black Preservation Landscape</w:t>
      </w:r>
      <w:bookmarkEnd w:id="14"/>
    </w:p>
    <w:p w14:paraId="00000031" w14:textId="3AFEDD71" w:rsidR="0006233B" w:rsidRPr="006C1E51" w:rsidRDefault="004F7384" w:rsidP="009E7825">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Historically Black</w:t>
      </w:r>
      <w:r w:rsidR="00C5531F" w:rsidRPr="006C1E51">
        <w:rPr>
          <w:rFonts w:ascii="Times New Roman" w:hAnsi="Times New Roman" w:cs="Times New Roman"/>
          <w:sz w:val="24"/>
          <w:szCs w:val="24"/>
        </w:rPr>
        <w:t xml:space="preserve"> communities across the Eastern Shore, and in many other regions, face complex and interconnected structural barriers that shape their ability to participate in and benefit from preservation work. These challenges span organizational capacity, access to preservation tools, and the erosion of cooperative infrastructures that historically supported African American communities.</w:t>
      </w:r>
    </w:p>
    <w:p w14:paraId="00000032" w14:textId="4166404E"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Many </w:t>
      </w:r>
      <w:r w:rsidR="00951261" w:rsidRPr="006C1E51">
        <w:rPr>
          <w:rFonts w:ascii="Times New Roman" w:hAnsi="Times New Roman" w:cs="Times New Roman"/>
          <w:sz w:val="24"/>
          <w:szCs w:val="24"/>
        </w:rPr>
        <w:t>rural, Black-led</w:t>
      </w:r>
      <w:r w:rsidRPr="006C1E51">
        <w:rPr>
          <w:rFonts w:ascii="Times New Roman" w:hAnsi="Times New Roman" w:cs="Times New Roman"/>
          <w:sz w:val="24"/>
          <w:szCs w:val="24"/>
        </w:rPr>
        <w:t xml:space="preserve"> organizations operate with limited administrative staff and </w:t>
      </w:r>
      <w:r w:rsidR="004F7384" w:rsidRPr="006C1E51">
        <w:rPr>
          <w:rFonts w:ascii="Times New Roman" w:hAnsi="Times New Roman" w:cs="Times New Roman"/>
          <w:sz w:val="24"/>
          <w:szCs w:val="24"/>
        </w:rPr>
        <w:t>funding yet</w:t>
      </w:r>
      <w:r w:rsidRPr="006C1E51">
        <w:rPr>
          <w:rFonts w:ascii="Times New Roman" w:hAnsi="Times New Roman" w:cs="Times New Roman"/>
          <w:sz w:val="24"/>
          <w:szCs w:val="24"/>
        </w:rPr>
        <w:t xml:space="preserve"> carry a significant share of responsibility for stewarding local heritage. They are expected to navigate rigorous grant requirements, undertake building rehabilitation projects, interpret history, manage facilities, and engage in long-term planning—all while juggling other community responsibilities.</w:t>
      </w:r>
      <w:r w:rsidR="004F7384" w:rsidRPr="006C1E51">
        <w:rPr>
          <w:rStyle w:val="FootnoteReference"/>
          <w:rFonts w:ascii="Times New Roman" w:hAnsi="Times New Roman" w:cs="Times New Roman"/>
          <w:sz w:val="24"/>
          <w:szCs w:val="24"/>
        </w:rPr>
        <w:footnoteReference w:id="19"/>
      </w:r>
      <w:r w:rsidRPr="006C1E51">
        <w:rPr>
          <w:rFonts w:ascii="Times New Roman" w:hAnsi="Times New Roman" w:cs="Times New Roman"/>
          <w:sz w:val="24"/>
          <w:szCs w:val="24"/>
        </w:rPr>
        <w:t xml:space="preserve"> The preservation field often assumes that organizations have the financial reserves, professional expertise, and institutional support needed for these tasks, but this is rarely the case for grassroots groups in economically constrained rural regions</w:t>
      </w:r>
      <w:r w:rsidR="00455B5B" w:rsidRPr="006C1E51">
        <w:rPr>
          <w:rFonts w:ascii="Times New Roman" w:hAnsi="Times New Roman" w:cs="Times New Roman"/>
          <w:sz w:val="24"/>
          <w:szCs w:val="24"/>
        </w:rPr>
        <w:t xml:space="preserve"> who are often cha</w:t>
      </w:r>
      <w:r w:rsidR="00DA4DD5" w:rsidRPr="006C1E51">
        <w:rPr>
          <w:rFonts w:ascii="Times New Roman" w:hAnsi="Times New Roman" w:cs="Times New Roman"/>
          <w:sz w:val="24"/>
          <w:szCs w:val="24"/>
        </w:rPr>
        <w:t>ra</w:t>
      </w:r>
      <w:r w:rsidR="00455B5B" w:rsidRPr="006C1E51">
        <w:rPr>
          <w:rFonts w:ascii="Times New Roman" w:hAnsi="Times New Roman" w:cs="Times New Roman"/>
          <w:sz w:val="24"/>
          <w:szCs w:val="24"/>
        </w:rPr>
        <w:t>cterized as “lacking capacity”</w:t>
      </w:r>
      <w:r w:rsidRPr="006C1E51">
        <w:rPr>
          <w:rFonts w:ascii="Times New Roman" w:hAnsi="Times New Roman" w:cs="Times New Roman"/>
          <w:sz w:val="24"/>
          <w:szCs w:val="24"/>
        </w:rPr>
        <w:t>.</w:t>
      </w:r>
    </w:p>
    <w:p w14:paraId="00000033" w14:textId="7EA2025A"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Access to preservation tools is also limited. Incentives such as tax credits assume clear property title, upfront capital, creditworthiness, and stable organizational structures.</w:t>
      </w:r>
      <w:r w:rsidR="005F5F28" w:rsidRPr="006C1E51">
        <w:rPr>
          <w:rStyle w:val="FootnoteReference"/>
          <w:rFonts w:ascii="Times New Roman" w:hAnsi="Times New Roman" w:cs="Times New Roman"/>
          <w:sz w:val="24"/>
          <w:szCs w:val="24"/>
        </w:rPr>
        <w:footnoteReference w:id="20"/>
      </w:r>
      <w:r w:rsidRPr="006C1E51">
        <w:rPr>
          <w:rFonts w:ascii="Times New Roman" w:hAnsi="Times New Roman" w:cs="Times New Roman"/>
          <w:sz w:val="24"/>
          <w:szCs w:val="24"/>
        </w:rPr>
        <w:t xml:space="preserve"> These assumptions do not reflect the realities of heirs’ property, intergenerational landholding, or vernacular architecture common in African American rural communities.</w:t>
      </w:r>
      <w:r w:rsidR="005F5F28" w:rsidRPr="006C1E51">
        <w:rPr>
          <w:rStyle w:val="FootnoteReference"/>
          <w:rFonts w:ascii="Times New Roman" w:hAnsi="Times New Roman" w:cs="Times New Roman"/>
          <w:sz w:val="24"/>
          <w:szCs w:val="24"/>
        </w:rPr>
        <w:footnoteReference w:id="21"/>
      </w:r>
      <w:r w:rsidRPr="006C1E51">
        <w:rPr>
          <w:rFonts w:ascii="Times New Roman" w:hAnsi="Times New Roman" w:cs="Times New Roman"/>
          <w:sz w:val="24"/>
          <w:szCs w:val="24"/>
        </w:rPr>
        <w:t xml:space="preserve"> Even when </w:t>
      </w:r>
      <w:r w:rsidRPr="006C1E51">
        <w:rPr>
          <w:rFonts w:ascii="Times New Roman" w:hAnsi="Times New Roman" w:cs="Times New Roman"/>
          <w:sz w:val="24"/>
          <w:szCs w:val="24"/>
        </w:rPr>
        <w:lastRenderedPageBreak/>
        <w:t>organizations are eligible, the benefits of preservation incentives and heritage tourism often flow away from the communities whose histories make these programs viable.</w:t>
      </w:r>
      <w:r w:rsidR="005F5F28" w:rsidRPr="006C1E51">
        <w:rPr>
          <w:rStyle w:val="FootnoteReference"/>
          <w:rFonts w:ascii="Times New Roman" w:hAnsi="Times New Roman" w:cs="Times New Roman"/>
          <w:sz w:val="24"/>
          <w:szCs w:val="24"/>
        </w:rPr>
        <w:footnoteReference w:id="22"/>
      </w:r>
    </w:p>
    <w:p w14:paraId="00000034" w14:textId="4BE3D3D4"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Perhaps most importantly, the erosion of cooperative structures—benevolent societies, shared labor, rotating credit associations, fraternal organizations—has weakened the social fabric that once enabled Black communities to sustain themselves despite exclusion from formal systems.</w:t>
      </w:r>
      <w:r w:rsidR="00010B03" w:rsidRPr="006C1E51">
        <w:rPr>
          <w:rStyle w:val="FootnoteReference"/>
          <w:rFonts w:ascii="Times New Roman" w:hAnsi="Times New Roman" w:cs="Times New Roman"/>
          <w:sz w:val="24"/>
          <w:szCs w:val="24"/>
        </w:rPr>
        <w:footnoteReference w:id="23"/>
      </w:r>
      <w:r w:rsidRPr="006C1E51">
        <w:rPr>
          <w:rFonts w:ascii="Times New Roman" w:hAnsi="Times New Roman" w:cs="Times New Roman"/>
          <w:sz w:val="24"/>
          <w:szCs w:val="24"/>
        </w:rPr>
        <w:t xml:space="preserve"> Their absence today compounds the challenges that preservation alone cannot solve.</w:t>
      </w:r>
    </w:p>
    <w:p w14:paraId="00000035" w14:textId="77777777" w:rsidR="0006233B" w:rsidRPr="006C1E51" w:rsidRDefault="00C5531F" w:rsidP="00775270">
      <w:pPr>
        <w:pStyle w:val="Heading2"/>
        <w:spacing w:line="480" w:lineRule="auto"/>
        <w:rPr>
          <w:rFonts w:ascii="Times New Roman" w:hAnsi="Times New Roman" w:cs="Times New Roman"/>
        </w:rPr>
      </w:pPr>
      <w:bookmarkStart w:id="15" w:name="_84u3pbu571fs" w:colFirst="0" w:colLast="0"/>
      <w:bookmarkStart w:id="16" w:name="_Toc220011078"/>
      <w:bookmarkEnd w:id="15"/>
      <w:r w:rsidRPr="006C1E51">
        <w:rPr>
          <w:rFonts w:ascii="Times New Roman" w:hAnsi="Times New Roman" w:cs="Times New Roman"/>
        </w:rPr>
        <w:t>Principles for Cooperative Heritage Communities</w:t>
      </w:r>
      <w:bookmarkEnd w:id="16"/>
    </w:p>
    <w:p w14:paraId="00000036" w14:textId="1DC49B0B" w:rsidR="0006233B" w:rsidRPr="006C1E51" w:rsidRDefault="00C5531F" w:rsidP="009E7825">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This thesis argues that Cooperative Heritage Communities (CHCs) offer a promising framework for addressing the structural inequities that shape African American heritage work, particularly in rural descendant communities such as those on Maryland’s Eastern Shore. CHCs are grounded in six principles that have long defined African American community life and cooperative survival strategies: shared experiences, collective ownership, democratic governance, community resource building, communication and continuity, and shared language and trust.</w:t>
      </w:r>
      <w:r w:rsidR="00AF5336" w:rsidRPr="006C1E51">
        <w:rPr>
          <w:rStyle w:val="FootnoteReference"/>
          <w:rFonts w:ascii="Times New Roman" w:hAnsi="Times New Roman" w:cs="Times New Roman"/>
          <w:sz w:val="24"/>
          <w:szCs w:val="24"/>
        </w:rPr>
        <w:footnoteReference w:id="24"/>
      </w:r>
      <w:r w:rsidRPr="006C1E51">
        <w:rPr>
          <w:rFonts w:ascii="Times New Roman" w:hAnsi="Times New Roman" w:cs="Times New Roman"/>
          <w:sz w:val="24"/>
          <w:szCs w:val="24"/>
        </w:rPr>
        <w:t xml:space="preserve"> These principles are not theoretical additions to preservation; they are cultural practices that have sustained communities for generations and continue to hold relevance for how African American heritage might be stewarded today.</w:t>
      </w:r>
    </w:p>
    <w:p w14:paraId="00000037" w14:textId="77777777"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Shared experiences recognize that communities understand heritage through lived memory, daily practice, and intergenerational knowledge. Collective ownership acknowledges that stewardship is often communal, even when legal structures fail to capture this reality. Democratic governance emphasizes participatory decision-making that reflects community voice rather than institutional hierarchy. Community resource building reflects the longstanding traditions of mutual aid, shared labor, and cooperative problem-solving that have historically allowed African American communities to navigate systemic exclusion. Communication and continuity speak to the importance of maintaining relationships, shared understanding, and intergenerational bonds as communities face changing circumstances. Finally, shared language and trust emphasize the vocabulary, relational practices, and cultural grounding required to sustain meaningful collaboration over time.</w:t>
      </w:r>
    </w:p>
    <w:p w14:paraId="00000038" w14:textId="77777777"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Together, these six principles offer a way of doing preservation that centers people rather than institutions, collective benefit rather than extractive interpretation, and community well-being rather than architectural outcomes alone. CHCs do not replace existing preservation tools; instead, they provide communities with a structure to adapt those tools to local priorities and realities. This thesis advances the CHC framework as one possible model for aligning preservation practice with the social, cultural, and material conditions that allow African American communities to remain rooted in place.</w:t>
      </w:r>
    </w:p>
    <w:p w14:paraId="00000039" w14:textId="77777777" w:rsidR="0006233B" w:rsidRPr="006C1E51" w:rsidRDefault="00C5531F" w:rsidP="00775270">
      <w:pPr>
        <w:pStyle w:val="Heading2"/>
        <w:spacing w:line="480" w:lineRule="auto"/>
        <w:rPr>
          <w:rFonts w:ascii="Times New Roman" w:hAnsi="Times New Roman" w:cs="Times New Roman"/>
        </w:rPr>
      </w:pPr>
      <w:bookmarkStart w:id="17" w:name="_u3z3mpxwm3xr" w:colFirst="0" w:colLast="0"/>
      <w:bookmarkStart w:id="18" w:name="_Toc220011079"/>
      <w:bookmarkEnd w:id="17"/>
      <w:r w:rsidRPr="006C1E51">
        <w:rPr>
          <w:rFonts w:ascii="Times New Roman" w:hAnsi="Times New Roman" w:cs="Times New Roman"/>
        </w:rPr>
        <w:t>Theoretical Foundations and Analytical Approach</w:t>
      </w:r>
      <w:bookmarkEnd w:id="18"/>
    </w:p>
    <w:p w14:paraId="0000003A" w14:textId="7F7FD43B" w:rsidR="0006233B" w:rsidRPr="006C1E51" w:rsidRDefault="00C5531F" w:rsidP="009E7825">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CHC framework draws from several bodies of scholarship that, together, help explain both the need for and the potential of cooperative heritage practice. Cooperative economics is foundational. Scholars such as Jessica Gordon Nembhard and Monica White have </w:t>
      </w:r>
      <w:r w:rsidRPr="006C1E51">
        <w:rPr>
          <w:rFonts w:ascii="Times New Roman" w:hAnsi="Times New Roman" w:cs="Times New Roman"/>
          <w:sz w:val="24"/>
          <w:szCs w:val="24"/>
        </w:rPr>
        <w:lastRenderedPageBreak/>
        <w:t>demonstrated that African American communities have long relied on mutual aid societies, fraternal organizations, cooperative ownership, and shared labor systems to navigate exclusion from mainstream economic structures.</w:t>
      </w:r>
      <w:r w:rsidRPr="006C1E51">
        <w:rPr>
          <w:rStyle w:val="FootnoteReference"/>
          <w:rFonts w:ascii="Times New Roman" w:hAnsi="Times New Roman" w:cs="Times New Roman"/>
          <w:sz w:val="24"/>
          <w:szCs w:val="24"/>
        </w:rPr>
        <w:footnoteReference w:id="25"/>
      </w:r>
      <w:r w:rsidRPr="006C1E51">
        <w:rPr>
          <w:rFonts w:ascii="Times New Roman" w:hAnsi="Times New Roman" w:cs="Times New Roman"/>
          <w:sz w:val="24"/>
          <w:szCs w:val="24"/>
        </w:rPr>
        <w:t xml:space="preserve"> These traditions offer practical grounding for CHC principles such as collective ownership, community resource building, and democratic governance.</w:t>
      </w:r>
    </w:p>
    <w:p w14:paraId="0055AD67" w14:textId="6A2EB1D7" w:rsidR="00E41BA2"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concept of </w:t>
      </w:r>
      <w:r w:rsidRPr="006C1E51">
        <w:rPr>
          <w:rFonts w:ascii="Times New Roman" w:hAnsi="Times New Roman" w:cs="Times New Roman"/>
          <w:i/>
          <w:iCs/>
          <w:sz w:val="24"/>
          <w:szCs w:val="24"/>
        </w:rPr>
        <w:t>Heritage Communities of Practice</w:t>
      </w:r>
      <w:r w:rsidRPr="006C1E51">
        <w:rPr>
          <w:rFonts w:ascii="Times New Roman" w:hAnsi="Times New Roman" w:cs="Times New Roman"/>
          <w:sz w:val="24"/>
          <w:szCs w:val="24"/>
        </w:rPr>
        <w:t xml:space="preserve"> </w:t>
      </w:r>
      <w:r w:rsidR="00E41BA2" w:rsidRPr="006C1E51">
        <w:rPr>
          <w:rFonts w:ascii="Times New Roman" w:hAnsi="Times New Roman" w:cs="Times New Roman"/>
          <w:sz w:val="24"/>
          <w:szCs w:val="24"/>
        </w:rPr>
        <w:t>(HCoP) contributes</w:t>
      </w:r>
      <w:r w:rsidRPr="006C1E51">
        <w:rPr>
          <w:rFonts w:ascii="Times New Roman" w:hAnsi="Times New Roman" w:cs="Times New Roman"/>
          <w:sz w:val="24"/>
          <w:szCs w:val="24"/>
        </w:rPr>
        <w:t xml:space="preserve"> another layer of insight.</w:t>
      </w:r>
      <w:r w:rsidR="00E41BA2" w:rsidRPr="006C1E51">
        <w:rPr>
          <w:rStyle w:val="FootnoteReference"/>
          <w:rFonts w:ascii="Times New Roman" w:hAnsi="Times New Roman" w:cs="Times New Roman"/>
          <w:sz w:val="24"/>
          <w:szCs w:val="24"/>
        </w:rPr>
        <w:footnoteReference w:id="26"/>
      </w:r>
      <w:r w:rsidRPr="006C1E51">
        <w:rPr>
          <w:rFonts w:ascii="Times New Roman" w:hAnsi="Times New Roman" w:cs="Times New Roman"/>
          <w:sz w:val="24"/>
          <w:szCs w:val="24"/>
        </w:rPr>
        <w:t xml:space="preserve"> The idea that communities build shared meaning, shared skill, and shared purpose through ongoing engagement helps illuminate how shared experiences, communication and continuity, and shared language and trust function as essential components of heritage stewardship. </w:t>
      </w:r>
      <w:r w:rsidR="00E41BA2" w:rsidRPr="006C1E51">
        <w:rPr>
          <w:rFonts w:ascii="Times New Roman" w:hAnsi="Times New Roman" w:cs="Times New Roman"/>
          <w:sz w:val="24"/>
          <w:szCs w:val="24"/>
        </w:rPr>
        <w:t>Betsy Bradley explores how Community of Practice principles—shared enterprise, mutual engagement, and joint repertoires—can inform more democratic forms of heritage work. She emphasizes minimizing hierarchies, using accessible language, and co-producing knowledge.</w:t>
      </w:r>
      <w:r w:rsidR="00E41BA2" w:rsidRPr="006C1E51">
        <w:rPr>
          <w:rStyle w:val="FootnoteReference"/>
          <w:rFonts w:ascii="Times New Roman" w:hAnsi="Times New Roman" w:cs="Times New Roman"/>
          <w:sz w:val="24"/>
          <w:szCs w:val="24"/>
        </w:rPr>
        <w:footnoteReference w:id="27"/>
      </w:r>
      <w:r w:rsidR="00E41BA2" w:rsidRPr="006C1E51">
        <w:rPr>
          <w:rFonts w:ascii="Times New Roman" w:hAnsi="Times New Roman" w:cs="Times New Roman"/>
          <w:sz w:val="24"/>
          <w:szCs w:val="24"/>
        </w:rPr>
        <w:t xml:space="preserve"> Jacky Shin explores how HCoPs can make preservation more inclusive by staying respectful to the needs of underrepresented communities—including the right to privacy.</w:t>
      </w:r>
      <w:r w:rsidR="00E41BA2" w:rsidRPr="006C1E51">
        <w:rPr>
          <w:rStyle w:val="FootnoteReference"/>
          <w:rFonts w:ascii="Times New Roman" w:hAnsi="Times New Roman" w:cs="Times New Roman"/>
          <w:sz w:val="24"/>
          <w:szCs w:val="24"/>
        </w:rPr>
        <w:footnoteReference w:id="28"/>
      </w:r>
      <w:r w:rsidR="00E41BA2" w:rsidRPr="006C1E51">
        <w:rPr>
          <w:rFonts w:ascii="Times New Roman" w:hAnsi="Times New Roman" w:cs="Times New Roman"/>
          <w:sz w:val="24"/>
          <w:szCs w:val="24"/>
        </w:rPr>
        <w:t xml:space="preserve"> Furthermore, Shin proposes that HCoPs support shared interests, prioritize accessibility, and minimize hierarchies in knowledge production.</w:t>
      </w:r>
    </w:p>
    <w:p w14:paraId="0000003B" w14:textId="66071871" w:rsidR="0006233B" w:rsidRPr="006C1E51" w:rsidRDefault="00E41BA2"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 xml:space="preserve">Like Bradley and Shin, I extend Community of Practice theory into heritage work by incorporating cooperative economic thought. My approach emphasizes not just shared narratives but shared ownership, shared investment, and shared returns in heritage work. CHCs, as HCoPs grounded in cooperative economics, aim to increase access, participation, and tangible benefits for rural Black communities. </w:t>
      </w:r>
      <w:r w:rsidR="00C5531F" w:rsidRPr="006C1E51">
        <w:rPr>
          <w:rFonts w:ascii="Times New Roman" w:hAnsi="Times New Roman" w:cs="Times New Roman"/>
          <w:sz w:val="24"/>
          <w:szCs w:val="24"/>
        </w:rPr>
        <w:t xml:space="preserve">These ideas reinforce that </w:t>
      </w:r>
      <w:r w:rsidRPr="006C1E51">
        <w:rPr>
          <w:rFonts w:ascii="Times New Roman" w:hAnsi="Times New Roman" w:cs="Times New Roman"/>
          <w:sz w:val="24"/>
          <w:szCs w:val="24"/>
        </w:rPr>
        <w:t>grassroots, community</w:t>
      </w:r>
      <w:r w:rsidR="00C5531F" w:rsidRPr="006C1E51">
        <w:rPr>
          <w:rFonts w:ascii="Times New Roman" w:hAnsi="Times New Roman" w:cs="Times New Roman"/>
          <w:sz w:val="24"/>
          <w:szCs w:val="24"/>
        </w:rPr>
        <w:t xml:space="preserve"> knowledge is tied not only to what is preserved but also to how communities learn from one another and sustain relationships over time.</w:t>
      </w:r>
    </w:p>
    <w:p w14:paraId="0000003C" w14:textId="135A1AE5"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 third foundation comes from scholarship on spatial imaginaries. George Lipsitz’s work on racialized spatial imaginaries explains how different communities assign value to land, space, and belonging. Preservation systems often reflect the priorities of the white spatial imaginary—prioritizing privatized ownership, architectural aesthetics, and market-based value. The CHC framework, by contrast, aligns more closely with the Black spatial imaginary, emphasizing social belonging, use-value, community benefit, and shared stewardship.</w:t>
      </w:r>
      <w:r w:rsidR="00E41BA2" w:rsidRPr="006C1E51">
        <w:rPr>
          <w:rStyle w:val="FootnoteReference"/>
          <w:rFonts w:ascii="Times New Roman" w:hAnsi="Times New Roman" w:cs="Times New Roman"/>
          <w:sz w:val="24"/>
          <w:szCs w:val="24"/>
        </w:rPr>
        <w:footnoteReference w:id="29"/>
      </w:r>
      <w:r w:rsidRPr="006C1E51">
        <w:rPr>
          <w:rFonts w:ascii="Times New Roman" w:hAnsi="Times New Roman" w:cs="Times New Roman"/>
          <w:sz w:val="24"/>
          <w:szCs w:val="24"/>
        </w:rPr>
        <w:t xml:space="preserve"> </w:t>
      </w:r>
      <w:r w:rsidR="00E41BA2" w:rsidRPr="006C1E51">
        <w:rPr>
          <w:rFonts w:ascii="Times New Roman" w:hAnsi="Times New Roman" w:cs="Times New Roman"/>
          <w:sz w:val="24"/>
          <w:szCs w:val="24"/>
        </w:rPr>
        <w:t xml:space="preserve">My framework is grounded not only in cooperative practice, but in a different way of seeing land, place, and value. Much of historic preservation continues to operate within a spatial logic that treats heritage as a bounded asset—something to be owned, improved, and leveraged for market return. The communities I write about, and the ones that raised me, have long understood place differently. Their relationship to land has been shaped by shared use, social belonging, collective memory, and </w:t>
      </w:r>
      <w:r w:rsidR="00E41BA2" w:rsidRPr="006C1E51">
        <w:rPr>
          <w:rFonts w:ascii="Times New Roman" w:hAnsi="Times New Roman" w:cs="Times New Roman"/>
          <w:sz w:val="24"/>
          <w:szCs w:val="24"/>
        </w:rPr>
        <w:lastRenderedPageBreak/>
        <w:t>responsibility to one another rather than by exclusivity or individual gain. The CHC framework grows out of this alternative spatial imagination.</w:t>
      </w:r>
    </w:p>
    <w:p w14:paraId="0000003D" w14:textId="2F9C9296"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Cultural landscape theory adds another important dimension. Approaches that address matterscape, mindscape, and powerscape—without relying on those terms explicitly—demonstrate how the physical environment, belief systems, and structures of authority shape the meaning of place.</w:t>
      </w:r>
      <w:r w:rsidR="00E41BA2" w:rsidRPr="006C1E51">
        <w:rPr>
          <w:rStyle w:val="FootnoteReference"/>
          <w:rFonts w:ascii="Times New Roman" w:hAnsi="Times New Roman" w:cs="Times New Roman"/>
          <w:sz w:val="24"/>
          <w:szCs w:val="24"/>
        </w:rPr>
        <w:footnoteReference w:id="30"/>
      </w:r>
      <w:r w:rsidRPr="006C1E51">
        <w:rPr>
          <w:rFonts w:ascii="Times New Roman" w:hAnsi="Times New Roman" w:cs="Times New Roman"/>
          <w:sz w:val="24"/>
          <w:szCs w:val="24"/>
        </w:rPr>
        <w:t xml:space="preserve"> In rural African American contexts, heritage significance often lies in kinship networks, vernacular landscapes, communal traditions, and everyday practices that do not always fit conventional preservation categories. This theoretical lens affirms the importance of shared experiences and the need for community-defined significance within the CHC model.</w:t>
      </w:r>
    </w:p>
    <w:p w14:paraId="0000003E" w14:textId="77777777" w:rsidR="0006233B"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Finally, Critical Heritage Studies and heritage justice scholarship highlight the ways preservation systems often reproduce inequities by privileging institutional authority, expert-driven criteria, and architectural forms rooted in Euro-American traditions. Heritage justice calls for frameworks that redistribute authority, benefit, and interpretive power to the communities whose histories are at stake. The CHC model responds directly to this call by centering democratic governance, collective decision-making, and community-defined heritage values.</w:t>
      </w:r>
    </w:p>
    <w:p w14:paraId="1216D78E" w14:textId="115826B4" w:rsidR="00E41BA2" w:rsidRPr="006C1E51" w:rsidRDefault="00C5531F"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Methodologically, this thesis employs three analytical approaches to develop and apply the CHC framework: a landscape-level PESTLE analysis of the preservation economy and its structural pressures; case studies that illustrate cooperative practices already in use within African American heritage contexts; and a scenario-building exercise using Kent County, Maryland to model how CHCs might function in practice. Together, these theoretical and </w:t>
      </w:r>
      <w:r w:rsidRPr="006C1E51">
        <w:rPr>
          <w:rFonts w:ascii="Times New Roman" w:hAnsi="Times New Roman" w:cs="Times New Roman"/>
          <w:sz w:val="24"/>
          <w:szCs w:val="24"/>
        </w:rPr>
        <w:lastRenderedPageBreak/>
        <w:t>methodological foundations demonstrate the potential of CHCs to offer a more equitable, community-centered approach to heritage preservation.</w:t>
      </w:r>
    </w:p>
    <w:p w14:paraId="00000040" w14:textId="77777777" w:rsidR="0006233B" w:rsidRPr="006C1E51" w:rsidRDefault="00C5531F" w:rsidP="00775270">
      <w:pPr>
        <w:pStyle w:val="Heading2"/>
        <w:spacing w:line="480" w:lineRule="auto"/>
        <w:rPr>
          <w:rFonts w:ascii="Times New Roman" w:hAnsi="Times New Roman" w:cs="Times New Roman"/>
        </w:rPr>
      </w:pPr>
      <w:bookmarkStart w:id="19" w:name="_5cdoqp2h5qcf" w:colFirst="0" w:colLast="0"/>
      <w:bookmarkStart w:id="20" w:name="_Toc220011080"/>
      <w:bookmarkEnd w:id="19"/>
      <w:r w:rsidRPr="006C1E51">
        <w:rPr>
          <w:rFonts w:ascii="Times New Roman" w:hAnsi="Times New Roman" w:cs="Times New Roman"/>
        </w:rPr>
        <w:t>Bringing the Pieces Together</w:t>
      </w:r>
      <w:bookmarkEnd w:id="20"/>
    </w:p>
    <w:p w14:paraId="00000041" w14:textId="5A9D6AF1" w:rsidR="0006233B" w:rsidRPr="006C1E51" w:rsidRDefault="00C5531F" w:rsidP="009E7825">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ideas in this </w:t>
      </w:r>
      <w:r w:rsidR="0054386D" w:rsidRPr="006C1E51">
        <w:rPr>
          <w:rFonts w:ascii="Times New Roman" w:hAnsi="Times New Roman" w:cs="Times New Roman"/>
          <w:sz w:val="24"/>
          <w:szCs w:val="24"/>
        </w:rPr>
        <w:t>study</w:t>
      </w:r>
      <w:r w:rsidRPr="006C1E51">
        <w:rPr>
          <w:rFonts w:ascii="Times New Roman" w:hAnsi="Times New Roman" w:cs="Times New Roman"/>
          <w:sz w:val="24"/>
          <w:szCs w:val="24"/>
        </w:rPr>
        <w:t xml:space="preserve"> grow out of the place that shaped me and the patterns I have witnessed in my own work. They reflect a growing recognition that the stories we preserve and the structures we protect cannot be separated from the lives of the people who make those stories possible. On the Eastern Shore, and in many communities like it, heritage work often unfolds alongside population decline, land loss, shrinking institutions, and inequitable access to the very tools meant to preserve cultural resources. These conditions demand an approach to preservation that is responsive to lived experience, grounded in cooperation, and capable of supporting community well-being.</w:t>
      </w:r>
    </w:p>
    <w:p w14:paraId="00000042" w14:textId="600DE604" w:rsidR="0006233B" w:rsidRPr="006C1E51" w:rsidRDefault="00C5531F" w:rsidP="009E7825">
      <w:pPr>
        <w:spacing w:before="240" w:after="240" w:line="480" w:lineRule="auto"/>
        <w:ind w:firstLine="720"/>
        <w:rPr>
          <w:rFonts w:ascii="Times New Roman" w:hAnsi="Times New Roman" w:cs="Times New Roman"/>
          <w:sz w:val="28"/>
          <w:szCs w:val="28"/>
        </w:rPr>
      </w:pPr>
      <w:r w:rsidRPr="006C1E51">
        <w:rPr>
          <w:rFonts w:ascii="Times New Roman" w:hAnsi="Times New Roman" w:cs="Times New Roman"/>
          <w:sz w:val="24"/>
          <w:szCs w:val="24"/>
        </w:rPr>
        <w:t>The Cooperative Heritage Community framework is my attempt to articulate such an approach. It does not replace the preservation tools we have, nor does it claim to resolve every inequity built into our systems. Instead, it offers a way for communities to think differently about their role in heritage work and to draw from traditions of cooperation that have long existed in African American life. By centering shared experiences, collective ownership, democratic governance, community resource building, communication and continuity, and shared language and trust, CHCs encourage preservation practice that aligns more closely with the realities</w:t>
      </w:r>
      <w:r w:rsidR="00B62E4A" w:rsidRPr="006C1E51">
        <w:rPr>
          <w:rFonts w:ascii="Times New Roman" w:hAnsi="Times New Roman" w:cs="Times New Roman"/>
          <w:sz w:val="24"/>
          <w:szCs w:val="24"/>
        </w:rPr>
        <w:t xml:space="preserve"> </w:t>
      </w:r>
      <w:r w:rsidRPr="006C1E51">
        <w:rPr>
          <w:rFonts w:ascii="Times New Roman" w:hAnsi="Times New Roman" w:cs="Times New Roman"/>
          <w:sz w:val="24"/>
          <w:szCs w:val="24"/>
        </w:rPr>
        <w:t>and possibilities</w:t>
      </w:r>
      <w:r w:rsidR="00B62E4A" w:rsidRPr="006C1E51">
        <w:rPr>
          <w:rFonts w:ascii="Times New Roman" w:hAnsi="Times New Roman" w:cs="Times New Roman"/>
          <w:sz w:val="24"/>
          <w:szCs w:val="24"/>
        </w:rPr>
        <w:t xml:space="preserve"> </w:t>
      </w:r>
      <w:r w:rsidRPr="006C1E51">
        <w:rPr>
          <w:rFonts w:ascii="Times New Roman" w:hAnsi="Times New Roman" w:cs="Times New Roman"/>
          <w:sz w:val="24"/>
          <w:szCs w:val="24"/>
        </w:rPr>
        <w:t xml:space="preserve">of </w:t>
      </w:r>
      <w:r w:rsidR="00951261" w:rsidRPr="006C1E51">
        <w:rPr>
          <w:rFonts w:ascii="Times New Roman" w:hAnsi="Times New Roman" w:cs="Times New Roman"/>
          <w:sz w:val="24"/>
          <w:szCs w:val="24"/>
        </w:rPr>
        <w:t>lived-in, rural Black</w:t>
      </w:r>
      <w:r w:rsidRPr="006C1E51">
        <w:rPr>
          <w:rFonts w:ascii="Times New Roman" w:hAnsi="Times New Roman" w:cs="Times New Roman"/>
          <w:sz w:val="24"/>
          <w:szCs w:val="24"/>
        </w:rPr>
        <w:t xml:space="preserve"> communities.</w:t>
      </w:r>
      <w:r w:rsidR="00951261" w:rsidRPr="006C1E51">
        <w:rPr>
          <w:rStyle w:val="FootnoteReference"/>
          <w:rFonts w:ascii="Times New Roman" w:hAnsi="Times New Roman" w:cs="Times New Roman"/>
          <w:sz w:val="24"/>
          <w:szCs w:val="24"/>
        </w:rPr>
        <w:footnoteReference w:id="31"/>
      </w:r>
      <w:r w:rsidR="00045AE1" w:rsidRPr="006C1E51">
        <w:rPr>
          <w:rFonts w:ascii="Times New Roman" w:hAnsi="Times New Roman" w:cs="Times New Roman"/>
          <w:sz w:val="24"/>
          <w:szCs w:val="24"/>
        </w:rPr>
        <w:t xml:space="preserve"> </w:t>
      </w:r>
      <w:r w:rsidR="00045AE1" w:rsidRPr="006C1E51">
        <w:rPr>
          <w:rFonts w:ascii="Times New Roman" w:hAnsi="Times New Roman" w:cs="Times New Roman"/>
          <w:sz w:val="24"/>
          <w:szCs w:val="24"/>
          <w:lang w:val="en-US"/>
        </w:rPr>
        <w:t xml:space="preserve">In other words, we cannot expect these places to be frozen in time. </w:t>
      </w:r>
      <w:r w:rsidR="00045AE1" w:rsidRPr="006C1E51">
        <w:rPr>
          <w:rFonts w:ascii="Times New Roman" w:hAnsi="Times New Roman" w:cs="Times New Roman"/>
          <w:color w:val="000000"/>
          <w:sz w:val="24"/>
          <w:szCs w:val="24"/>
        </w:rPr>
        <w:t xml:space="preserve">The idea of “living” or “lived-in” communities joins conversations of </w:t>
      </w:r>
      <w:r w:rsidR="00045AE1" w:rsidRPr="006C1E51">
        <w:rPr>
          <w:rFonts w:ascii="Times New Roman" w:hAnsi="Times New Roman" w:cs="Times New Roman"/>
          <w:color w:val="000000"/>
          <w:sz w:val="24"/>
          <w:szCs w:val="24"/>
        </w:rPr>
        <w:lastRenderedPageBreak/>
        <w:t>cultural landscape study to offer an alternative to the traditional curatorial practice by emphasizing a more inclusive, community-driven approach. It shifts the focus from expert-driven evaluations to recognizing and valuing the experiences and perspectives of local communities through the ways they occupy places​. Furthermore, it moves historic preservation towards a more inclusive, community-centered approach and expands the discussion by integrating concepts of heritage wellbeing, dynamic landscapes, and acceptable change, thus offering a holistic and adaptive framework for managing heritage places.</w:t>
      </w:r>
    </w:p>
    <w:p w14:paraId="5279A8A2" w14:textId="784B5520" w:rsidR="0054386D" w:rsidRPr="006C1E51" w:rsidRDefault="0054386D" w:rsidP="009E7825">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chapters that follow build on this foundation by demonstrating how the Cooperative Heritage Community (CHC) framework operates across both inter-community and intra-community contexts. By inter-community, I refer to cooperative work that connects multiple organizations, sites, or communities—often across geography, governance structures, or institutional boundaries—to share resources, authority, and strategy. By intra-community, I mean the application of cooperative principles within a single place, where shared experience, shared language, and shared governance are cultivated among residents, descendants, and local institutions. </w:t>
      </w:r>
    </w:p>
    <w:tbl>
      <w:tblPr>
        <w:tblW w:w="0" w:type="auto"/>
        <w:tblCellSpacing w:w="1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5" w:type="dxa"/>
          <w:left w:w="15" w:type="dxa"/>
          <w:bottom w:w="15" w:type="dxa"/>
          <w:right w:w="15" w:type="dxa"/>
        </w:tblCellMar>
        <w:tblLook w:val="04A0" w:firstRow="1" w:lastRow="0" w:firstColumn="1" w:lastColumn="0" w:noHBand="0" w:noVBand="1"/>
      </w:tblPr>
      <w:tblGrid>
        <w:gridCol w:w="1960"/>
        <w:gridCol w:w="3839"/>
        <w:gridCol w:w="3551"/>
      </w:tblGrid>
      <w:tr w:rsidR="0054386D" w:rsidRPr="006C1E51" w14:paraId="01057FC9" w14:textId="77777777" w:rsidTr="00045AE1">
        <w:trPr>
          <w:tblHeader/>
          <w:tblCellSpacing w:w="15" w:type="dxa"/>
        </w:trPr>
        <w:tc>
          <w:tcPr>
            <w:tcW w:w="0" w:type="auto"/>
            <w:vAlign w:val="center"/>
            <w:hideMark/>
          </w:tcPr>
          <w:p w14:paraId="013ECED1" w14:textId="77777777" w:rsidR="0054386D" w:rsidRPr="006C1E51" w:rsidRDefault="0054386D" w:rsidP="00775270">
            <w:pPr>
              <w:spacing w:line="480" w:lineRule="auto"/>
              <w:jc w:val="center"/>
              <w:rPr>
                <w:rFonts w:ascii="Times New Roman" w:eastAsia="Times New Roman" w:hAnsi="Times New Roman" w:cs="Times New Roman"/>
                <w:b/>
                <w:bCs/>
                <w:sz w:val="24"/>
                <w:szCs w:val="24"/>
                <w:lang w:val="en-US"/>
              </w:rPr>
            </w:pPr>
            <w:r w:rsidRPr="006C1E51">
              <w:rPr>
                <w:rFonts w:ascii="Times New Roman" w:eastAsia="Times New Roman" w:hAnsi="Times New Roman" w:cs="Times New Roman"/>
                <w:b/>
                <w:bCs/>
                <w:sz w:val="24"/>
                <w:szCs w:val="24"/>
                <w:lang w:val="en-US"/>
              </w:rPr>
              <w:t>Dimension</w:t>
            </w:r>
          </w:p>
        </w:tc>
        <w:tc>
          <w:tcPr>
            <w:tcW w:w="0" w:type="auto"/>
            <w:vAlign w:val="center"/>
            <w:hideMark/>
          </w:tcPr>
          <w:p w14:paraId="6190E42B" w14:textId="77777777" w:rsidR="0054386D" w:rsidRPr="006C1E51" w:rsidRDefault="0054386D" w:rsidP="00775270">
            <w:pPr>
              <w:spacing w:line="480" w:lineRule="auto"/>
              <w:jc w:val="center"/>
              <w:rPr>
                <w:rFonts w:ascii="Times New Roman" w:eastAsia="Times New Roman" w:hAnsi="Times New Roman" w:cs="Times New Roman"/>
                <w:b/>
                <w:bCs/>
                <w:sz w:val="24"/>
                <w:szCs w:val="24"/>
                <w:lang w:val="en-US"/>
              </w:rPr>
            </w:pPr>
            <w:r w:rsidRPr="006C1E51">
              <w:rPr>
                <w:rFonts w:ascii="Times New Roman" w:eastAsia="Times New Roman" w:hAnsi="Times New Roman" w:cs="Times New Roman"/>
                <w:b/>
                <w:bCs/>
                <w:sz w:val="24"/>
                <w:szCs w:val="24"/>
                <w:lang w:val="en-US"/>
              </w:rPr>
              <w:t>Intra-Community CHC Work</w:t>
            </w:r>
          </w:p>
        </w:tc>
        <w:tc>
          <w:tcPr>
            <w:tcW w:w="0" w:type="auto"/>
            <w:vAlign w:val="center"/>
            <w:hideMark/>
          </w:tcPr>
          <w:p w14:paraId="0E8E37F6" w14:textId="77777777" w:rsidR="0054386D" w:rsidRPr="006C1E51" w:rsidRDefault="0054386D" w:rsidP="00775270">
            <w:pPr>
              <w:spacing w:line="480" w:lineRule="auto"/>
              <w:jc w:val="center"/>
              <w:rPr>
                <w:rFonts w:ascii="Times New Roman" w:eastAsia="Times New Roman" w:hAnsi="Times New Roman" w:cs="Times New Roman"/>
                <w:b/>
                <w:bCs/>
                <w:sz w:val="24"/>
                <w:szCs w:val="24"/>
                <w:lang w:val="en-US"/>
              </w:rPr>
            </w:pPr>
            <w:r w:rsidRPr="006C1E51">
              <w:rPr>
                <w:rFonts w:ascii="Times New Roman" w:eastAsia="Times New Roman" w:hAnsi="Times New Roman" w:cs="Times New Roman"/>
                <w:b/>
                <w:bCs/>
                <w:sz w:val="24"/>
                <w:szCs w:val="24"/>
                <w:lang w:val="en-US"/>
              </w:rPr>
              <w:t>Inter-Community CHC Work</w:t>
            </w:r>
          </w:p>
        </w:tc>
      </w:tr>
      <w:tr w:rsidR="0054386D" w:rsidRPr="006C1E51" w14:paraId="2EAFBBD9" w14:textId="77777777" w:rsidTr="00045AE1">
        <w:trPr>
          <w:tblCellSpacing w:w="15" w:type="dxa"/>
        </w:trPr>
        <w:tc>
          <w:tcPr>
            <w:tcW w:w="0" w:type="auto"/>
            <w:vAlign w:val="center"/>
            <w:hideMark/>
          </w:tcPr>
          <w:p w14:paraId="4B03E3F6"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b/>
                <w:bCs/>
                <w:sz w:val="24"/>
                <w:szCs w:val="24"/>
                <w:lang w:val="en-US"/>
              </w:rPr>
              <w:t>Primary Orientation</w:t>
            </w:r>
          </w:p>
        </w:tc>
        <w:tc>
          <w:tcPr>
            <w:tcW w:w="0" w:type="auto"/>
            <w:vAlign w:val="center"/>
            <w:hideMark/>
          </w:tcPr>
          <w:p w14:paraId="6F4D3912"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 xml:space="preserve">Strengthening relationships, capacity, and shared understanding </w:t>
            </w:r>
            <w:r w:rsidRPr="006C1E51">
              <w:rPr>
                <w:rFonts w:ascii="Times New Roman" w:eastAsia="Times New Roman" w:hAnsi="Times New Roman" w:cs="Times New Roman"/>
                <w:i/>
                <w:iCs/>
                <w:sz w:val="24"/>
                <w:szCs w:val="24"/>
                <w:lang w:val="en-US"/>
              </w:rPr>
              <w:t>within</w:t>
            </w:r>
            <w:r w:rsidRPr="006C1E51">
              <w:rPr>
                <w:rFonts w:ascii="Times New Roman" w:eastAsia="Times New Roman" w:hAnsi="Times New Roman" w:cs="Times New Roman"/>
                <w:sz w:val="24"/>
                <w:szCs w:val="24"/>
                <w:lang w:val="en-US"/>
              </w:rPr>
              <w:t xml:space="preserve"> a single community</w:t>
            </w:r>
          </w:p>
        </w:tc>
        <w:tc>
          <w:tcPr>
            <w:tcW w:w="0" w:type="auto"/>
            <w:vAlign w:val="center"/>
            <w:hideMark/>
          </w:tcPr>
          <w:p w14:paraId="009351A4"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 xml:space="preserve">Building cooperative relationships </w:t>
            </w:r>
            <w:r w:rsidRPr="006C1E51">
              <w:rPr>
                <w:rFonts w:ascii="Times New Roman" w:eastAsia="Times New Roman" w:hAnsi="Times New Roman" w:cs="Times New Roman"/>
                <w:i/>
                <w:iCs/>
                <w:sz w:val="24"/>
                <w:szCs w:val="24"/>
                <w:lang w:val="en-US"/>
              </w:rPr>
              <w:t>across</w:t>
            </w:r>
            <w:r w:rsidRPr="006C1E51">
              <w:rPr>
                <w:rFonts w:ascii="Times New Roman" w:eastAsia="Times New Roman" w:hAnsi="Times New Roman" w:cs="Times New Roman"/>
                <w:sz w:val="24"/>
                <w:szCs w:val="24"/>
                <w:lang w:val="en-US"/>
              </w:rPr>
              <w:t xml:space="preserve"> communities, institutions, or regions</w:t>
            </w:r>
          </w:p>
        </w:tc>
      </w:tr>
      <w:tr w:rsidR="0054386D" w:rsidRPr="006C1E51" w14:paraId="1887ECB9" w14:textId="77777777" w:rsidTr="00045AE1">
        <w:trPr>
          <w:tblCellSpacing w:w="15" w:type="dxa"/>
        </w:trPr>
        <w:tc>
          <w:tcPr>
            <w:tcW w:w="0" w:type="auto"/>
            <w:vAlign w:val="center"/>
            <w:hideMark/>
          </w:tcPr>
          <w:p w14:paraId="26C64150"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b/>
                <w:bCs/>
                <w:sz w:val="24"/>
                <w:szCs w:val="24"/>
                <w:lang w:val="en-US"/>
              </w:rPr>
              <w:t>Core Purpose</w:t>
            </w:r>
          </w:p>
        </w:tc>
        <w:tc>
          <w:tcPr>
            <w:tcW w:w="0" w:type="auto"/>
            <w:vAlign w:val="center"/>
            <w:hideMark/>
          </w:tcPr>
          <w:p w14:paraId="1EC45200"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Repair internal continuity, trust, and collective identity</w:t>
            </w:r>
          </w:p>
        </w:tc>
        <w:tc>
          <w:tcPr>
            <w:tcW w:w="0" w:type="auto"/>
            <w:vAlign w:val="center"/>
            <w:hideMark/>
          </w:tcPr>
          <w:p w14:paraId="6C8A811B"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Leverage shared resources, visibility, and influence beyond a single place</w:t>
            </w:r>
          </w:p>
        </w:tc>
      </w:tr>
      <w:tr w:rsidR="0054386D" w:rsidRPr="006C1E51" w14:paraId="465D3BD0" w14:textId="77777777" w:rsidTr="00045AE1">
        <w:trPr>
          <w:tblCellSpacing w:w="15" w:type="dxa"/>
        </w:trPr>
        <w:tc>
          <w:tcPr>
            <w:tcW w:w="0" w:type="auto"/>
            <w:vAlign w:val="center"/>
            <w:hideMark/>
          </w:tcPr>
          <w:p w14:paraId="31913353"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b/>
                <w:bCs/>
                <w:sz w:val="24"/>
                <w:szCs w:val="24"/>
                <w:lang w:val="en-US"/>
              </w:rPr>
              <w:lastRenderedPageBreak/>
              <w:t>Scale of Action</w:t>
            </w:r>
          </w:p>
        </w:tc>
        <w:tc>
          <w:tcPr>
            <w:tcW w:w="0" w:type="auto"/>
            <w:vAlign w:val="center"/>
            <w:hideMark/>
          </w:tcPr>
          <w:p w14:paraId="2A6AC0E2"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Village, neighborhood, church, cemetery, or family-anchored landscape</w:t>
            </w:r>
          </w:p>
        </w:tc>
        <w:tc>
          <w:tcPr>
            <w:tcW w:w="0" w:type="auto"/>
            <w:vAlign w:val="center"/>
            <w:hideMark/>
          </w:tcPr>
          <w:p w14:paraId="5C766DC0"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Regional networks, cross-site partnerships, multi-community coalitions</w:t>
            </w:r>
          </w:p>
        </w:tc>
      </w:tr>
      <w:tr w:rsidR="0054386D" w:rsidRPr="006C1E51" w14:paraId="379886D9" w14:textId="77777777" w:rsidTr="00045AE1">
        <w:trPr>
          <w:tblCellSpacing w:w="15" w:type="dxa"/>
        </w:trPr>
        <w:tc>
          <w:tcPr>
            <w:tcW w:w="0" w:type="auto"/>
            <w:vAlign w:val="center"/>
            <w:hideMark/>
          </w:tcPr>
          <w:p w14:paraId="01CC64F8"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b/>
                <w:bCs/>
                <w:sz w:val="24"/>
                <w:szCs w:val="24"/>
                <w:lang w:val="en-US"/>
              </w:rPr>
              <w:t>Key Processes</w:t>
            </w:r>
          </w:p>
        </w:tc>
        <w:tc>
          <w:tcPr>
            <w:tcW w:w="0" w:type="auto"/>
            <w:vAlign w:val="center"/>
            <w:hideMark/>
          </w:tcPr>
          <w:p w14:paraId="194A3FBC"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Shared experience, shared language, internal governance, intergenerational knowledge transfer</w:t>
            </w:r>
          </w:p>
        </w:tc>
        <w:tc>
          <w:tcPr>
            <w:tcW w:w="0" w:type="auto"/>
            <w:vAlign w:val="center"/>
            <w:hideMark/>
          </w:tcPr>
          <w:p w14:paraId="507BC745"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Shared authority, shared resources, coordination across organizations and jurisdictions</w:t>
            </w:r>
          </w:p>
        </w:tc>
      </w:tr>
      <w:tr w:rsidR="0054386D" w:rsidRPr="006C1E51" w14:paraId="566982EC" w14:textId="77777777" w:rsidTr="00045AE1">
        <w:trPr>
          <w:tblCellSpacing w:w="15" w:type="dxa"/>
        </w:trPr>
        <w:tc>
          <w:tcPr>
            <w:tcW w:w="0" w:type="auto"/>
            <w:vAlign w:val="center"/>
            <w:hideMark/>
          </w:tcPr>
          <w:p w14:paraId="7179F212"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b/>
                <w:bCs/>
                <w:sz w:val="24"/>
                <w:szCs w:val="24"/>
                <w:lang w:val="en-US"/>
              </w:rPr>
              <w:t>Forms of Collaboration</w:t>
            </w:r>
          </w:p>
        </w:tc>
        <w:tc>
          <w:tcPr>
            <w:tcW w:w="0" w:type="auto"/>
            <w:vAlign w:val="center"/>
            <w:hideMark/>
          </w:tcPr>
          <w:p w14:paraId="6E488210"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Elders, youth, families, local leaders working together</w:t>
            </w:r>
          </w:p>
        </w:tc>
        <w:tc>
          <w:tcPr>
            <w:tcW w:w="0" w:type="auto"/>
            <w:vAlign w:val="center"/>
            <w:hideMark/>
          </w:tcPr>
          <w:p w14:paraId="6EB2A4CF"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Multiple communities, nonprofits, agencies, universities, or funders working cooperatively</w:t>
            </w:r>
          </w:p>
        </w:tc>
      </w:tr>
      <w:tr w:rsidR="0054386D" w:rsidRPr="006C1E51" w14:paraId="7072EA4A" w14:textId="77777777" w:rsidTr="00045AE1">
        <w:trPr>
          <w:tblCellSpacing w:w="15" w:type="dxa"/>
        </w:trPr>
        <w:tc>
          <w:tcPr>
            <w:tcW w:w="0" w:type="auto"/>
            <w:vAlign w:val="center"/>
            <w:hideMark/>
          </w:tcPr>
          <w:p w14:paraId="28D07CF7"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b/>
                <w:bCs/>
                <w:sz w:val="24"/>
                <w:szCs w:val="24"/>
                <w:lang w:val="en-US"/>
              </w:rPr>
              <w:t>Typical Activities</w:t>
            </w:r>
          </w:p>
        </w:tc>
        <w:tc>
          <w:tcPr>
            <w:tcW w:w="0" w:type="auto"/>
            <w:vAlign w:val="center"/>
            <w:hideMark/>
          </w:tcPr>
          <w:p w14:paraId="6156D26A"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Oral history projects, internal asset inventories, descendant councils, local stewardship plans</w:t>
            </w:r>
          </w:p>
        </w:tc>
        <w:tc>
          <w:tcPr>
            <w:tcW w:w="0" w:type="auto"/>
            <w:vAlign w:val="center"/>
            <w:hideMark/>
          </w:tcPr>
          <w:p w14:paraId="5AD31FAC"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Joint grant applications, shared exhibitions, regional mapping initiatives, policy advocacy</w:t>
            </w:r>
          </w:p>
        </w:tc>
      </w:tr>
      <w:tr w:rsidR="0054386D" w:rsidRPr="006C1E51" w14:paraId="5A2AF1AA" w14:textId="77777777" w:rsidTr="00045AE1">
        <w:trPr>
          <w:tblCellSpacing w:w="15" w:type="dxa"/>
        </w:trPr>
        <w:tc>
          <w:tcPr>
            <w:tcW w:w="0" w:type="auto"/>
            <w:vAlign w:val="center"/>
            <w:hideMark/>
          </w:tcPr>
          <w:p w14:paraId="03930CCD"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b/>
                <w:bCs/>
                <w:sz w:val="24"/>
                <w:szCs w:val="24"/>
                <w:lang w:val="en-US"/>
              </w:rPr>
              <w:t>Primary Outcomes</w:t>
            </w:r>
          </w:p>
        </w:tc>
        <w:tc>
          <w:tcPr>
            <w:tcW w:w="0" w:type="auto"/>
            <w:vAlign w:val="center"/>
            <w:hideMark/>
          </w:tcPr>
          <w:p w14:paraId="3B5EC7F3"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Belonging, continuity, local decision-making capacity, internal stewardship</w:t>
            </w:r>
          </w:p>
        </w:tc>
        <w:tc>
          <w:tcPr>
            <w:tcW w:w="0" w:type="auto"/>
            <w:vAlign w:val="center"/>
            <w:hideMark/>
          </w:tcPr>
          <w:p w14:paraId="3E2986F3"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Resource access, policy leverage, regional visibility, mutual reinforcement</w:t>
            </w:r>
          </w:p>
        </w:tc>
      </w:tr>
      <w:tr w:rsidR="0054386D" w:rsidRPr="006C1E51" w14:paraId="7FC8FEF9" w14:textId="77777777" w:rsidTr="00045AE1">
        <w:trPr>
          <w:tblCellSpacing w:w="15" w:type="dxa"/>
        </w:trPr>
        <w:tc>
          <w:tcPr>
            <w:tcW w:w="0" w:type="auto"/>
            <w:vAlign w:val="center"/>
            <w:hideMark/>
          </w:tcPr>
          <w:p w14:paraId="3C85FB59"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b/>
                <w:bCs/>
                <w:sz w:val="24"/>
                <w:szCs w:val="24"/>
                <w:lang w:val="en-US"/>
              </w:rPr>
              <w:t>Risks if Isolated</w:t>
            </w:r>
          </w:p>
        </w:tc>
        <w:tc>
          <w:tcPr>
            <w:tcW w:w="0" w:type="auto"/>
            <w:vAlign w:val="center"/>
            <w:hideMark/>
          </w:tcPr>
          <w:p w14:paraId="7B085115"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Insularity, limited resources, difficulty scaling impact</w:t>
            </w:r>
          </w:p>
        </w:tc>
        <w:tc>
          <w:tcPr>
            <w:tcW w:w="0" w:type="auto"/>
            <w:vAlign w:val="center"/>
            <w:hideMark/>
          </w:tcPr>
          <w:p w14:paraId="091B84F9"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Extraction, misalignment with local values, symbolic inclusion without accountability</w:t>
            </w:r>
          </w:p>
        </w:tc>
      </w:tr>
      <w:tr w:rsidR="0054386D" w:rsidRPr="006C1E51" w14:paraId="1B96F682" w14:textId="77777777" w:rsidTr="00045AE1">
        <w:trPr>
          <w:tblCellSpacing w:w="15" w:type="dxa"/>
        </w:trPr>
        <w:tc>
          <w:tcPr>
            <w:tcW w:w="0" w:type="auto"/>
            <w:vAlign w:val="center"/>
            <w:hideMark/>
          </w:tcPr>
          <w:p w14:paraId="5CEA9157"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b/>
                <w:bCs/>
                <w:sz w:val="24"/>
                <w:szCs w:val="24"/>
                <w:lang w:val="en-US"/>
              </w:rPr>
              <w:t>CHC Safeguard</w:t>
            </w:r>
          </w:p>
        </w:tc>
        <w:tc>
          <w:tcPr>
            <w:tcW w:w="0" w:type="auto"/>
            <w:vAlign w:val="center"/>
            <w:hideMark/>
          </w:tcPr>
          <w:p w14:paraId="2DD68C40"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Grounding work in lived experience and community-defined priorities</w:t>
            </w:r>
          </w:p>
        </w:tc>
        <w:tc>
          <w:tcPr>
            <w:tcW w:w="0" w:type="auto"/>
            <w:vAlign w:val="center"/>
            <w:hideMark/>
          </w:tcPr>
          <w:p w14:paraId="1ACF3E55"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Anchoring partnerships in shared authority and reciprocal benefit</w:t>
            </w:r>
          </w:p>
        </w:tc>
      </w:tr>
      <w:tr w:rsidR="0054386D" w:rsidRPr="006C1E51" w14:paraId="71D3BABA" w14:textId="77777777" w:rsidTr="00045AE1">
        <w:trPr>
          <w:tblCellSpacing w:w="15" w:type="dxa"/>
        </w:trPr>
        <w:tc>
          <w:tcPr>
            <w:tcW w:w="0" w:type="auto"/>
            <w:vAlign w:val="center"/>
            <w:hideMark/>
          </w:tcPr>
          <w:p w14:paraId="097B927A"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b/>
                <w:bCs/>
                <w:sz w:val="24"/>
                <w:szCs w:val="24"/>
                <w:lang w:val="en-US"/>
              </w:rPr>
              <w:lastRenderedPageBreak/>
              <w:t>Overlap / Hybrid Conditions</w:t>
            </w:r>
          </w:p>
        </w:tc>
        <w:tc>
          <w:tcPr>
            <w:tcW w:w="0" w:type="auto"/>
            <w:vAlign w:val="center"/>
            <w:hideMark/>
          </w:tcPr>
          <w:p w14:paraId="64AEFD1A"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Internal cohesion strengthens external collaboration</w:t>
            </w:r>
          </w:p>
        </w:tc>
        <w:tc>
          <w:tcPr>
            <w:tcW w:w="0" w:type="auto"/>
            <w:vAlign w:val="center"/>
            <w:hideMark/>
          </w:tcPr>
          <w:p w14:paraId="2830C3C9" w14:textId="77777777" w:rsidR="0054386D" w:rsidRPr="006C1E51" w:rsidRDefault="0054386D" w:rsidP="00775270">
            <w:pPr>
              <w:spacing w:line="480" w:lineRule="auto"/>
              <w:rPr>
                <w:rFonts w:ascii="Times New Roman" w:eastAsia="Times New Roman" w:hAnsi="Times New Roman" w:cs="Times New Roman"/>
                <w:sz w:val="24"/>
                <w:szCs w:val="24"/>
                <w:lang w:val="en-US"/>
              </w:rPr>
            </w:pPr>
            <w:r w:rsidRPr="006C1E51">
              <w:rPr>
                <w:rFonts w:ascii="Times New Roman" w:eastAsia="Times New Roman" w:hAnsi="Times New Roman" w:cs="Times New Roman"/>
                <w:sz w:val="24"/>
                <w:szCs w:val="24"/>
                <w:lang w:val="en-US"/>
              </w:rPr>
              <w:t>External partnerships reinforce internal capacity and shared language</w:t>
            </w:r>
          </w:p>
        </w:tc>
      </w:tr>
    </w:tbl>
    <w:p w14:paraId="76A613A5" w14:textId="7D0D9E70" w:rsidR="0054386D" w:rsidRPr="006C1E51" w:rsidRDefault="0054386D" w:rsidP="00045AE1">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These categories are not mutually exclusive. In practice, CHC work often moves in both directions at once—deepening internal relationships while creating external partnerships. A community may clarify its shared language and priorities internally even as it collaborates regionally to access resources, visibility, or policy leverage. The framework’s value lies in its ability to hold both processes together without subordinating one to the other.</w:t>
      </w:r>
    </w:p>
    <w:p w14:paraId="6846E5DC" w14:textId="77777777" w:rsidR="0054386D" w:rsidRPr="006C1E51" w:rsidRDefault="0054386D" w:rsidP="00045AE1">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Chapter Two examines the broader preservation landscape and the structural forces that shape what communities can and cannot do, situating both inter- and intra-community efforts within existing policy and power dynamics. Chapter Three explores the intellectual roots of the CHC framework, showing how cooperative principles emerge from long-standing African American traditions that operate simultaneously within communities and across them. Chapter Four analyzes case studies that illustrate inter-community applications of the framework, where collaboration, shared infrastructure, and regional coordination are central. Chapter Five then turns inward, offering a scenario that imagines intra-community use of the CHC framework within Kent County, translating theory into a lived, place-based practice of shared stewardship. Together, these chapters move from observation to theory, from theory to practice, and from practice to possibility—demonstrating the CHC framework’s flexibility as both a connective strategy across communities and a deepening practice within them.</w:t>
      </w:r>
    </w:p>
    <w:p w14:paraId="00000044" w14:textId="650ABECF" w:rsidR="0006233B" w:rsidRPr="006C1E51" w:rsidRDefault="00C5531F" w:rsidP="00045AE1">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 xml:space="preserve">My hope is that this work not only contributes to the field of historic </w:t>
      </w:r>
      <w:r w:rsidR="0050798E" w:rsidRPr="006C1E51">
        <w:rPr>
          <w:rFonts w:ascii="Times New Roman" w:hAnsi="Times New Roman" w:cs="Times New Roman"/>
          <w:sz w:val="24"/>
          <w:szCs w:val="24"/>
        </w:rPr>
        <w:t>preservation but</w:t>
      </w:r>
      <w:r w:rsidRPr="006C1E51">
        <w:rPr>
          <w:rFonts w:ascii="Times New Roman" w:hAnsi="Times New Roman" w:cs="Times New Roman"/>
          <w:sz w:val="24"/>
          <w:szCs w:val="24"/>
        </w:rPr>
        <w:t xml:space="preserve"> also helps communities envision new ways of sustaining the places and stories that matter to them. </w:t>
      </w:r>
      <w:r w:rsidR="00E41BA2" w:rsidRPr="006C1E51">
        <w:rPr>
          <w:rFonts w:ascii="Times New Roman" w:hAnsi="Times New Roman" w:cs="Times New Roman"/>
          <w:sz w:val="24"/>
          <w:szCs w:val="24"/>
        </w:rPr>
        <w:t xml:space="preserve">I </w:t>
      </w:r>
      <w:r w:rsidR="0050798E" w:rsidRPr="006C1E51">
        <w:rPr>
          <w:rFonts w:ascii="Times New Roman" w:hAnsi="Times New Roman" w:cs="Times New Roman"/>
          <w:sz w:val="24"/>
          <w:szCs w:val="24"/>
        </w:rPr>
        <w:t>seek</w:t>
      </w:r>
      <w:r w:rsidR="00E41BA2" w:rsidRPr="006C1E51">
        <w:rPr>
          <w:rFonts w:ascii="Times New Roman" w:hAnsi="Times New Roman" w:cs="Times New Roman"/>
          <w:sz w:val="24"/>
          <w:szCs w:val="24"/>
        </w:rPr>
        <w:t xml:space="preserve"> to reorient preservation practice with the ways Black communities have historically understood and inhabited space—where heritage is not only something to be protected, but something lived, shared, and sustained together. In doing so, CHCs offer a way to move preservation beyond the conservation of sites toward the preservation of community life itself, creating space for descendant communities not just to be represented, but to remain </w:t>
      </w:r>
      <w:r w:rsidRPr="006C1E51">
        <w:rPr>
          <w:rFonts w:ascii="Times New Roman" w:hAnsi="Times New Roman" w:cs="Times New Roman"/>
          <w:sz w:val="24"/>
          <w:szCs w:val="24"/>
        </w:rPr>
        <w:t>In the end, this thesis is about more than a framework; it is about creating the conditions for communities to remain rooted in their histories while building futures they define for themselves.</w:t>
      </w:r>
    </w:p>
    <w:p w14:paraId="2547E5DD" w14:textId="77777777" w:rsidR="00C63ED1" w:rsidRPr="006C1E51" w:rsidRDefault="00C63ED1" w:rsidP="00775270">
      <w:pPr>
        <w:spacing w:line="480" w:lineRule="auto"/>
        <w:rPr>
          <w:rFonts w:ascii="Times New Roman" w:hAnsi="Times New Roman" w:cs="Times New Roman"/>
          <w:b/>
          <w:bCs/>
          <w:sz w:val="24"/>
          <w:szCs w:val="24"/>
        </w:rPr>
      </w:pPr>
      <w:bookmarkStart w:id="21" w:name="_ji0eblo24j4" w:colFirst="0" w:colLast="0"/>
      <w:bookmarkEnd w:id="21"/>
      <w:r w:rsidRPr="006C1E51">
        <w:rPr>
          <w:rFonts w:ascii="Times New Roman" w:hAnsi="Times New Roman" w:cs="Times New Roman"/>
          <w:sz w:val="24"/>
          <w:szCs w:val="24"/>
        </w:rPr>
        <w:br w:type="page"/>
      </w:r>
    </w:p>
    <w:p w14:paraId="00000045" w14:textId="7E1FCEA7" w:rsidR="0006233B" w:rsidRPr="006C1E51" w:rsidRDefault="00C5531F" w:rsidP="00B97F99">
      <w:pPr>
        <w:pStyle w:val="Heading1"/>
      </w:pPr>
      <w:bookmarkStart w:id="22" w:name="_Toc220011081"/>
      <w:r w:rsidRPr="006C1E51">
        <w:lastRenderedPageBreak/>
        <w:t xml:space="preserve">Chapter </w:t>
      </w:r>
      <w:r w:rsidR="007C5799" w:rsidRPr="006C1E51">
        <w:t>2</w:t>
      </w:r>
      <w:r w:rsidRPr="006C1E51">
        <w:t>: The</w:t>
      </w:r>
      <w:r w:rsidR="007C5799" w:rsidRPr="006C1E51">
        <w:t xml:space="preserve"> Context:</w:t>
      </w:r>
      <w:r w:rsidRPr="006C1E51">
        <w:t xml:space="preserve"> External Forces Shaping African American Heritage Preservation</w:t>
      </w:r>
      <w:bookmarkEnd w:id="22"/>
    </w:p>
    <w:p w14:paraId="1B8B5C0C" w14:textId="71957E69" w:rsidR="009237B1" w:rsidRPr="006C1E51" w:rsidRDefault="00986ACE" w:rsidP="00986ACE">
      <w:pPr>
        <w:spacing w:after="240" w:line="480" w:lineRule="auto"/>
        <w:ind w:firstLine="720"/>
        <w:rPr>
          <w:rFonts w:ascii="Times New Roman" w:hAnsi="Times New Roman" w:cs="Times New Roman"/>
          <w:sz w:val="24"/>
          <w:szCs w:val="24"/>
        </w:rPr>
      </w:pPr>
      <w:r w:rsidRPr="006C1E51">
        <w:rPr>
          <w:rFonts w:ascii="Times New Roman" w:hAnsi="Times New Roman" w:cs="Times New Roman"/>
          <w:noProof/>
          <w:sz w:val="24"/>
          <w:szCs w:val="24"/>
        </w:rPr>
        <w:drawing>
          <wp:anchor distT="0" distB="0" distL="114300" distR="114300" simplePos="0" relativeHeight="251658240" behindDoc="1" locked="0" layoutInCell="1" allowOverlap="1" wp14:anchorId="7CFCE976" wp14:editId="3F57A64F">
            <wp:simplePos x="0" y="0"/>
            <wp:positionH relativeFrom="column">
              <wp:posOffset>36383</wp:posOffset>
            </wp:positionH>
            <wp:positionV relativeFrom="paragraph">
              <wp:posOffset>2473752</wp:posOffset>
            </wp:positionV>
            <wp:extent cx="2581910" cy="3901440"/>
            <wp:effectExtent l="0" t="0" r="0" b="0"/>
            <wp:wrapTight wrapText="bothSides">
              <wp:wrapPolygon edited="0">
                <wp:start x="0" y="0"/>
                <wp:lineTo x="0" y="21516"/>
                <wp:lineTo x="21462" y="21516"/>
                <wp:lineTo x="21462" y="0"/>
                <wp:lineTo x="0" y="0"/>
              </wp:wrapPolygon>
            </wp:wrapTight>
            <wp:docPr id="398276673" name="Picture 1" descr="A group of people in wa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276673" name="Picture 1" descr="A group of people in water&#10;&#10;AI-generated content may be incorrect."/>
                    <pic:cNvPicPr/>
                  </pic:nvPicPr>
                  <pic:blipFill rotWithShape="1">
                    <a:blip r:embed="rId15" cstate="email">
                      <a:extLst>
                        <a:ext uri="{28A0092B-C50C-407E-A947-70E740481C1C}">
                          <a14:useLocalDpi xmlns:a14="http://schemas.microsoft.com/office/drawing/2010/main" val="0"/>
                        </a:ext>
                      </a:extLst>
                    </a:blip>
                    <a:srcRect/>
                    <a:stretch>
                      <a:fillRect/>
                    </a:stretch>
                  </pic:blipFill>
                  <pic:spPr bwMode="auto">
                    <a:xfrm>
                      <a:off x="0" y="0"/>
                      <a:ext cx="2581910" cy="39014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5531F" w:rsidRPr="006C1E51">
        <w:rPr>
          <w:rFonts w:ascii="Times New Roman" w:hAnsi="Times New Roman" w:cs="Times New Roman"/>
          <w:sz w:val="24"/>
          <w:szCs w:val="24"/>
        </w:rPr>
        <w:t xml:space="preserve">The story of preservation in the United States is often narrated through projects and places—those saved and those lost—and the people that led the charge. Through the lens of the Black experience in preservation, the story grows more nuanced through conditions of volatility, exclusion, resilience, ingenuity, and kinship. Major examples include </w:t>
      </w:r>
      <w:r w:rsidR="00455B5B" w:rsidRPr="006C1E51">
        <w:rPr>
          <w:rFonts w:ascii="Times New Roman" w:hAnsi="Times New Roman" w:cs="Times New Roman"/>
          <w:sz w:val="24"/>
          <w:szCs w:val="24"/>
        </w:rPr>
        <w:t xml:space="preserve">brothers, Vincent DeForest and Robert </w:t>
      </w:r>
      <w:r w:rsidR="00C5531F" w:rsidRPr="006C1E51">
        <w:rPr>
          <w:rFonts w:ascii="Times New Roman" w:hAnsi="Times New Roman" w:cs="Times New Roman"/>
          <w:sz w:val="24"/>
          <w:szCs w:val="24"/>
        </w:rPr>
        <w:t>DeForrest, who altered the very trajectory of Black cultural heritage preservation by navigating discriminatory practices within the National Park Service.</w:t>
      </w:r>
      <w:r w:rsidR="00C5531F" w:rsidRPr="006C1E51">
        <w:rPr>
          <w:rFonts w:ascii="Times New Roman" w:hAnsi="Times New Roman" w:cs="Times New Roman"/>
          <w:sz w:val="24"/>
          <w:szCs w:val="24"/>
          <w:vertAlign w:val="superscript"/>
        </w:rPr>
        <w:footnoteReference w:id="32"/>
      </w:r>
      <w:r w:rsidR="00C5531F" w:rsidRPr="006C1E51">
        <w:rPr>
          <w:rFonts w:ascii="Times New Roman" w:hAnsi="Times New Roman" w:cs="Times New Roman"/>
          <w:sz w:val="24"/>
          <w:szCs w:val="24"/>
        </w:rPr>
        <w:t xml:space="preserve"> More localized stories show the same determination: Carr’s Beach</w:t>
      </w:r>
      <w:r w:rsidRPr="006C1E51">
        <w:rPr>
          <w:rFonts w:ascii="Times New Roman" w:hAnsi="Times New Roman" w:cs="Times New Roman"/>
          <w:sz w:val="24"/>
          <w:szCs w:val="24"/>
        </w:rPr>
        <w:t xml:space="preserve"> (see fig. 5)</w:t>
      </w:r>
      <w:r w:rsidR="00C5531F" w:rsidRPr="006C1E51">
        <w:rPr>
          <w:rFonts w:ascii="Times New Roman" w:hAnsi="Times New Roman" w:cs="Times New Roman"/>
          <w:sz w:val="24"/>
          <w:szCs w:val="24"/>
        </w:rPr>
        <w:t>, the last remaining piece of Maryland’s historic Black beaches frequented during Jim Crow, was preserved through the decades‑long work of Vincent Leggett</w:t>
      </w:r>
      <w:r w:rsidRPr="006C1E51">
        <w:rPr>
          <w:rFonts w:ascii="Times New Roman" w:hAnsi="Times New Roman" w:cs="Times New Roman"/>
          <w:sz w:val="24"/>
          <w:szCs w:val="24"/>
        </w:rPr>
        <w:t xml:space="preserve"> (see fig. 6)</w:t>
      </w:r>
      <w:r w:rsidR="00C5531F" w:rsidRPr="006C1E51">
        <w:rPr>
          <w:rFonts w:ascii="Times New Roman" w:hAnsi="Times New Roman" w:cs="Times New Roman"/>
          <w:sz w:val="24"/>
          <w:szCs w:val="24"/>
        </w:rPr>
        <w:t>, who only recently passed after completing his vision.</w:t>
      </w:r>
      <w:r w:rsidR="0050798E" w:rsidRPr="006C1E51">
        <w:rPr>
          <w:rStyle w:val="FootnoteReference"/>
          <w:rFonts w:ascii="Times New Roman" w:hAnsi="Times New Roman" w:cs="Times New Roman"/>
          <w:sz w:val="24"/>
          <w:szCs w:val="24"/>
        </w:rPr>
        <w:footnoteReference w:id="33"/>
      </w:r>
    </w:p>
    <w:p w14:paraId="4C5709BB" w14:textId="2A5BD523" w:rsidR="009237B1" w:rsidRPr="006C1E51" w:rsidRDefault="009237B1" w:rsidP="00F50E4B">
      <w:pPr>
        <w:pStyle w:val="Caption"/>
      </w:pPr>
      <w:bookmarkStart w:id="23" w:name="_Toc220011000"/>
      <w:r w:rsidRPr="006C1E51">
        <w:t xml:space="preserve">Figure </w:t>
      </w:r>
      <w:r w:rsidRPr="006C1E51">
        <w:fldChar w:fldCharType="begin"/>
      </w:r>
      <w:r w:rsidRPr="006C1E51">
        <w:instrText xml:space="preserve"> SEQ Figure \* ARABIC </w:instrText>
      </w:r>
      <w:r w:rsidRPr="006C1E51">
        <w:fldChar w:fldCharType="separate"/>
      </w:r>
      <w:r w:rsidR="00C63ED1" w:rsidRPr="006C1E51">
        <w:rPr>
          <w:noProof/>
        </w:rPr>
        <w:t>5</w:t>
      </w:r>
      <w:r w:rsidRPr="006C1E51">
        <w:fldChar w:fldCharType="end"/>
      </w:r>
      <w:r w:rsidRPr="006C1E51">
        <w:t xml:space="preserve">. Ringgold family at Carrs &amp; Sparrow’s Beach, south of Annapolis, Maryland. </w:t>
      </w:r>
      <w:r w:rsidR="00045AE1" w:rsidRPr="006C1E51">
        <w:t>F</w:t>
      </w:r>
      <w:r w:rsidRPr="006C1E51">
        <w:t>eaturing (from left) Airlee Ringgold, Essie Nickerson, Emma Hutchins, Jimmy Manuel, and Gertrude Manuel.</w:t>
      </w:r>
      <w:r w:rsidRPr="006C1E51">
        <w:rPr>
          <w:rStyle w:val="FootnoteReference"/>
        </w:rPr>
        <w:footnoteReference w:id="34"/>
      </w:r>
      <w:bookmarkEnd w:id="23"/>
    </w:p>
    <w:p w14:paraId="6A662562" w14:textId="77777777" w:rsidR="009237B1" w:rsidRPr="006C1E51" w:rsidRDefault="0050798E" w:rsidP="00775270">
      <w:pPr>
        <w:keepNext/>
        <w:spacing w:after="240" w:line="480" w:lineRule="auto"/>
        <w:jc w:val="center"/>
        <w:rPr>
          <w:rFonts w:ascii="Times New Roman" w:hAnsi="Times New Roman" w:cs="Times New Roman"/>
          <w:sz w:val="24"/>
          <w:szCs w:val="24"/>
        </w:rPr>
      </w:pPr>
      <w:r w:rsidRPr="006C1E51">
        <w:rPr>
          <w:rFonts w:ascii="Times New Roman" w:hAnsi="Times New Roman" w:cs="Times New Roman"/>
          <w:noProof/>
          <w:sz w:val="24"/>
          <w:szCs w:val="24"/>
        </w:rPr>
        <w:lastRenderedPageBreak/>
        <w:drawing>
          <wp:inline distT="0" distB="0" distL="0" distR="0" wp14:anchorId="27F35925" wp14:editId="49C19D1F">
            <wp:extent cx="4202349" cy="3088009"/>
            <wp:effectExtent l="0" t="0" r="1905" b="0"/>
            <wp:docPr id="1397821617" name="Picture 1" descr="A group of men standing togeth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821617" name="Picture 1" descr="A group of men standing together&#10;&#10;AI-generated content may be incorrect."/>
                    <pic:cNvPicPr/>
                  </pic:nvPicPr>
                  <pic:blipFill>
                    <a:blip r:embed="rId16" cstate="email">
                      <a:extLst>
                        <a:ext uri="{28A0092B-C50C-407E-A947-70E740481C1C}">
                          <a14:useLocalDpi xmlns:a14="http://schemas.microsoft.com/office/drawing/2010/main"/>
                        </a:ext>
                      </a:extLst>
                    </a:blip>
                    <a:stretch>
                      <a:fillRect/>
                    </a:stretch>
                  </pic:blipFill>
                  <pic:spPr>
                    <a:xfrm>
                      <a:off x="0" y="0"/>
                      <a:ext cx="4218352" cy="3099769"/>
                    </a:xfrm>
                    <a:prstGeom prst="rect">
                      <a:avLst/>
                    </a:prstGeom>
                  </pic:spPr>
                </pic:pic>
              </a:graphicData>
            </a:graphic>
          </wp:inline>
        </w:drawing>
      </w:r>
    </w:p>
    <w:p w14:paraId="06159E43" w14:textId="07ABBB9E" w:rsidR="0050798E" w:rsidRPr="006C1E51" w:rsidRDefault="009237B1" w:rsidP="00F50E4B">
      <w:pPr>
        <w:pStyle w:val="Caption"/>
      </w:pPr>
      <w:bookmarkStart w:id="24" w:name="_Toc220011001"/>
      <w:r w:rsidRPr="006C1E51">
        <w:t xml:space="preserve">Figure </w:t>
      </w:r>
      <w:r w:rsidRPr="006C1E51">
        <w:fldChar w:fldCharType="begin"/>
      </w:r>
      <w:r w:rsidRPr="006C1E51">
        <w:instrText xml:space="preserve"> SEQ Figure \* ARABIC </w:instrText>
      </w:r>
      <w:r w:rsidRPr="006C1E51">
        <w:fldChar w:fldCharType="separate"/>
      </w:r>
      <w:r w:rsidR="00C63ED1" w:rsidRPr="006C1E51">
        <w:rPr>
          <w:noProof/>
        </w:rPr>
        <w:t>6</w:t>
      </w:r>
      <w:r w:rsidRPr="006C1E51">
        <w:fldChar w:fldCharType="end"/>
      </w:r>
      <w:r w:rsidRPr="006C1E51">
        <w:t>. (Left to right) Darius Johnson, Bilal Bahar, Brent Leggs, and Vince Leggett following a public program on African American heritage, memory, and preservation held</w:t>
      </w:r>
      <w:r w:rsidR="00045AE1" w:rsidRPr="006C1E51">
        <w:t xml:space="preserve"> at</w:t>
      </w:r>
      <w:r w:rsidRPr="006C1E51">
        <w:t xml:space="preserve"> Washington College, Chestertown, Maryland, November 4, 2024. Image courtesy of the author.</w:t>
      </w:r>
      <w:bookmarkEnd w:id="24"/>
    </w:p>
    <w:p w14:paraId="00000047" w14:textId="3669B748"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CHC framework is born out of these conditions and examples—a recognition that Black people have long made “a way out of no way” and now have an opportunity to formalize structures that preserve heritage while building collective economic and social well‑being. This chapter begins by situating a CHC approach within this longer arc of struggle and resilience. Preservation is constantly shaped by external forces—political volatility, economic exclusion, social fragmentation, technological divides, legal inequities, and environmental pressures.</w:t>
      </w:r>
      <w:r w:rsidRPr="006C1E51">
        <w:rPr>
          <w:rFonts w:ascii="Times New Roman" w:hAnsi="Times New Roman" w:cs="Times New Roman"/>
          <w:sz w:val="24"/>
          <w:szCs w:val="24"/>
          <w:vertAlign w:val="superscript"/>
        </w:rPr>
        <w:footnoteReference w:id="35"/>
      </w:r>
      <w:r w:rsidRPr="006C1E51">
        <w:rPr>
          <w:rFonts w:ascii="Times New Roman" w:hAnsi="Times New Roman" w:cs="Times New Roman"/>
          <w:sz w:val="24"/>
          <w:szCs w:val="24"/>
        </w:rPr>
        <w:t xml:space="preserve"> Black communities have navigated these forces with ingenuity and cooperation, but too often </w:t>
      </w:r>
      <w:r w:rsidRPr="006C1E51">
        <w:rPr>
          <w:rFonts w:ascii="Times New Roman" w:hAnsi="Times New Roman" w:cs="Times New Roman"/>
          <w:sz w:val="24"/>
          <w:szCs w:val="24"/>
        </w:rPr>
        <w:lastRenderedPageBreak/>
        <w:t>without structural support. By translating these lived conditions into a structured scan of external factors, this chapter provides the foundation for understanding why a CHC approach is necessary, and how it can anchor Black cultural heritage preservation in cooperative strategies that sustain both memory and quality of life.</w:t>
      </w:r>
    </w:p>
    <w:p w14:paraId="00000048" w14:textId="75112DBD"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To structure this scan, I employ a PESTLE analysis—a planning tool used to identify and interpret the Political, Economic, Social, Technological, Legal, and Environmental factors shaping a field</w:t>
      </w:r>
      <w:r w:rsidR="006A04DD" w:rsidRPr="006C1E51">
        <w:rPr>
          <w:rFonts w:ascii="Times New Roman" w:hAnsi="Times New Roman" w:cs="Times New Roman"/>
          <w:sz w:val="24"/>
          <w:szCs w:val="24"/>
        </w:rPr>
        <w:t>; ultimately to determine market feasibility of a product or idea</w:t>
      </w:r>
      <w:r w:rsidR="006A04DD" w:rsidRPr="006C1E51">
        <w:rPr>
          <w:rStyle w:val="FootnoteReference"/>
          <w:rFonts w:ascii="Times New Roman" w:hAnsi="Times New Roman" w:cs="Times New Roman"/>
          <w:sz w:val="24"/>
          <w:szCs w:val="24"/>
        </w:rPr>
        <w:footnoteReference w:id="36"/>
      </w:r>
      <w:r w:rsidRPr="006C1E51">
        <w:rPr>
          <w:rFonts w:ascii="Times New Roman" w:hAnsi="Times New Roman" w:cs="Times New Roman"/>
          <w:sz w:val="24"/>
          <w:szCs w:val="24"/>
        </w:rPr>
        <w:t>. Applied to preservation, PESTLE illuminates how external forces both constrain and enable heritage. Politically, inconsistent federal support in recent years has created volatility, while locally, policies have undermined the efforts of Black descendant communities. Economically, the field relies heavily on capital-intensive tools like historic tax credits and matching-grant requirements that privilege well-resourced organizations over grassroots groups. Socially, the very definition of the “heritage worker” has expanded to include grassroots practitioners and community members, yet their labor is undervalued and often unsupported. Technological innovation has widened possibilities for engagement and documentation, but inequitable access means that it also reinforces existing divides. Legally, preservation remains site- and artifact-focused, with limited recognition of intangible heritage or community governance. Environmentally, climate change threatens the survival of Black cemeteries, farmlands, and coastal settlements, with inadequate support for adaptation.</w:t>
      </w:r>
    </w:p>
    <w:p w14:paraId="00000049"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Taken together, these dynamics reveal a preservation economy marked by precarity and inequity. They underscore the need for approaches that do more than add plans, surveys, or </w:t>
      </w:r>
      <w:r w:rsidRPr="006C1E51">
        <w:rPr>
          <w:rFonts w:ascii="Times New Roman" w:hAnsi="Times New Roman" w:cs="Times New Roman"/>
          <w:sz w:val="24"/>
          <w:szCs w:val="24"/>
        </w:rPr>
        <w:lastRenderedPageBreak/>
        <w:t>funding streams, but instead center the people and communities whose heritage is at stake. The PESTLE analysis that follows situates these external pressures as both obstacles and opportunities, laying the groundwork for the CHC framework as a cooperative response to systemic exclusion.</w:t>
      </w:r>
    </w:p>
    <w:p w14:paraId="0000004A" w14:textId="77777777" w:rsidR="0006233B" w:rsidRPr="006C1E51" w:rsidRDefault="00C5531F" w:rsidP="00775270">
      <w:pPr>
        <w:pStyle w:val="Heading2"/>
        <w:keepNext w:val="0"/>
        <w:keepLines w:val="0"/>
        <w:spacing w:line="480" w:lineRule="auto"/>
        <w:rPr>
          <w:rFonts w:ascii="Times New Roman" w:hAnsi="Times New Roman" w:cs="Times New Roman"/>
        </w:rPr>
      </w:pPr>
      <w:bookmarkStart w:id="25" w:name="_n1e0fnm5dqt6" w:colFirst="0" w:colLast="0"/>
      <w:bookmarkStart w:id="26" w:name="_Toc220011082"/>
      <w:bookmarkEnd w:id="25"/>
      <w:r w:rsidRPr="006C1E51">
        <w:rPr>
          <w:rFonts w:ascii="Times New Roman" w:hAnsi="Times New Roman" w:cs="Times New Roman"/>
        </w:rPr>
        <w:t>Political</w:t>
      </w:r>
      <w:bookmarkEnd w:id="26"/>
    </w:p>
    <w:p w14:paraId="0000004C" w14:textId="11D7B69B"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Preservation is shaped as much by politics as by professional expertise. The very survival of heritage initiatives depends on the ebbs and flows of political will, appropriations, and policy priorities. At the federal level, the Historic Preservation Fund (HPF) has been a critical lifeline for preservation for decades, yet it is perpetually vulnerable to budget politics. The Trump administration’s FY 2026 budget proposal, which included a nearly 90% reduction to the HPF alongside $900 million in cuts to National Park Service operations, underscored this volatility.</w:t>
      </w:r>
      <w:r w:rsidRPr="006C1E51">
        <w:rPr>
          <w:rFonts w:ascii="Times New Roman" w:hAnsi="Times New Roman" w:cs="Times New Roman"/>
          <w:sz w:val="24"/>
          <w:szCs w:val="24"/>
          <w:vertAlign w:val="superscript"/>
        </w:rPr>
        <w:footnoteReference w:id="37"/>
      </w:r>
      <w:r w:rsidRPr="006C1E51">
        <w:rPr>
          <w:rFonts w:ascii="Times New Roman" w:hAnsi="Times New Roman" w:cs="Times New Roman"/>
          <w:sz w:val="24"/>
          <w:szCs w:val="24"/>
        </w:rPr>
        <w:t xml:space="preserve"> These swings </w:t>
      </w:r>
      <w:r w:rsidR="00CC5F36" w:rsidRPr="006C1E51">
        <w:rPr>
          <w:rFonts w:ascii="Times New Roman" w:hAnsi="Times New Roman" w:cs="Times New Roman"/>
          <w:sz w:val="24"/>
          <w:szCs w:val="24"/>
        </w:rPr>
        <w:t xml:space="preserve">can </w:t>
      </w:r>
      <w:r w:rsidRPr="006C1E51">
        <w:rPr>
          <w:rFonts w:ascii="Times New Roman" w:hAnsi="Times New Roman" w:cs="Times New Roman"/>
          <w:sz w:val="24"/>
          <w:szCs w:val="24"/>
        </w:rPr>
        <w:t>destabilize state agencies and local organizations with the stroke of a pen.</w:t>
      </w:r>
      <w:r w:rsidR="00CC5F36" w:rsidRPr="006C1E51">
        <w:rPr>
          <w:rStyle w:val="FootnoteReference"/>
          <w:rFonts w:ascii="Times New Roman" w:hAnsi="Times New Roman" w:cs="Times New Roman"/>
          <w:sz w:val="24"/>
          <w:szCs w:val="24"/>
        </w:rPr>
        <w:footnoteReference w:id="38"/>
      </w:r>
      <w:bookmarkStart w:id="27" w:name="_dgtb1q6grp1" w:colFirst="0" w:colLast="0"/>
      <w:bookmarkEnd w:id="27"/>
    </w:p>
    <w:p w14:paraId="3226E031" w14:textId="77777777" w:rsidR="00045AE1"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I have seen this firsthand as a trustee of the Maryland Historical Trust (MHT). Recent meetings have included updates from the State Historic Preservation Officer about uncertainty surrounding HPF allocations. Would the funds be released? Slashed again? The unpredictability at the federal level has made it nearly impossible to commit to long‑term projects, even when the </w:t>
      </w:r>
      <w:r w:rsidRPr="006C1E51">
        <w:rPr>
          <w:rFonts w:ascii="Times New Roman" w:hAnsi="Times New Roman" w:cs="Times New Roman"/>
          <w:sz w:val="24"/>
          <w:szCs w:val="24"/>
        </w:rPr>
        <w:lastRenderedPageBreak/>
        <w:t xml:space="preserve">expertise and community willpower existed. It also creates pressure to expedite existing projects out of fear of early cancellation. For example, as chair of the Justice, Equity, Diversity, and Inclusion committee, I </w:t>
      </w:r>
      <w:r w:rsidR="00CC5F36" w:rsidRPr="006C1E51">
        <w:rPr>
          <w:rFonts w:ascii="Times New Roman" w:hAnsi="Times New Roman" w:cs="Times New Roman"/>
          <w:sz w:val="24"/>
          <w:szCs w:val="24"/>
        </w:rPr>
        <w:t>have learned from</w:t>
      </w:r>
      <w:r w:rsidRPr="006C1E51">
        <w:rPr>
          <w:rFonts w:ascii="Times New Roman" w:hAnsi="Times New Roman" w:cs="Times New Roman"/>
          <w:sz w:val="24"/>
          <w:szCs w:val="24"/>
        </w:rPr>
        <w:t xml:space="preserve"> colleagues </w:t>
      </w:r>
      <w:r w:rsidR="00CC5F36" w:rsidRPr="006C1E51">
        <w:rPr>
          <w:rFonts w:ascii="Times New Roman" w:hAnsi="Times New Roman" w:cs="Times New Roman"/>
          <w:sz w:val="24"/>
          <w:szCs w:val="24"/>
        </w:rPr>
        <w:t xml:space="preserve">that there is </w:t>
      </w:r>
      <w:r w:rsidRPr="006C1E51">
        <w:rPr>
          <w:rFonts w:ascii="Times New Roman" w:hAnsi="Times New Roman" w:cs="Times New Roman"/>
          <w:sz w:val="24"/>
          <w:szCs w:val="24"/>
        </w:rPr>
        <w:t xml:space="preserve">interest in documenting the harms </w:t>
      </w:r>
      <w:r w:rsidR="00CC5F36" w:rsidRPr="006C1E51">
        <w:rPr>
          <w:rFonts w:ascii="Times New Roman" w:hAnsi="Times New Roman" w:cs="Times New Roman"/>
          <w:sz w:val="24"/>
          <w:szCs w:val="24"/>
        </w:rPr>
        <w:t xml:space="preserve">of </w:t>
      </w:r>
      <w:r w:rsidRPr="006C1E51">
        <w:rPr>
          <w:rFonts w:ascii="Times New Roman" w:hAnsi="Times New Roman" w:cs="Times New Roman"/>
          <w:sz w:val="24"/>
          <w:szCs w:val="24"/>
        </w:rPr>
        <w:t>preservation inflicted on communities of color</w:t>
      </w:r>
      <w:r w:rsidR="00CC5F36" w:rsidRPr="006C1E51">
        <w:rPr>
          <w:rFonts w:ascii="Times New Roman" w:hAnsi="Times New Roman" w:cs="Times New Roman"/>
          <w:sz w:val="24"/>
          <w:szCs w:val="24"/>
        </w:rPr>
        <w:t>; yet</w:t>
      </w:r>
      <w:r w:rsidRPr="006C1E51">
        <w:rPr>
          <w:rFonts w:ascii="Times New Roman" w:hAnsi="Times New Roman" w:cs="Times New Roman"/>
          <w:sz w:val="24"/>
          <w:szCs w:val="24"/>
        </w:rPr>
        <w:t xml:space="preserve"> resources </w:t>
      </w:r>
      <w:r w:rsidR="00CC5F36" w:rsidRPr="006C1E51">
        <w:rPr>
          <w:rFonts w:ascii="Times New Roman" w:hAnsi="Times New Roman" w:cs="Times New Roman"/>
          <w:sz w:val="24"/>
          <w:szCs w:val="24"/>
        </w:rPr>
        <w:t>are</w:t>
      </w:r>
      <w:r w:rsidRPr="006C1E51">
        <w:rPr>
          <w:rFonts w:ascii="Times New Roman" w:hAnsi="Times New Roman" w:cs="Times New Roman"/>
          <w:sz w:val="24"/>
          <w:szCs w:val="24"/>
        </w:rPr>
        <w:t xml:space="preserve"> insufficient to carry out this research. As a compromise, the committee narrowed its efforts to educational programming</w:t>
      </w:r>
      <w:r w:rsidR="00CC5F36" w:rsidRPr="006C1E51">
        <w:rPr>
          <w:rFonts w:ascii="Times New Roman" w:hAnsi="Times New Roman" w:cs="Times New Roman"/>
          <w:sz w:val="24"/>
          <w:szCs w:val="24"/>
        </w:rPr>
        <w:t xml:space="preserve">; </w:t>
      </w:r>
      <w:r w:rsidRPr="006C1E51">
        <w:rPr>
          <w:rFonts w:ascii="Times New Roman" w:hAnsi="Times New Roman" w:cs="Times New Roman"/>
          <w:sz w:val="24"/>
          <w:szCs w:val="24"/>
        </w:rPr>
        <w:t>valuable, yes, but insufficient for the transformative change the moment demand</w:t>
      </w:r>
      <w:r w:rsidR="00CC5F36" w:rsidRPr="006C1E51">
        <w:rPr>
          <w:rFonts w:ascii="Times New Roman" w:hAnsi="Times New Roman" w:cs="Times New Roman"/>
          <w:sz w:val="24"/>
          <w:szCs w:val="24"/>
        </w:rPr>
        <w:t>s</w:t>
      </w:r>
      <w:r w:rsidRPr="006C1E51">
        <w:rPr>
          <w:rFonts w:ascii="Times New Roman" w:hAnsi="Times New Roman" w:cs="Times New Roman"/>
          <w:sz w:val="24"/>
          <w:szCs w:val="24"/>
        </w:rPr>
        <w:t>.</w:t>
      </w:r>
    </w:p>
    <w:p w14:paraId="0000004D" w14:textId="6CFFF354"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In Maryland, the HPF underpins nearly every facet of preservation. According to Dr. Brenna Spray on MHT’s official blog, HPF dollars have enabled more than 103,000 federal Section 106 reviews since 1986, maintained the Maryland Inventory of Historic Properties (now over 95,000 entries) and National Register listings (1,500+ sites and districts), and supported easement oversight for properties like the Riversdale House Museum.</w:t>
      </w:r>
      <w:r w:rsidR="00CC5F36" w:rsidRPr="006C1E51">
        <w:rPr>
          <w:rStyle w:val="FootnoteReference"/>
          <w:rFonts w:ascii="Times New Roman" w:hAnsi="Times New Roman" w:cs="Times New Roman"/>
          <w:sz w:val="24"/>
          <w:szCs w:val="24"/>
        </w:rPr>
        <w:footnoteReference w:id="39"/>
      </w:r>
      <w:r w:rsidRPr="006C1E51">
        <w:rPr>
          <w:rFonts w:ascii="Times New Roman" w:hAnsi="Times New Roman" w:cs="Times New Roman"/>
          <w:sz w:val="24"/>
          <w:szCs w:val="24"/>
        </w:rPr>
        <w:t xml:space="preserve"> The fund also provides capital for projects such as the 2022 restoration of the Hessian Barracks, underwrites long‑range statewide planning (Heritage2031), strengthens municipalities via the Certified Local Government program (over $2.4 million since 2001), and sustains technical assistance, tax incentives, and documentation of underrepresented histories such as Maryland’s women’s suffrage movement. In short, HPF resources are the backbone of Maryland’s preservation infrastructure, linking compliance, planning, and equity initiatives across state and local contexts.</w:t>
      </w:r>
    </w:p>
    <w:p w14:paraId="2602B56F" w14:textId="2CBAB12F" w:rsidR="00185FA1" w:rsidRPr="006C1E51" w:rsidRDefault="00C5531F" w:rsidP="00045AE1">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Also at the state level, Maryland recently enacted JUST Communities legislation, designed to align housing, planning, and infrastructure with equity principles.</w:t>
      </w:r>
      <w:r w:rsidRPr="006C1E51">
        <w:rPr>
          <w:rFonts w:ascii="Times New Roman" w:hAnsi="Times New Roman" w:cs="Times New Roman"/>
          <w:sz w:val="24"/>
          <w:szCs w:val="24"/>
          <w:vertAlign w:val="superscript"/>
        </w:rPr>
        <w:footnoteReference w:id="40"/>
      </w:r>
      <w:r w:rsidRPr="006C1E51">
        <w:rPr>
          <w:rFonts w:ascii="Times New Roman" w:hAnsi="Times New Roman" w:cs="Times New Roman"/>
          <w:sz w:val="24"/>
          <w:szCs w:val="24"/>
        </w:rPr>
        <w:t xml:space="preserve"> This is a </w:t>
      </w:r>
      <w:r w:rsidRPr="006C1E51">
        <w:rPr>
          <w:rFonts w:ascii="Times New Roman" w:hAnsi="Times New Roman" w:cs="Times New Roman"/>
          <w:sz w:val="24"/>
          <w:szCs w:val="24"/>
        </w:rPr>
        <w:lastRenderedPageBreak/>
        <w:t>meaningful step forward, acknowledging that policy must go beyond market efficiency to address justice</w:t>
      </w:r>
      <w:r w:rsidR="00185FA1" w:rsidRPr="006C1E51">
        <w:rPr>
          <w:rFonts w:ascii="Times New Roman" w:hAnsi="Times New Roman" w:cs="Times New Roman"/>
          <w:sz w:val="24"/>
          <w:szCs w:val="24"/>
        </w:rPr>
        <w:t>; however,</w:t>
      </w:r>
      <w:r w:rsidRPr="006C1E51">
        <w:rPr>
          <w:rFonts w:ascii="Times New Roman" w:hAnsi="Times New Roman" w:cs="Times New Roman"/>
          <w:sz w:val="24"/>
          <w:szCs w:val="24"/>
        </w:rPr>
        <w:t xml:space="preserve"> Rural Black settlements—descendant communities often founded as freedom colonies—remain excluded from the benefits of such programs due to quantitative measures they cannot </w:t>
      </w:r>
      <w:r w:rsidR="00185FA1" w:rsidRPr="006C1E51">
        <w:rPr>
          <w:rFonts w:ascii="Times New Roman" w:hAnsi="Times New Roman" w:cs="Times New Roman"/>
          <w:sz w:val="24"/>
          <w:szCs w:val="24"/>
        </w:rPr>
        <w:t>meet due to the state’s methodology collecting data</w:t>
      </w:r>
      <w:r w:rsidRPr="006C1E51">
        <w:rPr>
          <w:rFonts w:ascii="Times New Roman" w:hAnsi="Times New Roman" w:cs="Times New Roman"/>
          <w:sz w:val="24"/>
          <w:szCs w:val="24"/>
        </w:rPr>
        <w:t>.</w:t>
      </w:r>
      <w:r w:rsidR="00185FA1" w:rsidRPr="006C1E51">
        <w:rPr>
          <w:rStyle w:val="FootnoteReference"/>
          <w:rFonts w:ascii="Times New Roman" w:hAnsi="Times New Roman" w:cs="Times New Roman"/>
          <w:sz w:val="24"/>
          <w:szCs w:val="24"/>
        </w:rPr>
        <w:footnoteReference w:id="41"/>
      </w:r>
      <w:r w:rsidRPr="006C1E51">
        <w:rPr>
          <w:rFonts w:ascii="Times New Roman" w:hAnsi="Times New Roman" w:cs="Times New Roman"/>
          <w:sz w:val="24"/>
          <w:szCs w:val="24"/>
        </w:rPr>
        <w:t xml:space="preserve"> Out of 419 Just Communities designations, very few are on Maryland’s rural Eastern Shore</w:t>
      </w:r>
      <w:r w:rsidR="00185FA1" w:rsidRPr="006C1E51">
        <w:rPr>
          <w:rFonts w:ascii="Times New Roman" w:hAnsi="Times New Roman" w:cs="Times New Roman"/>
          <w:sz w:val="24"/>
          <w:szCs w:val="24"/>
        </w:rPr>
        <w:t>, mostly due to the lack of data or low populations levels</w:t>
      </w:r>
      <w:r w:rsidR="00986ACE" w:rsidRPr="006C1E51">
        <w:rPr>
          <w:rFonts w:ascii="Times New Roman" w:hAnsi="Times New Roman" w:cs="Times New Roman"/>
          <w:sz w:val="24"/>
          <w:szCs w:val="24"/>
        </w:rPr>
        <w:t xml:space="preserve"> (see fig. 7)</w:t>
      </w:r>
      <w:r w:rsidR="00185FA1" w:rsidRPr="006C1E51">
        <w:rPr>
          <w:rFonts w:ascii="Times New Roman" w:hAnsi="Times New Roman" w:cs="Times New Roman"/>
          <w:sz w:val="24"/>
          <w:szCs w:val="24"/>
        </w:rPr>
        <w:t>.</w:t>
      </w:r>
      <w:r w:rsidR="00185FA1" w:rsidRPr="006C1E51">
        <w:rPr>
          <w:rFonts w:ascii="Times New Roman" w:hAnsi="Times New Roman" w:cs="Times New Roman"/>
          <w:sz w:val="24"/>
          <w:szCs w:val="24"/>
          <w:vertAlign w:val="superscript"/>
        </w:rPr>
        <w:t xml:space="preserve"> </w:t>
      </w:r>
      <w:r w:rsidR="00045AE1" w:rsidRPr="006C1E51">
        <w:rPr>
          <w:rFonts w:ascii="Times New Roman" w:hAnsi="Times New Roman" w:cs="Times New Roman"/>
          <w:sz w:val="24"/>
          <w:szCs w:val="24"/>
          <w:vertAlign w:val="superscript"/>
        </w:rPr>
        <w:t xml:space="preserve"> </w:t>
      </w:r>
      <w:r w:rsidR="00045AE1" w:rsidRPr="006C1E51">
        <w:rPr>
          <w:rFonts w:ascii="Times New Roman" w:hAnsi="Times New Roman" w:cs="Times New Roman"/>
          <w:sz w:val="24"/>
          <w:szCs w:val="24"/>
        </w:rPr>
        <w:t>Rural communities continue to struggle with housing reinvestment, infrastructure upgrades, and resource development. Without targeted mechanisms, these equity programs risk bypassing the very communities they purport to serve.</w:t>
      </w:r>
    </w:p>
    <w:p w14:paraId="42906C99" w14:textId="77777777" w:rsidR="00185FA1" w:rsidRPr="006C1E51" w:rsidRDefault="00185FA1" w:rsidP="00775270">
      <w:pPr>
        <w:keepNext/>
        <w:spacing w:before="240" w:after="240" w:line="480" w:lineRule="auto"/>
        <w:jc w:val="center"/>
        <w:rPr>
          <w:rFonts w:ascii="Times New Roman" w:hAnsi="Times New Roman" w:cs="Times New Roman"/>
          <w:sz w:val="24"/>
          <w:szCs w:val="24"/>
        </w:rPr>
      </w:pPr>
      <w:r w:rsidRPr="006C1E51">
        <w:rPr>
          <w:rFonts w:ascii="Times New Roman" w:hAnsi="Times New Roman" w:cs="Times New Roman"/>
          <w:noProof/>
          <w:sz w:val="24"/>
          <w:szCs w:val="24"/>
        </w:rPr>
        <w:drawing>
          <wp:inline distT="0" distB="0" distL="0" distR="0" wp14:anchorId="5381D581" wp14:editId="6AF16521">
            <wp:extent cx="5152508" cy="2661028"/>
            <wp:effectExtent l="0" t="0" r="3810" b="6350"/>
            <wp:docPr id="51339950"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39950" name="Picture 1" descr="A map of a city&#10;&#10;AI-generated content may be incorrect."/>
                    <pic:cNvPicPr/>
                  </pic:nvPicPr>
                  <pic:blipFill>
                    <a:blip r:embed="rId17" cstate="email">
                      <a:extLst>
                        <a:ext uri="{28A0092B-C50C-407E-A947-70E740481C1C}">
                          <a14:useLocalDpi xmlns:a14="http://schemas.microsoft.com/office/drawing/2010/main"/>
                        </a:ext>
                      </a:extLst>
                    </a:blip>
                    <a:stretch>
                      <a:fillRect/>
                    </a:stretch>
                  </pic:blipFill>
                  <pic:spPr>
                    <a:xfrm>
                      <a:off x="0" y="0"/>
                      <a:ext cx="5157667" cy="2663692"/>
                    </a:xfrm>
                    <a:prstGeom prst="rect">
                      <a:avLst/>
                    </a:prstGeom>
                  </pic:spPr>
                </pic:pic>
              </a:graphicData>
            </a:graphic>
          </wp:inline>
        </w:drawing>
      </w:r>
    </w:p>
    <w:p w14:paraId="34B0AB6F" w14:textId="26FB3336" w:rsidR="00185FA1" w:rsidRPr="006C1E51" w:rsidRDefault="00185FA1" w:rsidP="00F50E4B">
      <w:pPr>
        <w:pStyle w:val="Caption"/>
      </w:pPr>
      <w:bookmarkStart w:id="28" w:name="_Toc220011002"/>
      <w:r w:rsidRPr="006C1E51">
        <w:t xml:space="preserve">Figure </w:t>
      </w:r>
      <w:r w:rsidRPr="006C1E51">
        <w:fldChar w:fldCharType="begin"/>
      </w:r>
      <w:r w:rsidRPr="006C1E51">
        <w:instrText xml:space="preserve"> SEQ Figure \* ARABIC </w:instrText>
      </w:r>
      <w:r w:rsidRPr="006C1E51">
        <w:fldChar w:fldCharType="separate"/>
      </w:r>
      <w:r w:rsidR="00C63ED1" w:rsidRPr="006C1E51">
        <w:rPr>
          <w:noProof/>
        </w:rPr>
        <w:t>7</w:t>
      </w:r>
      <w:r w:rsidRPr="006C1E51">
        <w:fldChar w:fldCharType="end"/>
      </w:r>
      <w:r w:rsidRPr="006C1E51">
        <w:t xml:space="preserve">. Maryland Department of Housing and Community Development (DHCD) Division of Just Communities designated areas </w:t>
      </w:r>
      <w:r w:rsidR="00045AE1" w:rsidRPr="006C1E51">
        <w:t>(</w:t>
      </w:r>
      <w:r w:rsidRPr="006C1E51">
        <w:t>highlighted in purple</w:t>
      </w:r>
      <w:r w:rsidR="00045AE1" w:rsidRPr="006C1E51">
        <w:t>).</w:t>
      </w:r>
      <w:bookmarkEnd w:id="28"/>
      <w:r w:rsidRPr="006C1E51">
        <w:t xml:space="preserve"> </w:t>
      </w:r>
    </w:p>
    <w:p w14:paraId="0000004F" w14:textId="578C59F1" w:rsidR="0006233B" w:rsidRPr="006C1E51" w:rsidRDefault="00C5531F" w:rsidP="00775270">
      <w:pPr>
        <w:pStyle w:val="Heading3"/>
      </w:pPr>
      <w:bookmarkStart w:id="29" w:name="_Toc220011083"/>
      <w:r w:rsidRPr="006C1E51">
        <w:lastRenderedPageBreak/>
        <w:t>Local Politics</w:t>
      </w:r>
      <w:bookmarkEnd w:id="29"/>
    </w:p>
    <w:p w14:paraId="1BA82153" w14:textId="7F322D4D" w:rsidR="00775270" w:rsidRPr="006C1E51" w:rsidRDefault="00775270" w:rsidP="00775270">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At the local level, politics are equally critical. Ordinances dictate whose history is worthy of recognition, and preservation commissions wield authority that can either reinforce exclusion or open new possibilities. In historic Chestertown, Maryland, a development proposal at 206 Cannon Street sparked resistance due to its out‑of‑character scale compared to the rest of the community.  Residents reminded the Historic District Commission of its ordinance requiring consideration of cultural significance and pointed to a new $50,000 Maryland Historical Trust grant to update the district’s nomination to reflect African American history. State priorities and local law were marshaled together to delay the perceived “inappropriate” development. This episode underscores how political will determines what is preserved—and, ultimately, who benefits—in the ongoing saga of preservation’s policy winners and losers.</w:t>
      </w:r>
    </w:p>
    <w:p w14:paraId="08F06B1A" w14:textId="32D9F438" w:rsidR="00A93088" w:rsidRPr="006C1E51" w:rsidRDefault="00A93088"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That grant, however, did not function as a neutral or abstract policy tool. I participated in this process alongside my team at Chesapeake Heartland: An African American Humanities Project, helping to support the research, documentation, and community engagement that informed the grant’s use and strengthened its application on the ground.</w:t>
      </w:r>
      <w:r w:rsidRPr="006C1E51">
        <w:rPr>
          <w:rStyle w:val="FootnoteReference"/>
          <w:rFonts w:ascii="Times New Roman" w:hAnsi="Times New Roman" w:cs="Times New Roman"/>
          <w:sz w:val="24"/>
          <w:szCs w:val="24"/>
        </w:rPr>
        <w:footnoteReference w:id="42"/>
      </w:r>
      <w:r w:rsidRPr="006C1E51">
        <w:rPr>
          <w:rFonts w:ascii="Times New Roman" w:hAnsi="Times New Roman" w:cs="Times New Roman"/>
          <w:sz w:val="24"/>
          <w:szCs w:val="24"/>
        </w:rPr>
        <w:t xml:space="preserve"> Through intentional outreach, archival work, and field engagement, we worked to bring descendant and community knowledge into the preservation process at the moment it mattered most—when local decision-makers were weighing questions of significance, scale, and appropriateness. In this context, community voices were not simply cited rhetorically; they were mobilized as evidence, </w:t>
      </w:r>
      <w:r w:rsidRPr="006C1E51">
        <w:rPr>
          <w:rFonts w:ascii="Times New Roman" w:hAnsi="Times New Roman" w:cs="Times New Roman"/>
          <w:sz w:val="24"/>
          <w:szCs w:val="24"/>
        </w:rPr>
        <w:lastRenderedPageBreak/>
        <w:t>reinforcing how political authority, funding mechanisms, and grassroots knowledge can converge to reshape preservation outcomes.</w:t>
      </w:r>
    </w:p>
    <w:p w14:paraId="6B4F5C04" w14:textId="77777777" w:rsidR="00664594" w:rsidRPr="006C1E51" w:rsidRDefault="00A93088" w:rsidP="00775270">
      <w:pPr>
        <w:keepNext/>
        <w:spacing w:before="240" w:after="240" w:line="480" w:lineRule="auto"/>
        <w:ind w:firstLine="720"/>
        <w:jc w:val="center"/>
        <w:rPr>
          <w:rFonts w:ascii="Times New Roman" w:hAnsi="Times New Roman" w:cs="Times New Roman"/>
          <w:sz w:val="24"/>
          <w:szCs w:val="24"/>
        </w:rPr>
      </w:pPr>
      <w:r w:rsidRPr="006C1E51">
        <w:rPr>
          <w:rFonts w:ascii="Times New Roman" w:hAnsi="Times New Roman" w:cs="Times New Roman"/>
          <w:sz w:val="24"/>
          <w:szCs w:val="24"/>
        </w:rPr>
        <w:fldChar w:fldCharType="begin"/>
      </w:r>
      <w:r w:rsidRPr="006C1E51">
        <w:rPr>
          <w:rFonts w:ascii="Times New Roman" w:hAnsi="Times New Roman" w:cs="Times New Roman"/>
          <w:sz w:val="24"/>
          <w:szCs w:val="24"/>
        </w:rPr>
        <w:instrText xml:space="preserve"> INCLUDEPICTURE "https://media.licdn.com/dms/image/v2/D4E22AQHBqOB1xsGxfQ/feedshare-shrink_1280/B4EZru_tydIoAs-/0/1764946286139?e=1767225600&amp;v=beta&amp;t=2clfP9JTe_M0WzUCjvXcSthKl_Wcx-otN2t9AxHsFfM" \* MERGEFORMATINET </w:instrText>
      </w:r>
      <w:r w:rsidRPr="006C1E51">
        <w:rPr>
          <w:rFonts w:ascii="Times New Roman" w:hAnsi="Times New Roman" w:cs="Times New Roman"/>
          <w:sz w:val="24"/>
          <w:szCs w:val="24"/>
        </w:rPr>
        <w:fldChar w:fldCharType="separate"/>
      </w:r>
      <w:r w:rsidRPr="006C1E51">
        <w:rPr>
          <w:rFonts w:ascii="Times New Roman" w:hAnsi="Times New Roman" w:cs="Times New Roman"/>
          <w:noProof/>
          <w:sz w:val="24"/>
          <w:szCs w:val="24"/>
        </w:rPr>
        <w:drawing>
          <wp:inline distT="0" distB="0" distL="0" distR="0" wp14:anchorId="7681C0AB" wp14:editId="587A67EA">
            <wp:extent cx="3871609" cy="5164627"/>
            <wp:effectExtent l="0" t="0" r="1905" b="4445"/>
            <wp:docPr id="1459836221" name="Picture 2" descr="No alternative text description for this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ber1402" descr="No alternative text description for this image"/>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3884086" cy="5181271"/>
                    </a:xfrm>
                    <a:prstGeom prst="rect">
                      <a:avLst/>
                    </a:prstGeom>
                    <a:noFill/>
                    <a:ln>
                      <a:noFill/>
                    </a:ln>
                  </pic:spPr>
                </pic:pic>
              </a:graphicData>
            </a:graphic>
          </wp:inline>
        </w:drawing>
      </w:r>
      <w:r w:rsidRPr="006C1E51">
        <w:rPr>
          <w:rFonts w:ascii="Times New Roman" w:hAnsi="Times New Roman" w:cs="Times New Roman"/>
          <w:sz w:val="24"/>
          <w:szCs w:val="24"/>
        </w:rPr>
        <w:fldChar w:fldCharType="end"/>
      </w:r>
    </w:p>
    <w:p w14:paraId="135FF7FC" w14:textId="5F336B6A" w:rsidR="00A93088" w:rsidRPr="006C1E51" w:rsidRDefault="00664594" w:rsidP="00F50E4B">
      <w:pPr>
        <w:pStyle w:val="Caption"/>
      </w:pPr>
      <w:bookmarkStart w:id="30" w:name="_Toc220011003"/>
      <w:r w:rsidRPr="006C1E51">
        <w:t xml:space="preserve">Figure </w:t>
      </w:r>
      <w:r w:rsidRPr="006C1E51">
        <w:fldChar w:fldCharType="begin"/>
      </w:r>
      <w:r w:rsidRPr="006C1E51">
        <w:instrText xml:space="preserve"> SEQ Figure \* ARABIC </w:instrText>
      </w:r>
      <w:r w:rsidRPr="006C1E51">
        <w:fldChar w:fldCharType="separate"/>
      </w:r>
      <w:r w:rsidR="00C63ED1" w:rsidRPr="006C1E51">
        <w:rPr>
          <w:noProof/>
        </w:rPr>
        <w:t>8</w:t>
      </w:r>
      <w:r w:rsidRPr="006C1E51">
        <w:fldChar w:fldCharType="end"/>
      </w:r>
      <w:r w:rsidRPr="006C1E51">
        <w:t xml:space="preserve">. Darius Johnson speaking at a December 3, </w:t>
      </w:r>
      <w:r w:rsidR="00FD6498" w:rsidRPr="006C1E51">
        <w:t>2025,</w:t>
      </w:r>
      <w:r w:rsidRPr="006C1E51">
        <w:t xml:space="preserve"> public program on revising Chestertown’s National Register Historic District. Image courtesy of the author.</w:t>
      </w:r>
      <w:bookmarkEnd w:id="30"/>
    </w:p>
    <w:p w14:paraId="00000050" w14:textId="0FB474F6" w:rsidR="0006233B" w:rsidRPr="006C1E51" w:rsidRDefault="00C5531F" w:rsidP="00775270">
      <w:pPr>
        <w:pStyle w:val="Heading3"/>
      </w:pPr>
      <w:bookmarkStart w:id="31" w:name="_Toc220011084"/>
      <w:r w:rsidRPr="006C1E51">
        <w:t>Grassroots Politics</w:t>
      </w:r>
      <w:bookmarkEnd w:id="31"/>
    </w:p>
    <w:p w14:paraId="4C142F5A" w14:textId="6EA29DA8" w:rsidR="00775270" w:rsidRPr="006C1E51" w:rsidRDefault="00775270" w:rsidP="00775270">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Policy is core to heritage work across all levels of government. But what are the implications of having an approach to developing grassroots level policy? Policies created by </w:t>
      </w:r>
      <w:r w:rsidRPr="006C1E51">
        <w:rPr>
          <w:rFonts w:ascii="Times New Roman" w:hAnsi="Times New Roman" w:cs="Times New Roman"/>
          <w:sz w:val="24"/>
          <w:szCs w:val="24"/>
        </w:rPr>
        <w:lastRenderedPageBreak/>
        <w:t>communities for their own benefit can function internally within community structures or be advanced through formal government channels. For example, in Baltimore, Maryland, the movement of “No Shoot Zones” spread to declare safe areas in communities where gun violence was a threat.</w:t>
      </w:r>
      <w:r w:rsidRPr="006C1E51">
        <w:rPr>
          <w:rStyle w:val="FootnoteReference"/>
          <w:rFonts w:ascii="Times New Roman" w:hAnsi="Times New Roman" w:cs="Times New Roman"/>
          <w:b/>
          <w:bCs/>
          <w:sz w:val="24"/>
          <w:szCs w:val="24"/>
        </w:rPr>
        <w:footnoteReference w:id="43"/>
      </w:r>
      <w:r w:rsidRPr="006C1E51">
        <w:rPr>
          <w:rFonts w:ascii="Times New Roman" w:hAnsi="Times New Roman" w:cs="Times New Roman"/>
          <w:sz w:val="24"/>
          <w:szCs w:val="24"/>
        </w:rPr>
        <w:t xml:space="preserve"> The zones were indicated by murals and signs to influence behavior</w:t>
      </w:r>
      <w:r w:rsidR="00B72D18" w:rsidRPr="006C1E51">
        <w:rPr>
          <w:rFonts w:ascii="Times New Roman" w:hAnsi="Times New Roman" w:cs="Times New Roman"/>
          <w:sz w:val="24"/>
          <w:szCs w:val="24"/>
        </w:rPr>
        <w:t xml:space="preserve"> (see fig. 8)</w:t>
      </w:r>
      <w:r w:rsidRPr="006C1E51">
        <w:rPr>
          <w:rFonts w:ascii="Times New Roman" w:hAnsi="Times New Roman" w:cs="Times New Roman"/>
          <w:sz w:val="24"/>
          <w:szCs w:val="24"/>
        </w:rPr>
        <w:t>. While the zones had no legal standing, and they did not always succeed, they sent a clear message about the community’s vision for their daily lives and were enforced through social accountability.</w:t>
      </w:r>
      <w:r w:rsidRPr="006C1E51">
        <w:rPr>
          <w:rStyle w:val="FootnoteReference"/>
          <w:rFonts w:ascii="Times New Roman" w:hAnsi="Times New Roman" w:cs="Times New Roman"/>
          <w:b/>
          <w:bCs/>
          <w:sz w:val="24"/>
          <w:szCs w:val="24"/>
        </w:rPr>
        <w:footnoteReference w:id="44"/>
      </w:r>
    </w:p>
    <w:p w14:paraId="7194C995" w14:textId="77777777" w:rsidR="00F540AA" w:rsidRPr="006C1E51" w:rsidRDefault="00F540AA" w:rsidP="00775270">
      <w:pPr>
        <w:keepNext/>
        <w:spacing w:before="240" w:after="240" w:line="480" w:lineRule="auto"/>
        <w:jc w:val="center"/>
        <w:rPr>
          <w:rFonts w:ascii="Times New Roman" w:hAnsi="Times New Roman" w:cs="Times New Roman"/>
          <w:sz w:val="24"/>
          <w:szCs w:val="24"/>
        </w:rPr>
      </w:pPr>
      <w:r w:rsidRPr="006C1E51">
        <w:rPr>
          <w:rFonts w:ascii="Times New Roman" w:hAnsi="Times New Roman" w:cs="Times New Roman"/>
          <w:noProof/>
          <w:sz w:val="24"/>
          <w:szCs w:val="24"/>
        </w:rPr>
        <w:drawing>
          <wp:inline distT="0" distB="0" distL="0" distR="0" wp14:anchorId="6003B8FD" wp14:editId="6379F35F">
            <wp:extent cx="3589506" cy="2014714"/>
            <wp:effectExtent l="0" t="0" r="5080" b="5080"/>
            <wp:docPr id="566053429" name="Picture 1" descr="Knife-wielding Baltimore activis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nife-wielding Baltimore activist ..."/>
                    <pic:cNvPicPr>
                      <a:picLocks noChangeAspect="1" noChangeArrowheads="1"/>
                    </pic:cNvPicPr>
                  </pic:nvPicPr>
                  <pic:blipFill>
                    <a:blip r:embed="rId19">
                      <a:extLst>
                        <a:ext uri="{28A0092B-C50C-407E-A947-70E740481C1C}">
                          <a14:useLocalDpi xmlns:a14="http://schemas.microsoft.com/office/drawing/2010/main"/>
                        </a:ext>
                      </a:extLst>
                    </a:blip>
                    <a:srcRect/>
                    <a:stretch>
                      <a:fillRect/>
                    </a:stretch>
                  </pic:blipFill>
                  <pic:spPr bwMode="auto">
                    <a:xfrm>
                      <a:off x="0" y="0"/>
                      <a:ext cx="3620479" cy="2032098"/>
                    </a:xfrm>
                    <a:prstGeom prst="rect">
                      <a:avLst/>
                    </a:prstGeom>
                    <a:noFill/>
                    <a:ln>
                      <a:noFill/>
                    </a:ln>
                  </pic:spPr>
                </pic:pic>
              </a:graphicData>
            </a:graphic>
          </wp:inline>
        </w:drawing>
      </w:r>
    </w:p>
    <w:p w14:paraId="7CF96C56" w14:textId="28E77382" w:rsidR="00F540AA" w:rsidRPr="006C1E51" w:rsidRDefault="00F540AA" w:rsidP="00F50E4B">
      <w:pPr>
        <w:pStyle w:val="Caption"/>
      </w:pPr>
      <w:r w:rsidRPr="006C1E51">
        <w:t>Figure 8. “No Shoot Zone” graffiti in Baltimore, Maryland, captured in a WBAL-TV news report on November 7, 2022.</w:t>
      </w:r>
    </w:p>
    <w:p w14:paraId="00000051" w14:textId="2C808B0B"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Just as “No Shoot Zones” established grassroots policies without traditional government intervention, heritage work can benefit from Black communities empowered to create their own policies about storytelling rights (e.g., “Who gets to document our stories?”), agreements about land use and ownership (e.g., sharing land with community members), or rules for protecting the </w:t>
      </w:r>
      <w:r w:rsidRPr="006C1E51">
        <w:rPr>
          <w:rFonts w:ascii="Times New Roman" w:hAnsi="Times New Roman" w:cs="Times New Roman"/>
          <w:sz w:val="24"/>
          <w:szCs w:val="24"/>
        </w:rPr>
        <w:lastRenderedPageBreak/>
        <w:t>community cemetery (rotating maintenance). These policies may lack formal statutory authority, but they still guide practice, protect resources, and give communities a direct role in shaping their futures. Many communities have these grassroots policies already in practice</w:t>
      </w:r>
      <w:r w:rsidR="00EB7D71" w:rsidRPr="006C1E51">
        <w:rPr>
          <w:rFonts w:ascii="Times New Roman" w:hAnsi="Times New Roman" w:cs="Times New Roman"/>
          <w:sz w:val="24"/>
          <w:szCs w:val="24"/>
        </w:rPr>
        <w:t xml:space="preserve"> </w:t>
      </w:r>
      <w:r w:rsidRPr="006C1E51">
        <w:rPr>
          <w:rFonts w:ascii="Times New Roman" w:hAnsi="Times New Roman" w:cs="Times New Roman"/>
          <w:sz w:val="24"/>
          <w:szCs w:val="24"/>
        </w:rPr>
        <w:t>and this thesis follows their model to articulate a formal framework for those who need it</w:t>
      </w:r>
      <w:r w:rsidR="00EB7D71" w:rsidRPr="006C1E51">
        <w:rPr>
          <w:rFonts w:ascii="Times New Roman" w:hAnsi="Times New Roman" w:cs="Times New Roman"/>
          <w:sz w:val="24"/>
          <w:szCs w:val="24"/>
        </w:rPr>
        <w:t xml:space="preserve">; however, </w:t>
      </w:r>
      <w:r w:rsidR="00F540AA" w:rsidRPr="006C1E51">
        <w:rPr>
          <w:rFonts w:ascii="Times New Roman" w:hAnsi="Times New Roman" w:cs="Times New Roman"/>
          <w:sz w:val="24"/>
          <w:szCs w:val="24"/>
        </w:rPr>
        <w:t>there is no doubt that grassroots policies are not without weakness.</w:t>
      </w:r>
    </w:p>
    <w:p w14:paraId="31FFAC08" w14:textId="77777777" w:rsidR="00F540AA" w:rsidRPr="006C1E51" w:rsidRDefault="00F540AA"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Ironically, and tragically, the founder of “No Shoot Zones” was ultimately killed by the very gun violence he spent years trying to prevent, underscoring how deeply entrenched those conditions remain. Even the most well‑intentioned community and policy interventions can be overwhelmed or undermined when the structural forces that necessitated them—chronic disinvestment, unstable safety, and limited alternatives—are left fundamentally unchanged. </w:t>
      </w:r>
      <w:bookmarkStart w:id="32" w:name="_fu79bkz6rqrm" w:colFirst="0" w:colLast="0"/>
      <w:bookmarkEnd w:id="32"/>
    </w:p>
    <w:p w14:paraId="45EE32BB" w14:textId="6C05368E" w:rsidR="00F540AA" w:rsidRPr="006C1E51" w:rsidRDefault="00F540AA"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For a CHC approach, the implication is clear: political volatility, institutional restructuring, and deeply engrained social dynamics, can erase decades of work in an instant; while local ordinance decisions quietly determine whose heritage counts and whose is expendable. How could the idea of “No Shoot Zones” translate into messages that focus on cultural and community sustainability? Such as “No Development Without Displacement” or “Preserving Humanity &gt; Preserving Historic Windows” or even community agreements where family members get first right of refusal in historically black neighborhoods. Communities should therefore not only react to shifting political landscapes but proactively craft their own cooperative policy tools to stabilize, democratize, and sustain heritage stewardship over time. There is no reason why local and state policy can’t follow or meet what is desired from those in the grassroots.</w:t>
      </w:r>
    </w:p>
    <w:p w14:paraId="51B2CADE" w14:textId="77777777" w:rsidR="00045AE1" w:rsidRPr="006C1E51" w:rsidRDefault="00045AE1">
      <w:pPr>
        <w:rPr>
          <w:rFonts w:ascii="Times New Roman" w:hAnsi="Times New Roman" w:cs="Times New Roman"/>
          <w:b/>
          <w:bCs/>
          <w:sz w:val="24"/>
          <w:szCs w:val="24"/>
          <w:u w:val="single"/>
        </w:rPr>
      </w:pPr>
      <w:r w:rsidRPr="006C1E51">
        <w:rPr>
          <w:rFonts w:ascii="Times New Roman" w:hAnsi="Times New Roman" w:cs="Times New Roman"/>
        </w:rPr>
        <w:br w:type="page"/>
      </w:r>
    </w:p>
    <w:p w14:paraId="00000053" w14:textId="597DFF2A" w:rsidR="0006233B" w:rsidRPr="006C1E51" w:rsidRDefault="00E36027" w:rsidP="00775270">
      <w:pPr>
        <w:pStyle w:val="Heading2"/>
        <w:keepNext w:val="0"/>
        <w:keepLines w:val="0"/>
        <w:spacing w:line="480" w:lineRule="auto"/>
        <w:rPr>
          <w:rFonts w:ascii="Times New Roman" w:hAnsi="Times New Roman" w:cs="Times New Roman"/>
        </w:rPr>
      </w:pPr>
      <w:bookmarkStart w:id="33" w:name="_Toc220011085"/>
      <w:r w:rsidRPr="006C1E51">
        <w:rPr>
          <w:rFonts w:ascii="Times New Roman" w:hAnsi="Times New Roman" w:cs="Times New Roman"/>
        </w:rPr>
        <w:lastRenderedPageBreak/>
        <w:t>Economic</w:t>
      </w:r>
      <w:bookmarkEnd w:id="33"/>
    </w:p>
    <w:p w14:paraId="00000054" w14:textId="702D8374"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Economically, the U.S., while having a relatively strong market, endures volatility that is felt across sectors.</w:t>
      </w:r>
      <w:r w:rsidRPr="006C1E51">
        <w:rPr>
          <w:rFonts w:ascii="Times New Roman" w:hAnsi="Times New Roman" w:cs="Times New Roman"/>
          <w:sz w:val="24"/>
          <w:szCs w:val="24"/>
          <w:vertAlign w:val="superscript"/>
        </w:rPr>
        <w:footnoteReference w:id="45"/>
      </w:r>
      <w:r w:rsidRPr="006C1E51">
        <w:rPr>
          <w:rFonts w:ascii="Times New Roman" w:hAnsi="Times New Roman" w:cs="Times New Roman"/>
          <w:sz w:val="24"/>
          <w:szCs w:val="24"/>
        </w:rPr>
        <w:t xml:space="preserve"> Gains are concentrated among those already holding wealth, leaving others squeezed. In Maryland, a structural deficit pressures hospitals, local governments, and nonprofits.</w:t>
      </w:r>
      <w:r w:rsidRPr="006C1E51">
        <w:rPr>
          <w:rFonts w:ascii="Times New Roman" w:hAnsi="Times New Roman" w:cs="Times New Roman"/>
          <w:sz w:val="24"/>
          <w:szCs w:val="24"/>
          <w:vertAlign w:val="superscript"/>
        </w:rPr>
        <w:footnoteReference w:id="46"/>
      </w:r>
      <w:r w:rsidRPr="006C1E51">
        <w:rPr>
          <w:rFonts w:ascii="Times New Roman" w:hAnsi="Times New Roman" w:cs="Times New Roman"/>
          <w:sz w:val="24"/>
          <w:szCs w:val="24"/>
        </w:rPr>
        <w:t xml:space="preserve"> For small businesses or groups of alumni trying to restore a Rosenwald School in Kent County, funding barriers are existential. One of </w:t>
      </w:r>
      <w:r w:rsidR="009C6E7C" w:rsidRPr="006C1E51">
        <w:rPr>
          <w:rFonts w:ascii="Times New Roman" w:hAnsi="Times New Roman" w:cs="Times New Roman"/>
          <w:sz w:val="24"/>
          <w:szCs w:val="24"/>
        </w:rPr>
        <w:t xml:space="preserve">Maryland’s and the </w:t>
      </w:r>
      <w:r w:rsidRPr="006C1E51">
        <w:rPr>
          <w:rFonts w:ascii="Times New Roman" w:hAnsi="Times New Roman" w:cs="Times New Roman"/>
          <w:sz w:val="24"/>
          <w:szCs w:val="24"/>
        </w:rPr>
        <w:t>Eastern Shore’s strongest industries is the nonprofit sector itself; however, the abundance of need often pits bootstrapping organizations against each other in the pursuit of shrinking public and private funding.</w:t>
      </w:r>
      <w:r w:rsidR="009C6E7C" w:rsidRPr="006C1E51">
        <w:rPr>
          <w:rStyle w:val="FootnoteReference"/>
          <w:rFonts w:ascii="Times New Roman" w:hAnsi="Times New Roman" w:cs="Times New Roman"/>
          <w:sz w:val="24"/>
          <w:szCs w:val="24"/>
        </w:rPr>
        <w:footnoteReference w:id="47"/>
      </w:r>
      <w:r w:rsidRPr="006C1E51">
        <w:rPr>
          <w:rFonts w:ascii="Times New Roman" w:hAnsi="Times New Roman" w:cs="Times New Roman"/>
          <w:sz w:val="24"/>
          <w:szCs w:val="24"/>
        </w:rPr>
        <w:t xml:space="preserve"> </w:t>
      </w:r>
    </w:p>
    <w:p w14:paraId="00000055" w14:textId="41FBBBC5"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Preservation has always been justified in economic terms. Landmark studies by PlaceEconomics, the National Trust for Historic Preservation, and the Campaign for Historic Trades demonstrate that preservation contributes billions to GDP, generates hundreds of thousands of jobs, and anchors tourism and downtown revitalization.</w:t>
      </w:r>
      <w:r w:rsidRPr="006C1E51">
        <w:rPr>
          <w:rFonts w:ascii="Times New Roman" w:hAnsi="Times New Roman" w:cs="Times New Roman"/>
          <w:sz w:val="24"/>
          <w:szCs w:val="24"/>
          <w:vertAlign w:val="superscript"/>
        </w:rPr>
        <w:footnoteReference w:id="48"/>
      </w:r>
      <w:r w:rsidR="00394E1F" w:rsidRPr="006C1E51">
        <w:rPr>
          <w:rFonts w:ascii="Times New Roman" w:hAnsi="Times New Roman" w:cs="Times New Roman"/>
          <w:sz w:val="24"/>
          <w:szCs w:val="24"/>
        </w:rPr>
        <w:t xml:space="preserve"> </w:t>
      </w:r>
      <w:r w:rsidR="00394E1F" w:rsidRPr="006C1E51">
        <w:rPr>
          <w:rStyle w:val="FootnoteReference"/>
          <w:rFonts w:ascii="Times New Roman" w:hAnsi="Times New Roman" w:cs="Times New Roman"/>
          <w:sz w:val="24"/>
          <w:szCs w:val="24"/>
        </w:rPr>
        <w:footnoteReference w:id="49"/>
      </w:r>
      <w:r w:rsidRPr="006C1E51">
        <w:rPr>
          <w:rFonts w:ascii="Times New Roman" w:hAnsi="Times New Roman" w:cs="Times New Roman"/>
          <w:sz w:val="24"/>
          <w:szCs w:val="24"/>
        </w:rPr>
        <w:t xml:space="preserve"> These arguments have been politically effective: they show that preservation is not a niche interest but a driver of growth. Yet such market‑oriented metrics obscure the distribution of benefits. They tell us about </w:t>
      </w:r>
      <w:r w:rsidRPr="006C1E51">
        <w:rPr>
          <w:rFonts w:ascii="Times New Roman" w:hAnsi="Times New Roman" w:cs="Times New Roman"/>
          <w:sz w:val="24"/>
          <w:szCs w:val="24"/>
        </w:rPr>
        <w:lastRenderedPageBreak/>
        <w:t xml:space="preserve">the dollars that preservation generates, but not enough about who gains from it or who is excluded—and how we can correct it. </w:t>
      </w:r>
    </w:p>
    <w:p w14:paraId="00000056" w14:textId="0C748E44"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 </w:t>
      </w:r>
      <w:r w:rsidR="00394E1F" w:rsidRPr="006C1E51">
        <w:rPr>
          <w:rFonts w:ascii="Times New Roman" w:hAnsi="Times New Roman" w:cs="Times New Roman"/>
          <w:sz w:val="24"/>
          <w:szCs w:val="24"/>
        </w:rPr>
        <w:t xml:space="preserve">Critical heritage scholars have argued that preservation must be understood as an </w:t>
      </w:r>
      <w:r w:rsidR="00FD6498" w:rsidRPr="006C1E51">
        <w:rPr>
          <w:rFonts w:ascii="Times New Roman" w:hAnsi="Times New Roman" w:cs="Times New Roman"/>
          <w:sz w:val="24"/>
          <w:szCs w:val="24"/>
        </w:rPr>
        <w:t>economy, shaped</w:t>
      </w:r>
      <w:r w:rsidR="00394E1F" w:rsidRPr="006C1E51">
        <w:rPr>
          <w:rFonts w:ascii="Times New Roman" w:hAnsi="Times New Roman" w:cs="Times New Roman"/>
          <w:sz w:val="24"/>
          <w:szCs w:val="24"/>
        </w:rPr>
        <w:t xml:space="preserve"> by market conditions as much as by cultural values.</w:t>
      </w:r>
      <w:r w:rsidR="00394E1F" w:rsidRPr="006C1E51">
        <w:rPr>
          <w:rStyle w:val="FootnoteReference"/>
          <w:rFonts w:ascii="Times New Roman" w:hAnsi="Times New Roman" w:cs="Times New Roman"/>
          <w:sz w:val="24"/>
          <w:szCs w:val="24"/>
        </w:rPr>
        <w:footnoteReference w:id="50"/>
      </w:r>
      <w:r w:rsidRPr="006C1E51">
        <w:rPr>
          <w:rFonts w:ascii="Times New Roman" w:hAnsi="Times New Roman" w:cs="Times New Roman"/>
          <w:sz w:val="24"/>
          <w:szCs w:val="24"/>
        </w:rPr>
        <w:t xml:space="preserve"> In essence, economic forces can both empower and constrain preservation practice. These insights highlight the need to interrogate how economic tools are designed, who they benefit, and who is left out—especially within Black heritage contexts.</w:t>
      </w:r>
    </w:p>
    <w:p w14:paraId="00000057" w14:textId="1F7707B5"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At the core of this economic system are capital-intensive financing tools. One of the most powerful of these is the Historic Tax Credit (HTC) program. In urban centers with strong investor pools, HTCs unlock massive redevelopment projects by attracting private equity and layering multiple subsidies into complex “capital stacks.” But in rural contexts—or in the hands of small, Black-led organizations—HTCs can be difficult to acquire and leverage.</w:t>
      </w:r>
      <w:r w:rsidRPr="006C1E51">
        <w:rPr>
          <w:rFonts w:ascii="Times New Roman" w:hAnsi="Times New Roman" w:cs="Times New Roman"/>
          <w:sz w:val="24"/>
          <w:szCs w:val="24"/>
          <w:vertAlign w:val="superscript"/>
        </w:rPr>
        <w:footnoteReference w:id="51"/>
      </w:r>
      <w:r w:rsidRPr="006C1E51">
        <w:rPr>
          <w:rFonts w:ascii="Times New Roman" w:hAnsi="Times New Roman" w:cs="Times New Roman"/>
          <w:sz w:val="24"/>
          <w:szCs w:val="24"/>
        </w:rPr>
        <w:t xml:space="preserve"> </w:t>
      </w:r>
      <w:r w:rsidR="00A17A88" w:rsidRPr="006C1E51">
        <w:rPr>
          <w:rFonts w:ascii="Times New Roman" w:hAnsi="Times New Roman" w:cs="Times New Roman"/>
          <w:sz w:val="24"/>
          <w:szCs w:val="24"/>
        </w:rPr>
        <w:t xml:space="preserve">Historic tax credit projects entail complex eligibility requirements and high transaction costs, which make them poorly suited to smaller, community-scale developments. As a result, many qualifying buildings—especially in African American neighborhoods—cannot generate enough rehabilitation investment to justify the cost of assembling a tax credit deal, effectively shutting out small, locally driven developers despite their importance to equitable neighborhood development. </w:t>
      </w:r>
      <w:r w:rsidRPr="006C1E51">
        <w:rPr>
          <w:rFonts w:ascii="Times New Roman" w:hAnsi="Times New Roman" w:cs="Times New Roman"/>
          <w:sz w:val="24"/>
          <w:szCs w:val="24"/>
        </w:rPr>
        <w:t xml:space="preserve">Without reliable investor relationships, specialized legal counsel, or the upfront </w:t>
      </w:r>
      <w:r w:rsidRPr="006C1E51">
        <w:rPr>
          <w:rFonts w:ascii="Times New Roman" w:hAnsi="Times New Roman" w:cs="Times New Roman"/>
          <w:sz w:val="24"/>
          <w:szCs w:val="24"/>
        </w:rPr>
        <w:lastRenderedPageBreak/>
        <w:t>capital to even begin the process, grassroots groups are disadvantaged in accessing the nation’s most significant preservation incentive.</w:t>
      </w:r>
      <w:r w:rsidR="00A17A88" w:rsidRPr="006C1E51">
        <w:rPr>
          <w:rStyle w:val="FootnoteReference"/>
          <w:rFonts w:ascii="Times New Roman" w:hAnsi="Times New Roman" w:cs="Times New Roman"/>
          <w:sz w:val="24"/>
          <w:szCs w:val="24"/>
        </w:rPr>
        <w:footnoteReference w:id="52"/>
      </w:r>
    </w:p>
    <w:p w14:paraId="45B15687" w14:textId="7C7EAF1A" w:rsidR="00517FB9"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Based on </w:t>
      </w:r>
      <w:r w:rsidR="00517FB9" w:rsidRPr="006C1E51">
        <w:rPr>
          <w:rFonts w:ascii="Times New Roman" w:hAnsi="Times New Roman" w:cs="Times New Roman"/>
          <w:sz w:val="24"/>
          <w:szCs w:val="24"/>
        </w:rPr>
        <w:t>my own observations</w:t>
      </w:r>
      <w:r w:rsidRPr="006C1E51">
        <w:rPr>
          <w:rFonts w:ascii="Times New Roman" w:hAnsi="Times New Roman" w:cs="Times New Roman"/>
          <w:sz w:val="24"/>
          <w:szCs w:val="24"/>
        </w:rPr>
        <w:t xml:space="preserve">, funding is not a silver bullet for inclusion-based historic preservation. It often takes immense resources to secure and then administer grants or tax credits, to the point of exhausting under-resourced organizations. A failed project can be more damaging than one that never </w:t>
      </w:r>
      <w:r w:rsidR="00517FB9" w:rsidRPr="006C1E51">
        <w:rPr>
          <w:rFonts w:ascii="Times New Roman" w:hAnsi="Times New Roman" w:cs="Times New Roman"/>
          <w:sz w:val="24"/>
          <w:szCs w:val="24"/>
        </w:rPr>
        <w:t>got off the ground</w:t>
      </w:r>
      <w:r w:rsidRPr="006C1E51">
        <w:rPr>
          <w:rFonts w:ascii="Times New Roman" w:hAnsi="Times New Roman" w:cs="Times New Roman"/>
          <w:sz w:val="24"/>
          <w:szCs w:val="24"/>
        </w:rPr>
        <w:t xml:space="preserve">. </w:t>
      </w:r>
      <w:r w:rsidR="00517FB9" w:rsidRPr="006C1E51">
        <w:rPr>
          <w:rFonts w:ascii="Times New Roman" w:hAnsi="Times New Roman" w:cs="Times New Roman"/>
          <w:sz w:val="24"/>
          <w:szCs w:val="24"/>
        </w:rPr>
        <w:t xml:space="preserve">Just as </w:t>
      </w:r>
      <w:r w:rsidR="00455B5B" w:rsidRPr="006C1E51">
        <w:rPr>
          <w:rFonts w:ascii="Times New Roman" w:hAnsi="Times New Roman" w:cs="Times New Roman"/>
          <w:sz w:val="24"/>
          <w:szCs w:val="24"/>
        </w:rPr>
        <w:t>significant</w:t>
      </w:r>
      <w:r w:rsidR="00517FB9" w:rsidRPr="006C1E51">
        <w:rPr>
          <w:rFonts w:ascii="Times New Roman" w:hAnsi="Times New Roman" w:cs="Times New Roman"/>
          <w:sz w:val="24"/>
          <w:szCs w:val="24"/>
        </w:rPr>
        <w:t xml:space="preserve"> as money is the infrastructure—people, teams, and systems—that can steward funds effectively. Even with increased funding for surveys and plans, current preservation policy and practice fall short: true inclusion requires strong organizations and leadership within Black communities to succeed.</w:t>
      </w:r>
    </w:p>
    <w:p w14:paraId="00000059" w14:textId="7C990CF4"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These dynamics play out most starkly in rural Black heritage contexts, where community vision and determination run strong, but capital access and financing tools are constrained. Projects often take decades to complete, supported by patchwork fundraising, grants, and volunteer labor. Even when </w:t>
      </w:r>
      <w:r w:rsidR="00517FB9" w:rsidRPr="006C1E51">
        <w:rPr>
          <w:rFonts w:ascii="Times New Roman" w:hAnsi="Times New Roman" w:cs="Times New Roman"/>
          <w:sz w:val="24"/>
          <w:szCs w:val="24"/>
        </w:rPr>
        <w:t>projects</w:t>
      </w:r>
      <w:r w:rsidRPr="006C1E51">
        <w:rPr>
          <w:rFonts w:ascii="Times New Roman" w:hAnsi="Times New Roman" w:cs="Times New Roman"/>
          <w:sz w:val="24"/>
          <w:szCs w:val="24"/>
        </w:rPr>
        <w:t xml:space="preserve"> succeed, </w:t>
      </w:r>
      <w:r w:rsidR="00517FB9" w:rsidRPr="006C1E51">
        <w:rPr>
          <w:rFonts w:ascii="Times New Roman" w:hAnsi="Times New Roman" w:cs="Times New Roman"/>
          <w:sz w:val="24"/>
          <w:szCs w:val="24"/>
        </w:rPr>
        <w:t>I’ve seen (and been a part) of o</w:t>
      </w:r>
      <w:r w:rsidRPr="006C1E51">
        <w:rPr>
          <w:rFonts w:ascii="Times New Roman" w:hAnsi="Times New Roman" w:cs="Times New Roman"/>
          <w:sz w:val="24"/>
          <w:szCs w:val="24"/>
        </w:rPr>
        <w:t xml:space="preserve">rganizations </w:t>
      </w:r>
      <w:r w:rsidR="00517FB9" w:rsidRPr="006C1E51">
        <w:rPr>
          <w:rFonts w:ascii="Times New Roman" w:hAnsi="Times New Roman" w:cs="Times New Roman"/>
          <w:sz w:val="24"/>
          <w:szCs w:val="24"/>
        </w:rPr>
        <w:t xml:space="preserve">that </w:t>
      </w:r>
      <w:r w:rsidRPr="006C1E51">
        <w:rPr>
          <w:rFonts w:ascii="Times New Roman" w:hAnsi="Times New Roman" w:cs="Times New Roman"/>
          <w:sz w:val="24"/>
          <w:szCs w:val="24"/>
        </w:rPr>
        <w:t>emerge under-</w:t>
      </w:r>
      <w:r w:rsidR="00517FB9" w:rsidRPr="006C1E51">
        <w:rPr>
          <w:rFonts w:ascii="Times New Roman" w:hAnsi="Times New Roman" w:cs="Times New Roman"/>
          <w:sz w:val="24"/>
          <w:szCs w:val="24"/>
        </w:rPr>
        <w:t xml:space="preserve">resourced, </w:t>
      </w:r>
      <w:r w:rsidRPr="006C1E51">
        <w:rPr>
          <w:rFonts w:ascii="Times New Roman" w:hAnsi="Times New Roman" w:cs="Times New Roman"/>
          <w:sz w:val="24"/>
          <w:szCs w:val="24"/>
        </w:rPr>
        <w:t>hiring their first executive directors only years later, struggling to maintain staff, facing ongoing capital upgrades</w:t>
      </w:r>
      <w:r w:rsidR="00517FB9" w:rsidRPr="006C1E51">
        <w:rPr>
          <w:rFonts w:ascii="Times New Roman" w:hAnsi="Times New Roman" w:cs="Times New Roman"/>
          <w:sz w:val="24"/>
          <w:szCs w:val="24"/>
        </w:rPr>
        <w:t>, chasing the cycle of programming funding to keep momentum going at the whim of philanthropic and political volatile</w:t>
      </w:r>
      <w:r w:rsidRPr="006C1E51">
        <w:rPr>
          <w:rFonts w:ascii="Times New Roman" w:hAnsi="Times New Roman" w:cs="Times New Roman"/>
          <w:sz w:val="24"/>
          <w:szCs w:val="24"/>
        </w:rPr>
        <w:t>.</w:t>
      </w:r>
      <w:r w:rsidR="00517FB9" w:rsidRPr="006C1E51">
        <w:rPr>
          <w:rFonts w:ascii="Times New Roman" w:hAnsi="Times New Roman" w:cs="Times New Roman"/>
          <w:sz w:val="24"/>
          <w:szCs w:val="24"/>
        </w:rPr>
        <w:t xml:space="preserve"> </w:t>
      </w:r>
      <w:r w:rsidRPr="006C1E51">
        <w:rPr>
          <w:rFonts w:ascii="Times New Roman" w:hAnsi="Times New Roman" w:cs="Times New Roman"/>
          <w:sz w:val="24"/>
          <w:szCs w:val="24"/>
        </w:rPr>
        <w:t>These outcomes reflect structural features of rural capital markets, not a lack of community will or value. The following chapters will provide specific examples of organizations that embody these dynamics and the lessons they hold for a CHC approach.</w:t>
      </w:r>
    </w:p>
    <w:p w14:paraId="0000005A" w14:textId="2DF7E669"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State programs often compound these inequities. Maryland’s Heritage Area Program, for instance, requires a 1:1 cash match for grants.</w:t>
      </w:r>
      <w:r w:rsidR="00045AE1" w:rsidRPr="006C1E51">
        <w:rPr>
          <w:rFonts w:ascii="Times New Roman" w:hAnsi="Times New Roman" w:cs="Times New Roman"/>
          <w:sz w:val="24"/>
          <w:szCs w:val="24"/>
          <w:vertAlign w:val="superscript"/>
        </w:rPr>
        <w:t xml:space="preserve"> </w:t>
      </w:r>
      <w:r w:rsidR="00045AE1" w:rsidRPr="006C1E51">
        <w:rPr>
          <w:rFonts w:ascii="Times New Roman" w:hAnsi="Times New Roman" w:cs="Times New Roman"/>
          <w:sz w:val="24"/>
          <w:szCs w:val="24"/>
        </w:rPr>
        <w:t xml:space="preserve"> </w:t>
      </w:r>
      <w:r w:rsidRPr="006C1E51">
        <w:rPr>
          <w:rFonts w:ascii="Times New Roman" w:hAnsi="Times New Roman" w:cs="Times New Roman"/>
          <w:sz w:val="24"/>
          <w:szCs w:val="24"/>
        </w:rPr>
        <w:t xml:space="preserve">For well‑funded nonprofits, this is a manageable </w:t>
      </w:r>
      <w:r w:rsidRPr="006C1E51">
        <w:rPr>
          <w:rFonts w:ascii="Times New Roman" w:hAnsi="Times New Roman" w:cs="Times New Roman"/>
          <w:sz w:val="24"/>
          <w:szCs w:val="24"/>
        </w:rPr>
        <w:lastRenderedPageBreak/>
        <w:t xml:space="preserve">hurdle; but imagine a newly formed </w:t>
      </w:r>
      <w:r w:rsidR="00432C87" w:rsidRPr="006C1E51">
        <w:rPr>
          <w:rFonts w:ascii="Times New Roman" w:hAnsi="Times New Roman" w:cs="Times New Roman"/>
          <w:sz w:val="24"/>
          <w:szCs w:val="24"/>
        </w:rPr>
        <w:t>“</w:t>
      </w:r>
      <w:r w:rsidRPr="006C1E51">
        <w:rPr>
          <w:rFonts w:ascii="Times New Roman" w:hAnsi="Times New Roman" w:cs="Times New Roman"/>
          <w:sz w:val="24"/>
          <w:szCs w:val="24"/>
        </w:rPr>
        <w:t>Friends of</w:t>
      </w:r>
      <w:r w:rsidR="00432C87" w:rsidRPr="006C1E51">
        <w:rPr>
          <w:rFonts w:ascii="Times New Roman" w:hAnsi="Times New Roman" w:cs="Times New Roman"/>
          <w:sz w:val="24"/>
          <w:szCs w:val="24"/>
        </w:rPr>
        <w:t xml:space="preserve">” </w:t>
      </w:r>
      <w:r w:rsidRPr="006C1E51">
        <w:rPr>
          <w:rFonts w:ascii="Times New Roman" w:hAnsi="Times New Roman" w:cs="Times New Roman"/>
          <w:sz w:val="24"/>
          <w:szCs w:val="24"/>
        </w:rPr>
        <w:t>group made up of community elders, needing $75,000 just to put a roof back on their former school—the match requirement transforms hope into an almost impossible obstacle. In a recent conversation with the director of the Stories of the Chesapeake Heritage Area (</w:t>
      </w:r>
      <w:r w:rsidR="00432C87" w:rsidRPr="006C1E51">
        <w:rPr>
          <w:rFonts w:ascii="Times New Roman" w:hAnsi="Times New Roman" w:cs="Times New Roman"/>
          <w:sz w:val="24"/>
          <w:szCs w:val="24"/>
        </w:rPr>
        <w:t xml:space="preserve">covering </w:t>
      </w:r>
      <w:r w:rsidRPr="006C1E51">
        <w:rPr>
          <w:rFonts w:ascii="Times New Roman" w:hAnsi="Times New Roman" w:cs="Times New Roman"/>
          <w:sz w:val="24"/>
          <w:szCs w:val="24"/>
        </w:rPr>
        <w:t>four counties on Maryland’s Eastern Shore</w:t>
      </w:r>
      <w:r w:rsidR="00432C87" w:rsidRPr="006C1E51">
        <w:rPr>
          <w:rFonts w:ascii="Times New Roman" w:hAnsi="Times New Roman" w:cs="Times New Roman"/>
          <w:sz w:val="24"/>
          <w:szCs w:val="24"/>
        </w:rPr>
        <w:t xml:space="preserve"> and the largest heritage in Maryland</w:t>
      </w:r>
      <w:r w:rsidRPr="006C1E51">
        <w:rPr>
          <w:rFonts w:ascii="Times New Roman" w:hAnsi="Times New Roman" w:cs="Times New Roman"/>
          <w:sz w:val="24"/>
          <w:szCs w:val="24"/>
        </w:rPr>
        <w:t xml:space="preserve">), I learned that Maryland’s African American Heritage Preservation Program (AAHPP)—which has no match requirement and is tailored to Black heritage organizations—has generated significantly more applications, </w:t>
      </w:r>
      <w:r w:rsidR="00432C87" w:rsidRPr="006C1E51">
        <w:rPr>
          <w:rFonts w:ascii="Times New Roman" w:hAnsi="Times New Roman" w:cs="Times New Roman"/>
          <w:sz w:val="24"/>
          <w:szCs w:val="24"/>
        </w:rPr>
        <w:t>while</w:t>
      </w:r>
      <w:r w:rsidRPr="006C1E51">
        <w:rPr>
          <w:rFonts w:ascii="Times New Roman" w:hAnsi="Times New Roman" w:cs="Times New Roman"/>
          <w:sz w:val="24"/>
          <w:szCs w:val="24"/>
        </w:rPr>
        <w:t xml:space="preserve"> Stories </w:t>
      </w:r>
      <w:r w:rsidR="00432C87" w:rsidRPr="006C1E51">
        <w:rPr>
          <w:rFonts w:ascii="Times New Roman" w:hAnsi="Times New Roman" w:cs="Times New Roman"/>
          <w:sz w:val="24"/>
          <w:szCs w:val="24"/>
        </w:rPr>
        <w:t xml:space="preserve">of the Chesapeake </w:t>
      </w:r>
      <w:r w:rsidRPr="006C1E51">
        <w:rPr>
          <w:rFonts w:ascii="Times New Roman" w:hAnsi="Times New Roman" w:cs="Times New Roman"/>
          <w:sz w:val="24"/>
          <w:szCs w:val="24"/>
        </w:rPr>
        <w:t>has declined</w:t>
      </w:r>
      <w:r w:rsidR="00432C87" w:rsidRPr="006C1E51">
        <w:rPr>
          <w:rFonts w:ascii="Times New Roman" w:hAnsi="Times New Roman" w:cs="Times New Roman"/>
          <w:sz w:val="24"/>
          <w:szCs w:val="24"/>
        </w:rPr>
        <w:t xml:space="preserve"> in their applications for Black preservation projects</w:t>
      </w:r>
      <w:r w:rsidRPr="006C1E51">
        <w:rPr>
          <w:rFonts w:ascii="Times New Roman" w:hAnsi="Times New Roman" w:cs="Times New Roman"/>
          <w:sz w:val="24"/>
          <w:szCs w:val="24"/>
        </w:rPr>
        <w:t xml:space="preserve">. The contrast underscores the impact of program design: when funding structures remove barriers, </w:t>
      </w:r>
      <w:r w:rsidR="00432C87" w:rsidRPr="006C1E51">
        <w:rPr>
          <w:rFonts w:ascii="Times New Roman" w:hAnsi="Times New Roman" w:cs="Times New Roman"/>
          <w:sz w:val="24"/>
          <w:szCs w:val="24"/>
        </w:rPr>
        <w:t xml:space="preserve">and aligns with specific interests, </w:t>
      </w:r>
      <w:r w:rsidRPr="006C1E51">
        <w:rPr>
          <w:rFonts w:ascii="Times New Roman" w:hAnsi="Times New Roman" w:cs="Times New Roman"/>
          <w:sz w:val="24"/>
          <w:szCs w:val="24"/>
        </w:rPr>
        <w:t xml:space="preserve">participation </w:t>
      </w:r>
      <w:r w:rsidR="00432C87" w:rsidRPr="006C1E51">
        <w:rPr>
          <w:rFonts w:ascii="Times New Roman" w:hAnsi="Times New Roman" w:cs="Times New Roman"/>
          <w:sz w:val="24"/>
          <w:szCs w:val="24"/>
        </w:rPr>
        <w:t xml:space="preserve">can </w:t>
      </w:r>
      <w:r w:rsidRPr="006C1E51">
        <w:rPr>
          <w:rFonts w:ascii="Times New Roman" w:hAnsi="Times New Roman" w:cs="Times New Roman"/>
          <w:sz w:val="24"/>
          <w:szCs w:val="24"/>
        </w:rPr>
        <w:t>grow.</w:t>
      </w:r>
      <w:r w:rsidRPr="006C1E51">
        <w:rPr>
          <w:rFonts w:ascii="Times New Roman" w:hAnsi="Times New Roman" w:cs="Times New Roman"/>
          <w:sz w:val="24"/>
          <w:szCs w:val="24"/>
          <w:vertAlign w:val="superscript"/>
        </w:rPr>
        <w:footnoteReference w:id="53"/>
      </w:r>
      <w:r w:rsidRPr="006C1E51">
        <w:rPr>
          <w:rFonts w:ascii="Times New Roman" w:hAnsi="Times New Roman" w:cs="Times New Roman"/>
          <w:sz w:val="24"/>
          <w:szCs w:val="24"/>
        </w:rPr>
        <w:t xml:space="preserve"> But if program design</w:t>
      </w:r>
      <w:r w:rsidR="00432C87" w:rsidRPr="006C1E51">
        <w:rPr>
          <w:rFonts w:ascii="Times New Roman" w:hAnsi="Times New Roman" w:cs="Times New Roman"/>
          <w:sz w:val="24"/>
          <w:szCs w:val="24"/>
        </w:rPr>
        <w:t xml:space="preserve"> remains status quo</w:t>
      </w:r>
      <w:r w:rsidRPr="006C1E51">
        <w:rPr>
          <w:rFonts w:ascii="Times New Roman" w:hAnsi="Times New Roman" w:cs="Times New Roman"/>
          <w:sz w:val="24"/>
          <w:szCs w:val="24"/>
        </w:rPr>
        <w:t>, Black heritage organizations must improve their financial savviness to capitalize on the funding opportunities available in the market.</w:t>
      </w:r>
    </w:p>
    <w:p w14:paraId="0000005B" w14:textId="083AC5CB"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As another example, in 2022, I held an internship with the Preserving Black Churches (PBC) initiative </w:t>
      </w:r>
      <w:r w:rsidR="00496E36" w:rsidRPr="006C1E51">
        <w:rPr>
          <w:rFonts w:ascii="Times New Roman" w:hAnsi="Times New Roman" w:cs="Times New Roman"/>
          <w:sz w:val="24"/>
          <w:szCs w:val="24"/>
        </w:rPr>
        <w:t>of the African American Cultural Heritage Action Fund</w:t>
      </w:r>
      <w:r w:rsidR="009E5727" w:rsidRPr="006C1E51">
        <w:rPr>
          <w:rFonts w:ascii="Times New Roman" w:hAnsi="Times New Roman" w:cs="Times New Roman"/>
          <w:sz w:val="24"/>
          <w:szCs w:val="24"/>
        </w:rPr>
        <w:t xml:space="preserve">, a division of the National Trust for Historic Preservation, </w:t>
      </w:r>
      <w:r w:rsidRPr="006C1E51">
        <w:rPr>
          <w:rFonts w:ascii="Times New Roman" w:hAnsi="Times New Roman" w:cs="Times New Roman"/>
          <w:sz w:val="24"/>
          <w:szCs w:val="24"/>
        </w:rPr>
        <w:t xml:space="preserve">that underscored this landscape. </w:t>
      </w:r>
      <w:r w:rsidR="00496E36" w:rsidRPr="006C1E51">
        <w:rPr>
          <w:rFonts w:ascii="Times New Roman" w:hAnsi="Times New Roman" w:cs="Times New Roman"/>
          <w:sz w:val="24"/>
          <w:szCs w:val="24"/>
        </w:rPr>
        <w:t xml:space="preserve">The fund of more than $20 million receives more than 1,000 letters of intent each year. </w:t>
      </w:r>
      <w:r w:rsidRPr="006C1E51">
        <w:rPr>
          <w:rFonts w:ascii="Times New Roman" w:hAnsi="Times New Roman" w:cs="Times New Roman"/>
          <w:sz w:val="24"/>
          <w:szCs w:val="24"/>
        </w:rPr>
        <w:t xml:space="preserve">I analyzed data that revealed both the quantitative scale of need among rural Black churches and the challenge of meeting that need all at once. Many applicants were case studies for congregations that lack the infrastructure to sustain in a constrained, rural economy without help or partnership. Small, aging populations, with little access to professionals with expertise in their preservation needs. Heritage work in </w:t>
      </w:r>
      <w:r w:rsidRPr="006C1E51">
        <w:rPr>
          <w:rFonts w:ascii="Times New Roman" w:hAnsi="Times New Roman" w:cs="Times New Roman"/>
          <w:sz w:val="24"/>
          <w:szCs w:val="24"/>
        </w:rPr>
        <w:lastRenderedPageBreak/>
        <w:t>rural geographic economies has an uphill battle to climb–and partnership is increasingly valuable to consider.</w:t>
      </w:r>
      <w:r w:rsidR="00A84466" w:rsidRPr="006C1E51">
        <w:rPr>
          <w:rFonts w:ascii="Times New Roman" w:hAnsi="Times New Roman" w:cs="Times New Roman"/>
          <w:sz w:val="24"/>
          <w:szCs w:val="24"/>
        </w:rPr>
        <w:t xml:space="preserve"> The research from this internship made that clear to me.</w:t>
      </w:r>
      <w:r w:rsidRPr="006C1E51">
        <w:rPr>
          <w:rFonts w:ascii="Times New Roman" w:hAnsi="Times New Roman" w:cs="Times New Roman"/>
          <w:sz w:val="24"/>
          <w:szCs w:val="24"/>
          <w:vertAlign w:val="superscript"/>
        </w:rPr>
        <w:footnoteReference w:id="54"/>
      </w:r>
    </w:p>
    <w:p w14:paraId="0FFA177F" w14:textId="7FB7B754" w:rsidR="00A84466" w:rsidRPr="006C1E51" w:rsidRDefault="00A84466"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 year later, in</w:t>
      </w:r>
      <w:r w:rsidR="00C5531F" w:rsidRPr="006C1E51">
        <w:rPr>
          <w:rFonts w:ascii="Times New Roman" w:hAnsi="Times New Roman" w:cs="Times New Roman"/>
          <w:sz w:val="24"/>
          <w:szCs w:val="24"/>
        </w:rPr>
        <w:t xml:space="preserve"> October 2023</w:t>
      </w:r>
      <w:r w:rsidRPr="006C1E51">
        <w:rPr>
          <w:rFonts w:ascii="Times New Roman" w:hAnsi="Times New Roman" w:cs="Times New Roman"/>
          <w:sz w:val="24"/>
          <w:szCs w:val="24"/>
        </w:rPr>
        <w:t xml:space="preserve">, I had the opportunity to </w:t>
      </w:r>
      <w:r w:rsidR="00C5531F" w:rsidRPr="006C1E51">
        <w:rPr>
          <w:rFonts w:ascii="Times New Roman" w:hAnsi="Times New Roman" w:cs="Times New Roman"/>
          <w:sz w:val="24"/>
          <w:szCs w:val="24"/>
        </w:rPr>
        <w:t>visit to the Center for Heirs’ Property Preservation, in Charleston,</w:t>
      </w:r>
      <w:r w:rsidRPr="006C1E51">
        <w:rPr>
          <w:rFonts w:ascii="Times New Roman" w:hAnsi="Times New Roman" w:cs="Times New Roman"/>
          <w:sz w:val="24"/>
          <w:szCs w:val="24"/>
        </w:rPr>
        <w:t xml:space="preserve"> South Carolina at </w:t>
      </w:r>
      <w:r w:rsidR="00C5531F" w:rsidRPr="006C1E51">
        <w:rPr>
          <w:rFonts w:ascii="Times New Roman" w:hAnsi="Times New Roman" w:cs="Times New Roman"/>
          <w:sz w:val="24"/>
          <w:szCs w:val="24"/>
        </w:rPr>
        <w:t xml:space="preserve">the </w:t>
      </w:r>
      <w:r w:rsidRPr="006C1E51">
        <w:rPr>
          <w:rFonts w:ascii="Times New Roman" w:hAnsi="Times New Roman" w:cs="Times New Roman"/>
          <w:sz w:val="24"/>
          <w:szCs w:val="24"/>
        </w:rPr>
        <w:t xml:space="preserve">invitation of </w:t>
      </w:r>
      <w:r w:rsidR="00C5531F" w:rsidRPr="006C1E51">
        <w:rPr>
          <w:rFonts w:ascii="Times New Roman" w:hAnsi="Times New Roman" w:cs="Times New Roman"/>
          <w:sz w:val="24"/>
          <w:szCs w:val="24"/>
        </w:rPr>
        <w:t>1772 Foundation</w:t>
      </w:r>
      <w:r w:rsidRPr="006C1E51">
        <w:rPr>
          <w:rFonts w:ascii="Times New Roman" w:hAnsi="Times New Roman" w:cs="Times New Roman"/>
          <w:sz w:val="24"/>
          <w:szCs w:val="24"/>
        </w:rPr>
        <w:t xml:space="preserve"> to see</w:t>
      </w:r>
      <w:r w:rsidR="00C5531F" w:rsidRPr="006C1E51">
        <w:rPr>
          <w:rFonts w:ascii="Times New Roman" w:hAnsi="Times New Roman" w:cs="Times New Roman"/>
          <w:sz w:val="24"/>
          <w:szCs w:val="24"/>
        </w:rPr>
        <w:t xml:space="preserve"> a cooperative model in practice</w:t>
      </w:r>
      <w:r w:rsidR="00B72D18" w:rsidRPr="006C1E51">
        <w:rPr>
          <w:rFonts w:ascii="Times New Roman" w:hAnsi="Times New Roman" w:cs="Times New Roman"/>
          <w:sz w:val="24"/>
          <w:szCs w:val="24"/>
        </w:rPr>
        <w:t xml:space="preserve"> (see fig. 9</w:t>
      </w:r>
      <w:proofErr w:type="gramStart"/>
      <w:r w:rsidR="00B72D18" w:rsidRPr="006C1E51">
        <w:rPr>
          <w:rFonts w:ascii="Times New Roman" w:hAnsi="Times New Roman" w:cs="Times New Roman"/>
          <w:sz w:val="24"/>
          <w:szCs w:val="24"/>
        </w:rPr>
        <w:t xml:space="preserve">) </w:t>
      </w:r>
      <w:r w:rsidRPr="006C1E51">
        <w:rPr>
          <w:rFonts w:ascii="Times New Roman" w:hAnsi="Times New Roman" w:cs="Times New Roman"/>
          <w:sz w:val="24"/>
          <w:szCs w:val="24"/>
        </w:rPr>
        <w:t>.</w:t>
      </w:r>
      <w:proofErr w:type="gramEnd"/>
      <w:r w:rsidRPr="006C1E51">
        <w:rPr>
          <w:rFonts w:ascii="Times New Roman" w:hAnsi="Times New Roman" w:cs="Times New Roman"/>
          <w:sz w:val="24"/>
          <w:szCs w:val="24"/>
        </w:rPr>
        <w:t xml:space="preserve"> As </w:t>
      </w:r>
      <w:r w:rsidR="00496E36" w:rsidRPr="006C1E51">
        <w:rPr>
          <w:rFonts w:ascii="Times New Roman" w:hAnsi="Times New Roman" w:cs="Times New Roman"/>
          <w:sz w:val="24"/>
          <w:szCs w:val="24"/>
        </w:rPr>
        <w:t>catalytic</w:t>
      </w:r>
      <w:r w:rsidRPr="006C1E51">
        <w:rPr>
          <w:rFonts w:ascii="Times New Roman" w:hAnsi="Times New Roman" w:cs="Times New Roman"/>
          <w:sz w:val="24"/>
          <w:szCs w:val="24"/>
        </w:rPr>
        <w:t xml:space="preserve"> </w:t>
      </w:r>
      <w:r w:rsidR="00496E36" w:rsidRPr="006C1E51">
        <w:rPr>
          <w:rFonts w:ascii="Times New Roman" w:hAnsi="Times New Roman" w:cs="Times New Roman"/>
          <w:sz w:val="24"/>
          <w:szCs w:val="24"/>
        </w:rPr>
        <w:t>funder</w:t>
      </w:r>
      <w:r w:rsidRPr="006C1E51">
        <w:rPr>
          <w:rFonts w:ascii="Times New Roman" w:hAnsi="Times New Roman" w:cs="Times New Roman"/>
          <w:sz w:val="24"/>
          <w:szCs w:val="24"/>
        </w:rPr>
        <w:t xml:space="preserve"> in preservation, 1772 Foundation </w:t>
      </w:r>
      <w:r w:rsidR="00496E36" w:rsidRPr="006C1E51">
        <w:rPr>
          <w:rFonts w:ascii="Times New Roman" w:hAnsi="Times New Roman" w:cs="Times New Roman"/>
          <w:sz w:val="24"/>
          <w:szCs w:val="24"/>
        </w:rPr>
        <w:t>has approximately $75 million in assets with more than 500 projects supported between 2014 and 2023. The foundation focuses on historic preservation by funding programs that protect endangered properties through revolving funds, adaptive reuse, and sustainable practices. It also emphasizes forward-thinking approaches that integrate cultural narratives, social equity, and environmental sustainability—safeguarding not just buildings but the stories, communities, and traditions they represent, while promoting inclusive stewardship for future generations. The Center for Heirs’ Property was a recipient of a $125,000 grant</w:t>
      </w:r>
      <w:r w:rsidR="00C5531F" w:rsidRPr="006C1E51">
        <w:rPr>
          <w:rFonts w:ascii="Times New Roman" w:hAnsi="Times New Roman" w:cs="Times New Roman"/>
          <w:sz w:val="24"/>
          <w:szCs w:val="24"/>
        </w:rPr>
        <w:t xml:space="preserve"> </w:t>
      </w:r>
      <w:r w:rsidR="00496E36" w:rsidRPr="006C1E51">
        <w:rPr>
          <w:rFonts w:ascii="Times New Roman" w:hAnsi="Times New Roman" w:cs="Times New Roman"/>
          <w:sz w:val="24"/>
          <w:szCs w:val="24"/>
        </w:rPr>
        <w:t xml:space="preserve">for their work to </w:t>
      </w:r>
      <w:r w:rsidR="00C5531F" w:rsidRPr="006C1E51">
        <w:rPr>
          <w:rFonts w:ascii="Times New Roman" w:hAnsi="Times New Roman" w:cs="Times New Roman"/>
          <w:sz w:val="24"/>
          <w:szCs w:val="24"/>
        </w:rPr>
        <w:t xml:space="preserve">assist Black landowners by clearing title, developing sustainable forestry as an income stream, and pooling services across enclaves to lower costs in an </w:t>
      </w:r>
      <w:r w:rsidR="00FD6498" w:rsidRPr="006C1E51">
        <w:rPr>
          <w:rFonts w:ascii="Times New Roman" w:hAnsi="Times New Roman" w:cs="Times New Roman"/>
          <w:sz w:val="24"/>
          <w:szCs w:val="24"/>
        </w:rPr>
        <w:t>economy of scale approach</w:t>
      </w:r>
      <w:r w:rsidR="00C5531F" w:rsidRPr="006C1E51">
        <w:rPr>
          <w:rFonts w:ascii="Times New Roman" w:hAnsi="Times New Roman" w:cs="Times New Roman"/>
          <w:sz w:val="24"/>
          <w:szCs w:val="24"/>
        </w:rPr>
        <w:t xml:space="preserve"> that echoes origins of Black agricultural cooperatives.</w:t>
      </w:r>
      <w:r w:rsidR="00E26255" w:rsidRPr="006C1E51">
        <w:rPr>
          <w:rStyle w:val="FootnoteReference"/>
          <w:rFonts w:ascii="Times New Roman" w:hAnsi="Times New Roman" w:cs="Times New Roman"/>
          <w:sz w:val="24"/>
          <w:szCs w:val="24"/>
        </w:rPr>
        <w:footnoteReference w:id="55"/>
      </w:r>
      <w:r w:rsidR="00C5531F" w:rsidRPr="006C1E51">
        <w:rPr>
          <w:rFonts w:ascii="Times New Roman" w:hAnsi="Times New Roman" w:cs="Times New Roman"/>
          <w:sz w:val="24"/>
          <w:szCs w:val="24"/>
        </w:rPr>
        <w:t xml:space="preserve"> </w:t>
      </w:r>
    </w:p>
    <w:p w14:paraId="1BB2669E" w14:textId="77777777" w:rsidR="00E26255" w:rsidRPr="006C1E51" w:rsidRDefault="00A84466" w:rsidP="00775270">
      <w:pPr>
        <w:keepNext/>
        <w:spacing w:before="240" w:after="240" w:line="480" w:lineRule="auto"/>
        <w:rPr>
          <w:rFonts w:ascii="Times New Roman" w:hAnsi="Times New Roman" w:cs="Times New Roman"/>
          <w:sz w:val="24"/>
          <w:szCs w:val="24"/>
        </w:rPr>
      </w:pPr>
      <w:r w:rsidRPr="006C1E51">
        <w:rPr>
          <w:rFonts w:ascii="Times New Roman" w:hAnsi="Times New Roman" w:cs="Times New Roman"/>
          <w:noProof/>
          <w:sz w:val="24"/>
          <w:szCs w:val="24"/>
        </w:rPr>
        <w:lastRenderedPageBreak/>
        <w:drawing>
          <wp:inline distT="0" distB="0" distL="0" distR="0" wp14:anchorId="5DEF6D9A" wp14:editId="5EF12088">
            <wp:extent cx="5943600" cy="4457700"/>
            <wp:effectExtent l="0" t="0" r="0" b="0"/>
            <wp:docPr id="552773403" name="Picture 1" descr="A group of people standing in front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773403" name="Picture 1" descr="A group of people standing in front of a sign&#10;&#10;AI-generated content may be incorrect."/>
                    <pic:cNvPicPr/>
                  </pic:nvPicPr>
                  <pic:blipFill>
                    <a:blip r:embed="rId20" cstate="email">
                      <a:extLst>
                        <a:ext uri="{28A0092B-C50C-407E-A947-70E740481C1C}">
                          <a14:useLocalDpi xmlns:a14="http://schemas.microsoft.com/office/drawing/2010/main"/>
                        </a:ext>
                      </a:extLst>
                    </a:blip>
                    <a:stretch>
                      <a:fillRect/>
                    </a:stretch>
                  </pic:blipFill>
                  <pic:spPr>
                    <a:xfrm>
                      <a:off x="0" y="0"/>
                      <a:ext cx="5943600" cy="4457700"/>
                    </a:xfrm>
                    <a:prstGeom prst="rect">
                      <a:avLst/>
                    </a:prstGeom>
                  </pic:spPr>
                </pic:pic>
              </a:graphicData>
            </a:graphic>
          </wp:inline>
        </w:drawing>
      </w:r>
    </w:p>
    <w:p w14:paraId="014607E9" w14:textId="4B54DC22" w:rsidR="00A84466" w:rsidRPr="006C1E51" w:rsidRDefault="00E26255" w:rsidP="00045AE1">
      <w:pPr>
        <w:pStyle w:val="Caption"/>
      </w:pPr>
      <w:bookmarkStart w:id="34" w:name="_Toc220011004"/>
      <w:r w:rsidRPr="006C1E51">
        <w:t xml:space="preserve">Figure </w:t>
      </w:r>
      <w:r w:rsidR="0044768F" w:rsidRPr="006C1E51">
        <w:fldChar w:fldCharType="begin"/>
      </w:r>
      <w:r w:rsidR="0044768F" w:rsidRPr="006C1E51">
        <w:instrText xml:space="preserve"> SEQ Figure \* ARABIC </w:instrText>
      </w:r>
      <w:r w:rsidR="0044768F" w:rsidRPr="006C1E51">
        <w:fldChar w:fldCharType="separate"/>
      </w:r>
      <w:r w:rsidR="00C63ED1" w:rsidRPr="006C1E51">
        <w:rPr>
          <w:noProof/>
        </w:rPr>
        <w:t>9</w:t>
      </w:r>
      <w:r w:rsidR="0044768F" w:rsidRPr="006C1E51">
        <w:rPr>
          <w:noProof/>
        </w:rPr>
        <w:fldChar w:fldCharType="end"/>
      </w:r>
      <w:r w:rsidRPr="006C1E51">
        <w:t>. Left to Right: Cheryl Reid, Ethiel Garlington, Jennie L. Stephens, Brett Wadford, Darius Johnson, Mary Adams. Author with staff from 1772 Foundation and Center for Heirs' Property. September 18, 2023.</w:t>
      </w:r>
      <w:bookmarkEnd w:id="34"/>
    </w:p>
    <w:p w14:paraId="2B820481" w14:textId="179E61C1" w:rsidR="00EA5E95" w:rsidRPr="006C1E51" w:rsidRDefault="00E26255"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On that same trip,</w:t>
      </w:r>
      <w:r w:rsidR="00C5531F" w:rsidRPr="006C1E51">
        <w:rPr>
          <w:rFonts w:ascii="Times New Roman" w:hAnsi="Times New Roman" w:cs="Times New Roman"/>
          <w:sz w:val="24"/>
          <w:szCs w:val="24"/>
        </w:rPr>
        <w:t xml:space="preserve"> </w:t>
      </w:r>
      <w:r w:rsidRPr="006C1E51">
        <w:rPr>
          <w:rFonts w:ascii="Times New Roman" w:hAnsi="Times New Roman" w:cs="Times New Roman"/>
          <w:sz w:val="24"/>
          <w:szCs w:val="24"/>
        </w:rPr>
        <w:t>I ended up at</w:t>
      </w:r>
      <w:r w:rsidR="00C5531F" w:rsidRPr="006C1E51">
        <w:rPr>
          <w:rFonts w:ascii="Times New Roman" w:hAnsi="Times New Roman" w:cs="Times New Roman"/>
          <w:sz w:val="24"/>
          <w:szCs w:val="24"/>
        </w:rPr>
        <w:t xml:space="preserve"> Mother Emanuel AME Church,</w:t>
      </w:r>
      <w:r w:rsidRPr="006C1E51">
        <w:rPr>
          <w:rFonts w:ascii="Times New Roman" w:hAnsi="Times New Roman" w:cs="Times New Roman"/>
          <w:sz w:val="24"/>
          <w:szCs w:val="24"/>
        </w:rPr>
        <w:t xml:space="preserve"> the site of the tragic church shooting that took the lives of nine Black worshippers.</w:t>
      </w:r>
      <w:r w:rsidRPr="006C1E51">
        <w:rPr>
          <w:rStyle w:val="FootnoteReference"/>
          <w:rFonts w:ascii="Times New Roman" w:hAnsi="Times New Roman" w:cs="Times New Roman"/>
          <w:sz w:val="24"/>
          <w:szCs w:val="24"/>
        </w:rPr>
        <w:footnoteReference w:id="56"/>
      </w:r>
      <w:r w:rsidRPr="006C1E51">
        <w:rPr>
          <w:rFonts w:ascii="Times New Roman" w:hAnsi="Times New Roman" w:cs="Times New Roman"/>
          <w:sz w:val="24"/>
          <w:szCs w:val="24"/>
        </w:rPr>
        <w:t xml:space="preserve"> Charleston’s volatile weather was in full force with heavy rain that flooded streets, as Mary Adams (1772 Foundation) and I made our way down Calhoun Street—headed towards the new International African American Museum. </w:t>
      </w:r>
      <w:r w:rsidR="00EA5E95" w:rsidRPr="006C1E51">
        <w:rPr>
          <w:rFonts w:ascii="Times New Roman" w:hAnsi="Times New Roman" w:cs="Times New Roman"/>
          <w:sz w:val="24"/>
          <w:szCs w:val="24"/>
        </w:rPr>
        <w:t xml:space="preserve">The church glowed against the gloomy sky, and we were drawn to the monument at the </w:t>
      </w:r>
      <w:r w:rsidR="00EA5E95" w:rsidRPr="006C1E51">
        <w:rPr>
          <w:rFonts w:ascii="Times New Roman" w:hAnsi="Times New Roman" w:cs="Times New Roman"/>
          <w:sz w:val="24"/>
          <w:szCs w:val="24"/>
        </w:rPr>
        <w:lastRenderedPageBreak/>
        <w:t>entrance; honoring those who were no longer with us. As I read the marker</w:t>
      </w:r>
      <w:r w:rsidR="00B72D18" w:rsidRPr="006C1E51">
        <w:rPr>
          <w:rFonts w:ascii="Times New Roman" w:hAnsi="Times New Roman" w:cs="Times New Roman"/>
          <w:sz w:val="24"/>
          <w:szCs w:val="24"/>
        </w:rPr>
        <w:t xml:space="preserve"> (see fig. 10)</w:t>
      </w:r>
      <w:r w:rsidR="00EA5E95" w:rsidRPr="006C1E51">
        <w:rPr>
          <w:rFonts w:ascii="Times New Roman" w:hAnsi="Times New Roman" w:cs="Times New Roman"/>
          <w:sz w:val="24"/>
          <w:szCs w:val="24"/>
        </w:rPr>
        <w:t xml:space="preserve">, Mary placed her hand on the monument to pay her respects—then we decided to see if anyone was inside. We knocked on the locked </w:t>
      </w:r>
      <w:r w:rsidR="00FD6498" w:rsidRPr="006C1E51">
        <w:rPr>
          <w:rFonts w:ascii="Times New Roman" w:hAnsi="Times New Roman" w:cs="Times New Roman"/>
          <w:sz w:val="24"/>
          <w:szCs w:val="24"/>
        </w:rPr>
        <w:t>door and</w:t>
      </w:r>
      <w:r w:rsidR="00EA5E95" w:rsidRPr="006C1E51">
        <w:rPr>
          <w:rFonts w:ascii="Times New Roman" w:hAnsi="Times New Roman" w:cs="Times New Roman"/>
          <w:sz w:val="24"/>
          <w:szCs w:val="24"/>
        </w:rPr>
        <w:t xml:space="preserve"> decided to leave after a few moments with no answer; until an older Black man greeted us. He said his name was Lee Bennett and he was the Church Historian.</w:t>
      </w:r>
      <w:r w:rsidR="00EA5E95" w:rsidRPr="006C1E51">
        <w:rPr>
          <w:rStyle w:val="FootnoteReference"/>
          <w:rFonts w:ascii="Times New Roman" w:hAnsi="Times New Roman" w:cs="Times New Roman"/>
          <w:sz w:val="24"/>
          <w:szCs w:val="24"/>
        </w:rPr>
        <w:footnoteReference w:id="57"/>
      </w:r>
      <w:r w:rsidR="00EA5E95" w:rsidRPr="006C1E51">
        <w:rPr>
          <w:rFonts w:ascii="Times New Roman" w:hAnsi="Times New Roman" w:cs="Times New Roman"/>
          <w:sz w:val="24"/>
          <w:szCs w:val="24"/>
        </w:rPr>
        <w:t xml:space="preserve"> </w:t>
      </w:r>
    </w:p>
    <w:p w14:paraId="7D74007A" w14:textId="77777777" w:rsidR="00EA5E95" w:rsidRPr="006C1E51" w:rsidRDefault="00EA5E95" w:rsidP="00775270">
      <w:pPr>
        <w:keepNext/>
        <w:spacing w:before="240" w:after="240" w:line="480" w:lineRule="auto"/>
        <w:ind w:firstLine="720"/>
        <w:jc w:val="center"/>
        <w:rPr>
          <w:rFonts w:ascii="Times New Roman" w:hAnsi="Times New Roman" w:cs="Times New Roman"/>
          <w:sz w:val="24"/>
          <w:szCs w:val="24"/>
        </w:rPr>
      </w:pPr>
      <w:r w:rsidRPr="006C1E51">
        <w:rPr>
          <w:rFonts w:ascii="Times New Roman" w:hAnsi="Times New Roman" w:cs="Times New Roman"/>
          <w:noProof/>
          <w:sz w:val="24"/>
          <w:szCs w:val="24"/>
        </w:rPr>
        <w:drawing>
          <wp:inline distT="0" distB="0" distL="0" distR="0" wp14:anchorId="580BB2AF" wp14:editId="42AC16BD">
            <wp:extent cx="4892040" cy="3184525"/>
            <wp:effectExtent l="0" t="0" r="0" b="3175"/>
            <wp:docPr id="1801198161" name="Picture 1" descr="A white church with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198161" name="Picture 1" descr="A white church with a sign&#10;&#10;AI-generated content may be incorrect."/>
                    <pic:cNvPicPr/>
                  </pic:nvPicPr>
                  <pic:blipFill>
                    <a:blip r:embed="rId21" cstate="email">
                      <a:extLst>
                        <a:ext uri="{28A0092B-C50C-407E-A947-70E740481C1C}">
                          <a14:useLocalDpi xmlns:a14="http://schemas.microsoft.com/office/drawing/2010/main"/>
                        </a:ext>
                      </a:extLst>
                    </a:blip>
                    <a:stretch>
                      <a:fillRect/>
                    </a:stretch>
                  </pic:blipFill>
                  <pic:spPr>
                    <a:xfrm>
                      <a:off x="0" y="0"/>
                      <a:ext cx="4892040" cy="3184525"/>
                    </a:xfrm>
                    <a:prstGeom prst="rect">
                      <a:avLst/>
                    </a:prstGeom>
                  </pic:spPr>
                </pic:pic>
              </a:graphicData>
            </a:graphic>
          </wp:inline>
        </w:drawing>
      </w:r>
    </w:p>
    <w:p w14:paraId="543A1344" w14:textId="32790CF0" w:rsidR="00EA5E95" w:rsidRPr="006C1E51" w:rsidRDefault="00EA5E95" w:rsidP="00F50E4B">
      <w:pPr>
        <w:pStyle w:val="Caption"/>
      </w:pPr>
      <w:bookmarkStart w:id="35" w:name="_Toc220011005"/>
      <w:r w:rsidRPr="006C1E51">
        <w:t xml:space="preserve">Figure </w:t>
      </w:r>
      <w:r w:rsidR="0044768F" w:rsidRPr="006C1E51">
        <w:fldChar w:fldCharType="begin"/>
      </w:r>
      <w:r w:rsidR="0044768F" w:rsidRPr="006C1E51">
        <w:instrText xml:space="preserve"> SEQ Figure \* ARABIC </w:instrText>
      </w:r>
      <w:r w:rsidR="0044768F" w:rsidRPr="006C1E51">
        <w:fldChar w:fldCharType="separate"/>
      </w:r>
      <w:r w:rsidR="00C63ED1" w:rsidRPr="006C1E51">
        <w:rPr>
          <w:noProof/>
        </w:rPr>
        <w:t>10</w:t>
      </w:r>
      <w:r w:rsidR="0044768F" w:rsidRPr="006C1E51">
        <w:rPr>
          <w:noProof/>
        </w:rPr>
        <w:fldChar w:fldCharType="end"/>
      </w:r>
      <w:r w:rsidRPr="006C1E51">
        <w:t>. Mother Emmanuel Church in Charleston, South Carolina. September 17, 2023.</w:t>
      </w:r>
      <w:bookmarkEnd w:id="35"/>
    </w:p>
    <w:p w14:paraId="0000005C" w14:textId="76CA629D" w:rsidR="0006233B" w:rsidRPr="006C1E51" w:rsidRDefault="00EA5E95"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Mr. Bennett walked us</w:t>
      </w:r>
      <w:r w:rsidR="00630AD3" w:rsidRPr="006C1E51">
        <w:rPr>
          <w:rFonts w:ascii="Times New Roman" w:hAnsi="Times New Roman" w:cs="Times New Roman"/>
          <w:sz w:val="24"/>
          <w:szCs w:val="24"/>
        </w:rPr>
        <w:t xml:space="preserve"> through the building and told us about its history as one of the oldest black congregations in the South. We learned about the church’s long, complicated history: surviving natural disasters, an antebellum ban on black churches, and burning for its association with Denmark Vesey, a former slave who tried to organize a slave revolt. I stood at the pulpit as he told us how Civil rights marchers gathered there, and how Booker T. Washington </w:t>
      </w:r>
      <w:r w:rsidR="00630AD3" w:rsidRPr="006C1E51">
        <w:rPr>
          <w:rFonts w:ascii="Times New Roman" w:hAnsi="Times New Roman" w:cs="Times New Roman"/>
          <w:sz w:val="24"/>
          <w:szCs w:val="24"/>
        </w:rPr>
        <w:lastRenderedPageBreak/>
        <w:t>and Martin Luther King Jr. spoke location where I laid my eyes in that moment. Mr. Bennett then directed our eyes towards the balconies, which needed to be secured, as well as the century-old pipe organ that needed to be restored. The cost of everything (beyond what I’ve named) exceed $1 million dollars with ease and was</w:t>
      </w:r>
      <w:r w:rsidR="00C5531F" w:rsidRPr="006C1E51">
        <w:rPr>
          <w:rFonts w:ascii="Times New Roman" w:hAnsi="Times New Roman" w:cs="Times New Roman"/>
          <w:sz w:val="24"/>
          <w:szCs w:val="24"/>
        </w:rPr>
        <w:t xml:space="preserve">—far beyond what 1772 alone cover with their grant program. </w:t>
      </w:r>
      <w:r w:rsidR="00630AD3" w:rsidRPr="006C1E51">
        <w:rPr>
          <w:rFonts w:ascii="Times New Roman" w:hAnsi="Times New Roman" w:cs="Times New Roman"/>
          <w:sz w:val="24"/>
          <w:szCs w:val="24"/>
        </w:rPr>
        <w:t>We had to leave to make our appointment for the new museum, but we exchanged information and thanked Mr. Bennett for letting us experience that space and moment. On the walk to the museum, I asked Mary for her thoughts, since she’s spent more than two decades funding complicated projects, and she explained something that sticks with me to this day--</w:t>
      </w:r>
      <w:r w:rsidR="00C5531F" w:rsidRPr="006C1E51">
        <w:rPr>
          <w:rFonts w:ascii="Times New Roman" w:hAnsi="Times New Roman" w:cs="Times New Roman"/>
          <w:sz w:val="24"/>
          <w:szCs w:val="24"/>
        </w:rPr>
        <w:t>1772 Foundation</w:t>
      </w:r>
      <w:r w:rsidR="00630AD3" w:rsidRPr="006C1E51">
        <w:rPr>
          <w:rFonts w:ascii="Times New Roman" w:hAnsi="Times New Roman" w:cs="Times New Roman"/>
          <w:sz w:val="24"/>
          <w:szCs w:val="24"/>
        </w:rPr>
        <w:t xml:space="preserve">’s money would be a drop in the bucket for that project, but they </w:t>
      </w:r>
      <w:r w:rsidR="00C5531F" w:rsidRPr="006C1E51">
        <w:rPr>
          <w:rFonts w:ascii="Times New Roman" w:hAnsi="Times New Roman" w:cs="Times New Roman"/>
          <w:sz w:val="24"/>
          <w:szCs w:val="24"/>
        </w:rPr>
        <w:t>ha</w:t>
      </w:r>
      <w:r w:rsidR="00630AD3" w:rsidRPr="006C1E51">
        <w:rPr>
          <w:rFonts w:ascii="Times New Roman" w:hAnsi="Times New Roman" w:cs="Times New Roman"/>
          <w:sz w:val="24"/>
          <w:szCs w:val="24"/>
        </w:rPr>
        <w:t>ve</w:t>
      </w:r>
      <w:r w:rsidR="00C5531F" w:rsidRPr="006C1E51">
        <w:rPr>
          <w:rFonts w:ascii="Times New Roman" w:hAnsi="Times New Roman" w:cs="Times New Roman"/>
          <w:sz w:val="24"/>
          <w:szCs w:val="24"/>
        </w:rPr>
        <w:t xml:space="preserve"> a track record of providing catalytic funding that signals to other partners that a project is worth joining</w:t>
      </w:r>
      <w:r w:rsidR="00630AD3" w:rsidRPr="006C1E51">
        <w:rPr>
          <w:rFonts w:ascii="Times New Roman" w:hAnsi="Times New Roman" w:cs="Times New Roman"/>
          <w:sz w:val="24"/>
          <w:szCs w:val="24"/>
        </w:rPr>
        <w:t xml:space="preserve">, and sometimes, that can make all the difference. It’s not always about the money on the table, is about the people around the table who can put the money to work. </w:t>
      </w:r>
      <w:r w:rsidR="00C5531F" w:rsidRPr="006C1E51">
        <w:rPr>
          <w:rFonts w:ascii="Times New Roman" w:hAnsi="Times New Roman" w:cs="Times New Roman"/>
          <w:sz w:val="24"/>
          <w:szCs w:val="24"/>
        </w:rPr>
        <w:t xml:space="preserve">Here, cooperative ideologies operated through philanthropic channels, showing how modest investments can unlock broader support. </w:t>
      </w:r>
    </w:p>
    <w:p w14:paraId="0000005D" w14:textId="11D6EFD6"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For a CHC approach, heritage is not just something delivered as a product or service—it is, as Laurajane Smith emphasizes, an ongoing process made through community negotiations of identity, place, and memory.</w:t>
      </w:r>
      <w:r w:rsidR="00BE091B" w:rsidRPr="006C1E51">
        <w:rPr>
          <w:rStyle w:val="FootnoteReference"/>
          <w:rFonts w:ascii="Times New Roman" w:hAnsi="Times New Roman" w:cs="Times New Roman"/>
          <w:sz w:val="24"/>
          <w:szCs w:val="24"/>
        </w:rPr>
        <w:footnoteReference w:id="58"/>
      </w:r>
      <w:r w:rsidRPr="006C1E51">
        <w:rPr>
          <w:rFonts w:ascii="Times New Roman" w:hAnsi="Times New Roman" w:cs="Times New Roman"/>
          <w:sz w:val="24"/>
          <w:szCs w:val="24"/>
        </w:rPr>
        <w:t xml:space="preserve"> At the same time, “heritage” has been commodified, used to rebrand fashion or fuel youth fascination with “vintage” aesthetics</w:t>
      </w:r>
      <w:r w:rsidR="00BE091B" w:rsidRPr="006C1E51">
        <w:rPr>
          <w:rFonts w:ascii="Times New Roman" w:hAnsi="Times New Roman" w:cs="Times New Roman"/>
          <w:sz w:val="24"/>
          <w:szCs w:val="24"/>
        </w:rPr>
        <w:t>, and ideals that associate the “old” or “antiquarian” with prestige and high quality.</w:t>
      </w:r>
      <w:r w:rsidR="00BE091B" w:rsidRPr="006C1E51">
        <w:rPr>
          <w:rStyle w:val="FootnoteReference"/>
          <w:rFonts w:ascii="Times New Roman" w:hAnsi="Times New Roman" w:cs="Times New Roman"/>
          <w:sz w:val="24"/>
          <w:szCs w:val="24"/>
        </w:rPr>
        <w:footnoteReference w:id="59"/>
      </w:r>
      <w:r w:rsidRPr="006C1E51">
        <w:rPr>
          <w:rFonts w:ascii="Times New Roman" w:hAnsi="Times New Roman" w:cs="Times New Roman"/>
          <w:sz w:val="24"/>
          <w:szCs w:val="24"/>
        </w:rPr>
        <w:t xml:space="preserve"> A CHC approach recognizes that Black heritage, in particular, carries immense value that Black communities themselves can leverage—</w:t>
      </w:r>
      <w:r w:rsidRPr="006C1E51">
        <w:rPr>
          <w:rFonts w:ascii="Times New Roman" w:hAnsi="Times New Roman" w:cs="Times New Roman"/>
          <w:sz w:val="24"/>
          <w:szCs w:val="24"/>
        </w:rPr>
        <w:lastRenderedPageBreak/>
        <w:t>if the business infrastructure exists to sustain it. Though I do not quantify the monetary value of Black culture within the heritage sector for this thesis, that research would offer crucial insights for inspiring greater collaboration to preserve, steward, and evolve heritage through cooperative systems</w:t>
      </w:r>
      <w:r w:rsidR="00BE091B" w:rsidRPr="006C1E51">
        <w:rPr>
          <w:rFonts w:ascii="Times New Roman" w:hAnsi="Times New Roman" w:cs="Times New Roman"/>
          <w:sz w:val="24"/>
          <w:szCs w:val="24"/>
        </w:rPr>
        <w:t>; and furthermore, to combat the commodification and appropriation of Black cultural heritage.</w:t>
      </w:r>
    </w:p>
    <w:p w14:paraId="0000005E" w14:textId="225AFC0B"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In this terrain, small organizations survive project to project, piecing together volunteer labor, short‑term grants, and fragile partnerships. They lack the operational stability needed for long‑term stewardship. For Black‑led organizations, the stakes are higher still. Without stable funding, cultural anchors erode, properties are sold or lost, and heritage is displaced by market pressures. But the problem is not an absence of value in Black communities. On the contrary, they hold deep reserves of economic and cultural value—land, buildings, traditions, networks, and even purchasing power—that have not been </w:t>
      </w:r>
      <w:r w:rsidR="00BE091B" w:rsidRPr="006C1E51">
        <w:rPr>
          <w:rFonts w:ascii="Times New Roman" w:hAnsi="Times New Roman" w:cs="Times New Roman"/>
          <w:sz w:val="24"/>
          <w:szCs w:val="24"/>
        </w:rPr>
        <w:t>fully leveraged into the heritage economy</w:t>
      </w:r>
      <w:r w:rsidRPr="006C1E51">
        <w:rPr>
          <w:rFonts w:ascii="Times New Roman" w:hAnsi="Times New Roman" w:cs="Times New Roman"/>
          <w:sz w:val="24"/>
          <w:szCs w:val="24"/>
        </w:rPr>
        <w:t>.</w:t>
      </w:r>
    </w:p>
    <w:p w14:paraId="0000005F" w14:textId="1E960863" w:rsidR="0006233B" w:rsidRPr="006C1E51" w:rsidRDefault="00BE091B" w:rsidP="00045AE1">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w:t>
      </w:r>
      <w:r w:rsidR="00C5531F" w:rsidRPr="006C1E51">
        <w:rPr>
          <w:rFonts w:ascii="Times New Roman" w:hAnsi="Times New Roman" w:cs="Times New Roman"/>
          <w:sz w:val="24"/>
          <w:szCs w:val="24"/>
        </w:rPr>
        <w:t>he CHC approach strives to correct heritage injustice by ensuring that heritage value translates into community value. Black Americans hold more than $1.7 trillion in annual spending power, yet much of this wealth flows outward to external corporations rather than circulating within Black communities themselves.</w:t>
      </w:r>
      <w:r w:rsidRPr="006C1E51">
        <w:rPr>
          <w:rStyle w:val="FootnoteReference"/>
          <w:rFonts w:ascii="Times New Roman" w:hAnsi="Times New Roman" w:cs="Times New Roman"/>
          <w:sz w:val="24"/>
          <w:szCs w:val="24"/>
        </w:rPr>
        <w:footnoteReference w:id="60"/>
      </w:r>
      <w:r w:rsidR="00C5531F" w:rsidRPr="006C1E51">
        <w:rPr>
          <w:rFonts w:ascii="Times New Roman" w:hAnsi="Times New Roman" w:cs="Times New Roman"/>
          <w:sz w:val="24"/>
          <w:szCs w:val="24"/>
        </w:rPr>
        <w:t xml:space="preserve"> At the same time, Maryland’s heritage economy is valued at over $2.4 billion annually, with African American heritage prominently featured in state plans and programming.</w:t>
      </w:r>
      <w:r w:rsidRPr="006C1E51">
        <w:rPr>
          <w:rStyle w:val="FootnoteReference"/>
          <w:rFonts w:ascii="Times New Roman" w:hAnsi="Times New Roman" w:cs="Times New Roman"/>
          <w:sz w:val="24"/>
          <w:szCs w:val="24"/>
        </w:rPr>
        <w:footnoteReference w:id="61"/>
      </w:r>
      <w:r w:rsidR="00C5531F" w:rsidRPr="006C1E51">
        <w:rPr>
          <w:rFonts w:ascii="Times New Roman" w:hAnsi="Times New Roman" w:cs="Times New Roman"/>
          <w:sz w:val="24"/>
          <w:szCs w:val="24"/>
        </w:rPr>
        <w:t xml:space="preserve"> Still, the very communities who generate these stories and sustain these cultural resources remain economically vulnerable, facing persistent struggles around housing, health, and livelihood. Some argue that historic preservation is not meant to </w:t>
      </w:r>
      <w:r w:rsidR="00C5531F" w:rsidRPr="006C1E51">
        <w:rPr>
          <w:rFonts w:ascii="Times New Roman" w:hAnsi="Times New Roman" w:cs="Times New Roman"/>
          <w:sz w:val="24"/>
          <w:szCs w:val="24"/>
        </w:rPr>
        <w:lastRenderedPageBreak/>
        <w:t xml:space="preserve">address such issues. Yet to honor heritage in narrative form while ignoring the decline in quality of life for those whose heritage is being celebrated is itself a form of cultural appropriation. Preservation fails when it benefits visitors more than the people who </w:t>
      </w:r>
      <w:r w:rsidR="00FD6498" w:rsidRPr="006C1E51">
        <w:rPr>
          <w:rFonts w:ascii="Times New Roman" w:hAnsi="Times New Roman" w:cs="Times New Roman"/>
          <w:sz w:val="24"/>
          <w:szCs w:val="24"/>
        </w:rPr>
        <w:t>live</w:t>
      </w:r>
      <w:r w:rsidR="00C5531F" w:rsidRPr="006C1E51">
        <w:rPr>
          <w:rFonts w:ascii="Times New Roman" w:hAnsi="Times New Roman" w:cs="Times New Roman"/>
          <w:sz w:val="24"/>
          <w:szCs w:val="24"/>
        </w:rPr>
        <w:t xml:space="preserve"> in and maintain these landscapes.</w:t>
      </w:r>
    </w:p>
    <w:p w14:paraId="00000061" w14:textId="6B60CB17" w:rsidR="0006233B" w:rsidRPr="006C1E51" w:rsidRDefault="00C5531F" w:rsidP="00045AE1">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What if those same communities became the primary consumers of their own goods and services—products rooted in cultural traditions, produced through cooperative systems, and tied directly to heritage sites? A cooperative heritage economy would not only stabilize historic assets but also create circular markets, where cultural value produces financial value that stays local. Economically, the CHC vision is about helping communities recognize and harness their existing strengths, pool resources, and translate heritage from a symbol of endurance into a vehicle for sustainable, self-determined futures.</w:t>
      </w:r>
    </w:p>
    <w:p w14:paraId="00000062" w14:textId="77777777" w:rsidR="0006233B" w:rsidRPr="006C1E51" w:rsidRDefault="00C5531F" w:rsidP="00775270">
      <w:pPr>
        <w:pStyle w:val="Heading2"/>
        <w:keepNext w:val="0"/>
        <w:keepLines w:val="0"/>
        <w:spacing w:line="480" w:lineRule="auto"/>
        <w:rPr>
          <w:rFonts w:ascii="Times New Roman" w:hAnsi="Times New Roman" w:cs="Times New Roman"/>
        </w:rPr>
      </w:pPr>
      <w:bookmarkStart w:id="36" w:name="_aj0agnckqiem" w:colFirst="0" w:colLast="0"/>
      <w:bookmarkStart w:id="37" w:name="_Toc220011086"/>
      <w:bookmarkEnd w:id="36"/>
      <w:r w:rsidRPr="006C1E51">
        <w:rPr>
          <w:rFonts w:ascii="Times New Roman" w:hAnsi="Times New Roman" w:cs="Times New Roman"/>
        </w:rPr>
        <w:t>Social</w:t>
      </w:r>
      <w:bookmarkEnd w:id="37"/>
    </w:p>
    <w:p w14:paraId="00000063"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One pressing social challenge today is not only polarization but declining civic engagement. People do not organize as they once did—the day-to-day needs of communities are not in focus. At a conversation on race in St. Michaels, Maryland, where I presented with colleagues on the Chesapeake Heartland project, an elderly Black woman—a retired superintendent from Pennsylvania—stood up in a packed room and said she was scared for our generation.</w:t>
      </w:r>
      <w:r w:rsidRPr="006C1E51">
        <w:rPr>
          <w:rFonts w:ascii="Times New Roman" w:hAnsi="Times New Roman" w:cs="Times New Roman"/>
          <w:sz w:val="24"/>
          <w:szCs w:val="24"/>
          <w:vertAlign w:val="superscript"/>
        </w:rPr>
        <w:footnoteReference w:id="62"/>
      </w:r>
      <w:r w:rsidRPr="006C1E51">
        <w:rPr>
          <w:rFonts w:ascii="Times New Roman" w:hAnsi="Times New Roman" w:cs="Times New Roman"/>
          <w:sz w:val="24"/>
          <w:szCs w:val="24"/>
        </w:rPr>
        <w:t xml:space="preserve"> She told a younger colleague and myself directly: “You don’t organize like we used to. We would get on a call and get moving.” Her point was simple but profound: without social cohesion, the ability to defend, preserve, and reimagine heritage falters.</w:t>
      </w:r>
    </w:p>
    <w:p w14:paraId="19B1D619" w14:textId="77777777" w:rsidR="00BE091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Heritage is one of the strongest tools we have to reweave the social fabric. As Laurajane Smith</w:t>
      </w:r>
      <w:r w:rsidR="00BE091B" w:rsidRPr="006C1E51">
        <w:rPr>
          <w:rFonts w:ascii="Times New Roman" w:hAnsi="Times New Roman" w:cs="Times New Roman"/>
          <w:sz w:val="24"/>
          <w:szCs w:val="24"/>
        </w:rPr>
        <w:t xml:space="preserve"> </w:t>
      </w:r>
      <w:r w:rsidRPr="006C1E51">
        <w:rPr>
          <w:rFonts w:ascii="Times New Roman" w:hAnsi="Times New Roman" w:cs="Times New Roman"/>
          <w:sz w:val="24"/>
          <w:szCs w:val="24"/>
        </w:rPr>
        <w:t xml:space="preserve">argues, heritage is not merely an object to be safeguarded, but a process made through identity, memory, and place. This is why works like John Morris’s Clairvoyance: Reweaving the Fabric of Black Folk matter. Through the gaze of a Black woman born in Baltimore’s public housing, Morris’s fictional narrative imagined revitalization by helping her community see value in the places they lived—places devalued by outsiders or targeted for exploitation—through a framework he coined “New Thinking” for developing policy for the Black community, by the Black community. Heritage, in this sense, is more than memory; it is a framework for rebuilding cohesion, for recognizing shared assets, and for creating policies rooted in collective commitment rather than statutory enforcement. </w:t>
      </w:r>
      <w:r w:rsidR="00BE091B" w:rsidRPr="006C1E51">
        <w:rPr>
          <w:rStyle w:val="FootnoteReference"/>
          <w:rFonts w:ascii="Times New Roman" w:hAnsi="Times New Roman" w:cs="Times New Roman"/>
          <w:sz w:val="24"/>
          <w:szCs w:val="24"/>
        </w:rPr>
        <w:footnoteReference w:id="63"/>
      </w:r>
      <w:r w:rsidR="00BE091B" w:rsidRPr="006C1E51">
        <w:rPr>
          <w:rFonts w:ascii="Times New Roman" w:hAnsi="Times New Roman" w:cs="Times New Roman"/>
          <w:sz w:val="24"/>
          <w:szCs w:val="24"/>
        </w:rPr>
        <w:t xml:space="preserve"> </w:t>
      </w:r>
      <w:r w:rsidRPr="006C1E51">
        <w:rPr>
          <w:rFonts w:ascii="Times New Roman" w:hAnsi="Times New Roman" w:cs="Times New Roman"/>
          <w:sz w:val="24"/>
          <w:szCs w:val="24"/>
        </w:rPr>
        <w:t>Morris’s framework is a core inspiration for a CHC approach</w:t>
      </w:r>
      <w:r w:rsidR="00BE091B" w:rsidRPr="006C1E51">
        <w:rPr>
          <w:rFonts w:ascii="Times New Roman" w:hAnsi="Times New Roman" w:cs="Times New Roman"/>
          <w:sz w:val="24"/>
          <w:szCs w:val="24"/>
        </w:rPr>
        <w:t>, particular the structure of the forthcoming Chapter Five in which I apply the CHC framework to a real community.</w:t>
      </w:r>
      <w:r w:rsidRPr="006C1E51">
        <w:rPr>
          <w:rFonts w:ascii="Times New Roman" w:hAnsi="Times New Roman" w:cs="Times New Roman"/>
          <w:sz w:val="24"/>
          <w:szCs w:val="24"/>
        </w:rPr>
        <w:t xml:space="preserve"> </w:t>
      </w:r>
    </w:p>
    <w:p w14:paraId="00000066" w14:textId="22210C16" w:rsidR="0006233B" w:rsidRPr="006C1E51" w:rsidRDefault="00BE091B"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B</w:t>
      </w:r>
      <w:r w:rsidR="00C5531F" w:rsidRPr="006C1E51">
        <w:rPr>
          <w:rFonts w:ascii="Times New Roman" w:hAnsi="Times New Roman" w:cs="Times New Roman"/>
          <w:sz w:val="24"/>
          <w:szCs w:val="24"/>
        </w:rPr>
        <w:t xml:space="preserve">ut preceding </w:t>
      </w:r>
      <w:r w:rsidR="00DA4DD5" w:rsidRPr="006C1E51">
        <w:rPr>
          <w:rFonts w:ascii="Times New Roman" w:hAnsi="Times New Roman" w:cs="Times New Roman"/>
          <w:sz w:val="24"/>
          <w:szCs w:val="24"/>
        </w:rPr>
        <w:t>Laurajane</w:t>
      </w:r>
      <w:r w:rsidRPr="006C1E51">
        <w:rPr>
          <w:rFonts w:ascii="Times New Roman" w:hAnsi="Times New Roman" w:cs="Times New Roman"/>
          <w:sz w:val="24"/>
          <w:szCs w:val="24"/>
        </w:rPr>
        <w:t xml:space="preserve"> Smith and John Morris</w:t>
      </w:r>
      <w:r w:rsidR="00C5531F" w:rsidRPr="006C1E51">
        <w:rPr>
          <w:rFonts w:ascii="Times New Roman" w:hAnsi="Times New Roman" w:cs="Times New Roman"/>
          <w:sz w:val="24"/>
          <w:szCs w:val="24"/>
        </w:rPr>
        <w:t>, are cooperative agricultural practices carried Black communities from Reconstruction through Jim Crow. Even as land was lost due to predatory lending practices, cooperative principles endured to help Black landowners get their start and navigate a complex economy for farming.</w:t>
      </w:r>
      <w:r w:rsidR="00C5531F" w:rsidRPr="006C1E51">
        <w:rPr>
          <w:rFonts w:ascii="Times New Roman" w:hAnsi="Times New Roman" w:cs="Times New Roman"/>
          <w:sz w:val="24"/>
          <w:szCs w:val="24"/>
          <w:vertAlign w:val="superscript"/>
        </w:rPr>
        <w:footnoteReference w:id="64"/>
      </w:r>
      <w:r w:rsidR="00C5531F" w:rsidRPr="006C1E51">
        <w:rPr>
          <w:rFonts w:ascii="Times New Roman" w:hAnsi="Times New Roman" w:cs="Times New Roman"/>
          <w:sz w:val="24"/>
          <w:szCs w:val="24"/>
        </w:rPr>
        <w:t xml:space="preserve"> They remind us that social cohesion does not always require government enforcement—when communities see value in their shared assets, they uphold agreements on the strength of commitment alone.</w:t>
      </w:r>
      <w:r w:rsidR="00F545B1" w:rsidRPr="006C1E51">
        <w:rPr>
          <w:rFonts w:ascii="Times New Roman" w:hAnsi="Times New Roman" w:cs="Times New Roman"/>
          <w:sz w:val="24"/>
          <w:szCs w:val="24"/>
        </w:rPr>
        <w:t xml:space="preserve"> T</w:t>
      </w:r>
      <w:r w:rsidR="00C5531F" w:rsidRPr="006C1E51">
        <w:rPr>
          <w:rFonts w:ascii="Times New Roman" w:hAnsi="Times New Roman" w:cs="Times New Roman"/>
          <w:sz w:val="24"/>
          <w:szCs w:val="24"/>
        </w:rPr>
        <w:t xml:space="preserve">he CHC approach builds on this legacy by identifying value and shared </w:t>
      </w:r>
      <w:r w:rsidR="00FD6498" w:rsidRPr="006C1E51">
        <w:rPr>
          <w:rFonts w:ascii="Times New Roman" w:hAnsi="Times New Roman" w:cs="Times New Roman"/>
          <w:sz w:val="24"/>
          <w:szCs w:val="24"/>
        </w:rPr>
        <w:t>assets and</w:t>
      </w:r>
      <w:r w:rsidR="00C5531F" w:rsidRPr="006C1E51">
        <w:rPr>
          <w:rFonts w:ascii="Times New Roman" w:hAnsi="Times New Roman" w:cs="Times New Roman"/>
          <w:sz w:val="24"/>
          <w:szCs w:val="24"/>
        </w:rPr>
        <w:t xml:space="preserve"> developing missions that protect them through collective agreement. In doing so, they move beyond the “Authorized Heritage Discourse” that </w:t>
      </w:r>
      <w:r w:rsidR="00C5531F" w:rsidRPr="006C1E51">
        <w:rPr>
          <w:rFonts w:ascii="Times New Roman" w:hAnsi="Times New Roman" w:cs="Times New Roman"/>
          <w:sz w:val="24"/>
          <w:szCs w:val="24"/>
        </w:rPr>
        <w:lastRenderedPageBreak/>
        <w:t>privileges expert voices, toward a values-centered model that treats heritage as an active social practice. From the social perspective, cooperative heritage policy emerges when communities decide together what matters, how it should be stewarded, and how those practices reinforce identity and belonging.</w:t>
      </w:r>
    </w:p>
    <w:p w14:paraId="00000067" w14:textId="0D2ABA06"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For Black communities—particularly in rural areas—heritage is inseparable from identity, and identity itself is a deeply social construct. Laurajane Smith</w:t>
      </w:r>
      <w:r w:rsidR="00F545B1" w:rsidRPr="006C1E51">
        <w:rPr>
          <w:rFonts w:ascii="Times New Roman" w:hAnsi="Times New Roman" w:cs="Times New Roman"/>
          <w:sz w:val="24"/>
          <w:szCs w:val="24"/>
        </w:rPr>
        <w:t xml:space="preserve"> </w:t>
      </w:r>
      <w:r w:rsidRPr="006C1E51">
        <w:rPr>
          <w:rFonts w:ascii="Times New Roman" w:hAnsi="Times New Roman" w:cs="Times New Roman"/>
          <w:sz w:val="24"/>
          <w:szCs w:val="24"/>
        </w:rPr>
        <w:t>remind</w:t>
      </w:r>
      <w:r w:rsidR="00F545B1" w:rsidRPr="006C1E51">
        <w:rPr>
          <w:rFonts w:ascii="Times New Roman" w:hAnsi="Times New Roman" w:cs="Times New Roman"/>
          <w:sz w:val="24"/>
          <w:szCs w:val="24"/>
        </w:rPr>
        <w:t>s</w:t>
      </w:r>
      <w:r w:rsidRPr="006C1E51">
        <w:rPr>
          <w:rFonts w:ascii="Times New Roman" w:hAnsi="Times New Roman" w:cs="Times New Roman"/>
          <w:sz w:val="24"/>
          <w:szCs w:val="24"/>
        </w:rPr>
        <w:t xml:space="preserve"> us that identity is not fixed within objects</w:t>
      </w:r>
      <w:r w:rsidR="00F545B1" w:rsidRPr="006C1E51">
        <w:rPr>
          <w:rFonts w:ascii="Times New Roman" w:hAnsi="Times New Roman" w:cs="Times New Roman"/>
          <w:sz w:val="24"/>
          <w:szCs w:val="24"/>
        </w:rPr>
        <w:t xml:space="preserve">. </w:t>
      </w:r>
      <w:r w:rsidRPr="006C1E51">
        <w:rPr>
          <w:rFonts w:ascii="Times New Roman" w:hAnsi="Times New Roman" w:cs="Times New Roman"/>
          <w:sz w:val="24"/>
          <w:szCs w:val="24"/>
        </w:rPr>
        <w:t>Randall Mason</w:t>
      </w:r>
      <w:r w:rsidR="00F545B1" w:rsidRPr="006C1E51">
        <w:rPr>
          <w:rFonts w:ascii="Times New Roman" w:hAnsi="Times New Roman" w:cs="Times New Roman"/>
          <w:sz w:val="24"/>
          <w:szCs w:val="24"/>
        </w:rPr>
        <w:t>’s</w:t>
      </w:r>
      <w:r w:rsidRPr="006C1E51">
        <w:rPr>
          <w:rFonts w:ascii="Times New Roman" w:hAnsi="Times New Roman" w:cs="Times New Roman"/>
          <w:sz w:val="24"/>
          <w:szCs w:val="24"/>
        </w:rPr>
        <w:t xml:space="preserve"> values-centered preservation similarly emphasizes that places hold multiple, overlapping meanings, each bound to the identities of different groups. Andrea Roberts’s work on freedom colonies demonstrates how Black identity has been preserved not only in buildings but in the social practices of gathering, storytelling, and cooperative landholding that sustained communities despite erasure.</w:t>
      </w:r>
      <w:r w:rsidR="005104F7" w:rsidRPr="006C1E51">
        <w:rPr>
          <w:rStyle w:val="FootnoteReference"/>
          <w:rFonts w:ascii="Times New Roman" w:hAnsi="Times New Roman" w:cs="Times New Roman"/>
          <w:sz w:val="24"/>
          <w:szCs w:val="24"/>
        </w:rPr>
        <w:footnoteReference w:id="65"/>
      </w:r>
      <w:r w:rsidRPr="006C1E51">
        <w:rPr>
          <w:rFonts w:ascii="Times New Roman" w:hAnsi="Times New Roman" w:cs="Times New Roman"/>
          <w:sz w:val="24"/>
          <w:szCs w:val="24"/>
        </w:rPr>
        <w:t xml:space="preserve"> The core lesson from these perspectives is that identity emerges from the interplay of tangible and intangible elements—landscapes, rituals, and memories—that communities continually renegotiate. For a CHC approach, this social dimension of heritage means treating preservation as a way for people to connect across shared identity, and to sustain those connections across generations</w:t>
      </w:r>
      <w:r w:rsidR="005104F7" w:rsidRPr="006C1E51">
        <w:rPr>
          <w:rFonts w:ascii="Times New Roman" w:hAnsi="Times New Roman" w:cs="Times New Roman"/>
          <w:sz w:val="24"/>
          <w:szCs w:val="24"/>
        </w:rPr>
        <w:t xml:space="preserve"> through processes of cooperative practice</w:t>
      </w:r>
      <w:r w:rsidRPr="006C1E51">
        <w:rPr>
          <w:rFonts w:ascii="Times New Roman" w:hAnsi="Times New Roman" w:cs="Times New Roman"/>
          <w:sz w:val="24"/>
          <w:szCs w:val="24"/>
        </w:rPr>
        <w:t>.</w:t>
      </w:r>
    </w:p>
    <w:p w14:paraId="1A4ED2DB" w14:textId="77777777" w:rsidR="00045AE1" w:rsidRPr="006C1E51" w:rsidRDefault="00045AE1">
      <w:pPr>
        <w:rPr>
          <w:rFonts w:ascii="Times New Roman" w:hAnsi="Times New Roman" w:cs="Times New Roman"/>
          <w:b/>
          <w:bCs/>
          <w:sz w:val="24"/>
          <w:szCs w:val="24"/>
          <w:u w:val="single"/>
        </w:rPr>
      </w:pPr>
      <w:bookmarkStart w:id="38" w:name="_tnyx1phx9nkx" w:colFirst="0" w:colLast="0"/>
      <w:bookmarkEnd w:id="38"/>
      <w:r w:rsidRPr="006C1E51">
        <w:rPr>
          <w:rFonts w:ascii="Times New Roman" w:hAnsi="Times New Roman" w:cs="Times New Roman"/>
        </w:rPr>
        <w:br w:type="page"/>
      </w:r>
    </w:p>
    <w:p w14:paraId="00000068" w14:textId="3035C838" w:rsidR="0006233B" w:rsidRPr="006C1E51" w:rsidRDefault="00C5531F" w:rsidP="00775270">
      <w:pPr>
        <w:pStyle w:val="Heading2"/>
        <w:keepNext w:val="0"/>
        <w:keepLines w:val="0"/>
        <w:spacing w:line="480" w:lineRule="auto"/>
        <w:rPr>
          <w:rFonts w:ascii="Times New Roman" w:hAnsi="Times New Roman" w:cs="Times New Roman"/>
        </w:rPr>
      </w:pPr>
      <w:bookmarkStart w:id="39" w:name="_Toc220011087"/>
      <w:r w:rsidRPr="006C1E51">
        <w:rPr>
          <w:rFonts w:ascii="Times New Roman" w:hAnsi="Times New Roman" w:cs="Times New Roman"/>
        </w:rPr>
        <w:lastRenderedPageBreak/>
        <w:t>Technological</w:t>
      </w:r>
      <w:bookmarkEnd w:id="39"/>
    </w:p>
    <w:p w14:paraId="00000069" w14:textId="33B8ACDD"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Technologically, change is relentless. Every day brings new apps, workflows, and monitoring systems. In the heritage sector, it</w:t>
      </w:r>
      <w:r w:rsidR="004771D7" w:rsidRPr="006C1E51">
        <w:rPr>
          <w:rFonts w:ascii="Times New Roman" w:hAnsi="Times New Roman" w:cs="Times New Roman"/>
          <w:sz w:val="24"/>
          <w:szCs w:val="24"/>
        </w:rPr>
        <w:t xml:space="preserve"> technology</w:t>
      </w:r>
      <w:r w:rsidRPr="006C1E51">
        <w:rPr>
          <w:rFonts w:ascii="Times New Roman" w:hAnsi="Times New Roman" w:cs="Times New Roman"/>
          <w:sz w:val="24"/>
          <w:szCs w:val="24"/>
        </w:rPr>
        <w:t xml:space="preserve"> </w:t>
      </w:r>
      <w:r w:rsidR="004771D7" w:rsidRPr="006C1E51">
        <w:rPr>
          <w:rFonts w:ascii="Times New Roman" w:hAnsi="Times New Roman" w:cs="Times New Roman"/>
          <w:sz w:val="24"/>
          <w:szCs w:val="24"/>
        </w:rPr>
        <w:t>brings</w:t>
      </w:r>
      <w:r w:rsidRPr="006C1E51">
        <w:rPr>
          <w:rFonts w:ascii="Times New Roman" w:hAnsi="Times New Roman" w:cs="Times New Roman"/>
          <w:sz w:val="24"/>
          <w:szCs w:val="24"/>
        </w:rPr>
        <w:t xml:space="preserve"> new grant portals</w:t>
      </w:r>
      <w:r w:rsidR="004771D7" w:rsidRPr="006C1E51">
        <w:rPr>
          <w:rFonts w:ascii="Times New Roman" w:hAnsi="Times New Roman" w:cs="Times New Roman"/>
          <w:sz w:val="24"/>
          <w:szCs w:val="24"/>
        </w:rPr>
        <w:t xml:space="preserve"> for historic preservation funding programs,</w:t>
      </w:r>
      <w:r w:rsidRPr="006C1E51">
        <w:rPr>
          <w:rFonts w:ascii="Times New Roman" w:hAnsi="Times New Roman" w:cs="Times New Roman"/>
          <w:sz w:val="24"/>
          <w:szCs w:val="24"/>
        </w:rPr>
        <w:t xml:space="preserve"> GIS </w:t>
      </w:r>
      <w:r w:rsidR="004771D7" w:rsidRPr="006C1E51">
        <w:rPr>
          <w:rFonts w:ascii="Times New Roman" w:hAnsi="Times New Roman" w:cs="Times New Roman"/>
          <w:sz w:val="24"/>
          <w:szCs w:val="24"/>
        </w:rPr>
        <w:t xml:space="preserve">or mapping-based </w:t>
      </w:r>
      <w:r w:rsidRPr="006C1E51">
        <w:rPr>
          <w:rFonts w:ascii="Times New Roman" w:hAnsi="Times New Roman" w:cs="Times New Roman"/>
          <w:sz w:val="24"/>
          <w:szCs w:val="24"/>
        </w:rPr>
        <w:t>platforms</w:t>
      </w:r>
      <w:r w:rsidR="004771D7" w:rsidRPr="006C1E51">
        <w:rPr>
          <w:rFonts w:ascii="Times New Roman" w:hAnsi="Times New Roman" w:cs="Times New Roman"/>
          <w:sz w:val="24"/>
          <w:szCs w:val="24"/>
        </w:rPr>
        <w:t xml:space="preserve"> like </w:t>
      </w:r>
      <w:hyperlink r:id="rId22" w:history="1">
        <w:r w:rsidR="004771D7" w:rsidRPr="006C1E51">
          <w:rPr>
            <w:rStyle w:val="Hyperlink"/>
            <w:rFonts w:ascii="Times New Roman" w:hAnsi="Times New Roman" w:cs="Times New Roman"/>
            <w:sz w:val="24"/>
            <w:szCs w:val="24"/>
          </w:rPr>
          <w:t>History Pin</w:t>
        </w:r>
      </w:hyperlink>
      <w:r w:rsidRPr="006C1E51">
        <w:rPr>
          <w:rFonts w:ascii="Times New Roman" w:hAnsi="Times New Roman" w:cs="Times New Roman"/>
          <w:sz w:val="24"/>
          <w:szCs w:val="24"/>
        </w:rPr>
        <w:t xml:space="preserve">, or Virtual Reality </w:t>
      </w:r>
      <w:r w:rsidR="004771D7" w:rsidRPr="006C1E51">
        <w:rPr>
          <w:rFonts w:ascii="Times New Roman" w:hAnsi="Times New Roman" w:cs="Times New Roman"/>
          <w:sz w:val="24"/>
          <w:szCs w:val="24"/>
        </w:rPr>
        <w:t xml:space="preserve">and 3D scanning </w:t>
      </w:r>
      <w:r w:rsidRPr="006C1E51">
        <w:rPr>
          <w:rFonts w:ascii="Times New Roman" w:hAnsi="Times New Roman" w:cs="Times New Roman"/>
          <w:sz w:val="24"/>
          <w:szCs w:val="24"/>
        </w:rPr>
        <w:t>tools</w:t>
      </w:r>
      <w:r w:rsidR="004771D7" w:rsidRPr="006C1E51">
        <w:rPr>
          <w:rFonts w:ascii="Times New Roman" w:hAnsi="Times New Roman" w:cs="Times New Roman"/>
          <w:sz w:val="24"/>
          <w:szCs w:val="24"/>
        </w:rPr>
        <w:t xml:space="preserve"> to digitally preserve spaces</w:t>
      </w:r>
      <w:r w:rsidRPr="006C1E51">
        <w:rPr>
          <w:rFonts w:ascii="Times New Roman" w:hAnsi="Times New Roman" w:cs="Times New Roman"/>
          <w:sz w:val="24"/>
          <w:szCs w:val="24"/>
        </w:rPr>
        <w:t>.</w:t>
      </w:r>
      <w:r w:rsidRPr="006C1E51">
        <w:rPr>
          <w:rFonts w:ascii="Times New Roman" w:hAnsi="Times New Roman" w:cs="Times New Roman"/>
          <w:sz w:val="24"/>
          <w:szCs w:val="24"/>
          <w:vertAlign w:val="superscript"/>
        </w:rPr>
        <w:footnoteReference w:id="66"/>
      </w:r>
      <w:r w:rsidRPr="006C1E51">
        <w:rPr>
          <w:rFonts w:ascii="Times New Roman" w:hAnsi="Times New Roman" w:cs="Times New Roman"/>
          <w:sz w:val="24"/>
          <w:szCs w:val="24"/>
        </w:rPr>
        <w:t xml:space="preserve"> Technology is both enabler and divider. It can amplify the history of ethnic enclaves through </w:t>
      </w:r>
      <w:r w:rsidR="00DA4DD5" w:rsidRPr="006C1E51">
        <w:rPr>
          <w:rFonts w:ascii="Times New Roman" w:hAnsi="Times New Roman" w:cs="Times New Roman"/>
          <w:sz w:val="24"/>
          <w:szCs w:val="24"/>
        </w:rPr>
        <w:t>story mapping</w:t>
      </w:r>
      <w:r w:rsidRPr="006C1E51">
        <w:rPr>
          <w:rFonts w:ascii="Times New Roman" w:hAnsi="Times New Roman" w:cs="Times New Roman"/>
          <w:sz w:val="24"/>
          <w:szCs w:val="24"/>
        </w:rPr>
        <w:t xml:space="preserve"> or use ground-penetrating radar in cemeteries to justify preservation. Yet many grassroots organizations struggle to even access grant application systems or manage basic back-office tools. It adds an extra layer of effort for an elder whose day spent logging into her grant application, would have been more enjoyed with family; in this case, technology becomes a barrier, not an aid. Technology also creates concerns for privacy. Emerging scholarship explores the implications of preservation processes associated with national register listings, signage, and mapping as conduits for invasion of privacy.</w:t>
      </w:r>
      <w:r w:rsidRPr="006C1E51">
        <w:rPr>
          <w:rFonts w:ascii="Times New Roman" w:hAnsi="Times New Roman" w:cs="Times New Roman"/>
          <w:sz w:val="24"/>
          <w:szCs w:val="24"/>
          <w:vertAlign w:val="superscript"/>
        </w:rPr>
        <w:footnoteReference w:id="67"/>
      </w:r>
      <w:r w:rsidRPr="006C1E51">
        <w:rPr>
          <w:rFonts w:ascii="Times New Roman" w:hAnsi="Times New Roman" w:cs="Times New Roman"/>
          <w:sz w:val="24"/>
          <w:szCs w:val="24"/>
        </w:rPr>
        <w:t xml:space="preserve"> It makes visible the very places that exist because of their ability to be concealed from external threats—</w:t>
      </w:r>
      <w:r w:rsidR="00FE100D" w:rsidRPr="006C1E51">
        <w:rPr>
          <w:rFonts w:ascii="Times New Roman" w:hAnsi="Times New Roman" w:cs="Times New Roman"/>
          <w:sz w:val="24"/>
          <w:szCs w:val="24"/>
        </w:rPr>
        <w:t xml:space="preserve">generally, </w:t>
      </w:r>
      <w:r w:rsidRPr="006C1E51">
        <w:rPr>
          <w:rFonts w:ascii="Times New Roman" w:hAnsi="Times New Roman" w:cs="Times New Roman"/>
          <w:sz w:val="24"/>
          <w:szCs w:val="24"/>
        </w:rPr>
        <w:t>historically black villages or freedom colonies</w:t>
      </w:r>
      <w:r w:rsidR="00FE100D" w:rsidRPr="006C1E51">
        <w:rPr>
          <w:rFonts w:ascii="Times New Roman" w:hAnsi="Times New Roman" w:cs="Times New Roman"/>
          <w:sz w:val="24"/>
          <w:szCs w:val="24"/>
        </w:rPr>
        <w:t>.</w:t>
      </w:r>
    </w:p>
    <w:p w14:paraId="384EF96B" w14:textId="5F64C0BE" w:rsidR="00E36BF8"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Still, when technology is paired with cooperation, its potential shifts. Projects like the </w:t>
      </w:r>
      <w:r w:rsidR="004771D7" w:rsidRPr="006C1E51">
        <w:rPr>
          <w:rFonts w:ascii="Times New Roman" w:hAnsi="Times New Roman" w:cs="Times New Roman"/>
          <w:sz w:val="24"/>
          <w:szCs w:val="24"/>
        </w:rPr>
        <w:t xml:space="preserve">Texas </w:t>
      </w:r>
      <w:r w:rsidRPr="006C1E51">
        <w:rPr>
          <w:rFonts w:ascii="Times New Roman" w:hAnsi="Times New Roman" w:cs="Times New Roman"/>
          <w:sz w:val="24"/>
          <w:szCs w:val="24"/>
        </w:rPr>
        <w:t xml:space="preserve">Freedom Colonies Project use digital mapping not as an extractive exercise, but as a community-anchored tool that documents settlements while honoring privacy and context. </w:t>
      </w:r>
      <w:r w:rsidRPr="006C1E51">
        <w:rPr>
          <w:rFonts w:ascii="Times New Roman" w:hAnsi="Times New Roman" w:cs="Times New Roman"/>
          <w:sz w:val="24"/>
          <w:szCs w:val="24"/>
        </w:rPr>
        <w:lastRenderedPageBreak/>
        <w:t xml:space="preserve">Similarly, Chesapeake Heartland: An African American Humanities Project demonstrates how digital community archives can generate internships and jobs for </w:t>
      </w:r>
      <w:r w:rsidR="00FE100D" w:rsidRPr="006C1E51">
        <w:rPr>
          <w:rFonts w:ascii="Times New Roman" w:hAnsi="Times New Roman" w:cs="Times New Roman"/>
          <w:sz w:val="24"/>
          <w:szCs w:val="24"/>
        </w:rPr>
        <w:t>residents</w:t>
      </w:r>
      <w:r w:rsidRPr="006C1E51">
        <w:rPr>
          <w:rFonts w:ascii="Times New Roman" w:hAnsi="Times New Roman" w:cs="Times New Roman"/>
          <w:sz w:val="24"/>
          <w:szCs w:val="24"/>
        </w:rPr>
        <w:t>, build shared community experiences, and create historical narratives that transform place and strengthen placekeeping across generations.</w:t>
      </w:r>
      <w:r w:rsidRPr="006C1E51">
        <w:rPr>
          <w:rFonts w:ascii="Times New Roman" w:hAnsi="Times New Roman" w:cs="Times New Roman"/>
          <w:sz w:val="24"/>
          <w:szCs w:val="24"/>
          <w:vertAlign w:val="superscript"/>
        </w:rPr>
        <w:footnoteReference w:id="68"/>
      </w:r>
      <w:r w:rsidRPr="006C1E51">
        <w:rPr>
          <w:rFonts w:ascii="Times New Roman" w:hAnsi="Times New Roman" w:cs="Times New Roman"/>
          <w:sz w:val="24"/>
          <w:szCs w:val="24"/>
        </w:rPr>
        <w:t xml:space="preserve"> </w:t>
      </w:r>
    </w:p>
    <w:p w14:paraId="0000006A" w14:textId="365046BF" w:rsidR="0006233B" w:rsidRPr="006C1E51" w:rsidRDefault="00E36BF8"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As Project Director of Chesapeake Heartland, my role has been to translate community-identified principles into institutional practice—sustaining a community-developed model grounded in the belief that preservation work must both share resources and share authority with the communities whose histories are being stewarded. This commitment has shaped decisions around paid fellowships, community curation, advisory governance, and digital access, ensuring that technological infrastructure supports reciprocal benefit rather than extraction. </w:t>
      </w:r>
      <w:r w:rsidR="00C5531F" w:rsidRPr="006C1E51">
        <w:rPr>
          <w:rFonts w:ascii="Times New Roman" w:hAnsi="Times New Roman" w:cs="Times New Roman"/>
          <w:sz w:val="24"/>
          <w:szCs w:val="24"/>
        </w:rPr>
        <w:t xml:space="preserve">Here, technology is meaningful not just for preserving fragile materials, but for reinforcing social cohesion and offering pathways of economic participation. These examples show that a CHC approach can treat technology as </w:t>
      </w:r>
      <w:r w:rsidR="00C5531F" w:rsidRPr="006C1E51">
        <w:rPr>
          <w:rFonts w:ascii="Times New Roman" w:hAnsi="Times New Roman" w:cs="Times New Roman"/>
          <w:i/>
          <w:iCs/>
          <w:sz w:val="24"/>
          <w:szCs w:val="24"/>
        </w:rPr>
        <w:t>commons infrastructure</w:t>
      </w:r>
      <w:r w:rsidR="00C5531F" w:rsidRPr="006C1E51">
        <w:rPr>
          <w:rFonts w:ascii="Times New Roman" w:hAnsi="Times New Roman" w:cs="Times New Roman"/>
          <w:sz w:val="24"/>
          <w:szCs w:val="24"/>
        </w:rPr>
        <w:t>—pooling archival digitization kits, GIS licenses, and storytelling platforms that a single grassroots group would struggle to sustain alone.</w:t>
      </w:r>
    </w:p>
    <w:p w14:paraId="0000006C" w14:textId="23FAF12A"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At the same time, a CHC approach must address the ethical dimension of digital heritage. Who owns the data? Who controls visibility? Who benefits from cultural assets once they are digitized? Technology can expose vulnerable communities to unwanted </w:t>
      </w:r>
      <w:r w:rsidR="00FE100D" w:rsidRPr="006C1E51">
        <w:rPr>
          <w:rFonts w:ascii="Times New Roman" w:hAnsi="Times New Roman" w:cs="Times New Roman"/>
          <w:sz w:val="24"/>
          <w:szCs w:val="24"/>
        </w:rPr>
        <w:t>scrutiny or</w:t>
      </w:r>
      <w:r w:rsidRPr="006C1E51">
        <w:rPr>
          <w:rFonts w:ascii="Times New Roman" w:hAnsi="Times New Roman" w:cs="Times New Roman"/>
          <w:sz w:val="24"/>
          <w:szCs w:val="24"/>
        </w:rPr>
        <w:t xml:space="preserve"> turn intimate memories into consumable content.</w:t>
      </w:r>
      <w:r w:rsidR="00835AB5" w:rsidRPr="006C1E51">
        <w:rPr>
          <w:rFonts w:ascii="Times New Roman" w:hAnsi="Times New Roman" w:cs="Times New Roman"/>
          <w:sz w:val="24"/>
          <w:szCs w:val="24"/>
        </w:rPr>
        <w:t xml:space="preserve"> Jessica Marie Johnson’s work with the </w:t>
      </w:r>
      <w:r w:rsidR="00835AB5" w:rsidRPr="006C1E51">
        <w:rPr>
          <w:rFonts w:ascii="Times New Roman" w:hAnsi="Times New Roman" w:cs="Times New Roman"/>
          <w:i/>
          <w:iCs/>
          <w:sz w:val="24"/>
          <w:szCs w:val="24"/>
        </w:rPr>
        <w:t>Black Beyond Data lab</w:t>
      </w:r>
      <w:r w:rsidR="00835AB5" w:rsidRPr="006C1E51">
        <w:rPr>
          <w:rFonts w:ascii="Times New Roman" w:hAnsi="Times New Roman" w:cs="Times New Roman"/>
          <w:sz w:val="24"/>
          <w:szCs w:val="24"/>
        </w:rPr>
        <w:t xml:space="preserve"> </w:t>
      </w:r>
      <w:r w:rsidR="004714CD" w:rsidRPr="006C1E51">
        <w:rPr>
          <w:rFonts w:ascii="Times New Roman" w:hAnsi="Times New Roman" w:cs="Times New Roman"/>
          <w:sz w:val="24"/>
          <w:szCs w:val="24"/>
        </w:rPr>
        <w:t xml:space="preserve">demonstrates how data originally produced by enslavers can be critically reclaimed to </w:t>
      </w:r>
      <w:r w:rsidR="004714CD" w:rsidRPr="006C1E51">
        <w:rPr>
          <w:rFonts w:ascii="Times New Roman" w:hAnsi="Times New Roman" w:cs="Times New Roman"/>
          <w:sz w:val="24"/>
          <w:szCs w:val="24"/>
        </w:rPr>
        <w:lastRenderedPageBreak/>
        <w:t>reconstruct identity, kinship, and community—foregrounding the ingenuity, skills, and lived experiences of Black people in the afterlives of slavery. At the same time, this work underscores a central tension of data-driven projects: data can also expose vulnerable communities whose relative insularity once offered protection. For example, placing historically Black villages onto publicly accessible maps may increase historical visibility while simultaneously rendering these places legible to speculative development and external risk.</w:t>
      </w:r>
      <w:r w:rsidR="004714CD" w:rsidRPr="006C1E51">
        <w:rPr>
          <w:rFonts w:ascii="Times New Roman" w:hAnsi="Times New Roman" w:cs="Times New Roman"/>
          <w:sz w:val="24"/>
          <w:szCs w:val="24"/>
          <w:vertAlign w:val="superscript"/>
        </w:rPr>
        <w:footnoteReference w:id="69"/>
      </w:r>
      <w:r w:rsidRPr="006C1E51">
        <w:rPr>
          <w:rFonts w:ascii="Times New Roman" w:hAnsi="Times New Roman" w:cs="Times New Roman"/>
          <w:sz w:val="24"/>
          <w:szCs w:val="24"/>
        </w:rPr>
        <w:t xml:space="preserve"> Cooperative heritage models can mitigate this risk by embedding data stewardship policies in collective advocacy: requiring informed consent for recordings, setting community standards for privacy, and ensuring financial and cultural benefits flow back to those represented</w:t>
      </w:r>
      <w:r w:rsidR="004714CD" w:rsidRPr="006C1E51">
        <w:rPr>
          <w:rFonts w:ascii="Times New Roman" w:hAnsi="Times New Roman" w:cs="Times New Roman"/>
          <w:sz w:val="24"/>
          <w:szCs w:val="24"/>
        </w:rPr>
        <w:t>. By aligning younger generations’ digital fluency with elders’ embodied knowledge</w:t>
      </w:r>
      <w:r w:rsidRPr="006C1E51">
        <w:rPr>
          <w:rFonts w:ascii="Times New Roman" w:hAnsi="Times New Roman" w:cs="Times New Roman"/>
          <w:sz w:val="24"/>
          <w:szCs w:val="24"/>
        </w:rPr>
        <w:t xml:space="preserve">, a CHC approach can also sustain intergenerational bonds while producing new cultural products that reinforce both identity and economic vitality. In this way, technology is not simply an external pressure to keep up with; it is a medium through which the CHC approach can embody cooperative values. </w:t>
      </w:r>
      <w:r w:rsidR="002F5625" w:rsidRPr="006C1E51">
        <w:rPr>
          <w:rFonts w:ascii="Times New Roman" w:hAnsi="Times New Roman" w:cs="Times New Roman"/>
          <w:sz w:val="24"/>
          <w:szCs w:val="24"/>
        </w:rPr>
        <w:t>Rather than allowing digital change to widen divides, a CHC approach positions technology as a bridge, turning cultural assets into platforms for storytelling, employment, and solidarity, while emphasizing protection, consent, and privacy as necessary conditions for long-term cultural sustainability.</w:t>
      </w:r>
    </w:p>
    <w:p w14:paraId="0000006D" w14:textId="77777777" w:rsidR="0006233B" w:rsidRPr="006C1E51" w:rsidRDefault="00C5531F" w:rsidP="00775270">
      <w:pPr>
        <w:pStyle w:val="Heading2"/>
        <w:keepNext w:val="0"/>
        <w:keepLines w:val="0"/>
        <w:spacing w:line="480" w:lineRule="auto"/>
        <w:rPr>
          <w:rFonts w:ascii="Times New Roman" w:hAnsi="Times New Roman" w:cs="Times New Roman"/>
        </w:rPr>
      </w:pPr>
      <w:bookmarkStart w:id="40" w:name="_x8rnyo6d73b3" w:colFirst="0" w:colLast="0"/>
      <w:bookmarkStart w:id="41" w:name="_Toc220011088"/>
      <w:bookmarkEnd w:id="40"/>
      <w:r w:rsidRPr="006C1E51">
        <w:rPr>
          <w:rFonts w:ascii="Times New Roman" w:hAnsi="Times New Roman" w:cs="Times New Roman"/>
        </w:rPr>
        <w:t>Legal</w:t>
      </w:r>
      <w:bookmarkEnd w:id="41"/>
    </w:p>
    <w:p w14:paraId="2252D1CC" w14:textId="77777777" w:rsidR="00A561C4"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rule of law is under constant pressure and preservation law is not isolated from it. Section 106 reviews, National Historic Landmark designations, and local ordinances are strained by housing demand, resource extraction, and migration pressures.</w:t>
      </w:r>
      <w:r w:rsidR="00A561C4" w:rsidRPr="006C1E51">
        <w:rPr>
          <w:rFonts w:ascii="Times New Roman" w:hAnsi="Times New Roman" w:cs="Times New Roman"/>
          <w:sz w:val="24"/>
          <w:szCs w:val="24"/>
        </w:rPr>
        <w:t xml:space="preserve"> This dynamic is evident in </w:t>
      </w:r>
      <w:r w:rsidR="00A561C4" w:rsidRPr="006C1E51">
        <w:rPr>
          <w:rFonts w:ascii="Times New Roman" w:hAnsi="Times New Roman" w:cs="Times New Roman"/>
          <w:sz w:val="24"/>
          <w:szCs w:val="24"/>
        </w:rPr>
        <w:lastRenderedPageBreak/>
        <w:t>recent legal analyses and policy statements that describe how Supreme Court decisions destabilize preservation regulations, how climate‑driven population shifts intensify development pressures on historic resources, and how preservation rules are recast as obstacles to energy and housing goals.</w:t>
      </w:r>
      <w:r w:rsidRPr="006C1E51">
        <w:rPr>
          <w:rFonts w:ascii="Times New Roman" w:hAnsi="Times New Roman" w:cs="Times New Roman"/>
          <w:sz w:val="24"/>
          <w:szCs w:val="24"/>
          <w:vertAlign w:val="superscript"/>
        </w:rPr>
        <w:footnoteReference w:id="70"/>
      </w:r>
      <w:r w:rsidRPr="006C1E51">
        <w:rPr>
          <w:rFonts w:ascii="Times New Roman" w:hAnsi="Times New Roman" w:cs="Times New Roman"/>
          <w:sz w:val="24"/>
          <w:szCs w:val="24"/>
        </w:rPr>
        <w:t xml:space="preserve"> </w:t>
      </w:r>
    </w:p>
    <w:p w14:paraId="0000006E" w14:textId="7748BFE9"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Heritage is always bound up with land, ownership, and regulation—areas where Black communities have historically been dispossessed. Exploitative land-use policies, redlining, and discriminatory zoning have decimated Black property ownership and eroded cultural anchors. </w:t>
      </w:r>
      <w:r w:rsidR="00A561C4" w:rsidRPr="006C1E51">
        <w:rPr>
          <w:rFonts w:ascii="Times New Roman" w:hAnsi="Times New Roman" w:cs="Times New Roman"/>
          <w:sz w:val="24"/>
          <w:szCs w:val="24"/>
        </w:rPr>
        <w:t>For these reasons, initiatives such as the Land Use Atlas, led by Sara Bronin, former ACHP Chair, and efforts like the Maryland Department of Housing and Community Development Just Communities have emerged.</w:t>
      </w:r>
      <w:r w:rsidR="00A561C4" w:rsidRPr="006C1E51">
        <w:rPr>
          <w:rStyle w:val="FootnoteReference"/>
          <w:rFonts w:ascii="Times New Roman" w:hAnsi="Times New Roman" w:cs="Times New Roman"/>
          <w:sz w:val="24"/>
          <w:szCs w:val="24"/>
        </w:rPr>
        <w:footnoteReference w:id="71"/>
      </w:r>
      <w:r w:rsidR="00A561C4" w:rsidRPr="006C1E51">
        <w:rPr>
          <w:rFonts w:ascii="Times New Roman" w:hAnsi="Times New Roman" w:cs="Times New Roman"/>
          <w:sz w:val="24"/>
          <w:szCs w:val="24"/>
        </w:rPr>
        <w:t xml:space="preserve"> While not solely preservation-focused, these efforts explicitly acknowledge preservation’s intersection with affordable housing, environmental justice, public health, and related equity-driven concerns. </w:t>
      </w:r>
      <w:r w:rsidRPr="006C1E51">
        <w:rPr>
          <w:rFonts w:ascii="Times New Roman" w:hAnsi="Times New Roman" w:cs="Times New Roman"/>
          <w:sz w:val="24"/>
          <w:szCs w:val="24"/>
        </w:rPr>
        <w:t>These pressures remind us that preservation is never neutral; it is a field whose authority and protections are determined by law.</w:t>
      </w:r>
    </w:p>
    <w:p w14:paraId="59A4AF01" w14:textId="77777777" w:rsidR="0058191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Historic preservation law itself has reinforced exclusion. </w:t>
      </w:r>
      <w:r w:rsidR="003A6E8F" w:rsidRPr="006C1E51">
        <w:rPr>
          <w:rFonts w:ascii="Times New Roman" w:hAnsi="Times New Roman" w:cs="Times New Roman"/>
          <w:sz w:val="24"/>
          <w:szCs w:val="24"/>
        </w:rPr>
        <w:t>Historic preservation policy emerged during the height of Jim Crow segregation, a period in which racial separation was legally enforced and culturally normalized, shaping how decision-makers understood which places were worthy of protection. As a result, the foundations of federal preservation policy were never designed to recognize African American heritage as historically significant</w:t>
      </w:r>
      <w:r w:rsidRPr="006C1E51">
        <w:rPr>
          <w:rFonts w:ascii="Times New Roman" w:hAnsi="Times New Roman" w:cs="Times New Roman"/>
          <w:sz w:val="24"/>
          <w:szCs w:val="24"/>
        </w:rPr>
        <w:t xml:space="preserve">. </w:t>
      </w:r>
      <w:r w:rsidR="003A6E8F" w:rsidRPr="006C1E51">
        <w:rPr>
          <w:rFonts w:ascii="Times New Roman" w:hAnsi="Times New Roman" w:cs="Times New Roman"/>
          <w:sz w:val="24"/>
          <w:szCs w:val="24"/>
        </w:rPr>
        <w:t xml:space="preserve">Early preservation governance reinforced exclusion through its structure. The National Park Service </w:t>
      </w:r>
      <w:r w:rsidR="003A6E8F" w:rsidRPr="006C1E51">
        <w:rPr>
          <w:rFonts w:ascii="Times New Roman" w:hAnsi="Times New Roman" w:cs="Times New Roman"/>
          <w:sz w:val="24"/>
          <w:szCs w:val="24"/>
        </w:rPr>
        <w:lastRenderedPageBreak/>
        <w:t>advisory board established under the Historic Sites Act of 1933 consisted entirely of White men, several of whom served for nearly fifteen years, providing continuity of policy and guidance while making decisions in secrecy that were only revealed after presidential approval,</w:t>
      </w:r>
      <w:r w:rsidRPr="006C1E51">
        <w:rPr>
          <w:rFonts w:ascii="Times New Roman" w:hAnsi="Times New Roman" w:cs="Times New Roman"/>
          <w:sz w:val="24"/>
          <w:szCs w:val="24"/>
        </w:rPr>
        <w:t xml:space="preserve"> enshrining bias into federal policy.</w:t>
      </w:r>
      <w:r w:rsidR="003A6E8F" w:rsidRPr="006C1E51">
        <w:rPr>
          <w:rStyle w:val="FootnoteReference"/>
          <w:rFonts w:ascii="Times New Roman" w:hAnsi="Times New Roman" w:cs="Times New Roman"/>
          <w:sz w:val="24"/>
          <w:szCs w:val="24"/>
        </w:rPr>
        <w:footnoteReference w:id="72"/>
      </w:r>
      <w:r w:rsidR="0058191B" w:rsidRPr="006C1E51">
        <w:rPr>
          <w:rFonts w:ascii="Times New Roman" w:hAnsi="Times New Roman" w:cs="Times New Roman"/>
          <w:sz w:val="24"/>
          <w:szCs w:val="24"/>
        </w:rPr>
        <w:t xml:space="preserve"> </w:t>
      </w:r>
    </w:p>
    <w:p w14:paraId="5E370A61" w14:textId="4C3166CE" w:rsidR="003A6E8F" w:rsidRPr="006C1E51" w:rsidRDefault="0058191B"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Operating within a segregated society, these preservation authorities inevitably carried a segregationist mindset into their work, producing a system that privileged colonial and Euro-American narratives while rendering Black spaces invisible within the emerging national framework of historic significance.</w:t>
      </w:r>
      <w:r w:rsidR="00C5531F" w:rsidRPr="006C1E51">
        <w:rPr>
          <w:rFonts w:ascii="Times New Roman" w:hAnsi="Times New Roman" w:cs="Times New Roman"/>
          <w:sz w:val="24"/>
          <w:szCs w:val="24"/>
        </w:rPr>
        <w:t xml:space="preserve"> </w:t>
      </w:r>
      <w:r w:rsidRPr="006C1E51">
        <w:rPr>
          <w:rFonts w:ascii="Times New Roman" w:hAnsi="Times New Roman" w:cs="Times New Roman"/>
          <w:sz w:val="24"/>
          <w:szCs w:val="24"/>
        </w:rPr>
        <w:t>Their efforts from 1935 to 1966 led to an initial portfolio of twenty-seven National Historic Sites focusing on the second half of the eighteenth century, across themes of exploration, colonial settlement, maritime, economic, technological, and industrial history. Their work also led to efforts like the first National Park Service Historic Sites Survey and Historic American Buildings Survey (HABS) which gave “architects, draftsmen, and photographers the charge of identifying, documenting, and preserving a permanent record of a broad range of American Architecture.”</w:t>
      </w:r>
      <w:r w:rsidRPr="006C1E51">
        <w:rPr>
          <w:rStyle w:val="FootnoteReference"/>
          <w:rFonts w:ascii="Times New Roman" w:hAnsi="Times New Roman" w:cs="Times New Roman"/>
          <w:sz w:val="24"/>
          <w:szCs w:val="24"/>
        </w:rPr>
        <w:footnoteReference w:id="73"/>
      </w:r>
      <w:r w:rsidRPr="006C1E51">
        <w:rPr>
          <w:rFonts w:ascii="Times New Roman" w:hAnsi="Times New Roman" w:cs="Times New Roman"/>
          <w:sz w:val="24"/>
          <w:szCs w:val="24"/>
        </w:rPr>
        <w:t xml:space="preserve"> </w:t>
      </w:r>
      <w:r w:rsidR="003A6E8F" w:rsidRPr="006C1E51">
        <w:rPr>
          <w:rFonts w:ascii="Times New Roman" w:hAnsi="Times New Roman" w:cs="Times New Roman"/>
          <w:sz w:val="24"/>
          <w:szCs w:val="24"/>
        </w:rPr>
        <w:t>Despite nearly a century of preservation activity, only about two percent of the more than 96,000 sites listed on the National Register of Historic Places relate to African American history, underscoring the long-term effects of exclusion embedded in early preservation policy and practice.</w:t>
      </w:r>
      <w:r w:rsidR="00455B5B" w:rsidRPr="006C1E51">
        <w:rPr>
          <w:rFonts w:ascii="Times New Roman" w:hAnsi="Times New Roman" w:cs="Times New Roman"/>
          <w:sz w:val="24"/>
          <w:szCs w:val="24"/>
        </w:rPr>
        <w:t xml:space="preserve"> Furthermore, less than 1% of academically trained preservationists are Black.</w:t>
      </w:r>
      <w:r w:rsidR="003A6E8F" w:rsidRPr="006C1E51">
        <w:rPr>
          <w:rStyle w:val="FootnoteReference"/>
          <w:rFonts w:ascii="Times New Roman" w:hAnsi="Times New Roman" w:cs="Times New Roman"/>
          <w:sz w:val="24"/>
          <w:szCs w:val="24"/>
        </w:rPr>
        <w:footnoteReference w:id="74"/>
      </w:r>
    </w:p>
    <w:p w14:paraId="07F65492" w14:textId="77777777" w:rsidR="00072118" w:rsidRPr="006C1E51" w:rsidRDefault="0058191B"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These exclusions demonstrate that legal recognition has always been the gatekeeper of stewardship. Historic s</w:t>
      </w:r>
      <w:r w:rsidR="00C5531F" w:rsidRPr="006C1E51">
        <w:rPr>
          <w:rFonts w:ascii="Times New Roman" w:hAnsi="Times New Roman" w:cs="Times New Roman"/>
          <w:sz w:val="24"/>
          <w:szCs w:val="24"/>
        </w:rPr>
        <w:t xml:space="preserve">ites like Mount Zion Cemetery in Washington, D.C.—founded in 1808 </w:t>
      </w:r>
      <w:r w:rsidR="00C5531F" w:rsidRPr="006C1E51">
        <w:rPr>
          <w:rFonts w:ascii="Times New Roman" w:hAnsi="Times New Roman" w:cs="Times New Roman"/>
          <w:sz w:val="24"/>
          <w:szCs w:val="24"/>
        </w:rPr>
        <w:lastRenderedPageBreak/>
        <w:t>and tied to the Female Union Band Society—were left unrecognized until 1976, when Black-led advocacy</w:t>
      </w:r>
      <w:r w:rsidRPr="006C1E51">
        <w:rPr>
          <w:rFonts w:ascii="Times New Roman" w:hAnsi="Times New Roman" w:cs="Times New Roman"/>
          <w:sz w:val="24"/>
          <w:szCs w:val="24"/>
        </w:rPr>
        <w:t xml:space="preserve"> by the Afro-American Bicentennial Corporation spurred</w:t>
      </w:r>
      <w:r w:rsidR="00C5531F" w:rsidRPr="006C1E51">
        <w:rPr>
          <w:rFonts w:ascii="Times New Roman" w:hAnsi="Times New Roman" w:cs="Times New Roman"/>
          <w:sz w:val="24"/>
          <w:szCs w:val="24"/>
        </w:rPr>
        <w:t xml:space="preserve"> acknowledgment</w:t>
      </w:r>
      <w:r w:rsidRPr="006C1E51">
        <w:rPr>
          <w:rFonts w:ascii="Times New Roman" w:hAnsi="Times New Roman" w:cs="Times New Roman"/>
          <w:sz w:val="24"/>
          <w:szCs w:val="24"/>
        </w:rPr>
        <w:t xml:space="preserve"> and its protection</w:t>
      </w:r>
      <w:r w:rsidR="00C5531F" w:rsidRPr="006C1E51">
        <w:rPr>
          <w:rFonts w:ascii="Times New Roman" w:hAnsi="Times New Roman" w:cs="Times New Roman"/>
          <w:sz w:val="24"/>
          <w:szCs w:val="24"/>
        </w:rPr>
        <w:t>.</w:t>
      </w:r>
      <w:r w:rsidRPr="006C1E51">
        <w:rPr>
          <w:rStyle w:val="FootnoteReference"/>
          <w:rFonts w:ascii="Times New Roman" w:hAnsi="Times New Roman" w:cs="Times New Roman"/>
          <w:sz w:val="24"/>
          <w:szCs w:val="24"/>
        </w:rPr>
        <w:footnoteReference w:id="75"/>
      </w:r>
      <w:r w:rsidR="00C5531F" w:rsidRPr="006C1E51">
        <w:rPr>
          <w:rFonts w:ascii="Times New Roman" w:hAnsi="Times New Roman" w:cs="Times New Roman"/>
          <w:sz w:val="24"/>
          <w:szCs w:val="24"/>
        </w:rPr>
        <w:t xml:space="preserve"> </w:t>
      </w:r>
      <w:r w:rsidRPr="006C1E51">
        <w:rPr>
          <w:rFonts w:ascii="Times New Roman" w:hAnsi="Times New Roman" w:cs="Times New Roman"/>
          <w:sz w:val="24"/>
          <w:szCs w:val="24"/>
        </w:rPr>
        <w:t>T</w:t>
      </w:r>
      <w:r w:rsidR="00C5531F" w:rsidRPr="006C1E51">
        <w:rPr>
          <w:rFonts w:ascii="Times New Roman" w:hAnsi="Times New Roman" w:cs="Times New Roman"/>
          <w:sz w:val="24"/>
          <w:szCs w:val="24"/>
        </w:rPr>
        <w:t>he vulnerability of communities to legal exclusion is clear in contemporary cases as well. In St. John the Baptist Parish, Louisiana, the Descendants Project</w:t>
      </w:r>
      <w:r w:rsidR="00C5531F" w:rsidRPr="006C1E51">
        <w:rPr>
          <w:rFonts w:ascii="Times New Roman" w:hAnsi="Times New Roman" w:cs="Times New Roman"/>
          <w:b/>
          <w:bCs/>
          <w:sz w:val="24"/>
          <w:szCs w:val="24"/>
        </w:rPr>
        <w:t xml:space="preserve"> </w:t>
      </w:r>
      <w:r w:rsidR="00C5531F" w:rsidRPr="006C1E51">
        <w:rPr>
          <w:rFonts w:ascii="Times New Roman" w:hAnsi="Times New Roman" w:cs="Times New Roman"/>
          <w:sz w:val="24"/>
          <w:szCs w:val="24"/>
        </w:rPr>
        <w:t>has fought against zoning and preservation laws weaponized to undermine Black authority over ancestral land. In 2021 the group filed suit to overturn a 1990 zoning ordinance that had rezoned rural land for industrial use, threatening Black heritage sites in Wallace.</w:t>
      </w:r>
      <w:r w:rsidR="00C5531F" w:rsidRPr="006C1E51">
        <w:rPr>
          <w:rFonts w:ascii="Times New Roman" w:hAnsi="Times New Roman" w:cs="Times New Roman"/>
          <w:sz w:val="24"/>
          <w:szCs w:val="24"/>
          <w:vertAlign w:val="superscript"/>
        </w:rPr>
        <w:footnoteReference w:id="76"/>
      </w:r>
      <w:r w:rsidR="00C5531F" w:rsidRPr="006C1E51">
        <w:rPr>
          <w:rFonts w:ascii="Times New Roman" w:hAnsi="Times New Roman" w:cs="Times New Roman"/>
          <w:sz w:val="24"/>
          <w:szCs w:val="24"/>
        </w:rPr>
        <w:t xml:space="preserve"> In August 2023, a Louisiana court declared the ordinance null and void, affirming the community’s legal challenge. Yet even as descendants secured this victory, the struggle revealed how fragile legal recognition remains. The National Park Service deemed an 11-mile stretch of the Great River Road landscape eligible for National Historic Landmark designation, recognizing its cultural significance, but by early 2025, under pressure from state officials, the Department of the Interior withdrew the site from consideration, stripping it of potential federal protection.</w:t>
      </w:r>
      <w:r w:rsidR="00C5531F" w:rsidRPr="006C1E51">
        <w:rPr>
          <w:rFonts w:ascii="Times New Roman" w:hAnsi="Times New Roman" w:cs="Times New Roman"/>
          <w:sz w:val="24"/>
          <w:szCs w:val="24"/>
          <w:vertAlign w:val="superscript"/>
        </w:rPr>
        <w:footnoteReference w:id="77"/>
      </w:r>
      <w:r w:rsidR="00C5531F" w:rsidRPr="006C1E51">
        <w:rPr>
          <w:rFonts w:ascii="Times New Roman" w:hAnsi="Times New Roman" w:cs="Times New Roman"/>
          <w:sz w:val="24"/>
          <w:szCs w:val="24"/>
        </w:rPr>
        <w:t xml:space="preserve"> This sequence from lawsuit to federal recognition to withdrawal demonstrates both the power and precarity of legal mechanisms in preservation.</w:t>
      </w:r>
      <w:r w:rsidRPr="006C1E51">
        <w:rPr>
          <w:rFonts w:ascii="Times New Roman" w:hAnsi="Times New Roman" w:cs="Times New Roman"/>
          <w:sz w:val="24"/>
          <w:szCs w:val="24"/>
        </w:rPr>
        <w:t xml:space="preserve"> </w:t>
      </w:r>
      <w:r w:rsidR="00C5531F" w:rsidRPr="006C1E51">
        <w:rPr>
          <w:rFonts w:ascii="Times New Roman" w:hAnsi="Times New Roman" w:cs="Times New Roman"/>
          <w:sz w:val="24"/>
          <w:szCs w:val="24"/>
        </w:rPr>
        <w:t xml:space="preserve">Their struggle reveals how law can serve developers at the expense of descendant rights, and the interplay with politics, even when community claims are historically and morally justified. </w:t>
      </w:r>
    </w:p>
    <w:p w14:paraId="6ED58E69" w14:textId="77777777" w:rsidR="00072118"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Similarly, </w:t>
      </w:r>
      <w:r w:rsidR="00C571B7" w:rsidRPr="006C1E51">
        <w:rPr>
          <w:rFonts w:ascii="Times New Roman" w:hAnsi="Times New Roman" w:cs="Times New Roman"/>
          <w:sz w:val="24"/>
          <w:szCs w:val="24"/>
        </w:rPr>
        <w:t xml:space="preserve">Sumner Hall stands as a powerful case study in how structural barriers shape the preservation of African American heritage. The museum honors the history of the last </w:t>
      </w:r>
      <w:r w:rsidR="00C571B7" w:rsidRPr="006C1E51">
        <w:rPr>
          <w:rFonts w:ascii="Times New Roman" w:hAnsi="Times New Roman" w:cs="Times New Roman"/>
          <w:sz w:val="24"/>
          <w:szCs w:val="24"/>
        </w:rPr>
        <w:lastRenderedPageBreak/>
        <w:t>remaining original Grand Army of the Republic Hall built for United States Colored Troops, in Chestertown, Maryland; yet its path to preservation was long and uncertain.</w:t>
      </w:r>
      <w:r w:rsidR="00072118" w:rsidRPr="006C1E51">
        <w:rPr>
          <w:rStyle w:val="FootnoteReference"/>
          <w:rFonts w:ascii="Times New Roman" w:hAnsi="Times New Roman" w:cs="Times New Roman"/>
          <w:sz w:val="24"/>
          <w:szCs w:val="24"/>
        </w:rPr>
        <w:footnoteReference w:id="78"/>
      </w:r>
      <w:r w:rsidR="00C571B7" w:rsidRPr="006C1E51">
        <w:rPr>
          <w:rFonts w:ascii="Times New Roman" w:hAnsi="Times New Roman" w:cs="Times New Roman"/>
          <w:sz w:val="24"/>
          <w:szCs w:val="24"/>
        </w:rPr>
        <w:t xml:space="preserve"> The formation of the museum and rehabilitation of the building took many years, not because of a lack of community commitment or historical significance, but because of institutional constraints. Digitized materials surfaced through Chesapeake Heartland: An African American Humanities Project reveal that, in its early years, the African American Heritage Council lacked nonprofit status, leaving it without the legal standing required to formally lead the project. This was despite the Council’s central role as an early partner in researching the site’s history, engaging the local community, and raising funds to support preservation efforts. </w:t>
      </w:r>
      <w:r w:rsidR="00072118" w:rsidRPr="006C1E51">
        <w:rPr>
          <w:rFonts w:ascii="Times New Roman" w:hAnsi="Times New Roman" w:cs="Times New Roman"/>
          <w:sz w:val="24"/>
          <w:szCs w:val="24"/>
        </w:rPr>
        <w:t xml:space="preserve">Without the intervention of Preservation, Inc., an organization established to protect several of Chestertown’s historic buildings, Sumner Hall likely would not be standing today. </w:t>
      </w:r>
      <w:r w:rsidR="00C571B7" w:rsidRPr="006C1E51">
        <w:rPr>
          <w:rFonts w:ascii="Times New Roman" w:hAnsi="Times New Roman" w:cs="Times New Roman"/>
          <w:sz w:val="24"/>
          <w:szCs w:val="24"/>
        </w:rPr>
        <w:t xml:space="preserve">The case of Sumner Hall illustrates how African American communities have often carried the intellectual, cultural, and organizing labor of preservation, while structural legal and institutional requirements delayed or constrained their ability to exercise formal authority over heritage outcomes. </w:t>
      </w:r>
      <w:r w:rsidRPr="006C1E51">
        <w:rPr>
          <w:rFonts w:ascii="Times New Roman" w:hAnsi="Times New Roman" w:cs="Times New Roman"/>
          <w:sz w:val="24"/>
          <w:szCs w:val="24"/>
        </w:rPr>
        <w:t xml:space="preserve">Without incorporation, they lacked access to grants, contracts, or ownership authority. </w:t>
      </w:r>
    </w:p>
    <w:p w14:paraId="00000071" w14:textId="186C58C8"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In both cases</w:t>
      </w:r>
      <w:r w:rsidR="00072118" w:rsidRPr="006C1E51">
        <w:rPr>
          <w:rFonts w:ascii="Times New Roman" w:hAnsi="Times New Roman" w:cs="Times New Roman"/>
          <w:sz w:val="24"/>
          <w:szCs w:val="24"/>
        </w:rPr>
        <w:t xml:space="preserve"> of Sumner Hall and St. John the Baptist Parish,</w:t>
      </w:r>
      <w:r w:rsidRPr="006C1E51">
        <w:rPr>
          <w:rFonts w:ascii="Times New Roman" w:hAnsi="Times New Roman" w:cs="Times New Roman"/>
          <w:sz w:val="24"/>
          <w:szCs w:val="24"/>
        </w:rPr>
        <w:t xml:space="preserve"> the lesson is simple but profound: without legal footing, communities risk exclusion from the very processes that determine the fate of their heritage.</w:t>
      </w:r>
      <w:r w:rsidR="00072118" w:rsidRPr="006C1E51">
        <w:rPr>
          <w:rFonts w:ascii="Times New Roman" w:hAnsi="Times New Roman" w:cs="Times New Roman"/>
          <w:sz w:val="24"/>
          <w:szCs w:val="24"/>
        </w:rPr>
        <w:t xml:space="preserve"> </w:t>
      </w:r>
      <w:r w:rsidRPr="006C1E51">
        <w:rPr>
          <w:rFonts w:ascii="Times New Roman" w:hAnsi="Times New Roman" w:cs="Times New Roman"/>
          <w:sz w:val="24"/>
          <w:szCs w:val="24"/>
        </w:rPr>
        <w:t xml:space="preserve">For a CHC approach, legal literacy and strategy are essential. Cooperative heritage work cannot rely solely on good will or cultural recognition; it must be anchored in legal mechanisms. Communities need access to the full suite of tools—nonprofit incorporation, fiscal sponsorship, easements, cultural land trusts, and memoranda of understanding—that establish clear rights and responsibilities. This is the business infrastructure </w:t>
      </w:r>
      <w:r w:rsidRPr="006C1E51">
        <w:rPr>
          <w:rFonts w:ascii="Times New Roman" w:hAnsi="Times New Roman" w:cs="Times New Roman"/>
          <w:sz w:val="24"/>
          <w:szCs w:val="24"/>
        </w:rPr>
        <w:lastRenderedPageBreak/>
        <w:t>that is core to preserving African American historic sites.</w:t>
      </w:r>
      <w:r w:rsidRPr="006C1E51">
        <w:rPr>
          <w:rFonts w:ascii="Times New Roman" w:hAnsi="Times New Roman" w:cs="Times New Roman"/>
          <w:sz w:val="24"/>
          <w:szCs w:val="24"/>
          <w:vertAlign w:val="superscript"/>
        </w:rPr>
        <w:footnoteReference w:id="79"/>
      </w:r>
      <w:r w:rsidRPr="006C1E51">
        <w:rPr>
          <w:rFonts w:ascii="Times New Roman" w:hAnsi="Times New Roman" w:cs="Times New Roman"/>
          <w:sz w:val="24"/>
          <w:szCs w:val="24"/>
        </w:rPr>
        <w:t xml:space="preserve"> Shared fiscal sponsorship models can provide grassroots groups immediate access to legal status while avoiding administrative burdens. Land trusts and easements can stabilize ownership against speculation or displacement. MOUs can enable descendant authority within partnerships that might otherwise overlook it. These strategies take recognition of culture and make it into actual authority.</w:t>
      </w:r>
    </w:p>
    <w:p w14:paraId="00000072"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CHC framework must therefore be rooted in legal tools that secure stewardship and improve quality of life. Law is not merely a backdrop to heritage but one of its most active arenas of contestation. Cooperative structures must prepare communities to confront legal systems shaped by histories of exclusion, while also creating new instruments that guarantee accountability, consent, ownership, and shared benefit. By embedding legal strategy into their design, a CHC approach can help Black communities ensure that cultural assets are not only recognized but protected for generations to come.</w:t>
      </w:r>
    </w:p>
    <w:p w14:paraId="00000073" w14:textId="77777777" w:rsidR="0006233B" w:rsidRPr="006C1E51" w:rsidRDefault="00C5531F" w:rsidP="00775270">
      <w:pPr>
        <w:pStyle w:val="Heading2"/>
        <w:keepNext w:val="0"/>
        <w:keepLines w:val="0"/>
        <w:spacing w:line="480" w:lineRule="auto"/>
        <w:rPr>
          <w:rFonts w:ascii="Times New Roman" w:hAnsi="Times New Roman" w:cs="Times New Roman"/>
        </w:rPr>
      </w:pPr>
      <w:bookmarkStart w:id="42" w:name="_ln80k2ol4qjc" w:colFirst="0" w:colLast="0"/>
      <w:bookmarkStart w:id="43" w:name="_Toc220011089"/>
      <w:bookmarkEnd w:id="42"/>
      <w:r w:rsidRPr="006C1E51">
        <w:rPr>
          <w:rFonts w:ascii="Times New Roman" w:hAnsi="Times New Roman" w:cs="Times New Roman"/>
        </w:rPr>
        <w:t>Environmental</w:t>
      </w:r>
      <w:bookmarkEnd w:id="43"/>
    </w:p>
    <w:p w14:paraId="00000074" w14:textId="1A7FF000" w:rsidR="0006233B" w:rsidRPr="006C1E51" w:rsidRDefault="006A2CD6"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Environmental conditions are increasingly precarious. In many communities, clean air and safe drinking water can no longer be assumed, and the health consequences are real and unevenly distributed. As climate volatility accelerates, sharper temperature swings and more frequent hurricanes, floods, mudslides, and snowstorms are turning everyday weather into a growing risk—one that demands not just awareness, but coordinated, community-centered responses.</w:t>
      </w:r>
      <w:r w:rsidR="00C5531F" w:rsidRPr="006C1E51">
        <w:rPr>
          <w:rFonts w:ascii="Times New Roman" w:hAnsi="Times New Roman" w:cs="Times New Roman"/>
          <w:sz w:val="24"/>
          <w:szCs w:val="24"/>
          <w:vertAlign w:val="superscript"/>
        </w:rPr>
        <w:footnoteReference w:id="80"/>
      </w:r>
      <w:r w:rsidR="00C5531F" w:rsidRPr="006C1E51">
        <w:rPr>
          <w:rFonts w:ascii="Times New Roman" w:hAnsi="Times New Roman" w:cs="Times New Roman"/>
          <w:sz w:val="24"/>
          <w:szCs w:val="24"/>
        </w:rPr>
        <w:t xml:space="preserve"> In the heritage field, there are growing calls to tie preservation to climate goals: we </w:t>
      </w:r>
      <w:r w:rsidR="00C5531F" w:rsidRPr="006C1E51">
        <w:rPr>
          <w:rFonts w:ascii="Times New Roman" w:hAnsi="Times New Roman" w:cs="Times New Roman"/>
          <w:sz w:val="24"/>
          <w:szCs w:val="24"/>
        </w:rPr>
        <w:lastRenderedPageBreak/>
        <w:t>often hear that “the greenest building is the one that already exists,” because retaining and adapting historic structures carries a much smaller carbon footprint than new construction.</w:t>
      </w:r>
      <w:r w:rsidR="00C5531F" w:rsidRPr="006C1E51">
        <w:rPr>
          <w:rFonts w:ascii="Times New Roman" w:hAnsi="Times New Roman" w:cs="Times New Roman"/>
          <w:sz w:val="24"/>
          <w:szCs w:val="24"/>
          <w:vertAlign w:val="superscript"/>
        </w:rPr>
        <w:footnoteReference w:id="81"/>
      </w:r>
      <w:r w:rsidR="00C5531F" w:rsidRPr="006C1E51">
        <w:rPr>
          <w:rFonts w:ascii="Times New Roman" w:hAnsi="Times New Roman" w:cs="Times New Roman"/>
          <w:sz w:val="24"/>
          <w:szCs w:val="24"/>
        </w:rPr>
        <w:t xml:space="preserve"> Preserving cultural landscapes and traditional cultural properties also means preserving rivers, forests, habitats, and ecological systems that sustain not just history but the planet itself.</w:t>
      </w:r>
    </w:p>
    <w:p w14:paraId="38FD0F62" w14:textId="77777777" w:rsidR="006A2CD6"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Maryland offers a </w:t>
      </w:r>
      <w:r w:rsidR="006A2CD6" w:rsidRPr="006C1E51">
        <w:rPr>
          <w:rFonts w:ascii="Times New Roman" w:hAnsi="Times New Roman" w:cs="Times New Roman"/>
          <w:sz w:val="24"/>
          <w:szCs w:val="24"/>
        </w:rPr>
        <w:t xml:space="preserve">clear </w:t>
      </w:r>
      <w:r w:rsidRPr="006C1E51">
        <w:rPr>
          <w:rFonts w:ascii="Times New Roman" w:hAnsi="Times New Roman" w:cs="Times New Roman"/>
          <w:sz w:val="24"/>
          <w:szCs w:val="24"/>
        </w:rPr>
        <w:t>case study in how heritage and environment overlap. With more than 3,000 miles of coastline, the state is acutely vulnerable to sea-level rise, projected to increase another foot by 2050.</w:t>
      </w:r>
      <w:r w:rsidRPr="006C1E51">
        <w:rPr>
          <w:rFonts w:ascii="Times New Roman" w:hAnsi="Times New Roman" w:cs="Times New Roman"/>
          <w:sz w:val="24"/>
          <w:szCs w:val="24"/>
          <w:vertAlign w:val="superscript"/>
        </w:rPr>
        <w:footnoteReference w:id="82"/>
      </w:r>
      <w:r w:rsidRPr="006C1E51">
        <w:rPr>
          <w:rFonts w:ascii="Times New Roman" w:hAnsi="Times New Roman" w:cs="Times New Roman"/>
          <w:sz w:val="24"/>
          <w:szCs w:val="24"/>
        </w:rPr>
        <w:t xml:space="preserve"> </w:t>
      </w:r>
      <w:r w:rsidR="006A2CD6" w:rsidRPr="006C1E51">
        <w:rPr>
          <w:rFonts w:ascii="Times New Roman" w:hAnsi="Times New Roman" w:cs="Times New Roman"/>
          <w:sz w:val="24"/>
          <w:szCs w:val="24"/>
        </w:rPr>
        <w:t>Programs such as Annapolis’s Weather It Together initiative and Dorchester County’s hazard mitigation planning demonstrate that adaptation and preservation can be aligned through shoreline protection, flood mitigation incentives, and survey protocols that anticipate environmental change</w:t>
      </w:r>
      <w:r w:rsidRPr="006C1E51">
        <w:rPr>
          <w:rFonts w:ascii="Times New Roman" w:hAnsi="Times New Roman" w:cs="Times New Roman"/>
          <w:sz w:val="24"/>
          <w:szCs w:val="24"/>
        </w:rPr>
        <w:t>.</w:t>
      </w:r>
      <w:r w:rsidRPr="006C1E51">
        <w:rPr>
          <w:rFonts w:ascii="Times New Roman" w:hAnsi="Times New Roman" w:cs="Times New Roman"/>
          <w:sz w:val="24"/>
          <w:szCs w:val="24"/>
          <w:vertAlign w:val="superscript"/>
        </w:rPr>
        <w:footnoteReference w:id="83"/>
      </w:r>
      <w:r w:rsidRPr="006C1E51">
        <w:rPr>
          <w:rFonts w:ascii="Times New Roman" w:hAnsi="Times New Roman" w:cs="Times New Roman"/>
          <w:sz w:val="24"/>
          <w:szCs w:val="24"/>
        </w:rPr>
        <w:t xml:space="preserve"> </w:t>
      </w:r>
    </w:p>
    <w:p w14:paraId="7BD4B955" w14:textId="54EF9FB0" w:rsidR="006A2CD6" w:rsidRPr="006C1E51" w:rsidRDefault="00FE100D"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Y</w:t>
      </w:r>
      <w:r w:rsidR="007F78AA" w:rsidRPr="006C1E51">
        <w:rPr>
          <w:rFonts w:ascii="Times New Roman" w:hAnsi="Times New Roman" w:cs="Times New Roman"/>
          <w:sz w:val="24"/>
          <w:szCs w:val="24"/>
        </w:rPr>
        <w:t xml:space="preserve">et these efforts remain fragmented. Historically, conservation and preservation were more closely integrated through co-held easements between state and nonprofit actors such as the Maryland Environmental Trust and the Maryland Historical Trust. This collaboration extended to successful, though short-lived, initiatives supported by the Eastern Shore Land Conservancy, including the Rural Historic Village Protection Program of the early 1990s, which explicitly sought to protect small, historic communities facing development pressure. </w:t>
      </w:r>
      <w:r w:rsidR="006A2CD6" w:rsidRPr="006C1E51">
        <w:rPr>
          <w:rFonts w:ascii="Times New Roman" w:hAnsi="Times New Roman" w:cs="Times New Roman"/>
          <w:sz w:val="24"/>
          <w:szCs w:val="24"/>
        </w:rPr>
        <w:t xml:space="preserve">Over time, however, historic provisions fell out of favor as preservation requirements became increasingly rigid and costly, discouraging landowners from voluntarily accepting combined conservation and historic </w:t>
      </w:r>
      <w:r w:rsidR="006A2CD6" w:rsidRPr="006C1E51">
        <w:rPr>
          <w:rFonts w:ascii="Times New Roman" w:hAnsi="Times New Roman" w:cs="Times New Roman"/>
          <w:sz w:val="24"/>
          <w:szCs w:val="24"/>
        </w:rPr>
        <w:lastRenderedPageBreak/>
        <w:t>restrictions. As easement models shifted away from flexibility, the opportunity to protect cultural and ecological resources together diminished.</w:t>
      </w:r>
      <w:r w:rsidR="006A2CD6" w:rsidRPr="006C1E51">
        <w:rPr>
          <w:rStyle w:val="FootnoteReference"/>
          <w:rFonts w:ascii="Times New Roman" w:hAnsi="Times New Roman" w:cs="Times New Roman"/>
          <w:sz w:val="24"/>
          <w:szCs w:val="24"/>
        </w:rPr>
        <w:footnoteReference w:id="84"/>
      </w:r>
      <w:r w:rsidR="00C5531F" w:rsidRPr="006C1E51">
        <w:rPr>
          <w:rFonts w:ascii="Times New Roman" w:hAnsi="Times New Roman" w:cs="Times New Roman"/>
          <w:sz w:val="24"/>
          <w:szCs w:val="24"/>
        </w:rPr>
        <w:t xml:space="preserve"> </w:t>
      </w:r>
    </w:p>
    <w:p w14:paraId="15F7FE36" w14:textId="77777777" w:rsidR="002B58CB" w:rsidRPr="006C1E51" w:rsidRDefault="00C63ED1" w:rsidP="002B58CB">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w:t>
      </w:r>
      <w:r w:rsidR="00C801AF" w:rsidRPr="006C1E51">
        <w:rPr>
          <w:rFonts w:ascii="Times New Roman" w:hAnsi="Times New Roman" w:cs="Times New Roman"/>
          <w:sz w:val="24"/>
          <w:szCs w:val="24"/>
        </w:rPr>
        <w:t xml:space="preserve">hrough </w:t>
      </w:r>
      <w:r w:rsidRPr="006C1E51">
        <w:rPr>
          <w:rFonts w:ascii="Times New Roman" w:hAnsi="Times New Roman" w:cs="Times New Roman"/>
          <w:sz w:val="24"/>
          <w:szCs w:val="24"/>
        </w:rPr>
        <w:t>the</w:t>
      </w:r>
      <w:r w:rsidR="00C801AF" w:rsidRPr="006C1E51">
        <w:rPr>
          <w:rFonts w:ascii="Times New Roman" w:hAnsi="Times New Roman" w:cs="Times New Roman"/>
          <w:sz w:val="24"/>
          <w:szCs w:val="24"/>
        </w:rPr>
        <w:t xml:space="preserve"> CHC lens, easements shift from burdensome regulatory tools to adaptive, community-informed agreements that protect cultural and environmental assets amid climate change. For Black communities, the environment has always posed risk while also offering opportunity. Chesapeake watermen and Southern sharecroppers survived by working with the land and water, even as those same landscapes exposed them to exploitation, displacement, and environmental instability</w:t>
      </w:r>
      <w:r w:rsidR="002B58CB" w:rsidRPr="006C1E51">
        <w:rPr>
          <w:rFonts w:ascii="Times New Roman" w:hAnsi="Times New Roman" w:cs="Times New Roman"/>
          <w:sz w:val="24"/>
          <w:szCs w:val="24"/>
        </w:rPr>
        <w:t xml:space="preserve"> (see fig. 11)</w:t>
      </w:r>
      <w:r w:rsidR="00C801AF" w:rsidRPr="006C1E51">
        <w:rPr>
          <w:rFonts w:ascii="Times New Roman" w:hAnsi="Times New Roman" w:cs="Times New Roman"/>
          <w:sz w:val="24"/>
          <w:szCs w:val="24"/>
        </w:rPr>
        <w:t xml:space="preserve">. </w:t>
      </w:r>
    </w:p>
    <w:p w14:paraId="3E61EE13" w14:textId="4DF71363" w:rsidR="002B58CB" w:rsidRPr="006C1E51" w:rsidRDefault="002B58CB" w:rsidP="002B58CB">
      <w:pPr>
        <w:pStyle w:val="Caption"/>
        <w:spacing w:after="0"/>
        <w:jc w:val="center"/>
      </w:pPr>
      <w:r w:rsidRPr="006C1E51">
        <w:fldChar w:fldCharType="begin"/>
      </w:r>
      <w:r w:rsidRPr="006C1E51">
        <w:instrText xml:space="preserve"> INCLUDEPICTURE "https://archive.chesapeakeheartland.org/media/collectiveaccess/images/5/4/26235_ca_object_representations_media_5444_mediumlarge.jpg" \* MERGEFORMATINET </w:instrText>
      </w:r>
      <w:r w:rsidRPr="006C1E51">
        <w:fldChar w:fldCharType="separate"/>
      </w:r>
      <w:r w:rsidRPr="006C1E51">
        <w:rPr>
          <w:noProof/>
        </w:rPr>
        <w:drawing>
          <wp:inline distT="0" distB="0" distL="0" distR="0" wp14:anchorId="352F9ECD" wp14:editId="7CEC6773">
            <wp:extent cx="4298732" cy="2985135"/>
            <wp:effectExtent l="0" t="0" r="0" b="0"/>
            <wp:docPr id="87396431" name="Picture 4" descr="Work hor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Work horses"/>
                    <pic:cNvPicPr>
                      <a:picLocks noChangeAspect="1" noChangeArrowheads="1"/>
                    </pic:cNvPicPr>
                  </pic:nvPicPr>
                  <pic:blipFill rotWithShape="1">
                    <a:blip r:embed="rId23">
                      <a:extLst>
                        <a:ext uri="{28A0092B-C50C-407E-A947-70E740481C1C}">
                          <a14:useLocalDpi xmlns:a14="http://schemas.microsoft.com/office/drawing/2010/main"/>
                        </a:ext>
                      </a:extLst>
                    </a:blip>
                    <a:srcRect l="4312" t="6643" r="4708" b="8697"/>
                    <a:stretch>
                      <a:fillRect/>
                    </a:stretch>
                  </pic:blipFill>
                  <pic:spPr bwMode="auto">
                    <a:xfrm>
                      <a:off x="0" y="0"/>
                      <a:ext cx="4352414" cy="3022413"/>
                    </a:xfrm>
                    <a:prstGeom prst="rect">
                      <a:avLst/>
                    </a:prstGeom>
                    <a:noFill/>
                    <a:ln>
                      <a:noFill/>
                    </a:ln>
                    <a:extLst>
                      <a:ext uri="{53640926-AAD7-44D8-BBD7-CCE9431645EC}">
                        <a14:shadowObscured xmlns:a14="http://schemas.microsoft.com/office/drawing/2010/main"/>
                      </a:ext>
                    </a:extLst>
                  </pic:spPr>
                </pic:pic>
              </a:graphicData>
            </a:graphic>
          </wp:inline>
        </w:drawing>
      </w:r>
      <w:r w:rsidRPr="006C1E51">
        <w:fldChar w:fldCharType="end"/>
      </w:r>
    </w:p>
    <w:p w14:paraId="5EB55023" w14:textId="52CA8520" w:rsidR="002B58CB" w:rsidRPr="006C1E51" w:rsidRDefault="002B58CB" w:rsidP="002B58CB">
      <w:pPr>
        <w:pStyle w:val="Caption"/>
      </w:pPr>
      <w:bookmarkStart w:id="44" w:name="_Toc220011006"/>
      <w:r w:rsidRPr="006C1E51">
        <w:t xml:space="preserve">Figure </w:t>
      </w:r>
      <w:r w:rsidRPr="006C1E51">
        <w:fldChar w:fldCharType="begin"/>
      </w:r>
      <w:r w:rsidRPr="006C1E51">
        <w:instrText xml:space="preserve"> SEQ Figure \* ARABIC </w:instrText>
      </w:r>
      <w:r w:rsidRPr="006C1E51">
        <w:fldChar w:fldCharType="separate"/>
      </w:r>
      <w:r w:rsidRPr="006C1E51">
        <w:rPr>
          <w:noProof/>
        </w:rPr>
        <w:t>11</w:t>
      </w:r>
      <w:r w:rsidRPr="006C1E51">
        <w:rPr>
          <w:noProof/>
        </w:rPr>
        <w:fldChar w:fldCharType="end"/>
      </w:r>
      <w:r w:rsidRPr="006C1E51">
        <w:t>. A man driving of work horses while a woman stands in the foreground in Kent County, Maryland. Courtesy of Chesapeake Heartland: An African American Humanities Project. Circa 1945.</w:t>
      </w:r>
      <w:bookmarkEnd w:id="44"/>
    </w:p>
    <w:p w14:paraId="00000076" w14:textId="34A71D4E" w:rsidR="0006233B" w:rsidRPr="006C1E51" w:rsidRDefault="00C801AF" w:rsidP="002B58CB">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That hard-won knowledge is disappearing generation by generation.</w:t>
      </w:r>
      <w:r w:rsidR="002B58CB" w:rsidRPr="006C1E51">
        <w:rPr>
          <w:rFonts w:ascii="Times New Roman" w:hAnsi="Times New Roman" w:cs="Times New Roman"/>
          <w:sz w:val="24"/>
          <w:szCs w:val="24"/>
          <w:vertAlign w:val="superscript"/>
        </w:rPr>
        <w:t xml:space="preserve"> </w:t>
      </w:r>
      <w:r w:rsidR="002B58CB" w:rsidRPr="006C1E51">
        <w:rPr>
          <w:rFonts w:ascii="Times New Roman" w:hAnsi="Times New Roman" w:cs="Times New Roman"/>
          <w:sz w:val="24"/>
          <w:szCs w:val="24"/>
        </w:rPr>
        <w:t>I</w:t>
      </w:r>
      <w:r w:rsidRPr="006C1E51">
        <w:rPr>
          <w:rFonts w:ascii="Times New Roman" w:hAnsi="Times New Roman" w:cs="Times New Roman"/>
          <w:sz w:val="24"/>
          <w:szCs w:val="24"/>
        </w:rPr>
        <w:t>n many rural places, communities can reclaim resilience by returning to land-based practices—reacquiring farmland, reviving foodways, and practicing cooperative stewardship. Family farm scrapbooks and documentaries rooted in archival materials reveal how central food production once was to daily life and collective survival. As food prices rise and recalls increase, growing and sharing food locally moves beyond memory and becomes a practical, community-led strategy for resilience.</w:t>
      </w:r>
    </w:p>
    <w:p w14:paraId="00000077" w14:textId="78A91267" w:rsidR="0006233B" w:rsidRPr="006C1E51" w:rsidRDefault="00C5531F" w:rsidP="002B58CB">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This recognition is already visible in practice. Descendant-led land trusts in the South </w:t>
      </w:r>
      <w:r w:rsidR="00C801AF" w:rsidRPr="006C1E51">
        <w:rPr>
          <w:rFonts w:ascii="Times New Roman" w:hAnsi="Times New Roman" w:cs="Times New Roman"/>
          <w:sz w:val="24"/>
          <w:szCs w:val="24"/>
        </w:rPr>
        <w:t>working to</w:t>
      </w:r>
      <w:r w:rsidRPr="006C1E51">
        <w:rPr>
          <w:rFonts w:ascii="Times New Roman" w:hAnsi="Times New Roman" w:cs="Times New Roman"/>
          <w:sz w:val="24"/>
          <w:szCs w:val="24"/>
        </w:rPr>
        <w:t xml:space="preserve"> reclaim family farms once lost to tax sales.</w:t>
      </w:r>
      <w:r w:rsidRPr="006C1E51">
        <w:rPr>
          <w:rFonts w:ascii="Times New Roman" w:hAnsi="Times New Roman" w:cs="Times New Roman"/>
          <w:sz w:val="24"/>
          <w:szCs w:val="24"/>
          <w:vertAlign w:val="superscript"/>
        </w:rPr>
        <w:footnoteReference w:id="85"/>
      </w:r>
      <w:r w:rsidRPr="006C1E51">
        <w:rPr>
          <w:rFonts w:ascii="Times New Roman" w:hAnsi="Times New Roman" w:cs="Times New Roman"/>
          <w:sz w:val="24"/>
          <w:szCs w:val="24"/>
        </w:rPr>
        <w:t xml:space="preserve"> Gullah/Geechee communities have linked cultural heritage to environmental defense, protecting salt marshes and barrier islands from development.</w:t>
      </w:r>
      <w:r w:rsidRPr="006C1E51">
        <w:rPr>
          <w:rFonts w:ascii="Times New Roman" w:hAnsi="Times New Roman" w:cs="Times New Roman"/>
          <w:sz w:val="24"/>
          <w:szCs w:val="24"/>
          <w:vertAlign w:val="superscript"/>
        </w:rPr>
        <w:footnoteReference w:id="86"/>
      </w:r>
      <w:r w:rsidRPr="006C1E51">
        <w:rPr>
          <w:rFonts w:ascii="Times New Roman" w:hAnsi="Times New Roman" w:cs="Times New Roman"/>
          <w:sz w:val="24"/>
          <w:szCs w:val="24"/>
        </w:rPr>
        <w:t xml:space="preserve"> </w:t>
      </w:r>
      <w:r w:rsidR="00A7192C" w:rsidRPr="006C1E51">
        <w:rPr>
          <w:rFonts w:ascii="Times New Roman" w:hAnsi="Times New Roman" w:cs="Times New Roman"/>
          <w:sz w:val="24"/>
          <w:szCs w:val="24"/>
        </w:rPr>
        <w:t>National efforts such as the Black Church Food Security Network mobilize Black churches to steward their land as productive gardens and farms, growing and circulating food within Black communities to build self-determined food systems that strengthen health, economic agency, and cultural continuity.</w:t>
      </w:r>
      <w:r w:rsidRPr="006C1E51">
        <w:rPr>
          <w:rFonts w:ascii="Times New Roman" w:hAnsi="Times New Roman" w:cs="Times New Roman"/>
          <w:sz w:val="24"/>
          <w:szCs w:val="24"/>
          <w:vertAlign w:val="superscript"/>
        </w:rPr>
        <w:footnoteReference w:id="87"/>
      </w:r>
      <w:r w:rsidRPr="006C1E51">
        <w:rPr>
          <w:rFonts w:ascii="Times New Roman" w:hAnsi="Times New Roman" w:cs="Times New Roman"/>
          <w:sz w:val="24"/>
          <w:szCs w:val="24"/>
        </w:rPr>
        <w:t xml:space="preserve"> These examples illustrate how heritage and environment cannot be separated because they are braided together in the lived experience of Black rural life.</w:t>
      </w:r>
    </w:p>
    <w:p w14:paraId="00000079" w14:textId="37074A9A" w:rsidR="0006233B" w:rsidRPr="006C1E51" w:rsidRDefault="00C5531F" w:rsidP="00775270">
      <w:pPr>
        <w:spacing w:before="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For Black communities, the environment has always carried a dual meaning: land and waterways were sites of confinement under slavery and sharecropping, but also spaces of </w:t>
      </w:r>
      <w:r w:rsidRPr="006C1E51">
        <w:rPr>
          <w:rFonts w:ascii="Times New Roman" w:hAnsi="Times New Roman" w:cs="Times New Roman"/>
          <w:sz w:val="24"/>
          <w:szCs w:val="24"/>
        </w:rPr>
        <w:lastRenderedPageBreak/>
        <w:t xml:space="preserve">resilience where African knowledge shaped agriculture, foodways, and freedom settlements. Interpreting this connection requires seeing agriculture not only as exploited labor but as cultural expertise that sustained families, built churches and schools, and linked heritage to survival. The CHC framework builds on this lineage not as a cure-all, but as a way of thinking that encourages communities to come together around shared challenges. Cooperative farming, food sharing, and land trusts show how economic and environmental strategies can overlap, and how pooling resources can make collective action possible. In this sense, a CHC approach are less about prescribing every solution and more about creating the space for people to mobilize, experiment, and adapt. </w:t>
      </w:r>
    </w:p>
    <w:p w14:paraId="00BF8036" w14:textId="77777777" w:rsidR="006F0F0E" w:rsidRPr="006C1E51" w:rsidRDefault="006F0F0E">
      <w:pPr>
        <w:rPr>
          <w:rFonts w:ascii="Times New Roman" w:hAnsi="Times New Roman" w:cs="Times New Roman"/>
          <w:b/>
          <w:bCs/>
          <w:sz w:val="24"/>
          <w:szCs w:val="24"/>
          <w:u w:val="single"/>
        </w:rPr>
      </w:pPr>
      <w:bookmarkStart w:id="45" w:name="_u65v0srtohnw" w:colFirst="0" w:colLast="0"/>
      <w:bookmarkEnd w:id="45"/>
      <w:r w:rsidRPr="006C1E51">
        <w:rPr>
          <w:rFonts w:ascii="Times New Roman" w:hAnsi="Times New Roman" w:cs="Times New Roman"/>
        </w:rPr>
        <w:br w:type="page"/>
      </w:r>
    </w:p>
    <w:p w14:paraId="0000007A" w14:textId="5610D489" w:rsidR="0006233B" w:rsidRPr="006C1E51" w:rsidRDefault="006F0F0E" w:rsidP="006F0F0E">
      <w:pPr>
        <w:pStyle w:val="Heading2"/>
        <w:keepNext w:val="0"/>
        <w:keepLines w:val="0"/>
        <w:spacing w:line="480" w:lineRule="auto"/>
        <w:rPr>
          <w:rFonts w:ascii="Times New Roman" w:hAnsi="Times New Roman" w:cs="Times New Roman"/>
        </w:rPr>
      </w:pPr>
      <w:bookmarkStart w:id="46" w:name="_Toc220011090"/>
      <w:r w:rsidRPr="006C1E51">
        <w:rPr>
          <w:rFonts w:ascii="Times New Roman" w:hAnsi="Times New Roman" w:cs="Times New Roman"/>
        </w:rPr>
        <w:lastRenderedPageBreak/>
        <w:t>PESTLE Analysis: Final Thoughts</w:t>
      </w:r>
      <w:bookmarkEnd w:id="46"/>
    </w:p>
    <w:p w14:paraId="0000007B"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PESTLE analysis reveals a preservation field constrained by volatility and precarity. Politically, the fate of heritage swings with appropriations and ordinances. Economically, funding mechanisms reward those with capital and capacity while leaving grassroots organizations overstretched. Socially, declining civic engagement erodes cohesion at the very moment heritage could be a tool for connection. Technological change widens divides even as it offers new platforms for participation. Legally, recognition remains the gatekeeper of stewardship, yet too often favors developers or entrenched institutions. Environmentally, climate pressures threaten both landscapes and livelihoods, with Black communities on the frontlines of risk.</w:t>
      </w:r>
    </w:p>
    <w:p w14:paraId="0000007C"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Taken together, these forces show that African American heritage organizations cannot rely on existing preservation frameworks to achieve equity. Funding, planning, or policy adjustments alone will not resolve the structural exclusions that define the field. What is needed is a reorientation: a cooperative framework that treats heritage not as isolated objects or projects, but as shared cultural and economic assets. Cooperative Heritage Communities (a CHC approach) offer such a framework—one that builds on long traditions of Black cooperation, connects cultural stewardship to quality of life, and provides communities with the tools to navigate volatile conditions together. The urgency is clear: without new models that integrate heritage, economy, and social cohesion, the precarity of Black heritage will persist. With the CHC framework, I intend to help Black communities turn their resilience into sustainability and exclusion into shared governance, so they can sustain for generations to come.</w:t>
      </w:r>
    </w:p>
    <w:p w14:paraId="7FB71DB6" w14:textId="77777777" w:rsidR="00C63ED1" w:rsidRPr="006C1E51" w:rsidRDefault="00C63ED1" w:rsidP="00775270">
      <w:pPr>
        <w:spacing w:line="480" w:lineRule="auto"/>
        <w:rPr>
          <w:rFonts w:ascii="Times New Roman" w:hAnsi="Times New Roman" w:cs="Times New Roman"/>
          <w:b/>
          <w:bCs/>
          <w:sz w:val="24"/>
          <w:szCs w:val="24"/>
        </w:rPr>
      </w:pPr>
      <w:bookmarkStart w:id="47" w:name="_7zonv38pd9g4" w:colFirst="0" w:colLast="0"/>
      <w:bookmarkEnd w:id="47"/>
      <w:r w:rsidRPr="006C1E51">
        <w:rPr>
          <w:rFonts w:ascii="Times New Roman" w:hAnsi="Times New Roman" w:cs="Times New Roman"/>
          <w:sz w:val="24"/>
          <w:szCs w:val="24"/>
        </w:rPr>
        <w:br w:type="page"/>
      </w:r>
    </w:p>
    <w:p w14:paraId="0000007F" w14:textId="74121188" w:rsidR="0006233B" w:rsidRPr="006C1E51" w:rsidRDefault="00FA59C2" w:rsidP="00B97F99">
      <w:pPr>
        <w:pStyle w:val="Heading1"/>
      </w:pPr>
      <w:bookmarkStart w:id="48" w:name="_Toc220011091"/>
      <w:r w:rsidRPr="006C1E51">
        <w:lastRenderedPageBreak/>
        <w:t>Chapter 3: The Framework: Underpinnings Of Cooperative Heritage Communities</w:t>
      </w:r>
      <w:bookmarkStart w:id="49" w:name="_s6tnp6mj0rqy" w:colFirst="0" w:colLast="0"/>
      <w:bookmarkEnd w:id="48"/>
      <w:bookmarkEnd w:id="49"/>
    </w:p>
    <w:p w14:paraId="6DC34412" w14:textId="77777777" w:rsidR="00D11CD6" w:rsidRPr="006C1E51" w:rsidRDefault="00C5531F" w:rsidP="00775270">
      <w:pPr>
        <w:spacing w:line="480" w:lineRule="auto"/>
        <w:jc w:val="right"/>
        <w:rPr>
          <w:rFonts w:ascii="Times New Roman" w:hAnsi="Times New Roman" w:cs="Times New Roman"/>
          <w:sz w:val="24"/>
          <w:szCs w:val="24"/>
        </w:rPr>
      </w:pPr>
      <w:r w:rsidRPr="006C1E51">
        <w:rPr>
          <w:rFonts w:ascii="Times New Roman" w:hAnsi="Times New Roman" w:cs="Times New Roman"/>
          <w:sz w:val="24"/>
          <w:szCs w:val="24"/>
        </w:rPr>
        <w:t>“We will never survive as a group until we get into communities</w:t>
      </w:r>
      <w:r w:rsidR="0039792D" w:rsidRPr="006C1E51">
        <w:rPr>
          <w:rFonts w:ascii="Times New Roman" w:hAnsi="Times New Roman" w:cs="Times New Roman"/>
          <w:sz w:val="24"/>
          <w:szCs w:val="24"/>
        </w:rPr>
        <w:t>.</w:t>
      </w:r>
      <w:r w:rsidRPr="006C1E51">
        <w:rPr>
          <w:rFonts w:ascii="Times New Roman" w:hAnsi="Times New Roman" w:cs="Times New Roman"/>
          <w:sz w:val="24"/>
          <w:szCs w:val="24"/>
        </w:rPr>
        <w:t>..not neighborhoods</w:t>
      </w:r>
      <w:r w:rsidR="00D11CD6" w:rsidRPr="006C1E51">
        <w:rPr>
          <w:rFonts w:ascii="Times New Roman" w:hAnsi="Times New Roman" w:cs="Times New Roman"/>
          <w:sz w:val="24"/>
          <w:szCs w:val="24"/>
        </w:rPr>
        <w:t>”</w:t>
      </w:r>
    </w:p>
    <w:p w14:paraId="00000081" w14:textId="770157A4" w:rsidR="0006233B" w:rsidRPr="006C1E51" w:rsidRDefault="00D11CD6" w:rsidP="006F0F0E">
      <w:pPr>
        <w:spacing w:line="480" w:lineRule="auto"/>
        <w:jc w:val="right"/>
        <w:rPr>
          <w:rFonts w:ascii="Times New Roman" w:hAnsi="Times New Roman" w:cs="Times New Roman"/>
          <w:i/>
          <w:iCs/>
          <w:sz w:val="24"/>
          <w:szCs w:val="24"/>
        </w:rPr>
      </w:pPr>
      <w:r w:rsidRPr="006C1E51">
        <w:rPr>
          <w:rFonts w:ascii="Times New Roman" w:hAnsi="Times New Roman" w:cs="Times New Roman"/>
          <w:i/>
          <w:iCs/>
          <w:sz w:val="24"/>
          <w:szCs w:val="24"/>
        </w:rPr>
        <w:t>-</w:t>
      </w:r>
      <w:r w:rsidRPr="006C1E51">
        <w:rPr>
          <w:rFonts w:ascii="Times New Roman" w:hAnsi="Times New Roman" w:cs="Times New Roman"/>
          <w:sz w:val="24"/>
          <w:szCs w:val="24"/>
        </w:rPr>
        <w:t xml:space="preserve"> </w:t>
      </w:r>
      <w:r w:rsidR="00C5531F" w:rsidRPr="006C1E51">
        <w:rPr>
          <w:rFonts w:ascii="Times New Roman" w:hAnsi="Times New Roman" w:cs="Times New Roman"/>
          <w:sz w:val="24"/>
          <w:szCs w:val="24"/>
        </w:rPr>
        <w:t>Dick Gregory</w:t>
      </w:r>
      <w:r w:rsidRPr="006C1E51">
        <w:rPr>
          <w:rFonts w:ascii="Times New Roman" w:hAnsi="Times New Roman" w:cs="Times New Roman"/>
          <w:sz w:val="24"/>
          <w:szCs w:val="24"/>
        </w:rPr>
        <w:t>,</w:t>
      </w:r>
      <w:r w:rsidRPr="006C1E51">
        <w:rPr>
          <w:rFonts w:ascii="Times New Roman" w:hAnsi="Times New Roman" w:cs="Times New Roman"/>
          <w:i/>
          <w:iCs/>
          <w:sz w:val="24"/>
          <w:szCs w:val="24"/>
        </w:rPr>
        <w:t xml:space="preserve"> </w:t>
      </w:r>
      <w:r w:rsidRPr="006C1E51">
        <w:rPr>
          <w:rFonts w:ascii="Times New Roman" w:hAnsi="Times New Roman" w:cs="Times New Roman"/>
          <w:i/>
          <w:iCs/>
          <w:sz w:val="24"/>
          <w:szCs w:val="24"/>
        </w:rPr>
        <w:t>Advice to Young African Americans</w:t>
      </w:r>
      <w:r w:rsidRPr="006C1E51">
        <w:rPr>
          <w:rFonts w:ascii="Times New Roman" w:hAnsi="Times New Roman" w:cs="Times New Roman"/>
          <w:sz w:val="24"/>
          <w:szCs w:val="24"/>
        </w:rPr>
        <w:t xml:space="preserve"> </w:t>
      </w:r>
      <w:r w:rsidR="00C5531F" w:rsidRPr="006C1E51">
        <w:rPr>
          <w:rFonts w:ascii="Times New Roman" w:hAnsi="Times New Roman" w:cs="Times New Roman"/>
          <w:i/>
          <w:iCs/>
          <w:sz w:val="24"/>
          <w:szCs w:val="24"/>
          <w:vertAlign w:val="superscript"/>
        </w:rPr>
        <w:footnoteReference w:id="88"/>
      </w:r>
      <w:r w:rsidR="00C5531F" w:rsidRPr="006C1E51">
        <w:rPr>
          <w:rFonts w:ascii="Times New Roman" w:hAnsi="Times New Roman" w:cs="Times New Roman"/>
          <w:i/>
          <w:iCs/>
          <w:sz w:val="24"/>
          <w:szCs w:val="24"/>
        </w:rPr>
        <w:t xml:space="preserve"> </w:t>
      </w:r>
    </w:p>
    <w:p w14:paraId="042D02B6" w14:textId="3637C15D" w:rsidR="00D11CD6" w:rsidRPr="006C1E51" w:rsidRDefault="00D11CD6" w:rsidP="00775270">
      <w:pPr>
        <w:pStyle w:val="Heading2"/>
        <w:keepNext w:val="0"/>
        <w:keepLines w:val="0"/>
        <w:spacing w:line="480" w:lineRule="auto"/>
        <w:rPr>
          <w:rFonts w:ascii="Times New Roman" w:hAnsi="Times New Roman" w:cs="Times New Roman"/>
        </w:rPr>
      </w:pPr>
      <w:bookmarkStart w:id="50" w:name="_Toc220011092"/>
      <w:r w:rsidRPr="006C1E51">
        <w:rPr>
          <w:rFonts w:ascii="Times New Roman" w:hAnsi="Times New Roman" w:cs="Times New Roman"/>
        </w:rPr>
        <w:t>Historical and Theoretical Foundations</w:t>
      </w:r>
      <w:bookmarkEnd w:id="50"/>
      <w:r w:rsidRPr="006C1E51">
        <w:rPr>
          <w:rFonts w:ascii="Times New Roman" w:hAnsi="Times New Roman" w:cs="Times New Roman"/>
        </w:rPr>
        <w:t xml:space="preserve"> </w:t>
      </w:r>
    </w:p>
    <w:p w14:paraId="00000082" w14:textId="27C9CF93"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Early in my career, I began to recognize how much of our heritage work was happening in isolation. I watched rural elders stretched thin—each fighting the same battles for grants, repairs, and recognition. Each one trying to preserve a church, a cemetery, or a family property—alone. With so many requests for help resting on my shoulders, I kept asking the same question: </w:t>
      </w:r>
      <w:r w:rsidRPr="006C1E51">
        <w:rPr>
          <w:rFonts w:ascii="Times New Roman" w:hAnsi="Times New Roman" w:cs="Times New Roman"/>
          <w:i/>
          <w:iCs/>
          <w:sz w:val="24"/>
          <w:szCs w:val="24"/>
        </w:rPr>
        <w:t>why not share costs, pool labor, and collaborate instead of competing?</w:t>
      </w:r>
      <w:r w:rsidRPr="006C1E51">
        <w:rPr>
          <w:rFonts w:ascii="Times New Roman" w:hAnsi="Times New Roman" w:cs="Times New Roman"/>
          <w:sz w:val="24"/>
          <w:szCs w:val="24"/>
        </w:rPr>
        <w:t xml:space="preserve"> The Cooperative Heritage Community (CHC) framework is my response to that question.</w:t>
      </w:r>
    </w:p>
    <w:p w14:paraId="00000083" w14:textId="7AC9C062"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CHC is not another nonprofit to manage or a program to fund—it is a way of seeing and organizing that turns individual preservation efforts into collective power. It is best understood as three things at once: a guide for thinking, a framework for structuring, and a praxis for acting. As a guide, it helps communities articulate the values that already sustain them. As a framework, it offers tools and shared principles for pooling effort, ownership, and decision-making. As a praxis, it translates those principles into everyday practice. </w:t>
      </w:r>
      <w:r w:rsidR="00FD6498" w:rsidRPr="006C1E51">
        <w:rPr>
          <w:rFonts w:ascii="Times New Roman" w:hAnsi="Times New Roman" w:cs="Times New Roman"/>
          <w:sz w:val="24"/>
          <w:szCs w:val="24"/>
        </w:rPr>
        <w:t>Altogether</w:t>
      </w:r>
      <w:r w:rsidRPr="006C1E51">
        <w:rPr>
          <w:rFonts w:ascii="Times New Roman" w:hAnsi="Times New Roman" w:cs="Times New Roman"/>
          <w:sz w:val="24"/>
          <w:szCs w:val="24"/>
        </w:rPr>
        <w:t>, cooperation becomes a habit rather than an exception.</w:t>
      </w:r>
    </w:p>
    <w:p w14:paraId="00000084" w14:textId="2F4E72A9"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This philosophy grew from lived experience, not theory. During my time interning with the </w:t>
      </w:r>
      <w:r w:rsidRPr="006C1E51">
        <w:rPr>
          <w:rFonts w:ascii="Times New Roman" w:hAnsi="Times New Roman" w:cs="Times New Roman"/>
          <w:i/>
          <w:iCs/>
          <w:sz w:val="24"/>
          <w:szCs w:val="24"/>
        </w:rPr>
        <w:t>Preserving Black Churches</w:t>
      </w:r>
      <w:r w:rsidRPr="006C1E51">
        <w:rPr>
          <w:rFonts w:ascii="Times New Roman" w:hAnsi="Times New Roman" w:cs="Times New Roman"/>
          <w:sz w:val="24"/>
          <w:szCs w:val="24"/>
        </w:rPr>
        <w:t xml:space="preserve"> program of the African American Cultural Heritage Action Fund, I reviewed dozens of applications from rural congregations who spent hours crafting </w:t>
      </w:r>
      <w:r w:rsidRPr="006C1E51">
        <w:rPr>
          <w:rFonts w:ascii="Times New Roman" w:hAnsi="Times New Roman" w:cs="Times New Roman"/>
          <w:sz w:val="24"/>
          <w:szCs w:val="24"/>
        </w:rPr>
        <w:lastRenderedPageBreak/>
        <w:t>applications, attending webinars, and navigating technology—each trying, often in isolation, to save what meant most to them. I saw the same pattern locally on the Eastern Shore, where my family churches fight parallel preservation battles without shared infrastructure or strategy. The CHC framework emerges from that reality: it offers a way for those who are doing similar work to move in coordination, to treat preservation as collective rather than competitive labor.</w:t>
      </w:r>
    </w:p>
    <w:p w14:paraId="064D4FE3" w14:textId="29B1AB79" w:rsidR="005402E3"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CHC also extends from earlier cooperative models like the Free African Society, Colored Farmers’ Alliance, and other mutual aid efforts across the Black American experience. Those were formal organizations created to meet immediate needs born of exclusion</w:t>
      </w:r>
      <w:r w:rsidR="001C7575" w:rsidRPr="006C1E51">
        <w:rPr>
          <w:rFonts w:ascii="Times New Roman" w:hAnsi="Times New Roman" w:cs="Times New Roman"/>
          <w:sz w:val="24"/>
          <w:szCs w:val="24"/>
        </w:rPr>
        <w:t>; furthermore; they represent similar theoretical throughlines of self-determination, cultural pride, that also undergird CHC</w:t>
      </w:r>
      <w:r w:rsidRPr="006C1E51">
        <w:rPr>
          <w:rFonts w:ascii="Times New Roman" w:hAnsi="Times New Roman" w:cs="Times New Roman"/>
          <w:sz w:val="24"/>
          <w:szCs w:val="24"/>
        </w:rPr>
        <w:t xml:space="preserve">. The CHC, however, is not an organization—it is a </w:t>
      </w:r>
      <w:r w:rsidRPr="006C1E51">
        <w:rPr>
          <w:rFonts w:ascii="Times New Roman" w:hAnsi="Times New Roman" w:cs="Times New Roman"/>
          <w:i/>
          <w:iCs/>
          <w:sz w:val="24"/>
          <w:szCs w:val="24"/>
        </w:rPr>
        <w:t xml:space="preserve">philosophy </w:t>
      </w:r>
      <w:r w:rsidRPr="006C1E51">
        <w:rPr>
          <w:rFonts w:ascii="Times New Roman" w:hAnsi="Times New Roman" w:cs="Times New Roman"/>
          <w:sz w:val="24"/>
          <w:szCs w:val="24"/>
        </w:rPr>
        <w:t xml:space="preserve">that can be applied to existing churches, museums, civic clubs, alumni associations, or family networks. </w:t>
      </w:r>
      <w:r w:rsidR="005402E3" w:rsidRPr="006C1E51">
        <w:rPr>
          <w:rFonts w:ascii="Times New Roman" w:hAnsi="Times New Roman" w:cs="Times New Roman"/>
          <w:sz w:val="24"/>
          <w:szCs w:val="24"/>
        </w:rPr>
        <w:t>Those who align with the CHC framework may identify as a “Cooperative Heritage Community” if they choose, but doing so does not require the formation of a new organization. In many cases, existing institutions are better positioned to collaborate by pooling resources and authority. Based on my experience, stakeholders increasingly express concern about organizational saturation and fragmentation, which is why this framework centers cooperation rather than expansion. In this way, the CHC framework functions as both analysis and action, enabling communities to recognize existing practices as heritage stewardship, establish new institutions only where necessary, and collaborate across boundaries of faith, geography, and disciplines.</w:t>
      </w:r>
    </w:p>
    <w:p w14:paraId="60C90F80" w14:textId="4086CAA3" w:rsidR="0076446A" w:rsidRPr="006C1E51" w:rsidRDefault="0076446A"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At its core, this framework restores a vocabulary long missing from mainstream preservation and often forgotten within the grassroots. Beyond presenting the CHC framework as something “new,” it serves as a reminder of what rural Black communities have long practiced: surviving through shared ownership and pooled resources. It moves past the language of </w:t>
      </w:r>
      <w:r w:rsidRPr="006C1E51">
        <w:rPr>
          <w:rFonts w:ascii="Times New Roman" w:hAnsi="Times New Roman" w:cs="Times New Roman"/>
          <w:sz w:val="24"/>
          <w:szCs w:val="24"/>
        </w:rPr>
        <w:lastRenderedPageBreak/>
        <w:t>“partnership” toward a deeper ethic of interdependence—the understanding that sustainability within Black communities depends on cooperation internally and on equity externally in ways that align community practice with institutional support.</w:t>
      </w:r>
    </w:p>
    <w:p w14:paraId="51F4878F" w14:textId="4A178E80" w:rsidR="0076446A" w:rsidRPr="006C1E51" w:rsidRDefault="0076446A"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In my work with grantmaking organizations, I have seen how funding programs increasingly encourage collaboration, while communities often navigate uncertainty about how those relationships are assessed or supported. An analysis of rural Black church applications illustrates this dynamic clearly. Many congregations demonstrate deep historical significance and sustained community engagement, yet face challenges related to </w:t>
      </w:r>
      <w:r w:rsidR="009E5727" w:rsidRPr="006C1E51">
        <w:rPr>
          <w:rFonts w:ascii="Times New Roman" w:hAnsi="Times New Roman" w:cs="Times New Roman"/>
          <w:sz w:val="24"/>
          <w:szCs w:val="24"/>
        </w:rPr>
        <w:t>organizational</w:t>
      </w:r>
      <w:r w:rsidRPr="006C1E51">
        <w:rPr>
          <w:rFonts w:ascii="Times New Roman" w:hAnsi="Times New Roman" w:cs="Times New Roman"/>
          <w:sz w:val="24"/>
          <w:szCs w:val="24"/>
        </w:rPr>
        <w:t xml:space="preserve"> capacity, project readiness, and translating lived stewardship into grant-ready documentation. In a review of applications, the most common barriers were incomplete or absent planning, unclear project scope, and limited access to early technical assistance—rather than lack of community relevance or commitment. Extended timelines between application and award can further strain newer or community-rooted efforts, particularly in urgent situations, even as programs show promising flexibility </w:t>
      </w:r>
      <w:r w:rsidR="00FD6498" w:rsidRPr="006C1E51">
        <w:rPr>
          <w:rFonts w:ascii="Times New Roman" w:hAnsi="Times New Roman" w:cs="Times New Roman"/>
          <w:sz w:val="24"/>
          <w:szCs w:val="24"/>
        </w:rPr>
        <w:t>using</w:t>
      </w:r>
      <w:r w:rsidRPr="006C1E51">
        <w:rPr>
          <w:rFonts w:ascii="Times New Roman" w:hAnsi="Times New Roman" w:cs="Times New Roman"/>
          <w:sz w:val="24"/>
          <w:szCs w:val="24"/>
        </w:rPr>
        <w:t xml:space="preserve"> stipends and honoraria to recognize community knowledge and labor. Programs such as Preserving Black Churches also highlight a </w:t>
      </w:r>
      <w:r w:rsidR="00455B5B" w:rsidRPr="006C1E51">
        <w:rPr>
          <w:rFonts w:ascii="Times New Roman" w:hAnsi="Times New Roman" w:cs="Times New Roman"/>
          <w:sz w:val="24"/>
          <w:szCs w:val="24"/>
        </w:rPr>
        <w:t>significant</w:t>
      </w:r>
      <w:r w:rsidRPr="006C1E51">
        <w:rPr>
          <w:rFonts w:ascii="Times New Roman" w:hAnsi="Times New Roman" w:cs="Times New Roman"/>
          <w:sz w:val="24"/>
          <w:szCs w:val="24"/>
        </w:rPr>
        <w:t xml:space="preserve"> transition for many congregations, which are engaging formal grant systems for the first time. This process often requires churches long sustained through elder leadership and mutual aid to adopt new administrative and reporting practices. </w:t>
      </w:r>
    </w:p>
    <w:p w14:paraId="03F809A0" w14:textId="1FA5EBF0" w:rsidR="0076446A" w:rsidRPr="006C1E51" w:rsidRDefault="0076446A"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CHC framework responds to these realities by offering a collective approach that pools </w:t>
      </w:r>
      <w:r w:rsidR="009E5727" w:rsidRPr="006C1E51">
        <w:rPr>
          <w:rFonts w:ascii="Times New Roman" w:hAnsi="Times New Roman" w:cs="Times New Roman"/>
          <w:sz w:val="24"/>
          <w:szCs w:val="24"/>
        </w:rPr>
        <w:t>organizational</w:t>
      </w:r>
      <w:r w:rsidRPr="006C1E51">
        <w:rPr>
          <w:rFonts w:ascii="Times New Roman" w:hAnsi="Times New Roman" w:cs="Times New Roman"/>
          <w:sz w:val="24"/>
          <w:szCs w:val="24"/>
        </w:rPr>
        <w:t xml:space="preserve"> capacity, shares infrastructure, and supports communities in engaging funders from a position of coordination rather than isolation. For funders and institutions seeking to work alongside these communities, the framework provides a guide for authentic collaboration that honors shared authority, redistributes resources thoughtfully, and invests in goals defined by </w:t>
      </w:r>
      <w:r w:rsidRPr="006C1E51">
        <w:rPr>
          <w:rFonts w:ascii="Times New Roman" w:hAnsi="Times New Roman" w:cs="Times New Roman"/>
          <w:sz w:val="24"/>
          <w:szCs w:val="24"/>
        </w:rPr>
        <w:lastRenderedPageBreak/>
        <w:t>the community itself. At the same time, it creates a structured opportunity for shared learning, enabling funders to engage with networks of applicants to better understand where planning, clarity, and readiness challenges arise, and to use those insights to refine application design, technical assistance, and evaluation criteria in ways that strengthen outcomes for both communities and institutions.</w:t>
      </w:r>
    </w:p>
    <w:p w14:paraId="00000087" w14:textId="058F3DD1"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Heritage, under this view, becomes a process as much as a product, serving as a vehicle for how we pass on land, sustain our churches, educate our youth, and leverage our collective economic capacity as citizens.</w:t>
      </w:r>
      <w:r w:rsidR="0076446A" w:rsidRPr="006C1E51">
        <w:rPr>
          <w:rStyle w:val="FootnoteReference"/>
          <w:rFonts w:ascii="Times New Roman" w:hAnsi="Times New Roman" w:cs="Times New Roman"/>
          <w:sz w:val="24"/>
          <w:szCs w:val="24"/>
        </w:rPr>
        <w:footnoteReference w:id="89"/>
      </w:r>
      <w:r w:rsidRPr="006C1E51">
        <w:rPr>
          <w:rFonts w:ascii="Times New Roman" w:hAnsi="Times New Roman" w:cs="Times New Roman"/>
          <w:sz w:val="24"/>
          <w:szCs w:val="24"/>
        </w:rPr>
        <w:t xml:space="preserve"> Reframing Black cultural heritage is a lever for negotiating, demanding, and sustaining positive quality of life outcomes. For decades, the preservation field has largely measured success through market-driven outcomes: job creation, increased property values, and heritage tourism revenue. Landmark studies by PlaceEconomics and the National Trust for Historic Preservation have validated these metrics. Yet, they seldom ask whether preservation leads to community ownership, long-term empowerment, or equitable participation in the heritage economy. This is where cooperative models offer transformative potential.</w:t>
      </w:r>
    </w:p>
    <w:p w14:paraId="00000088" w14:textId="0502B121"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Though long present in Black communities—from mutual aid societies to land trusts—cooperative practices remain marginal in preservation discourse and underutilized as a formal strategy. Much of the research on cooperation sits in silos across disciplines, rarely integrated into preservation policy or training. Still, there is momentum to build from. Scholars such as Arden Jordan have shown how community-led efforts in West Philadelphia</w:t>
      </w:r>
      <w:r w:rsidR="00075DF8" w:rsidRPr="006C1E51">
        <w:rPr>
          <w:rFonts w:ascii="Times New Roman" w:hAnsi="Times New Roman" w:cs="Times New Roman"/>
          <w:sz w:val="24"/>
          <w:szCs w:val="24"/>
        </w:rPr>
        <w:t xml:space="preserve"> </w:t>
      </w:r>
      <w:r w:rsidRPr="006C1E51">
        <w:rPr>
          <w:rFonts w:ascii="Times New Roman" w:hAnsi="Times New Roman" w:cs="Times New Roman"/>
          <w:sz w:val="24"/>
          <w:szCs w:val="24"/>
        </w:rPr>
        <w:t>us</w:t>
      </w:r>
      <w:r w:rsidR="00075DF8" w:rsidRPr="006C1E51">
        <w:rPr>
          <w:rFonts w:ascii="Times New Roman" w:hAnsi="Times New Roman" w:cs="Times New Roman"/>
          <w:sz w:val="24"/>
          <w:szCs w:val="24"/>
        </w:rPr>
        <w:t xml:space="preserve">e </w:t>
      </w:r>
      <w:r w:rsidRPr="006C1E51">
        <w:rPr>
          <w:rFonts w:ascii="Times New Roman" w:hAnsi="Times New Roman" w:cs="Times New Roman"/>
          <w:sz w:val="24"/>
          <w:szCs w:val="24"/>
        </w:rPr>
        <w:t>food co-ops, land trusts, and volunteer labo</w:t>
      </w:r>
      <w:r w:rsidR="00075DF8" w:rsidRPr="006C1E51">
        <w:rPr>
          <w:rFonts w:ascii="Times New Roman" w:hAnsi="Times New Roman" w:cs="Times New Roman"/>
          <w:sz w:val="24"/>
          <w:szCs w:val="24"/>
        </w:rPr>
        <w:t xml:space="preserve">r to </w:t>
      </w:r>
      <w:r w:rsidRPr="006C1E51">
        <w:rPr>
          <w:rFonts w:ascii="Times New Roman" w:hAnsi="Times New Roman" w:cs="Times New Roman"/>
          <w:sz w:val="24"/>
          <w:szCs w:val="24"/>
        </w:rPr>
        <w:t xml:space="preserve">preserve both the physical and social fabric of neighborhoods. </w:t>
      </w:r>
      <w:r w:rsidRPr="006C1E51">
        <w:rPr>
          <w:rFonts w:ascii="Times New Roman" w:hAnsi="Times New Roman" w:cs="Times New Roman"/>
          <w:sz w:val="24"/>
          <w:szCs w:val="24"/>
        </w:rPr>
        <w:lastRenderedPageBreak/>
        <w:t>Launched in 2009</w:t>
      </w:r>
      <w:r w:rsidR="00075DF8" w:rsidRPr="006C1E51">
        <w:rPr>
          <w:rFonts w:ascii="Times New Roman" w:hAnsi="Times New Roman" w:cs="Times New Roman"/>
          <w:sz w:val="24"/>
          <w:szCs w:val="24"/>
        </w:rPr>
        <w:t xml:space="preserve"> by Brent Leggs and the National Trust for Historic Preservation</w:t>
      </w:r>
      <w:r w:rsidRPr="006C1E51">
        <w:rPr>
          <w:rFonts w:ascii="Times New Roman" w:hAnsi="Times New Roman" w:cs="Times New Roman"/>
          <w:sz w:val="24"/>
          <w:szCs w:val="24"/>
        </w:rPr>
        <w:t>, the Northeast African American Historic Places Outreach Program exemplified cooperative preservation in action—bringing together organizations from Delaware to Maine to build business infrastructure, strengthen capacity, and share expertise.</w:t>
      </w:r>
      <w:r w:rsidR="00075DF8" w:rsidRPr="006C1E51">
        <w:rPr>
          <w:rStyle w:val="FootnoteReference"/>
          <w:rFonts w:ascii="Times New Roman" w:hAnsi="Times New Roman" w:cs="Times New Roman"/>
          <w:sz w:val="24"/>
          <w:szCs w:val="24"/>
        </w:rPr>
        <w:footnoteReference w:id="90"/>
      </w:r>
      <w:r w:rsidRPr="006C1E51">
        <w:rPr>
          <w:rFonts w:ascii="Times New Roman" w:hAnsi="Times New Roman" w:cs="Times New Roman"/>
          <w:sz w:val="24"/>
          <w:szCs w:val="24"/>
        </w:rPr>
        <w:t xml:space="preserve"> The program united grassroots groups, preservation professionals, and funders in a regional effort that laid the groundwork for what would later evolve into the National Trust’s African American Cultural Heritage Action Fund. </w:t>
      </w:r>
      <w:r w:rsidR="00075DF8" w:rsidRPr="006C1E51">
        <w:rPr>
          <w:rFonts w:ascii="Times New Roman" w:hAnsi="Times New Roman" w:cs="Times New Roman"/>
          <w:sz w:val="24"/>
          <w:szCs w:val="24"/>
        </w:rPr>
        <w:t>Additionally</w:t>
      </w:r>
      <w:r w:rsidRPr="006C1E51">
        <w:rPr>
          <w:rFonts w:ascii="Times New Roman" w:hAnsi="Times New Roman" w:cs="Times New Roman"/>
          <w:sz w:val="24"/>
          <w:szCs w:val="24"/>
        </w:rPr>
        <w:t xml:space="preserve">, scholars such as Andrea Roberts call for broader recognition of mutual aid and descendant-led governance as legitimate preservation planning strategies. Yet cooperative approaches seldom arise as practical solutions for long-term stewardship–particularly on Maryland’s Eastern Shore. </w:t>
      </w:r>
    </w:p>
    <w:p w14:paraId="00000089" w14:textId="77310DAD" w:rsidR="0006233B" w:rsidRPr="006C1E51" w:rsidRDefault="005C5D29"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What remains missing are empirical models and evaluative tools that measure and demonstrate the impact of cooperation in heritage work. This study takes a step toward addressing that gap by reframing preservation as a practice that builds equitable futures rooted in shared stewardship, economic justice, and cultural sustainability</w:t>
      </w:r>
      <w:r w:rsidR="00C5531F" w:rsidRPr="006C1E51">
        <w:rPr>
          <w:rFonts w:ascii="Times New Roman" w:hAnsi="Times New Roman" w:cs="Times New Roman"/>
          <w:sz w:val="24"/>
          <w:szCs w:val="24"/>
        </w:rPr>
        <w:t xml:space="preserve">. This chapter presents cooperative economics and heritage communities of practice (HCoPs) as complementary theories for making heritage work more impactful for local communities. Together, they serve as the underpinnings of the Cooperative Heritage Community framework, a model that integrates centuries of cooperative tradition into contemporary preservation. </w:t>
      </w:r>
      <w:r w:rsidRPr="006C1E51">
        <w:rPr>
          <w:rFonts w:ascii="Times New Roman" w:hAnsi="Times New Roman" w:cs="Times New Roman"/>
          <w:sz w:val="24"/>
          <w:szCs w:val="24"/>
        </w:rPr>
        <w:t>The chapter begins by defining cooperative economics, followed by an exploration of heritage communities of practice. It then illustrates how combining these two traditions gives rise to a cooperative philosophy for heritage work that transforms storytelling into shared prosperity through community-oriented principles.</w:t>
      </w:r>
    </w:p>
    <w:p w14:paraId="0000008A" w14:textId="2951B92F" w:rsidR="0006233B" w:rsidRPr="006C1E51" w:rsidRDefault="006F6771" w:rsidP="00775270">
      <w:pPr>
        <w:pStyle w:val="Heading3"/>
      </w:pPr>
      <w:bookmarkStart w:id="51" w:name="_podo5tc2wjgi" w:colFirst="0" w:colLast="0"/>
      <w:bookmarkStart w:id="52" w:name="_Toc220011093"/>
      <w:bookmarkEnd w:id="51"/>
      <w:r w:rsidRPr="006C1E51">
        <w:lastRenderedPageBreak/>
        <w:t xml:space="preserve">I. </w:t>
      </w:r>
      <w:r w:rsidR="00C5531F" w:rsidRPr="006C1E51">
        <w:t>Cooperative Economics: A Survival Tradition</w:t>
      </w:r>
      <w:bookmarkEnd w:id="52"/>
    </w:p>
    <w:p w14:paraId="0000008B" w14:textId="58E8AAF9" w:rsidR="0006233B" w:rsidRPr="006C1E51" w:rsidRDefault="00C5531F" w:rsidP="00775270">
      <w:p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Early in 2025, I stood in the records room of the Kent County Courthouse, poring over boxes of Articles of Incorporation</w:t>
      </w:r>
      <w:r w:rsidR="002B58CB" w:rsidRPr="006C1E51">
        <w:rPr>
          <w:rFonts w:ascii="Times New Roman" w:hAnsi="Times New Roman" w:cs="Times New Roman"/>
          <w:sz w:val="24"/>
          <w:szCs w:val="24"/>
        </w:rPr>
        <w:t xml:space="preserve"> (see fig. 12)</w:t>
      </w:r>
      <w:r w:rsidRPr="006C1E51">
        <w:rPr>
          <w:rFonts w:ascii="Times New Roman" w:hAnsi="Times New Roman" w:cs="Times New Roman"/>
          <w:sz w:val="24"/>
          <w:szCs w:val="24"/>
        </w:rPr>
        <w:t>. Each document told the story of a local organization: who founded it, what it sought to do, how it was funded, and how long it lasted. When viewed individually, they were bureaucratic relics; when studied together, they revealed a living ecosystem of cooperation. From mutual aid societies and Black churches after Reconstruction to trade associations and workers’ clubs in the twentieth century, these records traced a deep tradition of collective problem-solving. They showed how Black residents organized to meet social and economic needs when formal institutions would not—pooling labor, resources, and trust to build a community from the ground up.</w:t>
      </w:r>
    </w:p>
    <w:p w14:paraId="343C7C24" w14:textId="77777777" w:rsidR="00847ECE" w:rsidRPr="006C1E51" w:rsidRDefault="00847ECE" w:rsidP="00775270">
      <w:pPr>
        <w:keepNext/>
        <w:spacing w:after="240" w:line="480" w:lineRule="auto"/>
        <w:jc w:val="center"/>
        <w:rPr>
          <w:rFonts w:ascii="Times New Roman" w:hAnsi="Times New Roman" w:cs="Times New Roman"/>
          <w:sz w:val="24"/>
          <w:szCs w:val="24"/>
        </w:rPr>
      </w:pPr>
      <w:r w:rsidRPr="006C1E51">
        <w:rPr>
          <w:rFonts w:ascii="Times New Roman" w:hAnsi="Times New Roman" w:cs="Times New Roman"/>
          <w:noProof/>
          <w:sz w:val="24"/>
          <w:szCs w:val="24"/>
        </w:rPr>
        <w:drawing>
          <wp:inline distT="0" distB="0" distL="0" distR="0" wp14:anchorId="6D37B06D" wp14:editId="0C168943">
            <wp:extent cx="4929612" cy="3248488"/>
            <wp:effectExtent l="0" t="0" r="0" b="3175"/>
            <wp:docPr id="421394555" name="Picture 1" descr="A close-up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394555" name="Picture 1" descr="A close-up of a house&#10;&#10;AI-generated content may be incorrect."/>
                    <pic:cNvPicPr/>
                  </pic:nvPicPr>
                  <pic:blipFill>
                    <a:blip r:embed="rId24" cstate="email">
                      <a:extLst>
                        <a:ext uri="{28A0092B-C50C-407E-A947-70E740481C1C}">
                          <a14:useLocalDpi xmlns:a14="http://schemas.microsoft.com/office/drawing/2010/main"/>
                        </a:ext>
                      </a:extLst>
                    </a:blip>
                    <a:stretch>
                      <a:fillRect/>
                    </a:stretch>
                  </pic:blipFill>
                  <pic:spPr>
                    <a:xfrm>
                      <a:off x="0" y="0"/>
                      <a:ext cx="4939702" cy="3255137"/>
                    </a:xfrm>
                    <a:prstGeom prst="rect">
                      <a:avLst/>
                    </a:prstGeom>
                  </pic:spPr>
                </pic:pic>
              </a:graphicData>
            </a:graphic>
          </wp:inline>
        </w:drawing>
      </w:r>
    </w:p>
    <w:p w14:paraId="58DF3E4B" w14:textId="28B29B3C" w:rsidR="00847ECE" w:rsidRPr="006C1E51" w:rsidRDefault="00847ECE" w:rsidP="00F50E4B">
      <w:pPr>
        <w:pStyle w:val="Caption"/>
      </w:pPr>
      <w:bookmarkStart w:id="53" w:name="_Toc220011007"/>
      <w:r w:rsidRPr="006C1E51">
        <w:t xml:space="preserve">Figure </w:t>
      </w:r>
      <w:r w:rsidR="0044768F" w:rsidRPr="006C1E51">
        <w:fldChar w:fldCharType="begin"/>
      </w:r>
      <w:r w:rsidR="0044768F" w:rsidRPr="006C1E51">
        <w:instrText xml:space="preserve"> SEQ Figure \* ARABIC </w:instrText>
      </w:r>
      <w:r w:rsidR="0044768F" w:rsidRPr="006C1E51">
        <w:fldChar w:fldCharType="separate"/>
      </w:r>
      <w:r w:rsidR="00C63ED1" w:rsidRPr="006C1E51">
        <w:rPr>
          <w:noProof/>
        </w:rPr>
        <w:t>12</w:t>
      </w:r>
      <w:r w:rsidR="0044768F" w:rsidRPr="006C1E51">
        <w:rPr>
          <w:noProof/>
        </w:rPr>
        <w:fldChar w:fldCharType="end"/>
      </w:r>
      <w:r w:rsidRPr="006C1E51">
        <w:t>. Various images from the author’s visit to the Kent County Courthouse on May 1, 2025. Documents are Original Articles of Incorporation in Kent County, Maryland from 1869 through 1960.</w:t>
      </w:r>
      <w:bookmarkEnd w:id="53"/>
    </w:p>
    <w:p w14:paraId="0000008C" w14:textId="362748EE"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These local patterns mirror a much broader national story. The history of Black cooperative economics in the United States stretches back to the late eighteenth century, forming what Jessica Gordon Nembhard frames as a tradition of survival</w:t>
      </w:r>
      <w:r w:rsidR="00847ECE" w:rsidRPr="006C1E51">
        <w:rPr>
          <w:rFonts w:ascii="Times New Roman" w:hAnsi="Times New Roman" w:cs="Times New Roman"/>
          <w:sz w:val="24"/>
          <w:szCs w:val="24"/>
        </w:rPr>
        <w:t xml:space="preserve">, rooted in collective self-help under conditions of racial violence and exclusion. </w:t>
      </w:r>
      <w:r w:rsidRPr="006C1E51">
        <w:rPr>
          <w:rFonts w:ascii="Times New Roman" w:hAnsi="Times New Roman" w:cs="Times New Roman"/>
          <w:sz w:val="24"/>
          <w:szCs w:val="24"/>
        </w:rPr>
        <w:t>When banks, insurers, and public systems excluded African Americans, they built their own. In 1787, Richard Allen and Absalom Jones established the Free African Society in Philadelphia—a dues-paying mutual aid association that provided burial funds, care for widows and orphans, and community support during moments of crises. Their model bound faith to finance and culture to care, making mutual aid a sacred responsibility. A century later, the Colored Farmers’ Alliance extended these values across the rural South, organizing more than a million members to purchase supplies collectively, create credit systems, and advocate for fair prices. Their federated structure demonstrated how cooperation could scale by linking small farms into a national network rooted in solidarity. By the mid-twentieth century, figures like Fannie Lou Hamer</w:t>
      </w:r>
      <w:r w:rsidR="00971EA7" w:rsidRPr="006C1E51">
        <w:rPr>
          <w:rFonts w:ascii="Times New Roman" w:hAnsi="Times New Roman" w:cs="Times New Roman"/>
          <w:sz w:val="24"/>
          <w:szCs w:val="24"/>
        </w:rPr>
        <w:t xml:space="preserve"> </w:t>
      </w:r>
      <w:r w:rsidRPr="006C1E51">
        <w:rPr>
          <w:rFonts w:ascii="Times New Roman" w:hAnsi="Times New Roman" w:cs="Times New Roman"/>
          <w:sz w:val="24"/>
          <w:szCs w:val="24"/>
        </w:rPr>
        <w:t>carried this legacy into the modern civil rights era. Her Freedom Farm Cooperative in Sunflower County, Mississippi, transformed 640 acres of land into a site of refuge, food production, and political empowerment. For Hamer, cooperative economics was not only about material survival—it was a moral and cultural act, ensuring that dignity and heritage could take root in freedom.</w:t>
      </w:r>
      <w:r w:rsidR="00971EA7" w:rsidRPr="006C1E51">
        <w:rPr>
          <w:rFonts w:ascii="Times New Roman" w:hAnsi="Times New Roman" w:cs="Times New Roman"/>
          <w:sz w:val="24"/>
          <w:szCs w:val="24"/>
        </w:rPr>
        <w:t xml:space="preserve"> Each initiative—whether a church benevolent society, a farmers’ alliance, or a burial association—functioned as both an economic mechanism and a cultural institution, demonstrating that cooperation work </w:t>
      </w:r>
      <w:r w:rsidR="00971EA7" w:rsidRPr="006C1E51">
        <w:rPr>
          <w:rFonts w:ascii="Times New Roman" w:hAnsi="Times New Roman" w:cs="Times New Roman"/>
          <w:i/>
          <w:iCs/>
          <w:sz w:val="24"/>
          <w:szCs w:val="24"/>
        </w:rPr>
        <w:t>is</w:t>
      </w:r>
      <w:r w:rsidR="00971EA7" w:rsidRPr="006C1E51">
        <w:rPr>
          <w:rFonts w:ascii="Times New Roman" w:hAnsi="Times New Roman" w:cs="Times New Roman"/>
          <w:sz w:val="24"/>
          <w:szCs w:val="24"/>
        </w:rPr>
        <w:t xml:space="preserve"> heritage work.</w:t>
      </w:r>
    </w:p>
    <w:p w14:paraId="0000008E" w14:textId="1C25B61E"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Across centuries, these examples illuminate a throughline: Black communities have always used cooperative economics as a strategy of preservation</w:t>
      </w:r>
      <w:r w:rsidR="00971EA7" w:rsidRPr="006C1E51">
        <w:rPr>
          <w:rFonts w:ascii="Times New Roman" w:hAnsi="Times New Roman" w:cs="Times New Roman"/>
          <w:sz w:val="24"/>
          <w:szCs w:val="24"/>
        </w:rPr>
        <w:t xml:space="preserve"> and institution building</w:t>
      </w:r>
      <w:r w:rsidRPr="006C1E51">
        <w:rPr>
          <w:rFonts w:ascii="Times New Roman" w:hAnsi="Times New Roman" w:cs="Times New Roman"/>
          <w:sz w:val="24"/>
          <w:szCs w:val="24"/>
        </w:rPr>
        <w:t xml:space="preserve">. Today, the same spirit echoes in the organizational DNA of small churches, alumni associations, and family collectives on Maryland’s Eastern Shore. The same ingenuity that once built mutual aid </w:t>
      </w:r>
      <w:r w:rsidRPr="006C1E51">
        <w:rPr>
          <w:rFonts w:ascii="Times New Roman" w:hAnsi="Times New Roman" w:cs="Times New Roman"/>
          <w:sz w:val="24"/>
          <w:szCs w:val="24"/>
        </w:rPr>
        <w:lastRenderedPageBreak/>
        <w:t>societies still sustains cemeteries, schools, and homesteads but the work often happens in isolation without shared infrastructure. The Cooperative Heritage Community framework grows out of this reality. It takes the cooperative impulse embedded in our history and retools it for the challenges of preservation today, treating cultural heritage itself as the commons, a shared resource to be stewarded collectively rather than competed over.</w:t>
      </w:r>
    </w:p>
    <w:p w14:paraId="5D28A1B7" w14:textId="3771807C" w:rsidR="003947EE" w:rsidRPr="006C1E51" w:rsidRDefault="00C5531F" w:rsidP="006F0F0E">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Relative to its predecessors, the Cooperative Heritage Community framework is a philosophy and a practice that builds on their legacy and extends into the realm of heritage. Where Freedom Farm treated land as the commons, the CHC framework identifies heritage itself as the commons—a collective inheritance of stories, spaces, and cultural labor to be managed cooperatively. It responds to a new kind of precarity: not the total exclusion from systems, but the slow erosion of local capacity to sustain what our ancestors built.</w:t>
      </w:r>
      <w:r w:rsidR="003947EE" w:rsidRPr="006C1E51">
        <w:rPr>
          <w:rFonts w:ascii="Times New Roman" w:hAnsi="Times New Roman" w:cs="Times New Roman"/>
          <w:sz w:val="24"/>
          <w:szCs w:val="24"/>
        </w:rPr>
        <w:t xml:space="preserve"> The CHC framework therefore calls for a heightened awareness of how cooperative life has continued to operate—often informally and outside formal recognition—within Black communities facing long-term constraint. Recognizing heritage as shared infrastructure requires attentiveness to the everyday systems of care, connection, and continuity that persisted even as formal cooperative institutions receded from view. </w:t>
      </w:r>
    </w:p>
    <w:p w14:paraId="365D0C31" w14:textId="1A39BEED" w:rsidR="006753B9"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 work in the same communities where my ancestors once organized mutual aid societies to survive</w:t>
      </w:r>
      <w:r w:rsidR="00971EA7" w:rsidRPr="006C1E51">
        <w:rPr>
          <w:rFonts w:ascii="Times New Roman" w:hAnsi="Times New Roman" w:cs="Times New Roman"/>
          <w:sz w:val="24"/>
          <w:szCs w:val="24"/>
        </w:rPr>
        <w:t xml:space="preserve"> and organize village enclaves around family networks.</w:t>
      </w:r>
      <w:r w:rsidR="006753B9" w:rsidRPr="006C1E51">
        <w:rPr>
          <w:rFonts w:ascii="Times New Roman" w:hAnsi="Times New Roman" w:cs="Times New Roman"/>
          <w:sz w:val="24"/>
          <w:szCs w:val="24"/>
        </w:rPr>
        <w:t xml:space="preserve"> As I contextualize digitized photo albums and funeral programs, I think about </w:t>
      </w:r>
      <w:r w:rsidR="00723240" w:rsidRPr="006C1E51">
        <w:rPr>
          <w:rFonts w:ascii="Times New Roman" w:hAnsi="Times New Roman" w:cs="Times New Roman"/>
          <w:sz w:val="24"/>
          <w:szCs w:val="24"/>
        </w:rPr>
        <w:t xml:space="preserve">Brian Sullivan’s work to document “Backwoods Communities” like my own. Sullivan’s account shows Backwoods communities sustained by a dense network </w:t>
      </w:r>
      <w:r w:rsidR="002B58CB" w:rsidRPr="006C1E51">
        <w:rPr>
          <w:rFonts w:ascii="Times New Roman" w:hAnsi="Times New Roman" w:cs="Times New Roman"/>
          <w:sz w:val="24"/>
          <w:szCs w:val="24"/>
        </w:rPr>
        <w:t xml:space="preserve">(see fig. 13) </w:t>
      </w:r>
      <w:r w:rsidR="00723240" w:rsidRPr="006C1E51">
        <w:rPr>
          <w:rFonts w:ascii="Times New Roman" w:hAnsi="Times New Roman" w:cs="Times New Roman"/>
          <w:sz w:val="24"/>
          <w:szCs w:val="24"/>
        </w:rPr>
        <w:t xml:space="preserve">of community institutions that function as survival </w:t>
      </w:r>
      <w:r w:rsidR="00723240" w:rsidRPr="006C1E51">
        <w:rPr>
          <w:rFonts w:ascii="Times New Roman" w:hAnsi="Times New Roman" w:cs="Times New Roman"/>
          <w:sz w:val="24"/>
          <w:szCs w:val="24"/>
        </w:rPr>
        <w:lastRenderedPageBreak/>
        <w:t>infrastructure.</w:t>
      </w:r>
      <w:r w:rsidR="00723240" w:rsidRPr="006C1E51">
        <w:rPr>
          <w:rStyle w:val="FootnoteReference"/>
          <w:rFonts w:ascii="Times New Roman" w:hAnsi="Times New Roman" w:cs="Times New Roman"/>
          <w:sz w:val="24"/>
          <w:szCs w:val="24"/>
        </w:rPr>
        <w:footnoteReference w:id="91"/>
      </w:r>
      <w:r w:rsidR="00723240" w:rsidRPr="006C1E51">
        <w:rPr>
          <w:rFonts w:ascii="Times New Roman" w:hAnsi="Times New Roman" w:cs="Times New Roman"/>
          <w:sz w:val="24"/>
          <w:szCs w:val="24"/>
        </w:rPr>
        <w:t xml:space="preserve"> Small Methodist churches, community dances, clubs, and corner stores serve as “community centers” that “provide the means for the residents of a community to come together regularly in a manner that supplements the strong bonds created by the family.” He </w:t>
      </w:r>
      <w:r w:rsidR="009E5727" w:rsidRPr="006C1E51">
        <w:rPr>
          <w:rFonts w:ascii="Times New Roman" w:hAnsi="Times New Roman" w:cs="Times New Roman"/>
          <w:sz w:val="24"/>
          <w:szCs w:val="24"/>
        </w:rPr>
        <w:t>observes</w:t>
      </w:r>
      <w:r w:rsidR="00723240" w:rsidRPr="006C1E51">
        <w:rPr>
          <w:rFonts w:ascii="Times New Roman" w:hAnsi="Times New Roman" w:cs="Times New Roman"/>
          <w:sz w:val="24"/>
          <w:szCs w:val="24"/>
        </w:rPr>
        <w:t xml:space="preserve"> the </w:t>
      </w:r>
      <w:r w:rsidR="009E5727" w:rsidRPr="006C1E51">
        <w:rPr>
          <w:rFonts w:ascii="Times New Roman" w:hAnsi="Times New Roman" w:cs="Times New Roman"/>
          <w:sz w:val="24"/>
          <w:szCs w:val="24"/>
        </w:rPr>
        <w:t xml:space="preserve">Black </w:t>
      </w:r>
      <w:r w:rsidR="00723240" w:rsidRPr="006C1E51">
        <w:rPr>
          <w:rFonts w:ascii="Times New Roman" w:hAnsi="Times New Roman" w:cs="Times New Roman"/>
          <w:sz w:val="24"/>
          <w:szCs w:val="24"/>
        </w:rPr>
        <w:t xml:space="preserve">church </w:t>
      </w:r>
      <w:r w:rsidR="009E5727" w:rsidRPr="006C1E51">
        <w:rPr>
          <w:rFonts w:ascii="Times New Roman" w:hAnsi="Times New Roman" w:cs="Times New Roman"/>
          <w:sz w:val="24"/>
          <w:szCs w:val="24"/>
        </w:rPr>
        <w:t>as</w:t>
      </w:r>
      <w:r w:rsidR="00723240" w:rsidRPr="006C1E51">
        <w:rPr>
          <w:rFonts w:ascii="Times New Roman" w:hAnsi="Times New Roman" w:cs="Times New Roman"/>
          <w:sz w:val="24"/>
          <w:szCs w:val="24"/>
        </w:rPr>
        <w:t xml:space="preserve"> “an important role for most blacks, young and old,” often the “best way to meet people around here,” underscoring how worship and related activities double as social safety nets in under‑resourced, segregated environments.</w:t>
      </w:r>
    </w:p>
    <w:p w14:paraId="66DC382D" w14:textId="77777777" w:rsidR="006753B9" w:rsidRPr="006C1E51" w:rsidRDefault="006753B9" w:rsidP="00775270">
      <w:pPr>
        <w:keepNext/>
        <w:spacing w:after="240" w:line="480" w:lineRule="auto"/>
        <w:rPr>
          <w:rFonts w:ascii="Times New Roman" w:hAnsi="Times New Roman" w:cs="Times New Roman"/>
          <w:sz w:val="24"/>
          <w:szCs w:val="24"/>
        </w:rPr>
      </w:pPr>
      <w:r w:rsidRPr="006C1E51">
        <w:rPr>
          <w:rFonts w:ascii="Times New Roman" w:hAnsi="Times New Roman" w:cs="Times New Roman"/>
          <w:noProof/>
          <w:sz w:val="24"/>
          <w:szCs w:val="24"/>
        </w:rPr>
        <w:drawing>
          <wp:inline distT="0" distB="0" distL="0" distR="0" wp14:anchorId="7FA995E2" wp14:editId="476857AB">
            <wp:extent cx="5943600" cy="3978910"/>
            <wp:effectExtent l="0" t="0" r="0" b="0"/>
            <wp:docPr id="4" name="Picture 3" descr="A map of a land with many trees&#10;&#10;AI-generated content may be incorrect.">
              <a:extLst xmlns:a="http://schemas.openxmlformats.org/drawingml/2006/main">
                <a:ext uri="{FF2B5EF4-FFF2-40B4-BE49-F238E27FC236}">
                  <a16:creationId xmlns:a16="http://schemas.microsoft.com/office/drawing/2014/main" id="{165FD833-C95C-EF8E-7A03-A8CD2524C5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map of a land with many trees&#10;&#10;AI-generated content may be incorrect.">
                      <a:extLst>
                        <a:ext uri="{FF2B5EF4-FFF2-40B4-BE49-F238E27FC236}">
                          <a16:creationId xmlns:a16="http://schemas.microsoft.com/office/drawing/2014/main" id="{165FD833-C95C-EF8E-7A03-A8CD2524C583}"/>
                        </a:ext>
                      </a:extLst>
                    </pic:cNvPr>
                    <pic:cNvPicPr>
                      <a:picLocks noChangeAspect="1"/>
                    </pic:cNvPicPr>
                  </pic:nvPicPr>
                  <pic:blipFill>
                    <a:blip r:embed="rId25" cstate="email">
                      <a:extLst>
                        <a:ext uri="{28A0092B-C50C-407E-A947-70E740481C1C}">
                          <a14:useLocalDpi xmlns:a14="http://schemas.microsoft.com/office/drawing/2010/main"/>
                        </a:ext>
                      </a:extLst>
                    </a:blip>
                    <a:stretch>
                      <a:fillRect/>
                    </a:stretch>
                  </pic:blipFill>
                  <pic:spPr>
                    <a:xfrm>
                      <a:off x="0" y="0"/>
                      <a:ext cx="5943600" cy="3978910"/>
                    </a:xfrm>
                    <a:prstGeom prst="rect">
                      <a:avLst/>
                    </a:prstGeom>
                  </pic:spPr>
                </pic:pic>
              </a:graphicData>
            </a:graphic>
          </wp:inline>
        </w:drawing>
      </w:r>
    </w:p>
    <w:p w14:paraId="42198760" w14:textId="2C05F9F1" w:rsidR="006753B9" w:rsidRPr="006C1E51" w:rsidRDefault="006753B9" w:rsidP="00F50E4B">
      <w:pPr>
        <w:pStyle w:val="Caption"/>
      </w:pPr>
      <w:bookmarkStart w:id="54" w:name="_Toc220011008"/>
      <w:r w:rsidRPr="006C1E51">
        <w:t xml:space="preserve">Figure </w:t>
      </w:r>
      <w:r w:rsidR="0044768F" w:rsidRPr="006C1E51">
        <w:fldChar w:fldCharType="begin"/>
      </w:r>
      <w:r w:rsidR="0044768F" w:rsidRPr="006C1E51">
        <w:instrText xml:space="preserve"> SEQ Figure \* ARABIC </w:instrText>
      </w:r>
      <w:r w:rsidR="0044768F" w:rsidRPr="006C1E51">
        <w:fldChar w:fldCharType="separate"/>
      </w:r>
      <w:r w:rsidR="00C63ED1" w:rsidRPr="006C1E51">
        <w:rPr>
          <w:noProof/>
        </w:rPr>
        <w:t>13</w:t>
      </w:r>
      <w:r w:rsidR="0044768F" w:rsidRPr="006C1E51">
        <w:rPr>
          <w:noProof/>
        </w:rPr>
        <w:fldChar w:fldCharType="end"/>
      </w:r>
      <w:r w:rsidRPr="006C1E51">
        <w:t xml:space="preserve">. Map of </w:t>
      </w:r>
      <w:r w:rsidR="00FE75CC" w:rsidRPr="006C1E51">
        <w:t>housing</w:t>
      </w:r>
      <w:r w:rsidRPr="006C1E51">
        <w:t xml:space="preserve"> </w:t>
      </w:r>
      <w:r w:rsidR="00FE75CC" w:rsidRPr="006C1E51">
        <w:t>clusters</w:t>
      </w:r>
      <w:r w:rsidRPr="006C1E51">
        <w:t xml:space="preserve"> </w:t>
      </w:r>
      <w:r w:rsidR="00FE75CC" w:rsidRPr="006C1E51">
        <w:t xml:space="preserve">and community assets </w:t>
      </w:r>
      <w:r w:rsidRPr="006C1E51">
        <w:t>in Big Woods</w:t>
      </w:r>
      <w:r w:rsidR="00FE75CC" w:rsidRPr="006C1E51">
        <w:t>. 1978.</w:t>
      </w:r>
      <w:bookmarkEnd w:id="54"/>
      <w:r w:rsidR="00FE75CC" w:rsidRPr="006C1E51">
        <w:t xml:space="preserve"> </w:t>
      </w:r>
    </w:p>
    <w:p w14:paraId="3AB81070" w14:textId="77777777" w:rsidR="00723240" w:rsidRPr="006C1E51" w:rsidRDefault="00723240" w:rsidP="00775270">
      <w:pPr>
        <w:spacing w:line="480" w:lineRule="auto"/>
        <w:rPr>
          <w:rFonts w:ascii="Times New Roman" w:hAnsi="Times New Roman" w:cs="Times New Roman"/>
          <w:sz w:val="24"/>
          <w:szCs w:val="24"/>
        </w:rPr>
      </w:pPr>
    </w:p>
    <w:p w14:paraId="6C5C93AF" w14:textId="77777777" w:rsidR="002B58CB" w:rsidRPr="006C1E51" w:rsidRDefault="00723240" w:rsidP="00775270">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Equally central are the extended family networks that knit the physical and social landscape together</w:t>
      </w:r>
      <w:r w:rsidR="002B58CB" w:rsidRPr="006C1E51">
        <w:rPr>
          <w:rFonts w:ascii="Times New Roman" w:hAnsi="Times New Roman" w:cs="Times New Roman"/>
          <w:sz w:val="24"/>
          <w:szCs w:val="24"/>
        </w:rPr>
        <w:t xml:space="preserve"> (see fig. 14)</w:t>
      </w:r>
      <w:r w:rsidRPr="006C1E51">
        <w:rPr>
          <w:rFonts w:ascii="Times New Roman" w:hAnsi="Times New Roman" w:cs="Times New Roman"/>
          <w:sz w:val="24"/>
          <w:szCs w:val="24"/>
        </w:rPr>
        <w:t>. In Big Woods and similar communities, Sullivan observes that “these communities all have a very strong family structure and most of their residents are interrelated either by blood or by marriage,” so that after generations of building on family land “everyone ‘has some sort of connection’ with everyone else within their own communities.”</w:t>
      </w:r>
      <w:r w:rsidR="003947EE" w:rsidRPr="006C1E51">
        <w:rPr>
          <w:rStyle w:val="FootnoteReference"/>
          <w:rFonts w:ascii="Times New Roman" w:hAnsi="Times New Roman" w:cs="Times New Roman"/>
          <w:sz w:val="24"/>
          <w:szCs w:val="24"/>
        </w:rPr>
        <w:footnoteReference w:id="92"/>
      </w:r>
      <w:r w:rsidRPr="006C1E51">
        <w:rPr>
          <w:rFonts w:ascii="Times New Roman" w:hAnsi="Times New Roman" w:cs="Times New Roman"/>
          <w:sz w:val="24"/>
          <w:szCs w:val="24"/>
        </w:rPr>
        <w:t xml:space="preserve"> Through “heired property” and long tenure, “the children who eventually end up staying on their parents’ land are usually the ones who stayed home and helped take care of the house and the parents,” and these kin</w:t>
      </w:r>
      <w:r w:rsidRPr="006C1E51">
        <w:rPr>
          <w:rFonts w:ascii="Times New Roman" w:hAnsi="Times New Roman" w:cs="Times New Roman"/>
          <w:sz w:val="24"/>
          <w:szCs w:val="24"/>
        </w:rPr>
        <w:noBreakHyphen/>
        <w:t>based “friendship and helping networks” make it easier to own, build, and weather economic hardship. Taken together, Sullivan shows how rural Black Kent County communities developed interlocking practices of extended family, heired property, mutual aid, and church‑centered social life as a coherent coping strategy under racism and poverty—what later scholars like Jessica Gordon Nembhard would describe as a survivors’ tradition of Black collective self‑provisioning.</w:t>
      </w:r>
    </w:p>
    <w:p w14:paraId="480C24D0" w14:textId="1B6F849B" w:rsidR="00723240" w:rsidRPr="006C1E51" w:rsidRDefault="002B58CB" w:rsidP="00775270">
      <w:pPr>
        <w:spacing w:line="480" w:lineRule="auto"/>
        <w:ind w:firstLine="720"/>
        <w:rPr>
          <w:rFonts w:ascii="Times New Roman" w:hAnsi="Times New Roman" w:cs="Times New Roman"/>
          <w:sz w:val="24"/>
          <w:szCs w:val="24"/>
        </w:rPr>
      </w:pPr>
      <w:r w:rsidRPr="006C1E51">
        <w:rPr>
          <w:rFonts w:ascii="Times New Roman" w:hAnsi="Times New Roman" w:cs="Times New Roman"/>
          <w:noProof/>
          <w:sz w:val="24"/>
          <w:szCs w:val="24"/>
        </w:rPr>
        <w:t xml:space="preserve"> </w:t>
      </w:r>
      <w:r w:rsidRPr="006C1E51">
        <w:rPr>
          <w:rFonts w:ascii="Times New Roman" w:hAnsi="Times New Roman" w:cs="Times New Roman"/>
          <w:noProof/>
          <w:sz w:val="24"/>
          <w:szCs w:val="24"/>
        </w:rPr>
        <w:drawing>
          <wp:inline distT="0" distB="0" distL="0" distR="0" wp14:anchorId="69A5D132" wp14:editId="39C6D1E8">
            <wp:extent cx="4255128" cy="2579876"/>
            <wp:effectExtent l="0" t="0" r="0" b="0"/>
            <wp:docPr id="3" name="Picture 2" descr="A map of a family tree&#10;&#10;AI-generated content may be incorrect.">
              <a:extLst xmlns:a="http://schemas.openxmlformats.org/drawingml/2006/main">
                <a:ext uri="{FF2B5EF4-FFF2-40B4-BE49-F238E27FC236}">
                  <a16:creationId xmlns:a16="http://schemas.microsoft.com/office/drawing/2014/main" id="{2AEC3E15-CFF1-759D-F76B-CF9FDFB2B4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map of a family tree&#10;&#10;AI-generated content may be incorrect.">
                      <a:extLst>
                        <a:ext uri="{FF2B5EF4-FFF2-40B4-BE49-F238E27FC236}">
                          <a16:creationId xmlns:a16="http://schemas.microsoft.com/office/drawing/2014/main" id="{2AEC3E15-CFF1-759D-F76B-CF9FDFB2B455}"/>
                        </a:ext>
                      </a:extLst>
                    </pic:cNvPr>
                    <pic:cNvPicPr>
                      <a:picLocks noChangeAspect="1"/>
                    </pic:cNvPicPr>
                  </pic:nvPicPr>
                  <pic:blipFill rotWithShape="1">
                    <a:blip r:embed="rId26" cstate="email">
                      <a:extLst>
                        <a:ext uri="{28A0092B-C50C-407E-A947-70E740481C1C}">
                          <a14:useLocalDpi xmlns:a14="http://schemas.microsoft.com/office/drawing/2010/main"/>
                        </a:ext>
                      </a:extLst>
                    </a:blip>
                    <a:srcRect r="2475" b="1922"/>
                    <a:stretch>
                      <a:fillRect/>
                    </a:stretch>
                  </pic:blipFill>
                  <pic:spPr bwMode="auto">
                    <a:xfrm>
                      <a:off x="0" y="0"/>
                      <a:ext cx="4310307" cy="2613331"/>
                    </a:xfrm>
                    <a:prstGeom prst="rect">
                      <a:avLst/>
                    </a:prstGeom>
                    <a:ln>
                      <a:noFill/>
                    </a:ln>
                    <a:extLst>
                      <a:ext uri="{53640926-AAD7-44D8-BBD7-CCE9431645EC}">
                        <a14:shadowObscured xmlns:a14="http://schemas.microsoft.com/office/drawing/2010/main"/>
                      </a:ext>
                    </a:extLst>
                  </pic:spPr>
                </pic:pic>
              </a:graphicData>
            </a:graphic>
          </wp:inline>
        </w:drawing>
      </w:r>
    </w:p>
    <w:p w14:paraId="68672D7E" w14:textId="1B6F849B" w:rsidR="006753B9" w:rsidRPr="006C1E51" w:rsidRDefault="006753B9" w:rsidP="002B58CB">
      <w:pPr>
        <w:pStyle w:val="Caption"/>
        <w:spacing w:after="0"/>
      </w:pPr>
      <w:bookmarkStart w:id="55" w:name="_Toc220011009"/>
      <w:r w:rsidRPr="006C1E51">
        <w:t xml:space="preserve">Figure </w:t>
      </w:r>
      <w:r w:rsidR="0044768F" w:rsidRPr="006C1E51">
        <w:fldChar w:fldCharType="begin"/>
      </w:r>
      <w:r w:rsidR="0044768F" w:rsidRPr="006C1E51">
        <w:instrText xml:space="preserve"> SEQ Figure \* ARABIC </w:instrText>
      </w:r>
      <w:r w:rsidR="0044768F" w:rsidRPr="006C1E51">
        <w:fldChar w:fldCharType="separate"/>
      </w:r>
      <w:r w:rsidR="00C63ED1" w:rsidRPr="006C1E51">
        <w:rPr>
          <w:noProof/>
        </w:rPr>
        <w:t>14</w:t>
      </w:r>
      <w:r w:rsidR="0044768F" w:rsidRPr="006C1E51">
        <w:rPr>
          <w:noProof/>
        </w:rPr>
        <w:fldChar w:fldCharType="end"/>
      </w:r>
      <w:r w:rsidRPr="006C1E51">
        <w:t>. Map of family network in Big Woods. 1978. Brian Sullivan.</w:t>
      </w:r>
      <w:bookmarkEnd w:id="55"/>
    </w:p>
    <w:p w14:paraId="5EDB6EF4" w14:textId="233C72C4" w:rsidR="00433853" w:rsidRPr="006C1E51" w:rsidRDefault="00433853"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Today, the conditions are different but no less urgent. The need is no longer simply to endure, but to adapt. The proximity that once held these communities together—despite segregation and exclusion—is thinning as land, people, and institutions slowly drift apart. Heirs’ property has become a growing source of instability, breaking up family landholdings and placing long-held parcels at risk; while states such as Maryland have enacted laws to limit forced partition sales, these measures do little to address the broader pressures of disinvestment and rising land values. Affordable housing shortages and declining school populations further weaken the local institutions that once anchored community life. At the same time, many state policy frameworks fail to account for small rural Black enclaves at all. Programs intended to target disinvestment often rely on formulas that privilege urban density, leaving rural communities overlooked and under-resourced despite clear need.</w:t>
      </w:r>
      <w:r w:rsidRPr="006C1E51">
        <w:rPr>
          <w:rStyle w:val="FootnoteReference"/>
          <w:rFonts w:ascii="Times New Roman" w:hAnsi="Times New Roman" w:cs="Times New Roman"/>
          <w:sz w:val="24"/>
          <w:szCs w:val="24"/>
        </w:rPr>
        <w:footnoteReference w:id="93"/>
      </w:r>
    </w:p>
    <w:p w14:paraId="00000091" w14:textId="5CEE1081" w:rsidR="0006233B" w:rsidRPr="006C1E51" w:rsidRDefault="00242E9B"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 xml:space="preserve">The Cooperative Heritage Community framework grows from a clear realization: a cooperative mindset once shaped by necessity must now be taken up deliberately as a practice of repair. As the conditions that once held Black rural communities together continue to fray, this work moves the survival tradition toward adaptation and continuity. The CHC framework brings preservation, advocacy, housing, and community care into a shared approach rooted in responsibility and stewardship. It gives communities language to explain how land is passed on, how churches endure, and how histories are carried forward—both as memory and as a living system of care and reciprocity. By framing heritage as a </w:t>
      </w:r>
      <w:proofErr w:type="gramStart"/>
      <w:r w:rsidRPr="006C1E51">
        <w:rPr>
          <w:rFonts w:ascii="Times New Roman" w:hAnsi="Times New Roman" w:cs="Times New Roman"/>
          <w:sz w:val="24"/>
          <w:szCs w:val="24"/>
        </w:rPr>
        <w:t>commons</w:t>
      </w:r>
      <w:proofErr w:type="gramEnd"/>
      <w:r w:rsidRPr="006C1E51">
        <w:rPr>
          <w:rFonts w:ascii="Times New Roman" w:hAnsi="Times New Roman" w:cs="Times New Roman"/>
          <w:sz w:val="24"/>
          <w:szCs w:val="24"/>
        </w:rPr>
        <w:t>, the CHC framework links</w:t>
      </w:r>
      <w:r w:rsidR="002B58CB" w:rsidRPr="006C1E51">
        <w:rPr>
          <w:rFonts w:ascii="Times New Roman" w:hAnsi="Times New Roman" w:cs="Times New Roman"/>
          <w:sz w:val="24"/>
          <w:szCs w:val="24"/>
        </w:rPr>
        <w:t xml:space="preserve"> </w:t>
      </w:r>
      <w:r w:rsidRPr="006C1E51">
        <w:rPr>
          <w:rFonts w:ascii="Times New Roman" w:hAnsi="Times New Roman" w:cs="Times New Roman"/>
          <w:sz w:val="24"/>
          <w:szCs w:val="24"/>
        </w:rPr>
        <w:lastRenderedPageBreak/>
        <w:t>economic life to cultural practice and connects ancestral knowledge to the demands of everyday survival.</w:t>
      </w:r>
    </w:p>
    <w:p w14:paraId="00000092" w14:textId="77777777" w:rsidR="0006233B" w:rsidRPr="006C1E51" w:rsidRDefault="00C5531F" w:rsidP="00775270">
      <w:pPr>
        <w:pStyle w:val="Heading3"/>
      </w:pPr>
      <w:bookmarkStart w:id="56" w:name="_Toc220011094"/>
      <w:r w:rsidRPr="006C1E51">
        <w:t>II. Policy for Us, By Us</w:t>
      </w:r>
      <w:bookmarkEnd w:id="56"/>
    </w:p>
    <w:p w14:paraId="00000093"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Black communities are rarely the authors of preservation policy. Outsider-driven designations, zoning ordinances, and funding streams dominate, often leaving descendants and grassroots leaders to work within frameworks that were never designed for their needs. The result is predictable: fragmented support, policies that prioritize aesthetics over people, and preservation efforts that can unintentionally accelerate displacement. For too long, the rules that shape the future of Black heritage have been written elsewhere.</w:t>
      </w:r>
    </w:p>
    <w:p w14:paraId="00000094" w14:textId="1F2BE71E"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Cooperative Heritage Community (CHC) framework imagines a different possibility: heritage preservation shaped by and for Black communities themselves. Drawing inspiration from Monica White</w:t>
      </w:r>
      <w:r w:rsidR="002B27FD" w:rsidRPr="006C1E51">
        <w:rPr>
          <w:rFonts w:ascii="Times New Roman" w:hAnsi="Times New Roman" w:cs="Times New Roman"/>
          <w:sz w:val="24"/>
          <w:szCs w:val="24"/>
        </w:rPr>
        <w:t>’</w:t>
      </w:r>
      <w:r w:rsidRPr="006C1E51">
        <w:rPr>
          <w:rFonts w:ascii="Times New Roman" w:hAnsi="Times New Roman" w:cs="Times New Roman"/>
          <w:sz w:val="24"/>
          <w:szCs w:val="24"/>
        </w:rPr>
        <w:t>s framework of Collective Agricultural Cooperative Responsibility (CACR)—where collective production, mutual aid, shared governance, and political education enabled Black farmers to achieve stability and self-determination—CHC applies those same mechanisms to the realm of cultural heritage. Instead of relying on external definitions of “character” or “integrity” applied to historic districts with a curator’s touch (or standards and expectations), CHCs envision commons-based policies and cooperative mechanisms that center multiple voices, living communities, and collective stewardship.</w:t>
      </w:r>
    </w:p>
    <w:p w14:paraId="00000095"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These mechanisms materialize in tangible ways that allow communities to protect and benefit from their heritage. While each community should define its own priorities, several functions have proven effective in practice:</w:t>
      </w:r>
    </w:p>
    <w:p w14:paraId="00000096" w14:textId="2CCED2D4" w:rsidR="0006233B" w:rsidRPr="006C1E51" w:rsidRDefault="00C5531F" w:rsidP="00775270">
      <w:pPr>
        <w:numPr>
          <w:ilvl w:val="0"/>
          <w:numId w:val="2"/>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u w:val="single"/>
        </w:rPr>
        <w:lastRenderedPageBreak/>
        <w:t>Shared Preservation Services</w:t>
      </w:r>
      <w:r w:rsidRPr="006C1E51">
        <w:rPr>
          <w:rFonts w:ascii="Times New Roman" w:hAnsi="Times New Roman" w:cs="Times New Roman"/>
          <w:sz w:val="24"/>
          <w:szCs w:val="24"/>
        </w:rPr>
        <w:t xml:space="preserve"> – cooperative contracting or pooled maintenance networks for cemeteries, churches, and historic homes;</w:t>
      </w:r>
      <w:r w:rsidR="000B67C0" w:rsidRPr="006C1E51">
        <w:rPr>
          <w:rFonts w:ascii="Times New Roman" w:hAnsi="Times New Roman" w:cs="Times New Roman"/>
          <w:sz w:val="24"/>
          <w:szCs w:val="24"/>
        </w:rPr>
        <w:t xml:space="preserve"> creating</w:t>
      </w:r>
      <w:r w:rsidRPr="006C1E51">
        <w:rPr>
          <w:rFonts w:ascii="Times New Roman" w:hAnsi="Times New Roman" w:cs="Times New Roman"/>
          <w:sz w:val="24"/>
          <w:szCs w:val="24"/>
        </w:rPr>
        <w:t xml:space="preserve"> community archives; </w:t>
      </w:r>
      <w:r w:rsidR="000B67C0" w:rsidRPr="006C1E51">
        <w:rPr>
          <w:rFonts w:ascii="Times New Roman" w:hAnsi="Times New Roman" w:cs="Times New Roman"/>
          <w:sz w:val="24"/>
          <w:szCs w:val="24"/>
        </w:rPr>
        <w:t xml:space="preserve">developing </w:t>
      </w:r>
      <w:r w:rsidRPr="006C1E51">
        <w:rPr>
          <w:rFonts w:ascii="Times New Roman" w:hAnsi="Times New Roman" w:cs="Times New Roman"/>
          <w:sz w:val="24"/>
          <w:szCs w:val="24"/>
        </w:rPr>
        <w:t>historic site consortiums</w:t>
      </w:r>
      <w:r w:rsidR="000B67C0" w:rsidRPr="006C1E51">
        <w:rPr>
          <w:rFonts w:ascii="Times New Roman" w:hAnsi="Times New Roman" w:cs="Times New Roman"/>
          <w:sz w:val="24"/>
          <w:szCs w:val="24"/>
        </w:rPr>
        <w:t>; nurturing a pool of community or volunteer experts who can complete grant applications, tax credit applications and nation register nominations</w:t>
      </w:r>
      <w:r w:rsidR="009E5727" w:rsidRPr="006C1E51">
        <w:rPr>
          <w:rFonts w:ascii="Times New Roman" w:hAnsi="Times New Roman" w:cs="Times New Roman"/>
          <w:sz w:val="24"/>
          <w:szCs w:val="24"/>
        </w:rPr>
        <w:t xml:space="preserve">; administrative staff to provide </w:t>
      </w:r>
      <w:r w:rsidR="00FD6498" w:rsidRPr="006C1E51">
        <w:rPr>
          <w:rFonts w:ascii="Times New Roman" w:hAnsi="Times New Roman" w:cs="Times New Roman"/>
          <w:sz w:val="24"/>
          <w:szCs w:val="24"/>
        </w:rPr>
        <w:t>back-office</w:t>
      </w:r>
      <w:r w:rsidR="009E5727" w:rsidRPr="006C1E51">
        <w:rPr>
          <w:rFonts w:ascii="Times New Roman" w:hAnsi="Times New Roman" w:cs="Times New Roman"/>
          <w:sz w:val="24"/>
          <w:szCs w:val="24"/>
        </w:rPr>
        <w:t xml:space="preserve"> support (accounting, legal, marketing, etc.)</w:t>
      </w:r>
    </w:p>
    <w:p w14:paraId="00000097" w14:textId="0682FF05" w:rsidR="0006233B" w:rsidRPr="006C1E51" w:rsidRDefault="00C5531F" w:rsidP="00775270">
      <w:pPr>
        <w:numPr>
          <w:ilvl w:val="0"/>
          <w:numId w:val="2"/>
        </w:numPr>
        <w:spacing w:line="480" w:lineRule="auto"/>
        <w:rPr>
          <w:rFonts w:ascii="Times New Roman" w:hAnsi="Times New Roman" w:cs="Times New Roman"/>
          <w:sz w:val="24"/>
          <w:szCs w:val="24"/>
        </w:rPr>
      </w:pPr>
      <w:r w:rsidRPr="006C1E51">
        <w:rPr>
          <w:rFonts w:ascii="Times New Roman" w:hAnsi="Times New Roman" w:cs="Times New Roman"/>
          <w:sz w:val="24"/>
          <w:szCs w:val="24"/>
          <w:u w:val="single"/>
        </w:rPr>
        <w:t>Revolving Heritage Funds / Pooled Financing</w:t>
      </w:r>
      <w:r w:rsidR="00F50E4B" w:rsidRPr="006C1E51">
        <w:rPr>
          <w:rFonts w:ascii="Times New Roman" w:hAnsi="Times New Roman" w:cs="Times New Roman"/>
          <w:sz w:val="24"/>
          <w:szCs w:val="24"/>
        </w:rPr>
        <w:t xml:space="preserve">: </w:t>
      </w:r>
      <w:r w:rsidRPr="006C1E51">
        <w:rPr>
          <w:rFonts w:ascii="Times New Roman" w:hAnsi="Times New Roman" w:cs="Times New Roman"/>
          <w:sz w:val="24"/>
          <w:szCs w:val="24"/>
        </w:rPr>
        <w:t>community-managed microgrant or loan programs that recycle capital from preservation projects back into local hands, creating neighborhood-level preservation solutions.</w:t>
      </w:r>
    </w:p>
    <w:p w14:paraId="00000098" w14:textId="4B6386A5" w:rsidR="0006233B" w:rsidRPr="006C1E51" w:rsidRDefault="00C5531F" w:rsidP="00775270">
      <w:pPr>
        <w:numPr>
          <w:ilvl w:val="0"/>
          <w:numId w:val="2"/>
        </w:numPr>
        <w:spacing w:line="480" w:lineRule="auto"/>
        <w:rPr>
          <w:rFonts w:ascii="Times New Roman" w:hAnsi="Times New Roman" w:cs="Times New Roman"/>
          <w:sz w:val="24"/>
          <w:szCs w:val="24"/>
        </w:rPr>
      </w:pPr>
      <w:r w:rsidRPr="006C1E51">
        <w:rPr>
          <w:rFonts w:ascii="Times New Roman" w:hAnsi="Times New Roman" w:cs="Times New Roman"/>
          <w:sz w:val="24"/>
          <w:szCs w:val="24"/>
          <w:u w:val="single"/>
        </w:rPr>
        <w:t>Heritage Apprenticeships</w:t>
      </w:r>
      <w:r w:rsidR="00F50E4B" w:rsidRPr="006C1E51">
        <w:rPr>
          <w:rFonts w:ascii="Times New Roman" w:hAnsi="Times New Roman" w:cs="Times New Roman"/>
          <w:sz w:val="24"/>
          <w:szCs w:val="24"/>
        </w:rPr>
        <w:t xml:space="preserve">: </w:t>
      </w:r>
      <w:r w:rsidRPr="006C1E51">
        <w:rPr>
          <w:rFonts w:ascii="Times New Roman" w:hAnsi="Times New Roman" w:cs="Times New Roman"/>
          <w:sz w:val="24"/>
          <w:szCs w:val="24"/>
        </w:rPr>
        <w:t>workforce development initiatives that train residents/students/etc. in the trades, storytelling, and interpretation tied to their own heritage sites.</w:t>
      </w:r>
    </w:p>
    <w:p w14:paraId="00000099" w14:textId="5A9BE7EB" w:rsidR="0006233B" w:rsidRPr="006C1E51" w:rsidRDefault="00C5531F" w:rsidP="00775270">
      <w:pPr>
        <w:numPr>
          <w:ilvl w:val="0"/>
          <w:numId w:val="2"/>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u w:val="single"/>
        </w:rPr>
        <w:t>Shared Governance Networks</w:t>
      </w:r>
      <w:r w:rsidR="00F50E4B" w:rsidRPr="006C1E51">
        <w:rPr>
          <w:rFonts w:ascii="Times New Roman" w:hAnsi="Times New Roman" w:cs="Times New Roman"/>
          <w:sz w:val="24"/>
          <w:szCs w:val="24"/>
        </w:rPr>
        <w:t xml:space="preserve">: </w:t>
      </w:r>
      <w:r w:rsidRPr="006C1E51">
        <w:rPr>
          <w:rFonts w:ascii="Times New Roman" w:hAnsi="Times New Roman" w:cs="Times New Roman"/>
          <w:sz w:val="24"/>
          <w:szCs w:val="24"/>
        </w:rPr>
        <w:t>collaborative approaches that address the shortage of leadership within small organizations by sharing board capacity, offering joint governance training, and developing intergenerational leadership pipelines that sustain community institutions over time.</w:t>
      </w:r>
    </w:p>
    <w:p w14:paraId="0000009A" w14:textId="433DFE7A"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By pooling costs, sharing resources, and establishing cooperative governance, communities can position themselves to achieve the legal, financial, and social stability—or the organizational infrastructure—necessary to sustain heritage places for generations. In this way, CHCs extend the cooperative ethos that sustained agricultural and mutual-aid traditions into the field of heritage—transforming preservation from reactive caretaking into proactive self-determination and community wealth-</w:t>
      </w:r>
      <w:r w:rsidR="00FD6498" w:rsidRPr="006C1E51">
        <w:rPr>
          <w:rFonts w:ascii="Times New Roman" w:hAnsi="Times New Roman" w:cs="Times New Roman"/>
          <w:sz w:val="24"/>
          <w:szCs w:val="24"/>
        </w:rPr>
        <w:t>building. ¹</w:t>
      </w:r>
    </w:p>
    <w:p w14:paraId="0000009B" w14:textId="6FA9F47E"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This vision grows out of the lived struggles of people I know. Yvette Young, a descendant of Congo Mander, a formerly enslaved African in Kent County, Maryland, is </w:t>
      </w:r>
      <w:r w:rsidRPr="006C1E51">
        <w:rPr>
          <w:rFonts w:ascii="Times New Roman" w:hAnsi="Times New Roman" w:cs="Times New Roman"/>
          <w:sz w:val="24"/>
          <w:szCs w:val="24"/>
        </w:rPr>
        <w:lastRenderedPageBreak/>
        <w:t>restoring her family’s nineteenth-century home into a museum of rural Black heritage. Carolyn Brooks is working to preserve the Coleman School, a Rosenwald School that was a site of Black education and resilience—where she studied alongside my grandfather and other relatives. Clay Washington is sustaining Kennard High School as a cultural and educational anchor, the only high school for Black students in Queen Anne’s County, where Clay himself once attended. Catherine Boyer carries the weight of stewardship at Mt. Zion Church in Still Pond, balancing historic preservation with the spiritual life of a congregation organized by her ancestors and mine in 1870. I am working directly with each of these projects, and each of these individuals embodies what “for us, by us” means in practice: fighting for continuity with limited resources, often in isolation, and carrying burdens that could be lightened through cooperative strategies.</w:t>
      </w:r>
    </w:p>
    <w:p w14:paraId="0000009C"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CHC philosophy provides a new language for this work, seeking to reframe preservation from maintaining “character,” which too often used to describe streetscapes attractive to outsiders, to maintaining community continuity. Continuity means more than paint colors or design guidelines for historic windows; it means families passing on land, churches surviving as centers of faith, schools sustained as anchors of memory, and cemeteries protected as sacred landscapes. A cooperative heritage district, imagined through CHCs, would write policies that reflect these values: collective ownership agreements, anti-displacement covenants, pooled stewardship endowments, and community-led design standards rooted in cultural resilience rather than market appeal, created and enforced by the community.</w:t>
      </w:r>
    </w:p>
    <w:p w14:paraId="0000009D" w14:textId="77777777" w:rsidR="0006233B" w:rsidRPr="006C1E51" w:rsidRDefault="00C5531F" w:rsidP="00775270">
      <w:pPr>
        <w:pStyle w:val="Heading3"/>
      </w:pPr>
      <w:bookmarkStart w:id="57" w:name="_6iv1jrtxcrr9" w:colFirst="0" w:colLast="0"/>
      <w:bookmarkStart w:id="58" w:name="_Toc220011095"/>
      <w:bookmarkEnd w:id="57"/>
      <w:r w:rsidRPr="006C1E51">
        <w:t>III. Heritage Communities of Practice (HCoPs)</w:t>
      </w:r>
      <w:bookmarkEnd w:id="58"/>
    </w:p>
    <w:p w14:paraId="0000009E" w14:textId="601B9766"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concept of Communities of Practice (CoPs), introduced by Jean Lave and Etienne Wenger, describes groups of people who share a common concern or passion and deepen their knowledge through regular interaction. CoPs are not simply social groups; they are communities </w:t>
      </w:r>
      <w:r w:rsidRPr="006C1E51">
        <w:rPr>
          <w:rFonts w:ascii="Times New Roman" w:hAnsi="Times New Roman" w:cs="Times New Roman"/>
          <w:sz w:val="24"/>
          <w:szCs w:val="24"/>
        </w:rPr>
        <w:lastRenderedPageBreak/>
        <w:t>bound by practice—joint activity, knowledge-sharing, and mutual engagement that shape both individuals and the collective.</w:t>
      </w:r>
    </w:p>
    <w:p w14:paraId="0000009F" w14:textId="66157A96"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Building on this foundation, scholars such as Betsy Bradley and Jacky Shin have explored the potential of CoPs in heritage work. Bradley frames CoPs as collections of people who, through shared endeavor, develop ways of doing things, roles, language, and power relations. Like Wenger and others emphasize for such groups, </w:t>
      </w:r>
      <w:r w:rsidR="000B67C0" w:rsidRPr="006C1E51">
        <w:rPr>
          <w:rFonts w:ascii="Times New Roman" w:hAnsi="Times New Roman" w:cs="Times New Roman"/>
          <w:sz w:val="24"/>
          <w:szCs w:val="24"/>
        </w:rPr>
        <w:t>Betsy Bradley</w:t>
      </w:r>
      <w:r w:rsidRPr="006C1E51">
        <w:rPr>
          <w:rFonts w:ascii="Times New Roman" w:hAnsi="Times New Roman" w:cs="Times New Roman"/>
          <w:sz w:val="24"/>
          <w:szCs w:val="24"/>
        </w:rPr>
        <w:t xml:space="preserve"> identifies three structural elements at the core of every CoP: domain (a shared area of inquiry or joint enterprise), community (the relationships and mutual engagement that sustain the group), and practice (the repertoire of tools, knowledge, and stories co-produced by members). Importantly, Bradley highlights the concept of “thinking together,” which underscores the power of collective learning and mutual performance. Rather than knowledge being transferred like an object, it is recreated in the process of working together. Applied to heritage, this means that descendant knowledge, professional expertise, and lived experience interact dynamically to produce new practices and shared values.</w:t>
      </w:r>
    </w:p>
    <w:p w14:paraId="000000A0" w14:textId="591A4B9F" w:rsidR="0006233B" w:rsidRPr="006C1E51" w:rsidRDefault="00C5531F" w:rsidP="00775270">
      <w:pPr>
        <w:spacing w:before="240" w:after="240" w:line="480" w:lineRule="auto"/>
        <w:ind w:firstLine="720"/>
        <w:rPr>
          <w:rFonts w:ascii="Times New Roman" w:hAnsi="Times New Roman" w:cs="Times New Roman"/>
          <w:i/>
          <w:iCs/>
          <w:sz w:val="24"/>
          <w:szCs w:val="24"/>
        </w:rPr>
      </w:pPr>
      <w:r w:rsidRPr="006C1E51">
        <w:rPr>
          <w:rFonts w:ascii="Times New Roman" w:hAnsi="Times New Roman" w:cs="Times New Roman"/>
          <w:sz w:val="24"/>
          <w:szCs w:val="24"/>
        </w:rPr>
        <w:t>Bradley suggests that a Heritage Community of Practice (HCoP) emerges when diverse groups—heritage professionals, government officials, and community members—commit to “thinking together” for the advancement of heritage work. In this model, expertise is decentralized: academics and consultants contribute technical knowledge, but descendant communities and practitioners rooted in place define the collective agenda. HCoPs emphasize inclusivity, fairness, and accessibility, often recasting the specialized language of preservation into plain speech so that everyone can meaningfully participate. They also interrogate existing practices to determine whether they support community wellbeing, challenging the rigid hierarchies embedded in what Laurajane Smith calls the Authorized Heritage Discourse.</w:t>
      </w:r>
    </w:p>
    <w:p w14:paraId="000000A1" w14:textId="6B7757AC"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Jacky Shin</w:t>
      </w:r>
      <w:r w:rsidR="000B67C0" w:rsidRPr="006C1E51">
        <w:rPr>
          <w:rFonts w:ascii="Times New Roman" w:hAnsi="Times New Roman" w:cs="Times New Roman"/>
          <w:sz w:val="24"/>
          <w:szCs w:val="24"/>
        </w:rPr>
        <w:t xml:space="preserve"> </w:t>
      </w:r>
      <w:r w:rsidRPr="006C1E51">
        <w:rPr>
          <w:rFonts w:ascii="Times New Roman" w:hAnsi="Times New Roman" w:cs="Times New Roman"/>
          <w:sz w:val="24"/>
          <w:szCs w:val="24"/>
        </w:rPr>
        <w:t>pushes this argument further, emphasizing that HCoPs must prioritize inclusivity and respect the autonomy of underrepresented communities. She highlights the right to privacy—ensuring that communities are not pressured to share or display aspects of their heritage against their will. By minimizing hierarchies in knowledge production, HCoPs open pathways for shared authority, consent, and equitable participation.</w:t>
      </w:r>
    </w:p>
    <w:p w14:paraId="000000A2"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Like Shin and Bradley, I see HCoPs as a critical intervention in preservation practice. But my approach extends their concept by integrating cooperative economic thought. Heritage cannot rely solely on shared narratives; it must also cultivate shared ownership, shared investment, and shared returns. This is where the Cooperative Heritage Community (CHC) model emerges as both an evolution of and a complement to the HCoP framework. CHCs treat heritage not only as knowledge or memory but also as a set of assets that communities can cooperatively manage. In this sense, heritage communities of practice do more than </w:t>
      </w:r>
      <w:r w:rsidRPr="006C1E51">
        <w:rPr>
          <w:rFonts w:ascii="Times New Roman" w:hAnsi="Times New Roman" w:cs="Times New Roman"/>
          <w:i/>
          <w:iCs/>
          <w:sz w:val="24"/>
          <w:szCs w:val="24"/>
        </w:rPr>
        <w:t>think together</w:t>
      </w:r>
      <w:r w:rsidRPr="006C1E51">
        <w:rPr>
          <w:rFonts w:ascii="Times New Roman" w:hAnsi="Times New Roman" w:cs="Times New Roman"/>
          <w:sz w:val="24"/>
          <w:szCs w:val="24"/>
        </w:rPr>
        <w:t>—they pool resources together, plan together, and build stability together.</w:t>
      </w:r>
    </w:p>
    <w:p w14:paraId="000000A3" w14:textId="360D2C8A"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By grounding CoP theory in cooperative economics, CHCs transform collective learning into collective infrastructure. The result is a practice of preservation that produces not just knowledge, but continuity, equity, and wellbeing—ensuring that the stewardship of Black heritage remains a lived, communal act rather than a policy aspiration.</w:t>
      </w:r>
    </w:p>
    <w:p w14:paraId="000000A4" w14:textId="152BEEE0" w:rsidR="0006233B" w:rsidRPr="006C1E51" w:rsidRDefault="00C5531F" w:rsidP="00775270">
      <w:pPr>
        <w:pStyle w:val="Heading2"/>
        <w:spacing w:line="480" w:lineRule="auto"/>
        <w:rPr>
          <w:rFonts w:ascii="Times New Roman" w:hAnsi="Times New Roman" w:cs="Times New Roman"/>
        </w:rPr>
      </w:pPr>
      <w:bookmarkStart w:id="59" w:name="_depilyhn6m5t" w:colFirst="0" w:colLast="0"/>
      <w:bookmarkStart w:id="60" w:name="_Toc220011096"/>
      <w:bookmarkEnd w:id="59"/>
      <w:r w:rsidRPr="006C1E51">
        <w:rPr>
          <w:rFonts w:ascii="Times New Roman" w:hAnsi="Times New Roman" w:cs="Times New Roman"/>
        </w:rPr>
        <w:t>Reclaiming Preservation as Cooperative Practice: Storytelling to Shared Prosperity</w:t>
      </w:r>
      <w:bookmarkEnd w:id="60"/>
    </w:p>
    <w:p w14:paraId="000000A5" w14:textId="6683A442" w:rsidR="0006233B" w:rsidRPr="006C1E51" w:rsidRDefault="00C5531F" w:rsidP="00775270">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Black communities on Maryland’s Eastern Shore have long embodied the ethic of “making a way out of no way,” transforming marginal spaces—the bottoms, the necks, and the hollows—into sustaining communities shaped by land and water. This imaginative capacity is itself a form of heritage practice, a testament to how survival, culture, and creativity </w:t>
      </w:r>
      <w:r w:rsidR="00DA4DD5" w:rsidRPr="006C1E51">
        <w:rPr>
          <w:rFonts w:ascii="Times New Roman" w:hAnsi="Times New Roman" w:cs="Times New Roman"/>
          <w:sz w:val="24"/>
          <w:szCs w:val="24"/>
        </w:rPr>
        <w:t xml:space="preserve">intertwine. </w:t>
      </w:r>
      <w:r w:rsidR="00DA4DD5" w:rsidRPr="006C1E51">
        <w:rPr>
          <w:rFonts w:ascii="Times New Roman" w:hAnsi="Times New Roman" w:cs="Times New Roman"/>
          <w:sz w:val="24"/>
          <w:szCs w:val="24"/>
        </w:rPr>
        <w:lastRenderedPageBreak/>
        <w:t>It</w:t>
      </w:r>
      <w:r w:rsidRPr="006C1E51">
        <w:rPr>
          <w:rFonts w:ascii="Times New Roman" w:hAnsi="Times New Roman" w:cs="Times New Roman"/>
          <w:sz w:val="24"/>
          <w:szCs w:val="24"/>
        </w:rPr>
        <w:t xml:space="preserve"> is in this enduring ingenuity that</w:t>
      </w:r>
      <w:r w:rsidR="00FD6498" w:rsidRPr="006C1E51">
        <w:rPr>
          <w:rFonts w:ascii="Times New Roman" w:hAnsi="Times New Roman" w:cs="Times New Roman"/>
          <w:sz w:val="24"/>
          <w:szCs w:val="24"/>
        </w:rPr>
        <w:t xml:space="preserve"> theories of</w:t>
      </w:r>
      <w:r w:rsidRPr="006C1E51">
        <w:rPr>
          <w:rFonts w:ascii="Times New Roman" w:hAnsi="Times New Roman" w:cs="Times New Roman"/>
          <w:sz w:val="24"/>
          <w:szCs w:val="24"/>
        </w:rPr>
        <w:t xml:space="preserve"> Heritage Communities of Practice (HCoPs) and cooperative economics converge</w:t>
      </w:r>
      <w:r w:rsidR="00FD6498" w:rsidRPr="006C1E51">
        <w:rPr>
          <w:rFonts w:ascii="Times New Roman" w:hAnsi="Times New Roman" w:cs="Times New Roman"/>
          <w:sz w:val="24"/>
          <w:szCs w:val="24"/>
        </w:rPr>
        <w:t>.</w:t>
      </w:r>
      <w:r w:rsidRPr="006C1E51">
        <w:rPr>
          <w:rFonts w:ascii="Times New Roman" w:hAnsi="Times New Roman" w:cs="Times New Roman"/>
          <w:sz w:val="24"/>
          <w:szCs w:val="24"/>
        </w:rPr>
        <w:t xml:space="preserve"> </w:t>
      </w:r>
      <w:r w:rsidR="00FD6498" w:rsidRPr="006C1E51">
        <w:rPr>
          <w:rFonts w:ascii="Times New Roman" w:hAnsi="Times New Roman" w:cs="Times New Roman"/>
          <w:sz w:val="24"/>
          <w:szCs w:val="24"/>
        </w:rPr>
        <w:t>O</w:t>
      </w:r>
      <w:r w:rsidRPr="006C1E51">
        <w:rPr>
          <w:rFonts w:ascii="Times New Roman" w:hAnsi="Times New Roman" w:cs="Times New Roman"/>
          <w:sz w:val="24"/>
          <w:szCs w:val="24"/>
        </w:rPr>
        <w:t>ne centered on shared knowledge and mutual engagement, the other on shared ownership and collective impact. Together, they provide the scaffolding for communities to both think together and act together in sustaining their cultural and economic life.</w:t>
      </w:r>
    </w:p>
    <w:p w14:paraId="000000A6" w14:textId="74D021B4"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Yet, much of mainstream heritage work stops short of this intersection. Preservation and heritage tourism often mirror the broader economic development mindset—treating cities and towns like theme parks. Measured by visitor counts, hotel revenue, and Instagram appeal, Eastern Shore’s small historic towns are marketed as quaint destinations—wrapped in slogans about sense of place and reimagined as pristine escapes just two hours from the nation’s largest cities. </w:t>
      </w:r>
      <w:r w:rsidR="000B67C0" w:rsidRPr="006C1E51">
        <w:rPr>
          <w:rFonts w:ascii="Times New Roman" w:hAnsi="Times New Roman" w:cs="Times New Roman"/>
          <w:sz w:val="24"/>
          <w:szCs w:val="24"/>
        </w:rPr>
        <w:t xml:space="preserve">“If you </w:t>
      </w:r>
      <w:r w:rsidR="009E5727" w:rsidRPr="006C1E51">
        <w:rPr>
          <w:rFonts w:ascii="Times New Roman" w:hAnsi="Times New Roman" w:cs="Times New Roman"/>
          <w:sz w:val="24"/>
          <w:szCs w:val="24"/>
        </w:rPr>
        <w:t>could</w:t>
      </w:r>
      <w:r w:rsidR="000B67C0" w:rsidRPr="006C1E51">
        <w:rPr>
          <w:rFonts w:ascii="Times New Roman" w:hAnsi="Times New Roman" w:cs="Times New Roman"/>
          <w:sz w:val="24"/>
          <w:szCs w:val="24"/>
        </w:rPr>
        <w:t xml:space="preserve"> </w:t>
      </w:r>
      <w:r w:rsidRPr="006C1E51">
        <w:rPr>
          <w:rFonts w:ascii="Times New Roman" w:hAnsi="Times New Roman" w:cs="Times New Roman"/>
          <w:sz w:val="24"/>
          <w:szCs w:val="24"/>
        </w:rPr>
        <w:t>work anywhere, you would live here” offers the bait of belonging, but the hook reveals how selectively that belonging is extended—an invitation crafted for newcomers, not for the locals still struggling to stay. Eastern Shore heritage stories paint a picture of a landscape frozen in time, but the tidewater way of life struggles to sustain generations as it once did.</w:t>
      </w:r>
      <w:r w:rsidR="00744F7C" w:rsidRPr="006C1E51">
        <w:rPr>
          <w:rStyle w:val="FootnoteReference"/>
          <w:rFonts w:ascii="Times New Roman" w:hAnsi="Times New Roman" w:cs="Times New Roman"/>
          <w:sz w:val="24"/>
          <w:szCs w:val="24"/>
        </w:rPr>
        <w:footnoteReference w:id="94"/>
      </w:r>
    </w:p>
    <w:p w14:paraId="000000A7"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Cooperative Heritage Community framework seeks to flip this equation. It began as a philosophy for my own family and community—if it can serve us, it can serve others. Communities are not branding exercises; they are human habitats where people live, worship, </w:t>
      </w:r>
      <w:r w:rsidRPr="006C1E51">
        <w:rPr>
          <w:rFonts w:ascii="Times New Roman" w:hAnsi="Times New Roman" w:cs="Times New Roman"/>
          <w:sz w:val="24"/>
          <w:szCs w:val="24"/>
        </w:rPr>
        <w:lastRenderedPageBreak/>
        <w:t>learn, and build families. In this view, the true measure of preservation’s success is not how many outsiders visit, but how well residents thrive. Authenticity is not determined by how old or well-preserved a place is, but by how people experience it.</w:t>
      </w:r>
    </w:p>
    <w:p w14:paraId="2E3AA0C5" w14:textId="4A1F04D5" w:rsidR="005D72D0"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For CHCs, this shift is foundational. Heritage work cannot settle for storytelling alone, especially when stories are told primarily for outside consumption—it should bring people together. Heritage work should seek tangible quality-of-life outcomes such as safe and affordable housing, thriving schools, vibrant churches, opportunities for ownership, and the capacity to remain rooted in place. When heritage work prioritizes stability, belonging, and continuity, the beauty that outsiders seek emerges naturally, not as a product but as a reflection of community well-being—a </w:t>
      </w:r>
      <w:r w:rsidRPr="006C1E51">
        <w:rPr>
          <w:rFonts w:ascii="Times New Roman" w:hAnsi="Times New Roman" w:cs="Times New Roman"/>
          <w:i/>
          <w:iCs/>
          <w:sz w:val="24"/>
          <w:szCs w:val="24"/>
        </w:rPr>
        <w:t>real</w:t>
      </w:r>
      <w:r w:rsidRPr="006C1E51">
        <w:rPr>
          <w:rFonts w:ascii="Times New Roman" w:hAnsi="Times New Roman" w:cs="Times New Roman"/>
          <w:sz w:val="24"/>
          <w:szCs w:val="24"/>
        </w:rPr>
        <w:t xml:space="preserve"> place.</w:t>
      </w:r>
      <w:r w:rsidR="005D72D0" w:rsidRPr="006C1E51">
        <w:rPr>
          <w:rFonts w:ascii="Times New Roman" w:hAnsi="Times New Roman" w:cs="Times New Roman"/>
          <w:sz w:val="24"/>
          <w:szCs w:val="24"/>
        </w:rPr>
        <w:t xml:space="preserve"> </w:t>
      </w:r>
    </w:p>
    <w:p w14:paraId="2C35B054" w14:textId="5A88A821" w:rsidR="008657A6" w:rsidRPr="006C1E51" w:rsidRDefault="008657A6"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Andreas Wesener’s work on authenticity helps clarify why this shift matters for Cooperative Heritage Communities. Studying the Jewellery Quarter in Birmingham, he shows that people experience authenticity not only through origin or preservation of the past, but through continuity and actuality—through how places evolve, how processes endure, and how change is lived rather than erased.</w:t>
      </w:r>
      <w:r w:rsidRPr="006C1E51">
        <w:rPr>
          <w:rStyle w:val="FootnoteReference"/>
          <w:rFonts w:ascii="Times New Roman" w:hAnsi="Times New Roman" w:cs="Times New Roman"/>
          <w:sz w:val="24"/>
          <w:szCs w:val="24"/>
        </w:rPr>
        <w:footnoteReference w:id="95"/>
      </w:r>
      <w:r w:rsidRPr="006C1E51">
        <w:rPr>
          <w:rFonts w:ascii="Times New Roman" w:hAnsi="Times New Roman" w:cs="Times New Roman"/>
          <w:sz w:val="24"/>
          <w:szCs w:val="24"/>
        </w:rPr>
        <w:t xml:space="preserve"> Importantly, many respondents associated authenticity with ongoing use, adaptation, and even the arrival of new people, arguing that a place ceases to feel real when it is frozen in time. Wesener distinguishes between origin, which often prioritizes objects and memory, and continuity, which emphasizes processes such as traditional work practices, reuse of buildings, and everyday activity. This insight reinforces the CHC premise that heritage value does not reside solely in storytelling or appearance, but in whether a place </w:t>
      </w:r>
      <w:r w:rsidRPr="006C1E51">
        <w:rPr>
          <w:rFonts w:ascii="Times New Roman" w:hAnsi="Times New Roman" w:cs="Times New Roman"/>
          <w:sz w:val="24"/>
          <w:szCs w:val="24"/>
        </w:rPr>
        <w:lastRenderedPageBreak/>
        <w:t>continues to function as a site of life, care, and opportunity. When heritage work supports housing stability, institutional vitality, and the ability for people to remain rooted, authenticity emerges through lived continuity rather than curated narrative—a real place shaped by use, not display.</w:t>
      </w:r>
    </w:p>
    <w:p w14:paraId="54812D02" w14:textId="108EBBCB" w:rsidR="00D642FE" w:rsidRPr="006C1E51" w:rsidRDefault="00D642FE"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Tubman’s Blackwater offers a clear example of this tension</w:t>
      </w:r>
      <w:r w:rsidR="008657A6" w:rsidRPr="006C1E51">
        <w:rPr>
          <w:rFonts w:ascii="Times New Roman" w:hAnsi="Times New Roman" w:cs="Times New Roman"/>
          <w:sz w:val="24"/>
          <w:szCs w:val="24"/>
        </w:rPr>
        <w:t xml:space="preserve"> as well</w:t>
      </w:r>
      <w:r w:rsidRPr="006C1E51">
        <w:rPr>
          <w:rFonts w:ascii="Times New Roman" w:hAnsi="Times New Roman" w:cs="Times New Roman"/>
          <w:sz w:val="24"/>
          <w:szCs w:val="24"/>
        </w:rPr>
        <w:t>. Public historian Perri Muldoon shows how the Harriet Tubman Underground Railroad National Historical Park and the Blackwater National Wildlife Refuge navigate a narrow line between presenting a landscape that appears unchanged and confronting the reality that the land has shifted in fundamental ways—ecologically, economically, and socially.</w:t>
      </w:r>
      <w:r w:rsidRPr="006C1E51">
        <w:rPr>
          <w:rStyle w:val="FootnoteReference"/>
          <w:rFonts w:ascii="Times New Roman" w:hAnsi="Times New Roman" w:cs="Times New Roman"/>
          <w:sz w:val="24"/>
          <w:szCs w:val="24"/>
        </w:rPr>
        <w:footnoteReference w:id="96"/>
      </w:r>
      <w:r w:rsidRPr="006C1E51">
        <w:rPr>
          <w:rFonts w:ascii="Times New Roman" w:hAnsi="Times New Roman" w:cs="Times New Roman"/>
          <w:sz w:val="24"/>
          <w:szCs w:val="24"/>
        </w:rPr>
        <w:t xml:space="preserve"> Although the marshes and waterways may look familiar, biodiversity, labor systems, population patterns, and everyday uses of the land have all changed over time. Muldoon traces how wetlands shaped by extraction, drainage, and later conservation now function differently than they did in Tubman’s era, even as public interpretation often frames them as timeless. She also documents how labor tied to marsh work, timbering, and seasonal survival has been restructured or erased, and how Black communities have been displaced, migrated, or excluded through land-use policy and conservation regimes. Her central intervention is clear: landscapes endure not by remaining static, but by absorbing change. When heritage work treats land as frozen in time, it risks obscuring those transformations and severing Tubman’s story from the realities of people who continue to live and work in that landscape.</w:t>
      </w:r>
    </w:p>
    <w:p w14:paraId="000000A8" w14:textId="0B68F4BA" w:rsidR="0006233B" w:rsidRPr="006C1E51" w:rsidRDefault="00C15877"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My own experience in historic preservation on Maryland’s Eastern Shore reinforces this tension. I work in communities where I cannot separate story from lived experience because my family’s roots are embedded in the same landscapes I am asked to interpret. Even when places appear stable, I am constantly aware of how patterns of land ownership, housing, labor, and community life have shifted beneath the surface. The CHC framework embraces this awareness rather than smoothing it over. It resists heritage practices that privilege visual continuity alone and instead insists that preservation account for how people inhabit, adapt to, and sustain places over time. In this way, heritage work remains grounded in real landscapes—ones shaped not only by memory, but by ongoing change and human life.</w:t>
      </w:r>
    </w:p>
    <w:p w14:paraId="000000A9" w14:textId="79BF0BC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Reclaiming preservation as cooperative practice means redefining heritage not as an end in itself, but as a shared means of prosperity. It calls for shifting preservation from a field that extracts stories to one that circulates benefit. This approach treats heritage as a commons—a shared inheritance of memory, land, and culture stewarded for collective good. In this view, preservation is not simply the act of saving what remains, but the process of strengthening what endures: relationships, belonging, stewardship, and continuity.</w:t>
      </w:r>
    </w:p>
    <w:p w14:paraId="000000AA" w14:textId="75B02029"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This cooperative mindset also moves heritage work out of disciplinary silos and into alignment with the systems that shape daily life. It invites partnerships among preservationists, social workers, housing organizations, and workforce programs to stack funding sources and build holistic strategies for community well-being. By connecting cultural heritage to social infrastructure, this approach positions Black communities–-in particular—to realize </w:t>
      </w:r>
      <w:r w:rsidR="008657A6" w:rsidRPr="006C1E51">
        <w:rPr>
          <w:rFonts w:ascii="Times New Roman" w:hAnsi="Times New Roman" w:cs="Times New Roman"/>
          <w:sz w:val="24"/>
          <w:szCs w:val="24"/>
        </w:rPr>
        <w:t>t</w:t>
      </w:r>
      <w:r w:rsidRPr="006C1E51">
        <w:rPr>
          <w:rFonts w:ascii="Times New Roman" w:hAnsi="Times New Roman" w:cs="Times New Roman"/>
          <w:sz w:val="24"/>
          <w:szCs w:val="24"/>
        </w:rPr>
        <w:t>he full potential of their heritage as a foundation for stability, dignity, and quality of life</w:t>
      </w:r>
      <w:r w:rsidR="008657A6" w:rsidRPr="006C1E51">
        <w:rPr>
          <w:rFonts w:ascii="Times New Roman" w:hAnsi="Times New Roman" w:cs="Times New Roman"/>
          <w:sz w:val="24"/>
          <w:szCs w:val="24"/>
        </w:rPr>
        <w:t>—rooted in authentic lived experience.</w:t>
      </w:r>
    </w:p>
    <w:p w14:paraId="000000AB"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Ultimately, reclaiming preservation in this way moves the field beyond nostalgia toward shared well-being, where heritage becomes both a public good and a source of community resilience. The principles that follow translate this philosophy into practice—grounding preservation in the everyday acts of cooperation, care, and creativity that have sustained Black communities for generations.</w:t>
      </w:r>
    </w:p>
    <w:p w14:paraId="000000AC" w14:textId="5C15EDDC" w:rsidR="0006233B" w:rsidRPr="006C1E51" w:rsidRDefault="006F6771" w:rsidP="00775270">
      <w:pPr>
        <w:pStyle w:val="Heading2"/>
        <w:spacing w:line="480" w:lineRule="auto"/>
        <w:rPr>
          <w:rFonts w:ascii="Times New Roman" w:hAnsi="Times New Roman" w:cs="Times New Roman"/>
        </w:rPr>
      </w:pPr>
      <w:bookmarkStart w:id="61" w:name="_u8oi1gh97zqt" w:colFirst="0" w:colLast="0"/>
      <w:bookmarkStart w:id="62" w:name="_Toc220011097"/>
      <w:bookmarkEnd w:id="61"/>
      <w:r w:rsidRPr="006C1E51">
        <w:rPr>
          <w:rFonts w:ascii="Times New Roman" w:hAnsi="Times New Roman" w:cs="Times New Roman"/>
        </w:rPr>
        <w:t>P</w:t>
      </w:r>
      <w:r w:rsidR="00C5531F" w:rsidRPr="006C1E51">
        <w:rPr>
          <w:rFonts w:ascii="Times New Roman" w:hAnsi="Times New Roman" w:cs="Times New Roman"/>
        </w:rPr>
        <w:t>rinciples of CHCs</w:t>
      </w:r>
      <w:bookmarkEnd w:id="62"/>
    </w:p>
    <w:p w14:paraId="000000AD" w14:textId="2E59CF9F"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implementation of the Cooperative Heritage Community (CHC) framework is not a technical exercise—it is a cultural one. It does not begin with organizational charters or bylaws, but with principles that reflect how a community understands itself, its history, and its collective potential. From these principles—Shared Experience, Collective Ownership, Democratic Governance, Cooperative Resource Development, Equity and Justice Orientation, and Shared Language and Practice—emerge the partnerships, investments, and opportunities that give cooperative heritage life</w:t>
      </w:r>
      <w:r w:rsidR="001F7E90" w:rsidRPr="006C1E51">
        <w:rPr>
          <w:rFonts w:ascii="Times New Roman" w:hAnsi="Times New Roman" w:cs="Times New Roman"/>
          <w:sz w:val="24"/>
          <w:szCs w:val="24"/>
        </w:rPr>
        <w:t xml:space="preserve"> (see the table below for an overview of the conceptual roots of CHC principles, illustrating the convergence of cooperative economics traditions and heritage communities of practice.)</w:t>
      </w:r>
    </w:p>
    <w:p w14:paraId="03DC7519" w14:textId="1D971330" w:rsidR="00331AD0" w:rsidRPr="006C1E51" w:rsidRDefault="00C5531F" w:rsidP="002A7ACB">
      <w:pPr>
        <w:spacing w:before="240" w:after="240" w:line="480" w:lineRule="auto"/>
        <w:ind w:firstLine="720"/>
        <w:rPr>
          <w:rFonts w:ascii="Times New Roman" w:hAnsi="Times New Roman" w:cs="Times New Roman"/>
          <w:sz w:val="24"/>
          <w:szCs w:val="24"/>
        </w:rPr>
        <w:sectPr w:rsidR="00331AD0" w:rsidRPr="006C1E51" w:rsidSect="00045AE1">
          <w:headerReference w:type="default" r:id="rId27"/>
          <w:footerReference w:type="default" r:id="rId28"/>
          <w:pgSz w:w="12240" w:h="15840"/>
          <w:pgMar w:top="1440" w:right="1440" w:bottom="1440" w:left="1440" w:header="720" w:footer="720" w:gutter="0"/>
          <w:pgNumType w:start="1"/>
          <w:cols w:space="720"/>
          <w:docGrid w:linePitch="299"/>
        </w:sectPr>
      </w:pPr>
      <w:r w:rsidRPr="006C1E51">
        <w:rPr>
          <w:rFonts w:ascii="Times New Roman" w:hAnsi="Times New Roman" w:cs="Times New Roman"/>
          <w:sz w:val="24"/>
          <w:szCs w:val="24"/>
        </w:rPr>
        <w:t xml:space="preserve">Groups implementing the CHC framework can evolve through cycles of exploration, conversation, experimentation, and reflection. The process is organic and relational, in which communities begin by affirming who they are, building relationships of trust, testing cooperative ideas, and slowly weaving those practices into everyday life. </w:t>
      </w:r>
      <w:r w:rsidR="00535D27" w:rsidRPr="006C1E51">
        <w:rPr>
          <w:rFonts w:ascii="Times New Roman" w:hAnsi="Times New Roman" w:cs="Times New Roman"/>
          <w:sz w:val="24"/>
          <w:szCs w:val="24"/>
        </w:rPr>
        <w:t xml:space="preserve">Taken together, the following Tables 1–3 demonstrate the development of Cooperative Heritage Community (CHC) principles from their conceptual roots in </w:t>
      </w:r>
      <w:r w:rsidR="00535D27" w:rsidRPr="006C1E51">
        <w:rPr>
          <w:rFonts w:ascii="Times New Roman" w:hAnsi="Times New Roman" w:cs="Times New Roman"/>
          <w:i/>
          <w:iCs/>
          <w:sz w:val="24"/>
          <w:szCs w:val="24"/>
        </w:rPr>
        <w:t>Cooperative Economics</w:t>
      </w:r>
      <w:r w:rsidR="00535D27" w:rsidRPr="006C1E51">
        <w:rPr>
          <w:rFonts w:ascii="Times New Roman" w:hAnsi="Times New Roman" w:cs="Times New Roman"/>
          <w:sz w:val="24"/>
          <w:szCs w:val="24"/>
        </w:rPr>
        <w:t xml:space="preserve"> and C</w:t>
      </w:r>
      <w:r w:rsidR="00535D27" w:rsidRPr="006C1E51">
        <w:rPr>
          <w:rFonts w:ascii="Times New Roman" w:hAnsi="Times New Roman" w:cs="Times New Roman"/>
          <w:i/>
          <w:iCs/>
          <w:sz w:val="24"/>
          <w:szCs w:val="24"/>
        </w:rPr>
        <w:t>ommunity of Practice</w:t>
      </w:r>
      <w:r w:rsidR="00535D27" w:rsidRPr="006C1E51">
        <w:rPr>
          <w:rFonts w:ascii="Times New Roman" w:hAnsi="Times New Roman" w:cs="Times New Roman"/>
          <w:sz w:val="24"/>
          <w:szCs w:val="24"/>
        </w:rPr>
        <w:t xml:space="preserve"> theory</w:t>
      </w:r>
      <w:r w:rsidR="007E5955" w:rsidRPr="006C1E51">
        <w:rPr>
          <w:rFonts w:ascii="Times New Roman" w:hAnsi="Times New Roman" w:cs="Times New Roman"/>
          <w:sz w:val="24"/>
          <w:szCs w:val="24"/>
        </w:rPr>
        <w:t xml:space="preserve"> </w:t>
      </w:r>
      <w:r w:rsidR="00535D27" w:rsidRPr="006C1E51">
        <w:rPr>
          <w:rFonts w:ascii="Times New Roman" w:hAnsi="Times New Roman" w:cs="Times New Roman"/>
          <w:sz w:val="24"/>
          <w:szCs w:val="24"/>
        </w:rPr>
        <w:t>to their application in real-time community practice.</w:t>
      </w:r>
    </w:p>
    <w:p w14:paraId="26B4DF04" w14:textId="77777777" w:rsidR="00331AD0" w:rsidRPr="006C1E51" w:rsidRDefault="00331AD0" w:rsidP="00F50E4B">
      <w:pPr>
        <w:pStyle w:val="Caption"/>
      </w:pPr>
    </w:p>
    <w:p w14:paraId="46A523FF" w14:textId="73687CE0" w:rsidR="00331AD0" w:rsidRPr="006C1E51" w:rsidRDefault="001F7E90" w:rsidP="00F50E4B">
      <w:pPr>
        <w:pStyle w:val="Caption"/>
      </w:pPr>
      <w:r w:rsidRPr="006C1E51">
        <w:t xml:space="preserve">Table </w:t>
      </w:r>
      <w:r w:rsidRPr="006C1E51">
        <w:fldChar w:fldCharType="begin"/>
      </w:r>
      <w:r w:rsidRPr="006C1E51">
        <w:instrText xml:space="preserve"> SEQ Table \* ARABIC </w:instrText>
      </w:r>
      <w:r w:rsidRPr="006C1E51">
        <w:fldChar w:fldCharType="separate"/>
      </w:r>
      <w:r w:rsidR="00535D27" w:rsidRPr="006C1E51">
        <w:rPr>
          <w:noProof/>
        </w:rPr>
        <w:t>1</w:t>
      </w:r>
      <w:r w:rsidRPr="006C1E51">
        <w:fldChar w:fldCharType="end"/>
      </w:r>
      <w:r w:rsidRPr="006C1E51">
        <w:t xml:space="preserve">. </w:t>
      </w:r>
      <w:r w:rsidR="00535D27" w:rsidRPr="006C1E51">
        <w:t>Conceptual roots of Cooperative Heritage Community (CHC) principles, showing how African American cooperative economic traditions inform each principle.</w:t>
      </w:r>
    </w:p>
    <w:tbl>
      <w:tblPr>
        <w:tblW w:w="13184" w:type="dxa"/>
        <w:tblLook w:val="04A0" w:firstRow="1" w:lastRow="0" w:firstColumn="1" w:lastColumn="0" w:noHBand="0" w:noVBand="1"/>
      </w:tblPr>
      <w:tblGrid>
        <w:gridCol w:w="1469"/>
        <w:gridCol w:w="2358"/>
        <w:gridCol w:w="1649"/>
        <w:gridCol w:w="1637"/>
        <w:gridCol w:w="1918"/>
        <w:gridCol w:w="2203"/>
        <w:gridCol w:w="1950"/>
      </w:tblGrid>
      <w:tr w:rsidR="00535D27" w:rsidRPr="006C1E51" w14:paraId="4F73B1C3" w14:textId="77777777" w:rsidTr="005B7266">
        <w:trPr>
          <w:trHeight w:val="952"/>
        </w:trPr>
        <w:tc>
          <w:tcPr>
            <w:tcW w:w="1459" w:type="dxa"/>
            <w:tcBorders>
              <w:top w:val="single" w:sz="4" w:space="0" w:color="auto"/>
              <w:left w:val="single" w:sz="4" w:space="0" w:color="auto"/>
              <w:bottom w:val="single" w:sz="4" w:space="0" w:color="auto"/>
              <w:right w:val="single" w:sz="4" w:space="0" w:color="auto"/>
            </w:tcBorders>
            <w:shd w:val="clear" w:color="000000" w:fill="ADADAD"/>
            <w:hideMark/>
          </w:tcPr>
          <w:p w14:paraId="2CB2E7A4"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CHC Framework Layers</w:t>
            </w:r>
          </w:p>
        </w:tc>
        <w:tc>
          <w:tcPr>
            <w:tcW w:w="2361" w:type="dxa"/>
            <w:tcBorders>
              <w:top w:val="single" w:sz="4" w:space="0" w:color="auto"/>
              <w:left w:val="nil"/>
              <w:bottom w:val="single" w:sz="4" w:space="0" w:color="auto"/>
              <w:right w:val="single" w:sz="4" w:space="0" w:color="auto"/>
            </w:tcBorders>
            <w:shd w:val="clear" w:color="000000" w:fill="ADADAD"/>
            <w:hideMark/>
          </w:tcPr>
          <w:p w14:paraId="666D448F"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Get Rooted In Shared Experience</w:t>
            </w:r>
          </w:p>
        </w:tc>
        <w:tc>
          <w:tcPr>
            <w:tcW w:w="1650" w:type="dxa"/>
            <w:tcBorders>
              <w:top w:val="single" w:sz="4" w:space="0" w:color="auto"/>
              <w:left w:val="nil"/>
              <w:bottom w:val="single" w:sz="4" w:space="0" w:color="auto"/>
              <w:right w:val="single" w:sz="4" w:space="0" w:color="auto"/>
            </w:tcBorders>
            <w:shd w:val="clear" w:color="000000" w:fill="ADADAD"/>
            <w:hideMark/>
          </w:tcPr>
          <w:p w14:paraId="08EC14D1"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Building Collective Ownership</w:t>
            </w:r>
          </w:p>
        </w:tc>
        <w:tc>
          <w:tcPr>
            <w:tcW w:w="1637" w:type="dxa"/>
            <w:tcBorders>
              <w:top w:val="single" w:sz="4" w:space="0" w:color="auto"/>
              <w:left w:val="nil"/>
              <w:bottom w:val="single" w:sz="4" w:space="0" w:color="auto"/>
              <w:right w:val="single" w:sz="4" w:space="0" w:color="auto"/>
            </w:tcBorders>
            <w:shd w:val="clear" w:color="000000" w:fill="ADADAD"/>
            <w:hideMark/>
          </w:tcPr>
          <w:p w14:paraId="63E75ADC"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Exercising Democratic Governance</w:t>
            </w:r>
          </w:p>
        </w:tc>
        <w:tc>
          <w:tcPr>
            <w:tcW w:w="1920" w:type="dxa"/>
            <w:tcBorders>
              <w:top w:val="single" w:sz="4" w:space="0" w:color="auto"/>
              <w:left w:val="nil"/>
              <w:bottom w:val="single" w:sz="4" w:space="0" w:color="auto"/>
              <w:right w:val="single" w:sz="4" w:space="0" w:color="auto"/>
            </w:tcBorders>
            <w:shd w:val="clear" w:color="000000" w:fill="ADADAD"/>
            <w:hideMark/>
          </w:tcPr>
          <w:p w14:paraId="3D9587F5"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Community Resource Building</w:t>
            </w:r>
          </w:p>
        </w:tc>
        <w:tc>
          <w:tcPr>
            <w:tcW w:w="2205" w:type="dxa"/>
            <w:tcBorders>
              <w:top w:val="single" w:sz="4" w:space="0" w:color="auto"/>
              <w:left w:val="nil"/>
              <w:bottom w:val="single" w:sz="4" w:space="0" w:color="auto"/>
              <w:right w:val="single" w:sz="4" w:space="0" w:color="auto"/>
            </w:tcBorders>
            <w:shd w:val="clear" w:color="000000" w:fill="ADADAD"/>
            <w:hideMark/>
          </w:tcPr>
          <w:p w14:paraId="2C8D9A45" w14:textId="4BCADEE3"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Equity and Justice-</w:t>
            </w:r>
            <w:r w:rsidR="007E5955" w:rsidRPr="006C1E51">
              <w:rPr>
                <w:rFonts w:ascii="Times New Roman" w:eastAsia="Times New Roman" w:hAnsi="Times New Roman" w:cs="Times New Roman"/>
                <w:b/>
                <w:bCs/>
                <w:color w:val="000000"/>
                <w:sz w:val="24"/>
                <w:szCs w:val="24"/>
                <w:lang w:val="en-US"/>
              </w:rPr>
              <w:t>Orientation</w:t>
            </w:r>
          </w:p>
        </w:tc>
        <w:tc>
          <w:tcPr>
            <w:tcW w:w="1952" w:type="dxa"/>
            <w:tcBorders>
              <w:top w:val="single" w:sz="4" w:space="0" w:color="auto"/>
              <w:left w:val="nil"/>
              <w:bottom w:val="single" w:sz="4" w:space="0" w:color="auto"/>
              <w:right w:val="single" w:sz="4" w:space="0" w:color="auto"/>
            </w:tcBorders>
            <w:shd w:val="clear" w:color="000000" w:fill="ADADAD"/>
            <w:hideMark/>
          </w:tcPr>
          <w:p w14:paraId="4F6421DB"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Developing Shared Language &amp; Trust</w:t>
            </w:r>
          </w:p>
        </w:tc>
      </w:tr>
      <w:tr w:rsidR="00535D27" w:rsidRPr="006C1E51" w14:paraId="46AFF14D" w14:textId="77777777" w:rsidTr="005B7266">
        <w:trPr>
          <w:trHeight w:val="2863"/>
        </w:trPr>
        <w:tc>
          <w:tcPr>
            <w:tcW w:w="1459" w:type="dxa"/>
            <w:tcBorders>
              <w:top w:val="nil"/>
              <w:left w:val="single" w:sz="4" w:space="0" w:color="auto"/>
              <w:bottom w:val="single" w:sz="4" w:space="0" w:color="auto"/>
              <w:right w:val="single" w:sz="4" w:space="0" w:color="auto"/>
            </w:tcBorders>
            <w:shd w:val="clear" w:color="000000" w:fill="E8E8E8"/>
            <w:hideMark/>
          </w:tcPr>
          <w:p w14:paraId="24777290"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Cooperative Economics Root</w:t>
            </w:r>
          </w:p>
        </w:tc>
        <w:tc>
          <w:tcPr>
            <w:tcW w:w="2361" w:type="dxa"/>
            <w:tcBorders>
              <w:top w:val="nil"/>
              <w:left w:val="nil"/>
              <w:bottom w:val="single" w:sz="4" w:space="0" w:color="auto"/>
              <w:right w:val="single" w:sz="4" w:space="0" w:color="auto"/>
            </w:tcBorders>
            <w:hideMark/>
          </w:tcPr>
          <w:p w14:paraId="1572C74C"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Mutual aid societies formed from common struggle against exclusion; shared labor traditions (barn raisings, church building); collective survival strategies under Jim Crow</w:t>
            </w:r>
          </w:p>
        </w:tc>
        <w:tc>
          <w:tcPr>
            <w:tcW w:w="1650" w:type="dxa"/>
            <w:tcBorders>
              <w:top w:val="nil"/>
              <w:left w:val="nil"/>
              <w:bottom w:val="single" w:sz="4" w:space="0" w:color="auto"/>
              <w:right w:val="single" w:sz="4" w:space="0" w:color="auto"/>
            </w:tcBorders>
            <w:hideMark/>
          </w:tcPr>
          <w:p w14:paraId="6F545EF0"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Co-op ownership models (land co-ops, credit unions, burial societies); pooled resources for community benefit; legacy of communal land holding in freedom colonies</w:t>
            </w:r>
          </w:p>
        </w:tc>
        <w:tc>
          <w:tcPr>
            <w:tcW w:w="1637" w:type="dxa"/>
            <w:tcBorders>
              <w:top w:val="nil"/>
              <w:left w:val="nil"/>
              <w:bottom w:val="single" w:sz="4" w:space="0" w:color="auto"/>
              <w:right w:val="single" w:sz="4" w:space="0" w:color="auto"/>
            </w:tcBorders>
            <w:hideMark/>
          </w:tcPr>
          <w:p w14:paraId="12CAFD19"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One member, one vote in co-ops; rotating leadership in fraternal orders; participatory decision-making in mutual aid societies; community accountability structures</w:t>
            </w:r>
          </w:p>
        </w:tc>
        <w:tc>
          <w:tcPr>
            <w:tcW w:w="1920" w:type="dxa"/>
            <w:tcBorders>
              <w:top w:val="nil"/>
              <w:left w:val="nil"/>
              <w:bottom w:val="single" w:sz="4" w:space="0" w:color="auto"/>
              <w:right w:val="single" w:sz="4" w:space="0" w:color="auto"/>
            </w:tcBorders>
            <w:hideMark/>
          </w:tcPr>
          <w:p w14:paraId="105C6EBE"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Rotating credit associations; pooled labor and materials; cooperative purchasing (Colored Farmers' Alliance); collective investment in institutions (churches, schools)</w:t>
            </w:r>
          </w:p>
        </w:tc>
        <w:tc>
          <w:tcPr>
            <w:tcW w:w="2205" w:type="dxa"/>
            <w:tcBorders>
              <w:top w:val="nil"/>
              <w:left w:val="nil"/>
              <w:bottom w:val="single" w:sz="4" w:space="0" w:color="auto"/>
              <w:right w:val="single" w:sz="4" w:space="0" w:color="auto"/>
            </w:tcBorders>
            <w:hideMark/>
          </w:tcPr>
          <w:p w14:paraId="45112D83"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Response to systemic exclusion from banks, insurance, land ownership; redistribution of resources within Black communities; economic self-determination as resistance</w:t>
            </w:r>
          </w:p>
        </w:tc>
        <w:tc>
          <w:tcPr>
            <w:tcW w:w="1952" w:type="dxa"/>
            <w:tcBorders>
              <w:top w:val="nil"/>
              <w:left w:val="nil"/>
              <w:bottom w:val="single" w:sz="4" w:space="0" w:color="auto"/>
              <w:right w:val="single" w:sz="4" w:space="0" w:color="auto"/>
            </w:tcBorders>
            <w:hideMark/>
          </w:tcPr>
          <w:p w14:paraId="3F0BE729"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Common vocabulary from church, lodge, and civic organizing; trust built through repeated reciprocal exchange; cultural grounding in Black spatial imaginary</w:t>
            </w:r>
          </w:p>
        </w:tc>
      </w:tr>
    </w:tbl>
    <w:p w14:paraId="6145C511" w14:textId="77777777" w:rsidR="00535D27" w:rsidRPr="006C1E51" w:rsidRDefault="00535D27" w:rsidP="00775270">
      <w:pPr>
        <w:spacing w:before="240" w:after="240" w:line="480" w:lineRule="auto"/>
        <w:rPr>
          <w:rFonts w:ascii="Times New Roman" w:hAnsi="Times New Roman" w:cs="Times New Roman"/>
          <w:sz w:val="24"/>
          <w:szCs w:val="24"/>
        </w:rPr>
      </w:pPr>
    </w:p>
    <w:p w14:paraId="1630240F" w14:textId="77777777" w:rsidR="00535D27" w:rsidRPr="006C1E51" w:rsidRDefault="00535D27" w:rsidP="00775270">
      <w:pPr>
        <w:spacing w:before="240" w:after="240" w:line="480" w:lineRule="auto"/>
        <w:rPr>
          <w:rFonts w:ascii="Times New Roman" w:hAnsi="Times New Roman" w:cs="Times New Roman"/>
          <w:sz w:val="24"/>
          <w:szCs w:val="24"/>
        </w:rPr>
      </w:pPr>
    </w:p>
    <w:p w14:paraId="7B7731EB" w14:textId="77777777" w:rsidR="00535D27" w:rsidRPr="006C1E51" w:rsidRDefault="00535D27" w:rsidP="00775270">
      <w:pPr>
        <w:spacing w:before="240" w:after="240" w:line="480" w:lineRule="auto"/>
        <w:rPr>
          <w:rFonts w:ascii="Times New Roman" w:hAnsi="Times New Roman" w:cs="Times New Roman"/>
          <w:sz w:val="24"/>
          <w:szCs w:val="24"/>
        </w:rPr>
      </w:pPr>
    </w:p>
    <w:p w14:paraId="2384C24A" w14:textId="77777777" w:rsidR="00535D27" w:rsidRPr="006C1E51" w:rsidRDefault="00535D27" w:rsidP="00775270">
      <w:pPr>
        <w:spacing w:before="240" w:after="240" w:line="480" w:lineRule="auto"/>
        <w:rPr>
          <w:rFonts w:ascii="Times New Roman" w:hAnsi="Times New Roman" w:cs="Times New Roman"/>
          <w:i/>
          <w:iCs/>
          <w:sz w:val="24"/>
          <w:szCs w:val="24"/>
        </w:rPr>
      </w:pPr>
    </w:p>
    <w:p w14:paraId="06AAA7C7" w14:textId="134ACC72" w:rsidR="00535D27" w:rsidRPr="006C1E51" w:rsidRDefault="00535D27" w:rsidP="00F50E4B">
      <w:pPr>
        <w:pStyle w:val="Caption"/>
      </w:pPr>
      <w:r w:rsidRPr="006C1E51">
        <w:t xml:space="preserve">Table </w:t>
      </w:r>
      <w:r w:rsidRPr="006C1E51">
        <w:fldChar w:fldCharType="begin"/>
      </w:r>
      <w:r w:rsidRPr="006C1E51">
        <w:instrText xml:space="preserve"> SEQ Table \* ARABIC </w:instrText>
      </w:r>
      <w:r w:rsidRPr="006C1E51">
        <w:fldChar w:fldCharType="separate"/>
      </w:r>
      <w:r w:rsidRPr="006C1E51">
        <w:rPr>
          <w:noProof/>
        </w:rPr>
        <w:t>2</w:t>
      </w:r>
      <w:r w:rsidRPr="006C1E51">
        <w:fldChar w:fldCharType="end"/>
      </w:r>
      <w:r w:rsidRPr="006C1E51">
        <w:t>. Conceptual roots of Cooperative Heritage Community (CHC) principles, showing how African American cooperative economic traditions inform each principle.</w:t>
      </w:r>
    </w:p>
    <w:tbl>
      <w:tblPr>
        <w:tblW w:w="13131" w:type="dxa"/>
        <w:tblLook w:val="04A0" w:firstRow="1" w:lastRow="0" w:firstColumn="1" w:lastColumn="0" w:noHBand="0" w:noVBand="1"/>
      </w:tblPr>
      <w:tblGrid>
        <w:gridCol w:w="1590"/>
        <w:gridCol w:w="2172"/>
        <w:gridCol w:w="1615"/>
        <w:gridCol w:w="1976"/>
        <w:gridCol w:w="1894"/>
        <w:gridCol w:w="2047"/>
        <w:gridCol w:w="1837"/>
      </w:tblGrid>
      <w:tr w:rsidR="00535D27" w:rsidRPr="006C1E51" w14:paraId="1E418A91" w14:textId="77777777" w:rsidTr="005B7266">
        <w:trPr>
          <w:trHeight w:val="947"/>
        </w:trPr>
        <w:tc>
          <w:tcPr>
            <w:tcW w:w="1538" w:type="dxa"/>
            <w:tcBorders>
              <w:top w:val="single" w:sz="4" w:space="0" w:color="auto"/>
              <w:left w:val="single" w:sz="4" w:space="0" w:color="auto"/>
              <w:bottom w:val="single" w:sz="4" w:space="0" w:color="auto"/>
              <w:right w:val="single" w:sz="4" w:space="0" w:color="auto"/>
            </w:tcBorders>
            <w:shd w:val="clear" w:color="000000" w:fill="ADADAD"/>
            <w:hideMark/>
          </w:tcPr>
          <w:p w14:paraId="372DACD5"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CHC Framework Layers</w:t>
            </w:r>
          </w:p>
        </w:tc>
        <w:tc>
          <w:tcPr>
            <w:tcW w:w="2217" w:type="dxa"/>
            <w:tcBorders>
              <w:top w:val="single" w:sz="4" w:space="0" w:color="auto"/>
              <w:left w:val="nil"/>
              <w:bottom w:val="single" w:sz="4" w:space="0" w:color="auto"/>
              <w:right w:val="single" w:sz="4" w:space="0" w:color="auto"/>
            </w:tcBorders>
            <w:shd w:val="clear" w:color="000000" w:fill="ADADAD"/>
            <w:hideMark/>
          </w:tcPr>
          <w:p w14:paraId="6E4C366D"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Get Rooted In Shared Experience</w:t>
            </w:r>
          </w:p>
        </w:tc>
        <w:tc>
          <w:tcPr>
            <w:tcW w:w="1621" w:type="dxa"/>
            <w:tcBorders>
              <w:top w:val="single" w:sz="4" w:space="0" w:color="auto"/>
              <w:left w:val="nil"/>
              <w:bottom w:val="single" w:sz="4" w:space="0" w:color="auto"/>
              <w:right w:val="single" w:sz="4" w:space="0" w:color="auto"/>
            </w:tcBorders>
            <w:shd w:val="clear" w:color="000000" w:fill="ADADAD"/>
            <w:hideMark/>
          </w:tcPr>
          <w:p w14:paraId="7CD0E5A3"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Building Collective Ownership</w:t>
            </w:r>
          </w:p>
        </w:tc>
        <w:tc>
          <w:tcPr>
            <w:tcW w:w="1911" w:type="dxa"/>
            <w:tcBorders>
              <w:top w:val="single" w:sz="4" w:space="0" w:color="auto"/>
              <w:left w:val="nil"/>
              <w:bottom w:val="single" w:sz="4" w:space="0" w:color="auto"/>
              <w:right w:val="single" w:sz="4" w:space="0" w:color="auto"/>
            </w:tcBorders>
            <w:shd w:val="clear" w:color="000000" w:fill="ADADAD"/>
            <w:hideMark/>
          </w:tcPr>
          <w:p w14:paraId="75068996"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Exercising Democratic Governance</w:t>
            </w:r>
          </w:p>
        </w:tc>
        <w:tc>
          <w:tcPr>
            <w:tcW w:w="1897" w:type="dxa"/>
            <w:tcBorders>
              <w:top w:val="single" w:sz="4" w:space="0" w:color="auto"/>
              <w:left w:val="nil"/>
              <w:bottom w:val="single" w:sz="4" w:space="0" w:color="auto"/>
              <w:right w:val="single" w:sz="4" w:space="0" w:color="auto"/>
            </w:tcBorders>
            <w:shd w:val="clear" w:color="000000" w:fill="ADADAD"/>
            <w:hideMark/>
          </w:tcPr>
          <w:p w14:paraId="16D92493"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Community Resource Building</w:t>
            </w:r>
          </w:p>
        </w:tc>
        <w:tc>
          <w:tcPr>
            <w:tcW w:w="2084" w:type="dxa"/>
            <w:tcBorders>
              <w:top w:val="single" w:sz="4" w:space="0" w:color="auto"/>
              <w:left w:val="nil"/>
              <w:bottom w:val="single" w:sz="4" w:space="0" w:color="auto"/>
              <w:right w:val="single" w:sz="4" w:space="0" w:color="auto"/>
            </w:tcBorders>
            <w:shd w:val="clear" w:color="000000" w:fill="ADADAD"/>
            <w:hideMark/>
          </w:tcPr>
          <w:p w14:paraId="235CD03B"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Equity and Justice-Based Outcomes</w:t>
            </w:r>
          </w:p>
        </w:tc>
        <w:tc>
          <w:tcPr>
            <w:tcW w:w="1863" w:type="dxa"/>
            <w:tcBorders>
              <w:top w:val="single" w:sz="4" w:space="0" w:color="auto"/>
              <w:left w:val="nil"/>
              <w:bottom w:val="single" w:sz="4" w:space="0" w:color="auto"/>
              <w:right w:val="single" w:sz="4" w:space="0" w:color="auto"/>
            </w:tcBorders>
            <w:shd w:val="clear" w:color="000000" w:fill="ADADAD"/>
            <w:hideMark/>
          </w:tcPr>
          <w:p w14:paraId="3AAD1D15"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Developing Shared Language &amp; Trust</w:t>
            </w:r>
          </w:p>
        </w:tc>
      </w:tr>
      <w:tr w:rsidR="00535D27" w:rsidRPr="006C1E51" w14:paraId="6447FA3B" w14:textId="77777777" w:rsidTr="005B7266">
        <w:trPr>
          <w:trHeight w:val="2842"/>
        </w:trPr>
        <w:tc>
          <w:tcPr>
            <w:tcW w:w="1538" w:type="dxa"/>
            <w:tcBorders>
              <w:top w:val="nil"/>
              <w:left w:val="single" w:sz="4" w:space="0" w:color="auto"/>
              <w:bottom w:val="single" w:sz="4" w:space="0" w:color="auto"/>
              <w:right w:val="single" w:sz="4" w:space="0" w:color="auto"/>
            </w:tcBorders>
            <w:shd w:val="clear" w:color="000000" w:fill="E8E8E8"/>
            <w:hideMark/>
          </w:tcPr>
          <w:p w14:paraId="536DB1A5"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Heritage Communities of Practice Root</w:t>
            </w:r>
          </w:p>
        </w:tc>
        <w:tc>
          <w:tcPr>
            <w:tcW w:w="2217" w:type="dxa"/>
            <w:tcBorders>
              <w:top w:val="nil"/>
              <w:left w:val="nil"/>
              <w:bottom w:val="single" w:sz="4" w:space="0" w:color="auto"/>
              <w:right w:val="single" w:sz="4" w:space="0" w:color="auto"/>
            </w:tcBorders>
            <w:hideMark/>
          </w:tcPr>
          <w:p w14:paraId="3244E008"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Joint enterprise and shared domain; communities learn together through practice; collective meaning-making around heritage sites</w:t>
            </w:r>
          </w:p>
        </w:tc>
        <w:tc>
          <w:tcPr>
            <w:tcW w:w="1621" w:type="dxa"/>
            <w:tcBorders>
              <w:top w:val="nil"/>
              <w:left w:val="nil"/>
              <w:bottom w:val="single" w:sz="4" w:space="0" w:color="auto"/>
              <w:right w:val="single" w:sz="4" w:space="0" w:color="auto"/>
            </w:tcBorders>
            <w:hideMark/>
          </w:tcPr>
          <w:p w14:paraId="17536BA0"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Collective repertoire of knowledge, stories, and practices; shared responsibility for heritage stewardship; co-produced interpretation</w:t>
            </w:r>
          </w:p>
        </w:tc>
        <w:tc>
          <w:tcPr>
            <w:tcW w:w="1911" w:type="dxa"/>
            <w:tcBorders>
              <w:top w:val="nil"/>
              <w:left w:val="nil"/>
              <w:bottom w:val="single" w:sz="4" w:space="0" w:color="auto"/>
              <w:right w:val="single" w:sz="4" w:space="0" w:color="auto"/>
            </w:tcBorders>
            <w:hideMark/>
          </w:tcPr>
          <w:p w14:paraId="76548EFF"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Mutual engagement across hierarchy; shared authority in knowledge production; minimizing expert/community divides; consent-based practice</w:t>
            </w:r>
          </w:p>
        </w:tc>
        <w:tc>
          <w:tcPr>
            <w:tcW w:w="1897" w:type="dxa"/>
            <w:tcBorders>
              <w:top w:val="nil"/>
              <w:left w:val="nil"/>
              <w:bottom w:val="single" w:sz="4" w:space="0" w:color="auto"/>
              <w:right w:val="single" w:sz="4" w:space="0" w:color="auto"/>
            </w:tcBorders>
            <w:hideMark/>
          </w:tcPr>
          <w:p w14:paraId="24FEBD7B"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Shared learning and skill-building; apprenticeship models; intergenerational knowledge transfer; collaborative capacity development</w:t>
            </w:r>
          </w:p>
        </w:tc>
        <w:tc>
          <w:tcPr>
            <w:tcW w:w="2084" w:type="dxa"/>
            <w:tcBorders>
              <w:top w:val="nil"/>
              <w:left w:val="nil"/>
              <w:bottom w:val="single" w:sz="4" w:space="0" w:color="auto"/>
              <w:right w:val="single" w:sz="4" w:space="0" w:color="auto"/>
            </w:tcBorders>
            <w:hideMark/>
          </w:tcPr>
          <w:p w14:paraId="5BB7E04A"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Challenging Authorized Heritage Discourse; centering marginalized voices; right to privacy and consent; inclusive knowledge production</w:t>
            </w:r>
          </w:p>
        </w:tc>
        <w:tc>
          <w:tcPr>
            <w:tcW w:w="1863" w:type="dxa"/>
            <w:tcBorders>
              <w:top w:val="nil"/>
              <w:left w:val="nil"/>
              <w:bottom w:val="single" w:sz="4" w:space="0" w:color="auto"/>
              <w:right w:val="single" w:sz="4" w:space="0" w:color="auto"/>
            </w:tcBorders>
            <w:hideMark/>
          </w:tcPr>
          <w:p w14:paraId="38245119"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Accessible language replacing jargon; "thinking together" as collective practice; shared interpretive frameworks; building trust through mutual engagement</w:t>
            </w:r>
          </w:p>
        </w:tc>
      </w:tr>
    </w:tbl>
    <w:p w14:paraId="30B82A98" w14:textId="77777777" w:rsidR="00535D27" w:rsidRPr="006C1E51" w:rsidRDefault="00535D27" w:rsidP="00775270">
      <w:pPr>
        <w:spacing w:before="240" w:after="240" w:line="480" w:lineRule="auto"/>
        <w:rPr>
          <w:rFonts w:ascii="Times New Roman" w:hAnsi="Times New Roman" w:cs="Times New Roman"/>
          <w:sz w:val="24"/>
          <w:szCs w:val="24"/>
        </w:rPr>
      </w:pPr>
    </w:p>
    <w:p w14:paraId="3F08D7E2" w14:textId="77777777" w:rsidR="00535D27" w:rsidRPr="006C1E51" w:rsidRDefault="00535D27" w:rsidP="00775270">
      <w:pPr>
        <w:spacing w:before="240" w:after="240" w:line="480" w:lineRule="auto"/>
        <w:rPr>
          <w:rFonts w:ascii="Times New Roman" w:hAnsi="Times New Roman" w:cs="Times New Roman"/>
          <w:sz w:val="24"/>
          <w:szCs w:val="24"/>
        </w:rPr>
      </w:pPr>
    </w:p>
    <w:p w14:paraId="5894B27F" w14:textId="77777777" w:rsidR="00535D27" w:rsidRPr="006C1E51" w:rsidRDefault="00535D27" w:rsidP="00775270">
      <w:pPr>
        <w:spacing w:before="240" w:after="240" w:line="480" w:lineRule="auto"/>
        <w:rPr>
          <w:rFonts w:ascii="Times New Roman" w:hAnsi="Times New Roman" w:cs="Times New Roman"/>
          <w:sz w:val="24"/>
          <w:szCs w:val="24"/>
        </w:rPr>
      </w:pPr>
    </w:p>
    <w:p w14:paraId="2191099E" w14:textId="55DB0579" w:rsidR="00535D27" w:rsidRPr="006C1E51" w:rsidRDefault="00535D27" w:rsidP="00F50E4B">
      <w:pPr>
        <w:pStyle w:val="Caption"/>
      </w:pPr>
      <w:r w:rsidRPr="006C1E51">
        <w:t xml:space="preserve">Table </w:t>
      </w:r>
      <w:r w:rsidRPr="006C1E51">
        <w:fldChar w:fldCharType="begin"/>
      </w:r>
      <w:r w:rsidRPr="006C1E51">
        <w:instrText xml:space="preserve"> SEQ Table \* ARABIC </w:instrText>
      </w:r>
      <w:r w:rsidRPr="006C1E51">
        <w:fldChar w:fldCharType="separate"/>
      </w:r>
      <w:r w:rsidRPr="006C1E51">
        <w:rPr>
          <w:noProof/>
        </w:rPr>
        <w:t>3</w:t>
      </w:r>
      <w:r w:rsidRPr="006C1E51">
        <w:fldChar w:fldCharType="end"/>
      </w:r>
      <w:r w:rsidRPr="006C1E51">
        <w:t>. Cooperative Heritage Community (CHC) principles in action, demonstrating how conceptual and theoretical foundations translate into real-time community practice and outcomes.</w:t>
      </w:r>
    </w:p>
    <w:tbl>
      <w:tblPr>
        <w:tblW w:w="13432" w:type="dxa"/>
        <w:tblLook w:val="04A0" w:firstRow="1" w:lastRow="0" w:firstColumn="1" w:lastColumn="0" w:noHBand="0" w:noVBand="1"/>
      </w:tblPr>
      <w:tblGrid>
        <w:gridCol w:w="1434"/>
        <w:gridCol w:w="2374"/>
        <w:gridCol w:w="1657"/>
        <w:gridCol w:w="1641"/>
        <w:gridCol w:w="2151"/>
        <w:gridCol w:w="2215"/>
        <w:gridCol w:w="1960"/>
      </w:tblGrid>
      <w:tr w:rsidR="00535D27" w:rsidRPr="006C1E51" w14:paraId="6B4320BF" w14:textId="77777777" w:rsidTr="00535D27">
        <w:trPr>
          <w:trHeight w:val="870"/>
        </w:trPr>
        <w:tc>
          <w:tcPr>
            <w:tcW w:w="1434" w:type="dxa"/>
            <w:tcBorders>
              <w:top w:val="single" w:sz="4" w:space="0" w:color="auto"/>
              <w:left w:val="single" w:sz="4" w:space="0" w:color="auto"/>
              <w:bottom w:val="single" w:sz="4" w:space="0" w:color="auto"/>
              <w:right w:val="single" w:sz="4" w:space="0" w:color="auto"/>
            </w:tcBorders>
            <w:shd w:val="clear" w:color="000000" w:fill="ADADAD"/>
            <w:hideMark/>
          </w:tcPr>
          <w:p w14:paraId="226DB1D7"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CHC Framework Layers</w:t>
            </w:r>
          </w:p>
        </w:tc>
        <w:tc>
          <w:tcPr>
            <w:tcW w:w="2374" w:type="dxa"/>
            <w:tcBorders>
              <w:top w:val="single" w:sz="4" w:space="0" w:color="auto"/>
              <w:left w:val="nil"/>
              <w:bottom w:val="single" w:sz="4" w:space="0" w:color="auto"/>
              <w:right w:val="single" w:sz="4" w:space="0" w:color="auto"/>
            </w:tcBorders>
            <w:shd w:val="clear" w:color="000000" w:fill="ADADAD"/>
            <w:hideMark/>
          </w:tcPr>
          <w:p w14:paraId="654C5893"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Get Rooted In Shared Experience</w:t>
            </w:r>
          </w:p>
        </w:tc>
        <w:tc>
          <w:tcPr>
            <w:tcW w:w="1657" w:type="dxa"/>
            <w:tcBorders>
              <w:top w:val="single" w:sz="4" w:space="0" w:color="auto"/>
              <w:left w:val="nil"/>
              <w:bottom w:val="single" w:sz="4" w:space="0" w:color="auto"/>
              <w:right w:val="single" w:sz="4" w:space="0" w:color="auto"/>
            </w:tcBorders>
            <w:shd w:val="clear" w:color="000000" w:fill="ADADAD"/>
            <w:hideMark/>
          </w:tcPr>
          <w:p w14:paraId="3CEEE694"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Building Collective Ownership</w:t>
            </w:r>
          </w:p>
        </w:tc>
        <w:tc>
          <w:tcPr>
            <w:tcW w:w="1641" w:type="dxa"/>
            <w:tcBorders>
              <w:top w:val="single" w:sz="4" w:space="0" w:color="auto"/>
              <w:left w:val="nil"/>
              <w:bottom w:val="single" w:sz="4" w:space="0" w:color="auto"/>
              <w:right w:val="single" w:sz="4" w:space="0" w:color="auto"/>
            </w:tcBorders>
            <w:shd w:val="clear" w:color="000000" w:fill="ADADAD"/>
            <w:hideMark/>
          </w:tcPr>
          <w:p w14:paraId="34109A2D"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Exercising Democratic Governance</w:t>
            </w:r>
          </w:p>
        </w:tc>
        <w:tc>
          <w:tcPr>
            <w:tcW w:w="2151" w:type="dxa"/>
            <w:tcBorders>
              <w:top w:val="single" w:sz="4" w:space="0" w:color="auto"/>
              <w:left w:val="nil"/>
              <w:bottom w:val="single" w:sz="4" w:space="0" w:color="auto"/>
              <w:right w:val="single" w:sz="4" w:space="0" w:color="auto"/>
            </w:tcBorders>
            <w:shd w:val="clear" w:color="000000" w:fill="ADADAD"/>
            <w:hideMark/>
          </w:tcPr>
          <w:p w14:paraId="7BF78517"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Community Resource Building</w:t>
            </w:r>
          </w:p>
        </w:tc>
        <w:tc>
          <w:tcPr>
            <w:tcW w:w="2215" w:type="dxa"/>
            <w:tcBorders>
              <w:top w:val="single" w:sz="4" w:space="0" w:color="auto"/>
              <w:left w:val="nil"/>
              <w:bottom w:val="single" w:sz="4" w:space="0" w:color="auto"/>
              <w:right w:val="single" w:sz="4" w:space="0" w:color="auto"/>
            </w:tcBorders>
            <w:shd w:val="clear" w:color="000000" w:fill="ADADAD"/>
            <w:hideMark/>
          </w:tcPr>
          <w:p w14:paraId="61B9ADE7"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Equity and Justice-Based Outcomes</w:t>
            </w:r>
          </w:p>
        </w:tc>
        <w:tc>
          <w:tcPr>
            <w:tcW w:w="1960" w:type="dxa"/>
            <w:tcBorders>
              <w:top w:val="single" w:sz="4" w:space="0" w:color="auto"/>
              <w:left w:val="nil"/>
              <w:bottom w:val="single" w:sz="4" w:space="0" w:color="auto"/>
              <w:right w:val="single" w:sz="4" w:space="0" w:color="auto"/>
            </w:tcBorders>
            <w:shd w:val="clear" w:color="000000" w:fill="ADADAD"/>
            <w:hideMark/>
          </w:tcPr>
          <w:p w14:paraId="2B515BFF"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Developing Shared Language &amp; Trust</w:t>
            </w:r>
          </w:p>
        </w:tc>
      </w:tr>
      <w:tr w:rsidR="00535D27" w:rsidRPr="006C1E51" w14:paraId="567A82DE" w14:textId="77777777" w:rsidTr="00535D27">
        <w:trPr>
          <w:trHeight w:val="3644"/>
        </w:trPr>
        <w:tc>
          <w:tcPr>
            <w:tcW w:w="1434" w:type="dxa"/>
            <w:tcBorders>
              <w:top w:val="nil"/>
              <w:left w:val="single" w:sz="4" w:space="0" w:color="auto"/>
              <w:bottom w:val="single" w:sz="4" w:space="0" w:color="auto"/>
              <w:right w:val="single" w:sz="4" w:space="0" w:color="auto"/>
            </w:tcBorders>
            <w:shd w:val="clear" w:color="000000" w:fill="E8E8E8"/>
            <w:hideMark/>
          </w:tcPr>
          <w:p w14:paraId="094C3ACC" w14:textId="77777777" w:rsidR="00535D27" w:rsidRPr="006C1E51" w:rsidRDefault="00535D27" w:rsidP="00FE75CC">
            <w:pPr>
              <w:spacing w:line="240" w:lineRule="auto"/>
              <w:jc w:val="center"/>
              <w:rPr>
                <w:rFonts w:ascii="Times New Roman" w:eastAsia="Times New Roman" w:hAnsi="Times New Roman" w:cs="Times New Roman"/>
                <w:b/>
                <w:bCs/>
                <w:color w:val="000000"/>
                <w:sz w:val="24"/>
                <w:szCs w:val="24"/>
                <w:lang w:val="en-US"/>
              </w:rPr>
            </w:pPr>
            <w:r w:rsidRPr="006C1E51">
              <w:rPr>
                <w:rFonts w:ascii="Times New Roman" w:eastAsia="Times New Roman" w:hAnsi="Times New Roman" w:cs="Times New Roman"/>
                <w:b/>
                <w:bCs/>
                <w:color w:val="000000"/>
                <w:sz w:val="24"/>
                <w:szCs w:val="24"/>
                <w:lang w:val="en-US"/>
              </w:rPr>
              <w:t>CHC Principle In Action</w:t>
            </w:r>
          </w:p>
        </w:tc>
        <w:tc>
          <w:tcPr>
            <w:tcW w:w="2374" w:type="dxa"/>
            <w:tcBorders>
              <w:top w:val="nil"/>
              <w:left w:val="nil"/>
              <w:bottom w:val="single" w:sz="4" w:space="0" w:color="auto"/>
              <w:right w:val="single" w:sz="4" w:space="0" w:color="auto"/>
            </w:tcBorders>
            <w:hideMark/>
          </w:tcPr>
          <w:p w14:paraId="4C785DE1"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Community members begin by walking the landscape together—cemeteries, churches, family land, roads—sharing memories, loss, and everyday use. This collective exploration produces a shared diagnosis of what is at risk and what matters most.</w:t>
            </w:r>
          </w:p>
        </w:tc>
        <w:tc>
          <w:tcPr>
            <w:tcW w:w="1657" w:type="dxa"/>
            <w:tcBorders>
              <w:top w:val="nil"/>
              <w:left w:val="nil"/>
              <w:bottom w:val="single" w:sz="4" w:space="0" w:color="auto"/>
              <w:right w:val="single" w:sz="4" w:space="0" w:color="auto"/>
            </w:tcBorders>
            <w:hideMark/>
          </w:tcPr>
          <w:p w14:paraId="40B65C4D"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the community shares responsibility for common assets through pooled fundraising, stewardship agreements, or community-governed funds that stabilize land without ownership consolidation.</w:t>
            </w:r>
          </w:p>
        </w:tc>
        <w:tc>
          <w:tcPr>
            <w:tcW w:w="1641" w:type="dxa"/>
            <w:tcBorders>
              <w:top w:val="nil"/>
              <w:left w:val="nil"/>
              <w:bottom w:val="single" w:sz="4" w:space="0" w:color="auto"/>
              <w:right w:val="single" w:sz="4" w:space="0" w:color="auto"/>
            </w:tcBorders>
            <w:hideMark/>
          </w:tcPr>
          <w:p w14:paraId="2EFFCE77"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Decisions are made through open meetings, rotating leadership, and consent-based agreements rather than top-down authority. Elders, descendants, and younger residents all participate in defining priorities.</w:t>
            </w:r>
          </w:p>
        </w:tc>
        <w:tc>
          <w:tcPr>
            <w:tcW w:w="2151" w:type="dxa"/>
            <w:tcBorders>
              <w:top w:val="nil"/>
              <w:left w:val="nil"/>
              <w:bottom w:val="single" w:sz="4" w:space="0" w:color="auto"/>
              <w:right w:val="single" w:sz="4" w:space="0" w:color="auto"/>
            </w:tcBorders>
            <w:hideMark/>
          </w:tcPr>
          <w:p w14:paraId="26A07290"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Skills, labor, and money are treated as community resources. Knowledge is shared through apprenticeship, intergenerational learning, and peer support; financial resources circulate through revolving funds or mutual aid rather than one-time grants, enabling continuity beyond a single project cycle.</w:t>
            </w:r>
          </w:p>
        </w:tc>
        <w:tc>
          <w:tcPr>
            <w:tcW w:w="2215" w:type="dxa"/>
            <w:tcBorders>
              <w:top w:val="nil"/>
              <w:left w:val="nil"/>
              <w:bottom w:val="single" w:sz="4" w:space="0" w:color="auto"/>
              <w:right w:val="single" w:sz="4" w:space="0" w:color="auto"/>
            </w:tcBorders>
            <w:hideMark/>
          </w:tcPr>
          <w:p w14:paraId="7457D527"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Heritage activity produces tangible community benefits rather than symbolic recognition alone. Outcomes include stabilized land ownership, prevention of displacement, compensated cultural labor, and reinvestment in community institutions.</w:t>
            </w:r>
          </w:p>
        </w:tc>
        <w:tc>
          <w:tcPr>
            <w:tcW w:w="1960" w:type="dxa"/>
            <w:tcBorders>
              <w:top w:val="nil"/>
              <w:left w:val="nil"/>
              <w:bottom w:val="single" w:sz="4" w:space="0" w:color="auto"/>
              <w:right w:val="single" w:sz="4" w:space="0" w:color="auto"/>
            </w:tcBorders>
            <w:hideMark/>
          </w:tcPr>
          <w:p w14:paraId="68992703" w14:textId="77777777" w:rsidR="00535D27" w:rsidRPr="006C1E51" w:rsidRDefault="00535D27" w:rsidP="00FE75CC">
            <w:pPr>
              <w:spacing w:line="240" w:lineRule="auto"/>
              <w:rPr>
                <w:rFonts w:ascii="Times New Roman" w:eastAsia="Times New Roman" w:hAnsi="Times New Roman" w:cs="Times New Roman"/>
                <w:color w:val="000000"/>
                <w:sz w:val="24"/>
                <w:szCs w:val="24"/>
                <w:lang w:val="en-US"/>
              </w:rPr>
            </w:pPr>
            <w:r w:rsidRPr="006C1E51">
              <w:rPr>
                <w:rFonts w:ascii="Times New Roman" w:eastAsia="Times New Roman" w:hAnsi="Times New Roman" w:cs="Times New Roman"/>
                <w:color w:val="000000"/>
                <w:sz w:val="24"/>
                <w:szCs w:val="24"/>
                <w:lang w:val="en-US"/>
              </w:rPr>
              <w:t>Through repeated collaboration, the community develops a common vocabulary for heritage, land, and responsibility. Over time, shared language reduces conflict, builds trust, and enables faster collective action.</w:t>
            </w:r>
          </w:p>
        </w:tc>
      </w:tr>
    </w:tbl>
    <w:p w14:paraId="3B84EEFD" w14:textId="2D78CE1F" w:rsidR="00535D27" w:rsidRPr="006C1E51" w:rsidRDefault="00535D27" w:rsidP="00775270">
      <w:pPr>
        <w:spacing w:line="480" w:lineRule="auto"/>
        <w:rPr>
          <w:rFonts w:ascii="Times New Roman" w:hAnsi="Times New Roman" w:cs="Times New Roman"/>
          <w:sz w:val="24"/>
          <w:szCs w:val="24"/>
        </w:rPr>
        <w:sectPr w:rsidR="00535D27" w:rsidRPr="006C1E51" w:rsidSect="00045AE1">
          <w:pgSz w:w="15840" w:h="12240" w:orient="landscape"/>
          <w:pgMar w:top="1440" w:right="1440" w:bottom="1440" w:left="1440" w:header="720" w:footer="720" w:gutter="0"/>
          <w:cols w:space="720"/>
          <w:docGrid w:linePitch="299"/>
        </w:sectPr>
      </w:pPr>
    </w:p>
    <w:p w14:paraId="000000AF" w14:textId="50C63B67" w:rsidR="0006233B" w:rsidRPr="006C1E51" w:rsidRDefault="00C5531F" w:rsidP="00775270">
      <w:pPr>
        <w:pStyle w:val="Heading3"/>
      </w:pPr>
      <w:bookmarkStart w:id="63" w:name="_86otkgix2v7v" w:colFirst="0" w:colLast="0"/>
      <w:bookmarkStart w:id="64" w:name="_Toc220011098"/>
      <w:bookmarkEnd w:id="63"/>
      <w:r w:rsidRPr="006C1E51">
        <w:lastRenderedPageBreak/>
        <w:t>1. Get Rooted In Shared Experiences Through Exploration</w:t>
      </w:r>
      <w:bookmarkEnd w:id="64"/>
    </w:p>
    <w:p w14:paraId="000000B0"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wisdom of elders, the quiet caretaking of those who tend cemeteries and churches, and the collective memory carried in neighborhoods, schools, and families form the raw material of communal potential. Yet the mundane—the routines, the repetition, the small frictions of daily life—can dim even the brightest sense of purpose. In those ordinary moments, we can lose sight of what makes us extraordinary, both as individuals and as communities.</w:t>
      </w:r>
      <w:r w:rsidRPr="006C1E51">
        <w:rPr>
          <w:rFonts w:ascii="Times New Roman" w:hAnsi="Times New Roman" w:cs="Times New Roman"/>
          <w:sz w:val="24"/>
          <w:szCs w:val="24"/>
          <w:vertAlign w:val="superscript"/>
        </w:rPr>
        <w:footnoteReference w:id="97"/>
      </w:r>
      <w:r w:rsidRPr="006C1E51">
        <w:rPr>
          <w:rFonts w:ascii="Times New Roman" w:hAnsi="Times New Roman" w:cs="Times New Roman"/>
          <w:sz w:val="24"/>
          <w:szCs w:val="24"/>
        </w:rPr>
        <w:t xml:space="preserve"> But when we pause to look again—to step outside the cycle of the everyday—we begin to see the quiet infrastructures of care, cooperation, and creativity that have always sustained us.</w:t>
      </w:r>
    </w:p>
    <w:p w14:paraId="000000B1"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Cooperative Heritage Community framework begins with a common cultural and historical foundation tied to identity and place—one’s origins. It understands heritage not as a static collection of artifacts or buildings, but as a living record of struggle, creativity, and care—markers of continuity across generations. Shared experiences hold presence through local stories, intergenerational knowledge, and community-defined values that root people in place and connect them to one another. </w:t>
      </w:r>
    </w:p>
    <w:p w14:paraId="000000B2" w14:textId="4FCB18FD"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Storytelling becomes a means of stitching communities back together, aligning memory with collective action. Or we might use storytelling and interpretation as forms of economic and social coordination. The </w:t>
      </w:r>
      <w:r w:rsidRPr="006C1E51">
        <w:rPr>
          <w:rFonts w:ascii="Times New Roman" w:hAnsi="Times New Roman" w:cs="Times New Roman"/>
          <w:i/>
          <w:iCs/>
          <w:sz w:val="24"/>
          <w:szCs w:val="24"/>
        </w:rPr>
        <w:t>African American Churches in Virginia Multiple Property Document (2025)</w:t>
      </w:r>
      <w:r w:rsidRPr="006C1E51">
        <w:rPr>
          <w:rFonts w:ascii="Times New Roman" w:hAnsi="Times New Roman" w:cs="Times New Roman"/>
          <w:sz w:val="24"/>
          <w:szCs w:val="24"/>
        </w:rPr>
        <w:t xml:space="preserve"> and the </w:t>
      </w:r>
      <w:r w:rsidRPr="006C1E51">
        <w:rPr>
          <w:rFonts w:ascii="Times New Roman" w:hAnsi="Times New Roman" w:cs="Times New Roman"/>
          <w:i/>
          <w:iCs/>
          <w:sz w:val="24"/>
          <w:szCs w:val="24"/>
        </w:rPr>
        <w:t>Black Public High Schools, 1870–1970 Project</w:t>
      </w:r>
      <w:r w:rsidRPr="006C1E51">
        <w:rPr>
          <w:rFonts w:ascii="Times New Roman" w:hAnsi="Times New Roman" w:cs="Times New Roman"/>
          <w:sz w:val="24"/>
          <w:szCs w:val="24"/>
        </w:rPr>
        <w:t xml:space="preserve"> both demonstrate how </w:t>
      </w:r>
      <w:r w:rsidRPr="006C1E51">
        <w:rPr>
          <w:rFonts w:ascii="Times New Roman" w:hAnsi="Times New Roman" w:cs="Times New Roman"/>
          <w:sz w:val="24"/>
          <w:szCs w:val="24"/>
        </w:rPr>
        <w:lastRenderedPageBreak/>
        <w:t>aggregating shared experience across multiple properties can advance collective benefit.</w:t>
      </w:r>
      <w:r w:rsidRPr="006C1E51">
        <w:rPr>
          <w:rFonts w:ascii="Times New Roman" w:hAnsi="Times New Roman" w:cs="Times New Roman"/>
          <w:sz w:val="24"/>
          <w:szCs w:val="24"/>
          <w:vertAlign w:val="superscript"/>
        </w:rPr>
        <w:footnoteReference w:id="98"/>
      </w:r>
      <w:r w:rsidRPr="006C1E51">
        <w:rPr>
          <w:rFonts w:ascii="Times New Roman" w:hAnsi="Times New Roman" w:cs="Times New Roman"/>
          <w:sz w:val="24"/>
          <w:szCs w:val="24"/>
        </w:rPr>
        <w:t xml:space="preserve"> These projects unite individual sites under a common framework that emphasizes continuity, cooperation, and community identity. The Virginia churches are recognized as networks of faith and resilience, while the Black high schools project links classrooms across states to tell a unified story of education as liberation. Together, they illustrate how shared heritage, when aggregated and interpreted collaboratively, transforms preservation into a cooperative practice—one that amplifies the collective over the individual and strengthens the social fabric that binds communities together for a specific purpose.</w:t>
      </w:r>
    </w:p>
    <w:p w14:paraId="000000B4" w14:textId="77777777" w:rsidR="0006233B" w:rsidRPr="006C1E51" w:rsidRDefault="00C5531F" w:rsidP="00775270">
      <w:pPr>
        <w:pStyle w:val="Heading3"/>
      </w:pPr>
      <w:bookmarkStart w:id="65" w:name="_3wkrtd8rq0we" w:colFirst="0" w:colLast="0"/>
      <w:bookmarkStart w:id="66" w:name="_Toc220011099"/>
      <w:bookmarkEnd w:id="65"/>
      <w:r w:rsidRPr="006C1E51">
        <w:t>2. Building Collective Ownership Through Seeing the Whole</w:t>
      </w:r>
      <w:bookmarkEnd w:id="66"/>
    </w:p>
    <w:p w14:paraId="000000B5" w14:textId="3D8A9048"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As relationships deepen through shared experience, communities begin to see themselves as </w:t>
      </w:r>
      <w:r w:rsidR="005B7266" w:rsidRPr="006C1E51">
        <w:rPr>
          <w:rFonts w:ascii="Times New Roman" w:hAnsi="Times New Roman" w:cs="Times New Roman"/>
          <w:sz w:val="24"/>
          <w:szCs w:val="24"/>
        </w:rPr>
        <w:t xml:space="preserve">parts of </w:t>
      </w:r>
      <w:r w:rsidRPr="006C1E51">
        <w:rPr>
          <w:rFonts w:ascii="Times New Roman" w:hAnsi="Times New Roman" w:cs="Times New Roman"/>
          <w:sz w:val="24"/>
          <w:szCs w:val="24"/>
        </w:rPr>
        <w:t>a whole</w:t>
      </w:r>
      <w:r w:rsidR="005B7266" w:rsidRPr="006C1E51">
        <w:rPr>
          <w:rFonts w:ascii="Times New Roman" w:hAnsi="Times New Roman" w:cs="Times New Roman"/>
          <w:sz w:val="24"/>
          <w:szCs w:val="24"/>
        </w:rPr>
        <w:t xml:space="preserve"> community</w:t>
      </w:r>
      <w:r w:rsidRPr="006C1E51">
        <w:rPr>
          <w:rFonts w:ascii="Times New Roman" w:hAnsi="Times New Roman" w:cs="Times New Roman"/>
          <w:sz w:val="24"/>
          <w:szCs w:val="24"/>
        </w:rPr>
        <w:t xml:space="preserve">. This is collective ownership in action—the process of naming </w:t>
      </w:r>
      <w:r w:rsidR="001C4BEF" w:rsidRPr="006C1E51">
        <w:rPr>
          <w:rFonts w:ascii="Times New Roman" w:hAnsi="Times New Roman" w:cs="Times New Roman"/>
          <w:sz w:val="24"/>
          <w:szCs w:val="24"/>
        </w:rPr>
        <w:t xml:space="preserve">and claiming </w:t>
      </w:r>
      <w:r w:rsidRPr="006C1E51">
        <w:rPr>
          <w:rFonts w:ascii="Times New Roman" w:hAnsi="Times New Roman" w:cs="Times New Roman"/>
          <w:sz w:val="24"/>
          <w:szCs w:val="24"/>
        </w:rPr>
        <w:t>what is shared by the community before others define it</w:t>
      </w:r>
      <w:r w:rsidR="001C4BEF" w:rsidRPr="006C1E51">
        <w:rPr>
          <w:rFonts w:ascii="Times New Roman" w:hAnsi="Times New Roman" w:cs="Times New Roman"/>
          <w:sz w:val="24"/>
          <w:szCs w:val="24"/>
        </w:rPr>
        <w:t>—</w:t>
      </w:r>
      <w:r w:rsidRPr="006C1E51">
        <w:rPr>
          <w:rFonts w:ascii="Times New Roman" w:hAnsi="Times New Roman" w:cs="Times New Roman"/>
          <w:sz w:val="24"/>
          <w:szCs w:val="24"/>
        </w:rPr>
        <w:t>seeing value in what others might overlook.</w:t>
      </w:r>
      <w:r w:rsidRPr="006C1E51">
        <w:rPr>
          <w:rFonts w:ascii="Times New Roman" w:hAnsi="Times New Roman" w:cs="Times New Roman"/>
          <w:sz w:val="24"/>
          <w:szCs w:val="24"/>
          <w:vertAlign w:val="superscript"/>
        </w:rPr>
        <w:footnoteReference w:id="99"/>
      </w:r>
      <w:r w:rsidRPr="006C1E51">
        <w:rPr>
          <w:rFonts w:ascii="Times New Roman" w:hAnsi="Times New Roman" w:cs="Times New Roman"/>
          <w:sz w:val="24"/>
          <w:szCs w:val="24"/>
        </w:rPr>
        <w:t xml:space="preserve"> What a city or county may view as mappable landmarks may not align with what different communities see. In my home, there are parcels of land that look like vacant lots—places that, to planners or staff driving by, appear empty. But when I speak with elders in my community, they point out: </w:t>
      </w:r>
      <w:r w:rsidRPr="006C1E51">
        <w:rPr>
          <w:rFonts w:ascii="Times New Roman" w:hAnsi="Times New Roman" w:cs="Times New Roman"/>
          <w:i/>
          <w:iCs/>
          <w:sz w:val="24"/>
          <w:szCs w:val="24"/>
        </w:rPr>
        <w:t>those were our baseball fields, where we played against other counties on Sunday afternoons after church.</w:t>
      </w:r>
      <w:r w:rsidRPr="006C1E51">
        <w:rPr>
          <w:rFonts w:ascii="Times New Roman" w:hAnsi="Times New Roman" w:cs="Times New Roman"/>
          <w:sz w:val="24"/>
          <w:szCs w:val="24"/>
        </w:rPr>
        <w:t xml:space="preserve"> The grassy lot where a high school once stood, the </w:t>
      </w:r>
      <w:r w:rsidRPr="006C1E51">
        <w:rPr>
          <w:rFonts w:ascii="Times New Roman" w:hAnsi="Times New Roman" w:cs="Times New Roman"/>
          <w:sz w:val="24"/>
          <w:szCs w:val="24"/>
        </w:rPr>
        <w:lastRenderedPageBreak/>
        <w:t xml:space="preserve">homecoming service at a rural church, the summer camp revival—each holds memory, meaning, and identity. </w:t>
      </w:r>
      <w:r w:rsidR="00DA4DD5" w:rsidRPr="006C1E51">
        <w:rPr>
          <w:rFonts w:ascii="Times New Roman" w:hAnsi="Times New Roman" w:cs="Times New Roman"/>
          <w:sz w:val="24"/>
          <w:szCs w:val="24"/>
        </w:rPr>
        <w:t>T</w:t>
      </w:r>
      <w:r w:rsidR="00755EF6" w:rsidRPr="006C1E51">
        <w:rPr>
          <w:rFonts w:ascii="Times New Roman" w:hAnsi="Times New Roman" w:cs="Times New Roman"/>
          <w:sz w:val="24"/>
          <w:szCs w:val="24"/>
        </w:rPr>
        <w:t>hese places carry the connective tissue of community life, where people gathered, learned, celebrated, and sustained one another. Naming the places as heritage is an act of claiming that centers lived experience and use, asserting community knowledge as the basis for how place is understood and valued.</w:t>
      </w:r>
      <w:r w:rsidR="00B25B09" w:rsidRPr="006C1E51">
        <w:rPr>
          <w:rFonts w:ascii="Times New Roman" w:hAnsi="Times New Roman" w:cs="Times New Roman"/>
          <w:sz w:val="24"/>
          <w:szCs w:val="24"/>
        </w:rPr>
        <w:t xml:space="preserve"> </w:t>
      </w:r>
    </w:p>
    <w:p w14:paraId="091102B8" w14:textId="77777777" w:rsidR="00B25B09" w:rsidRPr="006C1E51" w:rsidRDefault="001C4BEF" w:rsidP="00775270">
      <w:pPr>
        <w:keepNext/>
        <w:spacing w:after="240" w:line="480" w:lineRule="auto"/>
        <w:rPr>
          <w:rFonts w:ascii="Times New Roman" w:hAnsi="Times New Roman" w:cs="Times New Roman"/>
          <w:sz w:val="24"/>
          <w:szCs w:val="24"/>
        </w:rPr>
      </w:pPr>
      <w:r w:rsidRPr="006C1E51">
        <w:rPr>
          <w:rFonts w:ascii="Times New Roman" w:hAnsi="Times New Roman" w:cs="Times New Roman"/>
          <w:noProof/>
          <w:sz w:val="24"/>
          <w:szCs w:val="24"/>
        </w:rPr>
        <w:drawing>
          <wp:inline distT="0" distB="0" distL="0" distR="0" wp14:anchorId="44808B2D" wp14:editId="41967D46">
            <wp:extent cx="5943600" cy="4006215"/>
            <wp:effectExtent l="0" t="0" r="0" b="0"/>
            <wp:docPr id="2013218491" name="Picture 1" descr="A football goal posts in a fiel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218491" name="Picture 1" descr="A football goal posts in a field&#10;&#10;AI-generated content may be incorrect."/>
                    <pic:cNvPicPr/>
                  </pic:nvPicPr>
                  <pic:blipFill>
                    <a:blip r:embed="rId29" cstate="email">
                      <a:extLst>
                        <a:ext uri="{28A0092B-C50C-407E-A947-70E740481C1C}">
                          <a14:useLocalDpi xmlns:a14="http://schemas.microsoft.com/office/drawing/2010/main"/>
                        </a:ext>
                      </a:extLst>
                    </a:blip>
                    <a:stretch>
                      <a:fillRect/>
                    </a:stretch>
                  </pic:blipFill>
                  <pic:spPr>
                    <a:xfrm>
                      <a:off x="0" y="0"/>
                      <a:ext cx="5943600" cy="4006215"/>
                    </a:xfrm>
                    <a:prstGeom prst="rect">
                      <a:avLst/>
                    </a:prstGeom>
                  </pic:spPr>
                </pic:pic>
              </a:graphicData>
            </a:graphic>
          </wp:inline>
        </w:drawing>
      </w:r>
    </w:p>
    <w:p w14:paraId="1EE498A9" w14:textId="2CFF7ED2" w:rsidR="001C4BEF" w:rsidRPr="006C1E51" w:rsidRDefault="00B25B09" w:rsidP="00F50E4B">
      <w:pPr>
        <w:pStyle w:val="Caption"/>
      </w:pPr>
      <w:bookmarkStart w:id="67" w:name="_Toc220011010"/>
      <w:r w:rsidRPr="006C1E51">
        <w:t xml:space="preserve">Figure </w:t>
      </w:r>
      <w:r w:rsidR="0044768F" w:rsidRPr="006C1E51">
        <w:fldChar w:fldCharType="begin"/>
      </w:r>
      <w:r w:rsidR="0044768F" w:rsidRPr="006C1E51">
        <w:instrText xml:space="preserve"> SEQ Figure \* ARABIC </w:instrText>
      </w:r>
      <w:r w:rsidR="0044768F" w:rsidRPr="006C1E51">
        <w:fldChar w:fldCharType="separate"/>
      </w:r>
      <w:r w:rsidR="00C63ED1" w:rsidRPr="006C1E51">
        <w:rPr>
          <w:noProof/>
        </w:rPr>
        <w:t>15</w:t>
      </w:r>
      <w:r w:rsidR="0044768F" w:rsidRPr="006C1E51">
        <w:rPr>
          <w:noProof/>
        </w:rPr>
        <w:fldChar w:fldCharType="end"/>
      </w:r>
      <w:r w:rsidRPr="006C1E51">
        <w:t>. Edesville, Maryland baseball field—former home of the Rock Hall Tigers, a local Black baseball team. Photo courtesy of the Chesapeake Heartland Digital Archive; taken by Community Historian Karen Somerville.</w:t>
      </w:r>
      <w:bookmarkEnd w:id="67"/>
    </w:p>
    <w:p w14:paraId="000000B6" w14:textId="5DDA816A" w:rsidR="0006233B" w:rsidRPr="006C1E51" w:rsidRDefault="002E2A85"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Inventories within the CHC framework move beyond lists of buildings or landmarks and the tools of traditional preservation to center stories, oral traditions, photographs, rituals, </w:t>
      </w:r>
      <w:r w:rsidRPr="006C1E51">
        <w:rPr>
          <w:rFonts w:ascii="Times New Roman" w:hAnsi="Times New Roman" w:cs="Times New Roman"/>
          <w:sz w:val="24"/>
          <w:szCs w:val="24"/>
        </w:rPr>
        <w:lastRenderedPageBreak/>
        <w:t>performance, migration, and relationships. These intangible assets shape how communities understand meaning, value, and responsibility, forming the mental and moral infrastructure through which material places are interpreted and governed. Before communities can manage land, buildings, or resources collectively, they must first understand who they are—how they remember, how they relate, and how decisions about the future are made. Building this shared understanding is foundational; it establishes the conditions under which material stewardship becomes possible rather than imposed.</w:t>
      </w:r>
      <w:r w:rsidRPr="006C1E51">
        <w:rPr>
          <w:rStyle w:val="FootnoteReference"/>
          <w:rFonts w:ascii="Times New Roman" w:hAnsi="Times New Roman" w:cs="Times New Roman"/>
          <w:sz w:val="24"/>
          <w:szCs w:val="24"/>
        </w:rPr>
        <w:footnoteReference w:id="100"/>
      </w:r>
      <w:r w:rsidRPr="006C1E51">
        <w:rPr>
          <w:rFonts w:ascii="Times New Roman" w:hAnsi="Times New Roman" w:cs="Times New Roman"/>
          <w:sz w:val="24"/>
          <w:szCs w:val="24"/>
        </w:rPr>
        <w:t xml:space="preserve"> </w:t>
      </w:r>
      <w:r w:rsidR="00C5531F" w:rsidRPr="006C1E51">
        <w:rPr>
          <w:rFonts w:ascii="Times New Roman" w:hAnsi="Times New Roman" w:cs="Times New Roman"/>
          <w:sz w:val="24"/>
          <w:szCs w:val="24"/>
        </w:rPr>
        <w:t>As we gather inventory of the tangible and intangible assets that define a community, efforts to interpret them leads to collective understanding and true infrastructure building.</w:t>
      </w:r>
    </w:p>
    <w:p w14:paraId="000000B7"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By recognizing and recording the full ecosystem of heritage—its assets, pressures, and caretakers—the community takes a step toward reclaiming ownership of its narrative and material legacy. The inventory becomes an act of affirmation, reminding everyone involved that their heritage is already a shared inheritance, not something to be granted from outside. When churches, archives, or historic sites are governed cooperatively, they function not only as spaces of memory but as mechanisms for sustaining dignity, self-determination, and economic participation. Through shared governance and resource control, heritage becomes a living commons rather than an inherited artifact—an active site where community authority is exercised and renewed.</w:t>
      </w:r>
    </w:p>
    <w:p w14:paraId="000000B8" w14:textId="3DA90C0C"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A powerful example can be seen through Chesapeake Heartland</w:t>
      </w:r>
      <w:r w:rsidR="002E2A85" w:rsidRPr="006C1E51">
        <w:rPr>
          <w:rFonts w:ascii="Times New Roman" w:hAnsi="Times New Roman" w:cs="Times New Roman"/>
          <w:sz w:val="24"/>
          <w:szCs w:val="24"/>
        </w:rPr>
        <w:t>: An African American Humanities Project</w:t>
      </w:r>
      <w:r w:rsidRPr="006C1E51">
        <w:rPr>
          <w:rFonts w:ascii="Times New Roman" w:hAnsi="Times New Roman" w:cs="Times New Roman"/>
          <w:sz w:val="24"/>
          <w:szCs w:val="24"/>
        </w:rPr>
        <w:t>, where community collections from local families have been transformed into resources that reinvest directly in the next generation. Photographs, letters, and home archives—once tucked away in closets—now serve as the foundation for paid student internships and storytelling experiences. The students preserving these materials are often descendants of the very people pictured in them. In this way, heritage generates opportunity: the inventory of collective memory becomes collective investment, and the act of preservation becomes both education and empowerment.</w:t>
      </w:r>
    </w:p>
    <w:p w14:paraId="000000B9" w14:textId="77777777" w:rsidR="0006233B" w:rsidRPr="006C1E51" w:rsidRDefault="00C5531F" w:rsidP="00775270">
      <w:pPr>
        <w:pStyle w:val="Heading3"/>
      </w:pPr>
      <w:bookmarkStart w:id="68" w:name="_1rz1tb3iyfvd" w:colFirst="0" w:colLast="0"/>
      <w:bookmarkStart w:id="69" w:name="_Toc220011100"/>
      <w:bookmarkEnd w:id="68"/>
      <w:r w:rsidRPr="006C1E51">
        <w:t>3. Exercising Democratic Governance in Practice</w:t>
      </w:r>
      <w:bookmarkEnd w:id="69"/>
    </w:p>
    <w:p w14:paraId="000000BA" w14:textId="107BB4AA"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Once communities build the mental and moral infrastructure to see themselves as </w:t>
      </w:r>
      <w:r w:rsidR="005B7266" w:rsidRPr="006C1E51">
        <w:rPr>
          <w:rFonts w:ascii="Times New Roman" w:hAnsi="Times New Roman" w:cs="Times New Roman"/>
          <w:sz w:val="24"/>
          <w:szCs w:val="24"/>
        </w:rPr>
        <w:t>parts of a</w:t>
      </w:r>
      <w:r w:rsidRPr="006C1E51">
        <w:rPr>
          <w:rFonts w:ascii="Times New Roman" w:hAnsi="Times New Roman" w:cs="Times New Roman"/>
          <w:sz w:val="24"/>
          <w:szCs w:val="24"/>
        </w:rPr>
        <w:t xml:space="preserve"> whole</w:t>
      </w:r>
      <w:r w:rsidR="005B7266" w:rsidRPr="006C1E51">
        <w:rPr>
          <w:rFonts w:ascii="Times New Roman" w:hAnsi="Times New Roman" w:cs="Times New Roman"/>
          <w:sz w:val="24"/>
          <w:szCs w:val="24"/>
        </w:rPr>
        <w:t xml:space="preserve"> community</w:t>
      </w:r>
      <w:r w:rsidRPr="006C1E51">
        <w:rPr>
          <w:rFonts w:ascii="Times New Roman" w:hAnsi="Times New Roman" w:cs="Times New Roman"/>
          <w:sz w:val="24"/>
          <w:szCs w:val="24"/>
        </w:rPr>
        <w:t>, they can begin to govern together. Democracy is both the method and the outcome of the Cooperative Heritage Community (CHC) framework. Participatory structures—descendant councils, cooperative boards, or rotating stewardship committees—</w:t>
      </w:r>
      <w:r w:rsidR="00830B81" w:rsidRPr="006C1E51">
        <w:rPr>
          <w:rFonts w:ascii="Times New Roman" w:hAnsi="Times New Roman" w:cs="Times New Roman"/>
          <w:sz w:val="24"/>
          <w:szCs w:val="24"/>
        </w:rPr>
        <w:t>allow leadership to evolve, keep accountability shared, and enable knowledge to circulate horizontally across the community rather than concentrate hierarchically from the top-down.</w:t>
      </w:r>
      <w:r w:rsidRPr="006C1E51">
        <w:rPr>
          <w:rFonts w:ascii="Times New Roman" w:hAnsi="Times New Roman" w:cs="Times New Roman"/>
          <w:sz w:val="24"/>
          <w:szCs w:val="24"/>
        </w:rPr>
        <w:t xml:space="preserve"> This approach prevents power-hoarding and builds the capacity of future generations to inherit both responsibility and agency.</w:t>
      </w:r>
    </w:p>
    <w:p w14:paraId="000000BB" w14:textId="5B65CC65"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From its inception, Chesapeake Heartland embodied these principles. The project was founded on the idea of shared authority and shared resources, reflecting public history’s call to redistribute both interpretive and material power.</w:t>
      </w:r>
      <w:r w:rsidRPr="006C1E51">
        <w:rPr>
          <w:rFonts w:ascii="Times New Roman" w:hAnsi="Times New Roman" w:cs="Times New Roman"/>
          <w:sz w:val="24"/>
          <w:szCs w:val="24"/>
          <w:vertAlign w:val="superscript"/>
        </w:rPr>
        <w:footnoteReference w:id="101"/>
      </w:r>
      <w:r w:rsidRPr="006C1E51">
        <w:rPr>
          <w:rFonts w:ascii="Times New Roman" w:hAnsi="Times New Roman" w:cs="Times New Roman"/>
          <w:sz w:val="24"/>
          <w:szCs w:val="24"/>
        </w:rPr>
        <w:t xml:space="preserve"> Community meetings helped create the project’s name, logo, operating principles, and the structure of its first programs</w:t>
      </w:r>
      <w:r w:rsidR="00830B81" w:rsidRPr="006C1E51">
        <w:rPr>
          <w:rFonts w:ascii="Times New Roman" w:hAnsi="Times New Roman" w:cs="Times New Roman"/>
          <w:sz w:val="24"/>
          <w:szCs w:val="24"/>
        </w:rPr>
        <w:t>.</w:t>
      </w:r>
      <w:r w:rsidRPr="006C1E51">
        <w:rPr>
          <w:rFonts w:ascii="Times New Roman" w:hAnsi="Times New Roman" w:cs="Times New Roman"/>
          <w:sz w:val="24"/>
          <w:szCs w:val="24"/>
        </w:rPr>
        <w:t xml:space="preserve"> </w:t>
      </w:r>
      <w:r w:rsidR="009C65B6" w:rsidRPr="006C1E51">
        <w:rPr>
          <w:rFonts w:ascii="Times New Roman" w:hAnsi="Times New Roman" w:cs="Times New Roman"/>
          <w:sz w:val="24"/>
          <w:szCs w:val="24"/>
        </w:rPr>
        <w:t xml:space="preserve">Equally </w:t>
      </w:r>
      <w:r w:rsidR="009C65B6" w:rsidRPr="006C1E51">
        <w:rPr>
          <w:rFonts w:ascii="Times New Roman" w:hAnsi="Times New Roman" w:cs="Times New Roman"/>
          <w:sz w:val="24"/>
          <w:szCs w:val="24"/>
        </w:rPr>
        <w:lastRenderedPageBreak/>
        <w:t>important, resources—funding, equipment, staffing, and visibility—were shared from the start, ensuring that community authority was not merely symbolic but backed by tangible capacity to act, implement decisions, and shape outcomes</w:t>
      </w:r>
      <w:r w:rsidRPr="006C1E51">
        <w:rPr>
          <w:rFonts w:ascii="Times New Roman" w:hAnsi="Times New Roman" w:cs="Times New Roman"/>
          <w:sz w:val="24"/>
          <w:szCs w:val="24"/>
        </w:rPr>
        <w:t>. This alignment between co-creation and co-ownership demonstrated that shared authority without shared resources is not collaboration but appropriation. Chesapeake Heartland thus offered an early model of democratic governance in heritage practice, pairing voice with value and interpretation with investment.</w:t>
      </w:r>
    </w:p>
    <w:p w14:paraId="77781B0D" w14:textId="77777777" w:rsidR="00830B81" w:rsidRPr="006C1E51" w:rsidRDefault="00830B81" w:rsidP="00775270">
      <w:pPr>
        <w:keepNext/>
        <w:spacing w:before="240" w:after="240" w:line="480" w:lineRule="auto"/>
        <w:rPr>
          <w:rFonts w:ascii="Times New Roman" w:hAnsi="Times New Roman" w:cs="Times New Roman"/>
          <w:sz w:val="24"/>
          <w:szCs w:val="24"/>
        </w:rPr>
      </w:pPr>
      <w:r w:rsidRPr="006C1E51">
        <w:rPr>
          <w:rFonts w:ascii="Times New Roman" w:hAnsi="Times New Roman" w:cs="Times New Roman"/>
          <w:noProof/>
          <w:sz w:val="24"/>
          <w:szCs w:val="24"/>
        </w:rPr>
        <w:drawing>
          <wp:inline distT="0" distB="0" distL="0" distR="0" wp14:anchorId="568360E6" wp14:editId="6FDB0D34">
            <wp:extent cx="5943600" cy="2637155"/>
            <wp:effectExtent l="0" t="0" r="0" b="4445"/>
            <wp:docPr id="1632676141" name="Picture 1" descr="A group of people sitting at a tab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676141" name="Picture 1" descr="A group of people sitting at a table&#10;&#10;AI-generated content may be incorrect."/>
                    <pic:cNvPicPr/>
                  </pic:nvPicPr>
                  <pic:blipFill>
                    <a:blip r:embed="rId30" cstate="email">
                      <a:extLst>
                        <a:ext uri="{28A0092B-C50C-407E-A947-70E740481C1C}">
                          <a14:useLocalDpi xmlns:a14="http://schemas.microsoft.com/office/drawing/2010/main"/>
                        </a:ext>
                      </a:extLst>
                    </a:blip>
                    <a:stretch>
                      <a:fillRect/>
                    </a:stretch>
                  </pic:blipFill>
                  <pic:spPr>
                    <a:xfrm>
                      <a:off x="0" y="0"/>
                      <a:ext cx="5943600" cy="2637155"/>
                    </a:xfrm>
                    <a:prstGeom prst="rect">
                      <a:avLst/>
                    </a:prstGeom>
                  </pic:spPr>
                </pic:pic>
              </a:graphicData>
            </a:graphic>
          </wp:inline>
        </w:drawing>
      </w:r>
    </w:p>
    <w:p w14:paraId="6CC36E91" w14:textId="717817A0" w:rsidR="00830B81" w:rsidRPr="006C1E51" w:rsidRDefault="00830B81" w:rsidP="00F50E4B">
      <w:pPr>
        <w:pStyle w:val="Caption"/>
      </w:pPr>
      <w:bookmarkStart w:id="70" w:name="_Toc220011011"/>
      <w:r w:rsidRPr="006C1E51">
        <w:t xml:space="preserve">Figure </w:t>
      </w:r>
      <w:r w:rsidR="0044768F" w:rsidRPr="006C1E51">
        <w:fldChar w:fldCharType="begin"/>
      </w:r>
      <w:r w:rsidR="0044768F" w:rsidRPr="006C1E51">
        <w:instrText xml:space="preserve"> SEQ Figure \* ARABIC </w:instrText>
      </w:r>
      <w:r w:rsidR="0044768F" w:rsidRPr="006C1E51">
        <w:fldChar w:fldCharType="separate"/>
      </w:r>
      <w:r w:rsidR="00C63ED1" w:rsidRPr="006C1E51">
        <w:rPr>
          <w:noProof/>
        </w:rPr>
        <w:t>16</w:t>
      </w:r>
      <w:r w:rsidR="0044768F" w:rsidRPr="006C1E51">
        <w:rPr>
          <w:noProof/>
        </w:rPr>
        <w:fldChar w:fldCharType="end"/>
      </w:r>
      <w:r w:rsidRPr="006C1E51">
        <w:t xml:space="preserve">. Lonnie Bunch, Founding Director of the Smithsonian's National Museum of African American History and Culture, meets with </w:t>
      </w:r>
      <w:r w:rsidR="00F50E4B" w:rsidRPr="006C1E51">
        <w:t>community</w:t>
      </w:r>
      <w:r w:rsidR="00FE75CC" w:rsidRPr="006C1E51">
        <w:t xml:space="preserve"> partners</w:t>
      </w:r>
      <w:r w:rsidR="00F50E4B" w:rsidRPr="006C1E51">
        <w:t xml:space="preserve">, </w:t>
      </w:r>
      <w:r w:rsidRPr="006C1E51">
        <w:t>February 23, 2017</w:t>
      </w:r>
      <w:r w:rsidR="00F50E4B" w:rsidRPr="006C1E51">
        <w:t>.</w:t>
      </w:r>
      <w:bookmarkEnd w:id="70"/>
      <w:r w:rsidRPr="006C1E51">
        <w:t xml:space="preserve"> </w:t>
      </w:r>
    </w:p>
    <w:p w14:paraId="000000BC" w14:textId="55291992" w:rsidR="0006233B" w:rsidRPr="006C1E51" w:rsidRDefault="009C65B6"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Models like Chesapeake Heartland do not emerge fully formed; they take shape through pilot projects that allow communities to practice civic and democratic work before expanding it. For the CHC frame, pilots translate shared principles into practice. </w:t>
      </w:r>
      <w:r w:rsidR="00C5531F" w:rsidRPr="006C1E51">
        <w:rPr>
          <w:rFonts w:ascii="Times New Roman" w:hAnsi="Times New Roman" w:cs="Times New Roman"/>
          <w:sz w:val="24"/>
          <w:szCs w:val="24"/>
        </w:rPr>
        <w:t xml:space="preserve">Small cooperative experiments allow communities to test decision-making, accountability, and collaboration in real time. Instead of launching large-scale initiatives, CHCs begin modestly: a joint exhibit between two sites, a shared grant application between a cemetery and a church, or a youth oral-history </w:t>
      </w:r>
      <w:r w:rsidR="00C5531F" w:rsidRPr="006C1E51">
        <w:rPr>
          <w:rFonts w:ascii="Times New Roman" w:hAnsi="Times New Roman" w:cs="Times New Roman"/>
          <w:sz w:val="24"/>
          <w:szCs w:val="24"/>
        </w:rPr>
        <w:lastRenderedPageBreak/>
        <w:t>project connecting elders and students. These pilots act as microcosms of self-governance, allowing communities to practice power-sharing, rotate leadership, and refine their processes through lived experience. Over time, this collective practice of “doing together” matures into sustainable and self-aware governance.</w:t>
      </w:r>
    </w:p>
    <w:p w14:paraId="000000BD" w14:textId="388B208C"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 compelling example can be found at Historic Sotterl</w:t>
      </w:r>
      <w:r w:rsidR="00830B81" w:rsidRPr="006C1E51">
        <w:rPr>
          <w:rFonts w:ascii="Times New Roman" w:hAnsi="Times New Roman" w:cs="Times New Roman"/>
          <w:sz w:val="24"/>
          <w:szCs w:val="24"/>
        </w:rPr>
        <w:t>e</w:t>
      </w:r>
      <w:r w:rsidRPr="006C1E51">
        <w:rPr>
          <w:rFonts w:ascii="Times New Roman" w:hAnsi="Times New Roman" w:cs="Times New Roman"/>
          <w:sz w:val="24"/>
          <w:szCs w:val="24"/>
        </w:rPr>
        <w:t>y in southern Maryland, where descendants of the enslaved and the enslavers have worked together to build a more authentic and inclusive interpretation of the site.</w:t>
      </w:r>
      <w:r w:rsidR="009C65B6" w:rsidRPr="006C1E51">
        <w:rPr>
          <w:rStyle w:val="FootnoteReference"/>
          <w:rFonts w:ascii="Times New Roman" w:hAnsi="Times New Roman" w:cs="Times New Roman"/>
          <w:sz w:val="24"/>
          <w:szCs w:val="24"/>
        </w:rPr>
        <w:footnoteReference w:id="102"/>
      </w:r>
      <w:r w:rsidRPr="006C1E51">
        <w:rPr>
          <w:rFonts w:ascii="Times New Roman" w:hAnsi="Times New Roman" w:cs="Times New Roman"/>
          <w:sz w:val="24"/>
          <w:szCs w:val="24"/>
        </w:rPr>
        <w:t xml:space="preserve"> What began as dialogue evolved into shared authority: descendants eventually assumed leadership roles in shaping programs and narratives, culminating in a descendant of the enslaved becoming the organization’s president. This transformation reflects the essence of democratic governance in heritage work—power redistributed through dialogue, transparency, and shared stewardship. At </w:t>
      </w:r>
      <w:r w:rsidR="009C65B6" w:rsidRPr="006C1E51">
        <w:rPr>
          <w:rFonts w:ascii="Times New Roman" w:hAnsi="Times New Roman" w:cs="Times New Roman"/>
          <w:sz w:val="24"/>
          <w:szCs w:val="24"/>
        </w:rPr>
        <w:t xml:space="preserve">Historic </w:t>
      </w:r>
      <w:r w:rsidRPr="006C1E51">
        <w:rPr>
          <w:rFonts w:ascii="Times New Roman" w:hAnsi="Times New Roman" w:cs="Times New Roman"/>
          <w:sz w:val="24"/>
          <w:szCs w:val="24"/>
        </w:rPr>
        <w:t>Sotterl</w:t>
      </w:r>
      <w:r w:rsidR="009C65B6" w:rsidRPr="006C1E51">
        <w:rPr>
          <w:rFonts w:ascii="Times New Roman" w:hAnsi="Times New Roman" w:cs="Times New Roman"/>
          <w:sz w:val="24"/>
          <w:szCs w:val="24"/>
        </w:rPr>
        <w:t>e</w:t>
      </w:r>
      <w:r w:rsidRPr="006C1E51">
        <w:rPr>
          <w:rFonts w:ascii="Times New Roman" w:hAnsi="Times New Roman" w:cs="Times New Roman"/>
          <w:sz w:val="24"/>
          <w:szCs w:val="24"/>
        </w:rPr>
        <w:t>y, the process of governance itself became a form of preservation, restoring not only a site but also building trust, equity, and a sense of collective ownership over history.</w:t>
      </w:r>
    </w:p>
    <w:p w14:paraId="000000BE" w14:textId="77777777" w:rsidR="0006233B" w:rsidRPr="006C1E51" w:rsidRDefault="00C5531F" w:rsidP="00775270">
      <w:pPr>
        <w:pStyle w:val="Heading3"/>
      </w:pPr>
      <w:bookmarkStart w:id="71" w:name="_njoh0fq4aq3g" w:colFirst="0" w:colLast="0"/>
      <w:bookmarkStart w:id="72" w:name="_Toc220011101"/>
      <w:bookmarkEnd w:id="71"/>
      <w:r w:rsidRPr="006C1E51">
        <w:t>4. Sustaining Through Community Resource Building</w:t>
      </w:r>
      <w:bookmarkEnd w:id="72"/>
    </w:p>
    <w:p w14:paraId="000000BF" w14:textId="55D18FE4"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idea of Cooperative Heritage Communities thrives through mutual investment. Pooling </w:t>
      </w:r>
      <w:r w:rsidR="009C65B6" w:rsidRPr="006C1E51">
        <w:rPr>
          <w:rFonts w:ascii="Times New Roman" w:hAnsi="Times New Roman" w:cs="Times New Roman"/>
          <w:sz w:val="24"/>
          <w:szCs w:val="24"/>
        </w:rPr>
        <w:t xml:space="preserve">together </w:t>
      </w:r>
      <w:r w:rsidRPr="006C1E51">
        <w:rPr>
          <w:rFonts w:ascii="Times New Roman" w:hAnsi="Times New Roman" w:cs="Times New Roman"/>
          <w:sz w:val="24"/>
          <w:szCs w:val="24"/>
        </w:rPr>
        <w:t xml:space="preserve">labor, expertise, funding, and authority to advance shared goals. The framework envisions community-driven pilot projects that may include </w:t>
      </w:r>
      <w:r w:rsidR="00BF5600" w:rsidRPr="006C1E51">
        <w:rPr>
          <w:rFonts w:ascii="Times New Roman" w:hAnsi="Times New Roman" w:cs="Times New Roman"/>
          <w:sz w:val="24"/>
          <w:szCs w:val="24"/>
        </w:rPr>
        <w:t>mutual aid for sector practitioners navigating job loss or career disruption</w:t>
      </w:r>
      <w:r w:rsidRPr="006C1E51">
        <w:rPr>
          <w:rFonts w:ascii="Times New Roman" w:hAnsi="Times New Roman" w:cs="Times New Roman"/>
          <w:sz w:val="24"/>
          <w:szCs w:val="24"/>
        </w:rPr>
        <w:t xml:space="preserve">, or shared governance networks that distribute responsibility and prevent burnout across multiple heritage initiatives. As pilot projects advance and patterns begin to emerge, communities can naturally move toward turning practice into </w:t>
      </w:r>
      <w:r w:rsidRPr="006C1E51">
        <w:rPr>
          <w:rFonts w:ascii="Times New Roman" w:hAnsi="Times New Roman" w:cs="Times New Roman"/>
          <w:sz w:val="24"/>
          <w:szCs w:val="24"/>
        </w:rPr>
        <w:lastRenderedPageBreak/>
        <w:t>structure. Institutionalization, in this sense, does not mean bureaucracy; it means building scaffolding that allows cooperative work to endure. Each formalization grows organically from trust and shared purpose, ensuring that cooperation becomes a sustainable habit rather than a temporary experiment.</w:t>
      </w:r>
    </w:p>
    <w:p w14:paraId="000000C0" w14:textId="71DE6E91"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 vivid example of this cooperative approach in action is the Alabama African American Civil Rights Heritage Consortium, a statewide network of small Black heritage sites that share grant writers, training, and interpretive materials to strengthen one another’s sustainability.</w:t>
      </w:r>
      <w:r w:rsidRPr="006C1E51">
        <w:rPr>
          <w:rFonts w:ascii="Times New Roman" w:hAnsi="Times New Roman" w:cs="Times New Roman"/>
          <w:sz w:val="24"/>
          <w:szCs w:val="24"/>
          <w:vertAlign w:val="superscript"/>
        </w:rPr>
        <w:footnoteReference w:id="103"/>
      </w:r>
      <w:r w:rsidRPr="006C1E51">
        <w:rPr>
          <w:rFonts w:ascii="Times New Roman" w:hAnsi="Times New Roman" w:cs="Times New Roman"/>
          <w:sz w:val="24"/>
          <w:szCs w:val="24"/>
        </w:rPr>
        <w:t xml:space="preserve"> Individually, these sites faced chronic underfunding and administrative strain; together, they gained collective bargaining power and access to resources once out of reach. In this case, cooperation transforms scarcity into abundance: capacity becomes communal, and preservation becomes a shared act of investment rather than a competition for limited aid.</w:t>
      </w:r>
      <w:r w:rsidR="005B7266" w:rsidRPr="006C1E51">
        <w:rPr>
          <w:rFonts w:ascii="Times New Roman" w:hAnsi="Times New Roman" w:cs="Times New Roman"/>
          <w:sz w:val="24"/>
          <w:szCs w:val="24"/>
        </w:rPr>
        <w:t xml:space="preserve"> It also demonstrates how having a central hub (organization) is a critical consideration for cooperative success; however, it also risks creating a sense of exclusion.</w:t>
      </w:r>
    </w:p>
    <w:p w14:paraId="000000C1" w14:textId="7E61C41A" w:rsidR="0006233B" w:rsidRPr="006C1E51" w:rsidRDefault="00C5531F" w:rsidP="00775270">
      <w:pPr>
        <w:pStyle w:val="Heading3"/>
      </w:pPr>
      <w:bookmarkStart w:id="73" w:name="_xfr1asikytb5" w:colFirst="0" w:colLast="0"/>
      <w:bookmarkStart w:id="74" w:name="_Toc220011102"/>
      <w:bookmarkEnd w:id="73"/>
      <w:r w:rsidRPr="006C1E51">
        <w:t xml:space="preserve">5. </w:t>
      </w:r>
      <w:r w:rsidR="001F7E90" w:rsidRPr="006C1E51">
        <w:t>Equity and Justic</w:t>
      </w:r>
      <w:r w:rsidR="0056466B" w:rsidRPr="006C1E51">
        <w:t>e-</w:t>
      </w:r>
      <w:r w:rsidR="001F7E90" w:rsidRPr="006C1E51">
        <w:t>Based</w:t>
      </w:r>
      <w:bookmarkEnd w:id="74"/>
    </w:p>
    <w:p w14:paraId="000000C2" w14:textId="6C87FD87" w:rsidR="0006233B" w:rsidRPr="006C1E51" w:rsidRDefault="00825505"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At its core, the Cooperative Heritage Community is a framework of repair of relationships, capacity, and continuity that have been fractured by disinvestment, displacement, and extractive heritage practices. It operates as both philosophy and approach, confronting legacies of exclusion and misrepresentation by insisting that cultural sustainability and economic justice are inseparable from preservation work. CHCs prioritize historically marginalized communities in the distribution of resources, re-center descendant voices in decision-making, and align preservation outcomes with broader efforts toward equity and repair. In this view, </w:t>
      </w:r>
      <w:r w:rsidRPr="006C1E51">
        <w:rPr>
          <w:rFonts w:ascii="Times New Roman" w:hAnsi="Times New Roman" w:cs="Times New Roman"/>
          <w:sz w:val="24"/>
          <w:szCs w:val="24"/>
        </w:rPr>
        <w:lastRenderedPageBreak/>
        <w:t>preservation extends beyond safeguarding structures to sustaining the lives, traditions, and relationships that give those places meaning.</w:t>
      </w:r>
    </w:p>
    <w:p w14:paraId="000000C3" w14:textId="2CE8E74A"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This philosophy comes to life in the work of the </w:t>
      </w:r>
      <w:r w:rsidRPr="006C1E51">
        <w:rPr>
          <w:rFonts w:ascii="Times New Roman" w:hAnsi="Times New Roman" w:cs="Times New Roman"/>
          <w:i/>
          <w:iCs/>
          <w:sz w:val="24"/>
          <w:szCs w:val="24"/>
        </w:rPr>
        <w:t>Center for Heirs’ Property Preservation</w:t>
      </w:r>
      <w:r w:rsidRPr="006C1E51">
        <w:rPr>
          <w:rFonts w:ascii="Times New Roman" w:hAnsi="Times New Roman" w:cs="Times New Roman"/>
          <w:sz w:val="24"/>
          <w:szCs w:val="24"/>
        </w:rPr>
        <w:t xml:space="preserve"> in South Carolina, for example. For generations, heirs’ property has been both a symbol of Black resilience and a mechanism of dispossession with millions of acres lost through unclear titles, forced sales, and systemic barriers to legal support. The Center assists multiple families within the Lowcountry to clear tangled land titles, regain legal ownership of their inherited properties, and build cooperative systems for management and use. Once ownership is secured, families receive training to establish or strengthen agricultural operations, create new streams of income, and share tools, equipment, knowledge, and services through local networks.</w:t>
      </w:r>
      <w:r w:rsidRPr="006C1E51">
        <w:rPr>
          <w:rFonts w:ascii="Times New Roman" w:hAnsi="Times New Roman" w:cs="Times New Roman"/>
          <w:sz w:val="24"/>
          <w:szCs w:val="24"/>
          <w:vertAlign w:val="superscript"/>
        </w:rPr>
        <w:footnoteReference w:id="104"/>
      </w:r>
      <w:r w:rsidRPr="006C1E51">
        <w:rPr>
          <w:rFonts w:ascii="Times New Roman" w:hAnsi="Times New Roman" w:cs="Times New Roman"/>
          <w:sz w:val="24"/>
          <w:szCs w:val="24"/>
        </w:rPr>
        <w:t xml:space="preserve"> What begins as a legal process becomes a collective model of renewal, guiding families from vulnerability to interdependence and transforming inheritance into shared prosperity. This approach embodies the heart of the</w:t>
      </w:r>
      <w:r w:rsidR="0053361C" w:rsidRPr="006C1E51">
        <w:rPr>
          <w:rFonts w:ascii="Times New Roman" w:hAnsi="Times New Roman" w:cs="Times New Roman"/>
          <w:sz w:val="24"/>
          <w:szCs w:val="24"/>
        </w:rPr>
        <w:t xml:space="preserve"> CH</w:t>
      </w:r>
      <w:r w:rsidR="00FD6498" w:rsidRPr="006C1E51">
        <w:rPr>
          <w:rFonts w:ascii="Times New Roman" w:hAnsi="Times New Roman" w:cs="Times New Roman"/>
          <w:sz w:val="24"/>
          <w:szCs w:val="24"/>
        </w:rPr>
        <w:t>C</w:t>
      </w:r>
      <w:r w:rsidRPr="006C1E51">
        <w:rPr>
          <w:rFonts w:ascii="Times New Roman" w:hAnsi="Times New Roman" w:cs="Times New Roman"/>
          <w:sz w:val="24"/>
          <w:szCs w:val="24"/>
        </w:rPr>
        <w:t xml:space="preserve"> framework: the belief that heritage is not just what we inherit, but how we organize to sustain and grow it together.</w:t>
      </w:r>
    </w:p>
    <w:p w14:paraId="000000C4"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Finally, keeping work visible and transparent is an act of repair within the CHC framework. Storytelling, documentation, and public engagement ensure that preservation remains accountable to those it represents and beneficial to those who sustain it. Visibility strengthens advocacy and shields communities from harm; injustices are easier to inflict in the dark. The CHC framework calls us to shine light on the nuances that have long prevented Black heritage workers and communities from receiving their due.</w:t>
      </w:r>
    </w:p>
    <w:p w14:paraId="000000C5" w14:textId="25721297" w:rsidR="0006233B" w:rsidRPr="006C1E51" w:rsidRDefault="00FB3E51"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In practice, CHCs represent an orientation toward openness—one that treats visibility as both protection and pedagogy. To make the work public is to invite others into its care, transforming the process into shared learning. Furthermore, visibility allows the “everyday” person to see themselves in the work and in the cultural heritage itself, helping repair the connective fabric of communities—an essential dimension of heritage well-being. While privacy has long functioned as a necessary form of protection, prolonged seclusion can also render value invisible, even to those who hold it. In this sense, transparency becomes a form of mental and moral infrastructure: it builds trust, clarity, and collective confidence before material systems follow. When communities work in the open, they not only preserve what is visible but also strengthen the unseen foundations of cooperation that sustain heritage over time</w:t>
      </w:r>
      <w:r w:rsidR="00C5531F" w:rsidRPr="006C1E51">
        <w:rPr>
          <w:rFonts w:ascii="Times New Roman" w:hAnsi="Times New Roman" w:cs="Times New Roman"/>
          <w:sz w:val="24"/>
          <w:szCs w:val="24"/>
        </w:rPr>
        <w:t>.</w:t>
      </w:r>
    </w:p>
    <w:p w14:paraId="000000C6" w14:textId="77777777" w:rsidR="0006233B" w:rsidRPr="006C1E51" w:rsidRDefault="00C5531F" w:rsidP="00775270">
      <w:pPr>
        <w:pStyle w:val="Heading3"/>
      </w:pPr>
      <w:bookmarkStart w:id="75" w:name="_r93llevwzvqr" w:colFirst="0" w:colLast="0"/>
      <w:bookmarkStart w:id="76" w:name="_Toc220011103"/>
      <w:bookmarkEnd w:id="75"/>
      <w:r w:rsidRPr="006C1E51">
        <w:t>6. Practicing Shared Language and Building Trust</w:t>
      </w:r>
      <w:bookmarkEnd w:id="76"/>
    </w:p>
    <w:p w14:paraId="000000C7"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Visibility naturally gives rise to communication. When communities make their work open and legible—via story circles, kitchen-table meetings, neighborhood gatherings—they begin to form a shared vocabulary through which collective meaning and continuity are built. The Cooperative Heritage Community framework depends on shared language that bridges experts, residents, and institutions. It challenges the bureaucratic and technical vocabulary that too often defines preservation, replacing it with communication rooted in lived experience. In this view, language is not neutral; it can invite or exclude, empower or silence. Historic district design guidelines, zoning codes, and preservation ordinances all carry their own dialects that can unintentionally reinforce inequity by making participation difficult for those who live closest to heritage sites. More so, this framework believes the connective tissue of communities often begin with a shared narrative–and shared narratives are built on shared language.</w:t>
      </w:r>
    </w:p>
    <w:p w14:paraId="000000C8" w14:textId="260C824E"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A CHC approach challenges communities to develop their own design glossaries and policy language as expressions of how they define authenticity, care, and beauty in their own terms. Such locally authored language could serve as the foundation for community-led preservation standards and decision-making processes, inviting institutions and professionals to meet residents where they are—and to write new narratives of their future and rewrite their past. Shared language, then, becomes a form of self-governance.</w:t>
      </w:r>
      <w:r w:rsidR="00AF348A" w:rsidRPr="006C1E51">
        <w:rPr>
          <w:rFonts w:ascii="Times New Roman" w:hAnsi="Times New Roman" w:cs="Times New Roman"/>
          <w:sz w:val="24"/>
          <w:szCs w:val="24"/>
        </w:rPr>
        <w:t xml:space="preserve"> This is evident in</w:t>
      </w:r>
      <w:r w:rsidRPr="006C1E51">
        <w:rPr>
          <w:rFonts w:ascii="Times New Roman" w:hAnsi="Times New Roman" w:cs="Times New Roman"/>
          <w:sz w:val="24"/>
          <w:szCs w:val="24"/>
        </w:rPr>
        <w:t xml:space="preserve"> </w:t>
      </w:r>
      <w:r w:rsidR="00AF348A" w:rsidRPr="006C1E51">
        <w:rPr>
          <w:rFonts w:ascii="Times New Roman" w:hAnsi="Times New Roman" w:cs="Times New Roman"/>
          <w:i/>
          <w:iCs/>
          <w:sz w:val="24"/>
          <w:szCs w:val="24"/>
        </w:rPr>
        <w:t xml:space="preserve">Descendant Engagement </w:t>
      </w:r>
      <w:r w:rsidR="00AF348A" w:rsidRPr="006C1E51">
        <w:rPr>
          <w:rFonts w:ascii="Times New Roman" w:hAnsi="Times New Roman" w:cs="Times New Roman"/>
          <w:sz w:val="24"/>
          <w:szCs w:val="24"/>
        </w:rPr>
        <w:t>work throughout the United States.</w:t>
      </w:r>
      <w:r w:rsidR="00AF348A" w:rsidRPr="006C1E51">
        <w:rPr>
          <w:rStyle w:val="FootnoteReference"/>
          <w:rFonts w:ascii="Times New Roman" w:hAnsi="Times New Roman" w:cs="Times New Roman"/>
          <w:sz w:val="24"/>
          <w:szCs w:val="24"/>
        </w:rPr>
        <w:footnoteReference w:id="105"/>
      </w:r>
      <w:r w:rsidR="00AF348A" w:rsidRPr="006C1E51">
        <w:rPr>
          <w:rFonts w:ascii="Times New Roman" w:hAnsi="Times New Roman" w:cs="Times New Roman"/>
          <w:sz w:val="24"/>
          <w:szCs w:val="24"/>
        </w:rPr>
        <w:t xml:space="preserve"> </w:t>
      </w:r>
      <w:r w:rsidRPr="006C1E51">
        <w:rPr>
          <w:rFonts w:ascii="Times New Roman" w:hAnsi="Times New Roman" w:cs="Times New Roman"/>
          <w:sz w:val="24"/>
          <w:szCs w:val="24"/>
        </w:rPr>
        <w:t>Conversation becomes the infrastructure for shaping policy, practice, and power on local terms, it ensures that preservation speaks with the people who sustain it, not about them, and that the rules of engagement are written in the voices of those whose heritage is at stake.</w:t>
      </w:r>
      <w:r w:rsidR="00FB3E51" w:rsidRPr="006C1E51">
        <w:rPr>
          <w:rFonts w:ascii="Times New Roman" w:hAnsi="Times New Roman" w:cs="Times New Roman"/>
          <w:sz w:val="24"/>
          <w:szCs w:val="24"/>
        </w:rPr>
        <w:t xml:space="preserve"> In this process, some participants may take on the role of translators —individuals who can bridge community knowledge with institutional language when access to funding or formal recognition is sought, while keeping decision-making grounded in community priorities.</w:t>
      </w:r>
    </w:p>
    <w:p w14:paraId="000000C9" w14:textId="15EA0C68" w:rsidR="0006233B" w:rsidRPr="006C1E51" w:rsidRDefault="00C5531F" w:rsidP="00775270">
      <w:pPr>
        <w:pStyle w:val="Heading2"/>
        <w:spacing w:line="480" w:lineRule="auto"/>
        <w:rPr>
          <w:rFonts w:ascii="Times New Roman" w:hAnsi="Times New Roman" w:cs="Times New Roman"/>
        </w:rPr>
      </w:pPr>
      <w:bookmarkStart w:id="77" w:name="_17j0r0iep4d1" w:colFirst="0" w:colLast="0"/>
      <w:bookmarkStart w:id="78" w:name="_Toc220011104"/>
      <w:bookmarkEnd w:id="77"/>
      <w:r w:rsidRPr="006C1E51">
        <w:rPr>
          <w:rFonts w:ascii="Times New Roman" w:hAnsi="Times New Roman" w:cs="Times New Roman"/>
        </w:rPr>
        <w:t>Framework Rationale: From Principles to Practice</w:t>
      </w:r>
      <w:bookmarkEnd w:id="78"/>
    </w:p>
    <w:p w14:paraId="000000CA"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Together, these principles form a blueprint for translating cooperative values into heritage action. A Cooperative Heritage Community functions as a dynamic, participatory ecosystem where communities act as both stewards and beneficiaries of their heritage.</w:t>
      </w:r>
    </w:p>
    <w:p w14:paraId="000000CB" w14:textId="6CC2A25D"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Evoking Monica White</w:t>
      </w:r>
      <w:r w:rsidR="005B25D7" w:rsidRPr="006C1E51">
        <w:rPr>
          <w:rFonts w:ascii="Times New Roman" w:hAnsi="Times New Roman" w:cs="Times New Roman"/>
          <w:sz w:val="24"/>
          <w:szCs w:val="24"/>
        </w:rPr>
        <w:t>’</w:t>
      </w:r>
      <w:r w:rsidRPr="006C1E51">
        <w:rPr>
          <w:rFonts w:ascii="Times New Roman" w:hAnsi="Times New Roman" w:cs="Times New Roman"/>
          <w:sz w:val="24"/>
          <w:szCs w:val="24"/>
        </w:rPr>
        <w:t xml:space="preserve">s idea of Collective Agricultural Cooperative Responsibility—farmers cultivating both food and freedom—CHCs emerge from stewards cultivating memory and meaning. Heritage becomes the core asset sustained through belonging, cooperation, and </w:t>
      </w:r>
      <w:r w:rsidRPr="006C1E51">
        <w:rPr>
          <w:rFonts w:ascii="Times New Roman" w:hAnsi="Times New Roman" w:cs="Times New Roman"/>
          <w:sz w:val="24"/>
          <w:szCs w:val="24"/>
        </w:rPr>
        <w:lastRenderedPageBreak/>
        <w:t>care. Because no two communities are identical, the framework remains adaptable: each can interpret it through its own soil, history, and rhythm until heritage itself becomes a commons sustained by those who live it.</w:t>
      </w:r>
    </w:p>
    <w:p w14:paraId="000000CC"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That adaptability begins at deep local levels. Families anchor every heritage ecosystem through their memories, stewardship, and everyday acts of care. When those efforts are ignored, preservation loses its base. Those maintaining churches, tending cemeteries, and keeping stories alive determine whether larger preservation goals endure. Cooperative Heritage Communities keep those people at the center, recognizing that ambitious visions only last when they nurture the quiet work that already holds communities together.</w:t>
      </w:r>
    </w:p>
    <w:p w14:paraId="000000CD"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This orientation also reframes what progress looks like. Small organizations are often told to grow, professionalize, or chase larger grants to gain legitimacy, but expansion can dilute purpose. The choice between completing a grant report or hosting a homecoming event is not logistical—it reflects competing definitions of value. CHCs promote a different logic of sustainability: measuring worth by continuity and connection rather than scale. Some organizations are not meant to grow; they are meant to endure, hold ground, and teach others how to do the same.</w:t>
      </w:r>
    </w:p>
    <w:p w14:paraId="000000CE"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Support systems must evolve alongside this shift. Regional and intermediary organizations can strengthen endurance by mentoring smaller groups, helping them apply for funding, manage projects, and build partnerships. Yet technical assistance alone is insufficient. If a preservation effort cannot sustain itself once the assistance ends, the investment has failed its purpose. Too often, external help props up short-term activity rather than building lasting capacity. CHCs respond by advancing cooperative resource building—sharing administrative </w:t>
      </w:r>
      <w:r w:rsidRPr="006C1E51">
        <w:rPr>
          <w:rFonts w:ascii="Times New Roman" w:hAnsi="Times New Roman" w:cs="Times New Roman"/>
          <w:sz w:val="24"/>
          <w:szCs w:val="24"/>
        </w:rPr>
        <w:lastRenderedPageBreak/>
        <w:t>capacity, grant writing, and governance—so that smaller institutions retain autonomy while benefiting from collective strength.</w:t>
      </w:r>
    </w:p>
    <w:p w14:paraId="000000CF"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These cooperative strategies are also a corrective to long-standing inequities in preservation policy and practice. Black heritage has often been documented without empowerment and studied without sustained investment. Policies created elsewhere have dictated what counts as “historic” and who counts as a steward. The CHC framework reverses that hierarchy, grounding preservation in community accountability and descendant expertise. It calls for policies written </w:t>
      </w:r>
      <w:r w:rsidRPr="006C1E51">
        <w:rPr>
          <w:rFonts w:ascii="Times New Roman" w:hAnsi="Times New Roman" w:cs="Times New Roman"/>
          <w:i/>
          <w:iCs/>
          <w:sz w:val="24"/>
          <w:szCs w:val="24"/>
        </w:rPr>
        <w:t>for us, by us</w:t>
      </w:r>
      <w:r w:rsidRPr="006C1E51">
        <w:rPr>
          <w:rFonts w:ascii="Times New Roman" w:hAnsi="Times New Roman" w:cs="Times New Roman"/>
          <w:sz w:val="24"/>
          <w:szCs w:val="24"/>
        </w:rPr>
        <w:t>, informed by the cooperative traditions that have long sustained Black resilience.</w:t>
      </w:r>
    </w:p>
    <w:p w14:paraId="000000D0"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Taken together, these shifts redefine what resilience, equity, and sustainability mean in practice. CHCs build resilience by distributing responsibility across networks instead of concentrating it in institutions; advance equity by ensuring that decision-making and economic benefit reach those whose heritage is at stake; and promote sustainability by centering mutual care, shared governance, and local definitions of success.</w:t>
      </w:r>
    </w:p>
    <w:p w14:paraId="0BEE9E51" w14:textId="01A4A1F2" w:rsidR="00C63ED1"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If preservation is to remain relevant, its measures of success must also change. Counting buildings, grants, or visitors may sustain industries, but not necessarily communities. True success is measured in ownership retained, in families who remain rooted, in institutions that outlast their founders, and in the stability and pride that cooperative practice makes possible. Preservation fulfills its purpose not by freezing history, but by ensuring that the people who made it can continue to live and thrive within it.</w:t>
      </w:r>
      <w:r w:rsidR="005B25D7" w:rsidRPr="006C1E51">
        <w:rPr>
          <w:rFonts w:ascii="Times New Roman" w:hAnsi="Times New Roman" w:cs="Times New Roman"/>
          <w:sz w:val="24"/>
          <w:szCs w:val="24"/>
        </w:rPr>
        <w:t xml:space="preserve"> </w:t>
      </w:r>
      <w:r w:rsidRPr="006C1E51">
        <w:rPr>
          <w:rFonts w:ascii="Times New Roman" w:hAnsi="Times New Roman" w:cs="Times New Roman"/>
          <w:sz w:val="24"/>
          <w:szCs w:val="24"/>
        </w:rPr>
        <w:t>In the end, cooperation is both method and mandate—a framework for ensuring that preservation does more than protect the past; it redistributes the capacity to build the future and to care for one another.</w:t>
      </w:r>
      <w:bookmarkStart w:id="79" w:name="_d97etje3c28k" w:colFirst="0" w:colLast="0"/>
      <w:bookmarkEnd w:id="79"/>
      <w:r w:rsidR="00C63ED1" w:rsidRPr="006C1E51">
        <w:rPr>
          <w:rFonts w:ascii="Times New Roman" w:hAnsi="Times New Roman" w:cs="Times New Roman"/>
          <w:sz w:val="24"/>
          <w:szCs w:val="24"/>
        </w:rPr>
        <w:br w:type="page"/>
      </w:r>
    </w:p>
    <w:p w14:paraId="000000D3" w14:textId="47557D3B" w:rsidR="0006233B" w:rsidRPr="006C1E51" w:rsidRDefault="00FA59C2" w:rsidP="00B97F99">
      <w:pPr>
        <w:pStyle w:val="Heading1"/>
      </w:pPr>
      <w:bookmarkStart w:id="80" w:name="_Toc220011105"/>
      <w:r w:rsidRPr="006C1E51">
        <w:lastRenderedPageBreak/>
        <w:t>Chapter 4: The Evidence: CHCs In Practice (Case Studies)</w:t>
      </w:r>
      <w:bookmarkEnd w:id="80"/>
    </w:p>
    <w:p w14:paraId="000000D4" w14:textId="4B39EBDC" w:rsidR="0006233B" w:rsidRPr="006C1E51" w:rsidRDefault="00C5531F" w:rsidP="00775270">
      <w:pPr>
        <w:pStyle w:val="Heading2"/>
        <w:keepNext w:val="0"/>
        <w:keepLines w:val="0"/>
        <w:spacing w:line="480" w:lineRule="auto"/>
        <w:rPr>
          <w:rFonts w:ascii="Times New Roman" w:hAnsi="Times New Roman" w:cs="Times New Roman"/>
        </w:rPr>
      </w:pPr>
      <w:bookmarkStart w:id="81" w:name="_853yhjz13yd1" w:colFirst="0" w:colLast="0"/>
      <w:bookmarkStart w:id="82" w:name="_Toc220011106"/>
      <w:bookmarkEnd w:id="81"/>
      <w:r w:rsidRPr="006C1E51">
        <w:rPr>
          <w:rFonts w:ascii="Times New Roman" w:hAnsi="Times New Roman" w:cs="Times New Roman"/>
        </w:rPr>
        <w:t>Introduction</w:t>
      </w:r>
      <w:r w:rsidR="00C63ED1" w:rsidRPr="006C1E51">
        <w:rPr>
          <w:rFonts w:ascii="Times New Roman" w:hAnsi="Times New Roman" w:cs="Times New Roman"/>
        </w:rPr>
        <w:t xml:space="preserve"> to Chapter Four</w:t>
      </w:r>
      <w:bookmarkEnd w:id="82"/>
    </w:p>
    <w:p w14:paraId="000000D5" w14:textId="7CFA7A6C" w:rsidR="0006233B" w:rsidRPr="006C1E51" w:rsidRDefault="001376DC"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I use </w:t>
      </w:r>
      <w:r w:rsidR="00C5531F" w:rsidRPr="006C1E51">
        <w:rPr>
          <w:rFonts w:ascii="Times New Roman" w:hAnsi="Times New Roman" w:cs="Times New Roman"/>
          <w:sz w:val="24"/>
          <w:szCs w:val="24"/>
        </w:rPr>
        <w:t xml:space="preserve">CHC ideology </w:t>
      </w:r>
      <w:r w:rsidRPr="006C1E51">
        <w:rPr>
          <w:rFonts w:ascii="Times New Roman" w:hAnsi="Times New Roman" w:cs="Times New Roman"/>
          <w:sz w:val="24"/>
          <w:szCs w:val="24"/>
        </w:rPr>
        <w:t xml:space="preserve">to </w:t>
      </w:r>
      <w:r w:rsidR="00C5531F" w:rsidRPr="006C1E51">
        <w:rPr>
          <w:rFonts w:ascii="Times New Roman" w:hAnsi="Times New Roman" w:cs="Times New Roman"/>
          <w:sz w:val="24"/>
          <w:szCs w:val="24"/>
        </w:rPr>
        <w:t>articulate a framework in which cultural stewardship is shared across grassroots citizens, practitioners, and institutions through cooperative economics, mutual learning, and distributed authority. Longstanding African American traditions of collective resourcefulness give rise to the framework—mutual aid societies, church networks, rural farming cooperatives, benevolent associations, and cultural organizing—</w:t>
      </w:r>
      <w:r w:rsidRPr="006C1E51">
        <w:rPr>
          <w:rFonts w:ascii="Times New Roman" w:hAnsi="Times New Roman" w:cs="Times New Roman"/>
          <w:sz w:val="24"/>
          <w:szCs w:val="24"/>
        </w:rPr>
        <w:t>evolving</w:t>
      </w:r>
      <w:r w:rsidR="00C5531F" w:rsidRPr="006C1E51">
        <w:rPr>
          <w:rFonts w:ascii="Times New Roman" w:hAnsi="Times New Roman" w:cs="Times New Roman"/>
          <w:sz w:val="24"/>
          <w:szCs w:val="24"/>
        </w:rPr>
        <w:t xml:space="preserve"> into contemporary efforts that reclaim narrative control and strengthen community agency. While Chapter Three conceptualized the CHC model, this chapter demonstrates how those principles manifest in practice. Through five diverse case studies operating at local, regional, and national scales, the chapter illustrates the possibilities, tensions, and structural needs inherent in cooperative heritage work.</w:t>
      </w:r>
    </w:p>
    <w:p w14:paraId="382BD777" w14:textId="3368B5DB" w:rsidR="002A7ACB" w:rsidRPr="006C1E51" w:rsidRDefault="00C5531F" w:rsidP="002A7ACB">
      <w:pPr>
        <w:spacing w:before="240" w:line="480" w:lineRule="auto"/>
        <w:ind w:firstLine="720"/>
        <w:rPr>
          <w:rFonts w:ascii="Times New Roman" w:hAnsi="Times New Roman" w:cs="Times New Roman"/>
          <w:noProof/>
          <w:sz w:val="24"/>
          <w:szCs w:val="24"/>
        </w:rPr>
      </w:pPr>
      <w:r w:rsidRPr="006C1E51">
        <w:rPr>
          <w:rFonts w:ascii="Times New Roman" w:hAnsi="Times New Roman" w:cs="Times New Roman"/>
          <w:sz w:val="24"/>
          <w:szCs w:val="24"/>
        </w:rPr>
        <w:t>These cases are not abstract or hypothetical. Each one influenced the development of the CHC framework through my lived experience, professional collaborations, and intellectual encounters. My work with Chesapeake Heartland began in 2018 as a volunteer attempting to reconnect with my community’s sense of place and history—a personal journey of heritage well-being that later grew into a leadership role shaping regional cooperative infrastructure. I encountered the Knoxville Reanimation Coalition through a Goucher cohort-mate</w:t>
      </w:r>
      <w:r w:rsidR="001376DC" w:rsidRPr="006C1E51">
        <w:rPr>
          <w:rFonts w:ascii="Times New Roman" w:hAnsi="Times New Roman" w:cs="Times New Roman"/>
          <w:sz w:val="24"/>
          <w:szCs w:val="24"/>
        </w:rPr>
        <w:t>, Cory France,</w:t>
      </w:r>
      <w:r w:rsidRPr="006C1E51">
        <w:rPr>
          <w:rFonts w:ascii="Times New Roman" w:hAnsi="Times New Roman" w:cs="Times New Roman"/>
          <w:sz w:val="24"/>
          <w:szCs w:val="24"/>
        </w:rPr>
        <w:t xml:space="preserve"> whose rural Southern upbringing mirrored my own Eastern Shore heritage.</w:t>
      </w:r>
      <w:r w:rsidR="001376DC" w:rsidRPr="006C1E51">
        <w:rPr>
          <w:rStyle w:val="FootnoteReference"/>
          <w:rFonts w:ascii="Times New Roman" w:hAnsi="Times New Roman" w:cs="Times New Roman"/>
          <w:sz w:val="24"/>
          <w:szCs w:val="24"/>
        </w:rPr>
        <w:footnoteReference w:id="106"/>
      </w:r>
      <w:r w:rsidRPr="006C1E51">
        <w:rPr>
          <w:rFonts w:ascii="Times New Roman" w:hAnsi="Times New Roman" w:cs="Times New Roman"/>
          <w:sz w:val="24"/>
          <w:szCs w:val="24"/>
        </w:rPr>
        <w:t xml:space="preserve"> Conversations with leaders in Black-led philanthropy, such as Rob Bull of The Compass Group and Damika Baker-</w:t>
      </w:r>
      <w:r w:rsidRPr="006C1E51">
        <w:rPr>
          <w:rFonts w:ascii="Times New Roman" w:hAnsi="Times New Roman" w:cs="Times New Roman"/>
          <w:sz w:val="24"/>
          <w:szCs w:val="24"/>
        </w:rPr>
        <w:lastRenderedPageBreak/>
        <w:t>Wilson of its JEDI Division, brought the HBCU History &amp; Culture Access Consortium to my attention as a rare example of cooperative cultural investment on a national scale.</w:t>
      </w:r>
      <w:r w:rsidR="001376DC" w:rsidRPr="006C1E51">
        <w:rPr>
          <w:rStyle w:val="FootnoteReference"/>
          <w:rFonts w:ascii="Times New Roman" w:hAnsi="Times New Roman" w:cs="Times New Roman"/>
          <w:sz w:val="24"/>
          <w:szCs w:val="24"/>
        </w:rPr>
        <w:footnoteReference w:id="107"/>
      </w:r>
      <w:r w:rsidRPr="006C1E51">
        <w:rPr>
          <w:rFonts w:ascii="Times New Roman" w:hAnsi="Times New Roman" w:cs="Times New Roman"/>
          <w:sz w:val="24"/>
          <w:szCs w:val="24"/>
        </w:rPr>
        <w:t xml:space="preserve"> The Culture Keeper Mutual Aid Fund emerged from dialogue among preservation professionals seeking economic solidarity amid a volatile sociopolitical climate.</w:t>
      </w:r>
      <w:r w:rsidR="001376DC" w:rsidRPr="006C1E51">
        <w:rPr>
          <w:rStyle w:val="FootnoteReference"/>
          <w:rFonts w:ascii="Times New Roman" w:hAnsi="Times New Roman" w:cs="Times New Roman"/>
          <w:sz w:val="24"/>
          <w:szCs w:val="24"/>
        </w:rPr>
        <w:footnoteReference w:id="108"/>
      </w:r>
      <w:r w:rsidRPr="006C1E51">
        <w:rPr>
          <w:rFonts w:ascii="Times New Roman" w:hAnsi="Times New Roman" w:cs="Times New Roman"/>
          <w:sz w:val="24"/>
          <w:szCs w:val="24"/>
        </w:rPr>
        <w:t xml:space="preserve"> The Northeast African American History Initiative connected directly to my discussions with the 1772 Foundation and Brent Leggs, illuminating how regional capacity-building efforts prefigured the national African American Cultural Heritage Action Fund.</w:t>
      </w:r>
      <w:r w:rsidR="001376DC" w:rsidRPr="006C1E51">
        <w:rPr>
          <w:rStyle w:val="FootnoteReference"/>
          <w:rFonts w:ascii="Times New Roman" w:hAnsi="Times New Roman" w:cs="Times New Roman"/>
          <w:sz w:val="24"/>
          <w:szCs w:val="24"/>
        </w:rPr>
        <w:footnoteReference w:id="109"/>
      </w:r>
      <w:r w:rsidR="002A7ACB" w:rsidRPr="006C1E51">
        <w:rPr>
          <w:rFonts w:ascii="Times New Roman" w:hAnsi="Times New Roman" w:cs="Times New Roman"/>
          <w:noProof/>
          <w:sz w:val="24"/>
          <w:szCs w:val="24"/>
        </w:rPr>
        <w:t xml:space="preserve"> </w:t>
      </w:r>
      <w:r w:rsidR="002A7ACB" w:rsidRPr="006C1E51">
        <w:rPr>
          <w:rFonts w:ascii="Times New Roman" w:hAnsi="Times New Roman" w:cs="Times New Roman"/>
          <w:noProof/>
          <w:sz w:val="24"/>
          <w:szCs w:val="24"/>
        </w:rPr>
        <w:drawing>
          <wp:inline distT="0" distB="0" distL="0" distR="0" wp14:anchorId="1549FBB4" wp14:editId="08BDF91E">
            <wp:extent cx="5943600" cy="3524885"/>
            <wp:effectExtent l="0" t="0" r="0" b="5715"/>
            <wp:docPr id="42083310" name="Picture 1" descr="A group of people posing for a phot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083310" name="Picture 1" descr="A group of people posing for a photo&#10;&#10;AI-generated content may be incorrect."/>
                    <pic:cNvPicPr/>
                  </pic:nvPicPr>
                  <pic:blipFill>
                    <a:blip r:embed="rId31" cstate="email">
                      <a:extLst>
                        <a:ext uri="{28A0092B-C50C-407E-A947-70E740481C1C}">
                          <a14:useLocalDpi xmlns:a14="http://schemas.microsoft.com/office/drawing/2010/main"/>
                        </a:ext>
                      </a:extLst>
                    </a:blip>
                    <a:stretch>
                      <a:fillRect/>
                    </a:stretch>
                  </pic:blipFill>
                  <pic:spPr>
                    <a:xfrm>
                      <a:off x="0" y="0"/>
                      <a:ext cx="5943600" cy="3524885"/>
                    </a:xfrm>
                    <a:prstGeom prst="rect">
                      <a:avLst/>
                    </a:prstGeom>
                  </pic:spPr>
                </pic:pic>
              </a:graphicData>
            </a:graphic>
          </wp:inline>
        </w:drawing>
      </w:r>
    </w:p>
    <w:p w14:paraId="7DE9D82A" w14:textId="77777777" w:rsidR="002A7ACB" w:rsidRPr="006C1E51" w:rsidRDefault="002A7ACB" w:rsidP="002A7ACB">
      <w:pPr>
        <w:pStyle w:val="Caption"/>
        <w:spacing w:after="0"/>
      </w:pPr>
      <w:bookmarkStart w:id="83" w:name="_Toc220011012"/>
      <w:r w:rsidRPr="006C1E51">
        <w:t xml:space="preserve">Figure </w:t>
      </w:r>
      <w:r w:rsidRPr="006C1E51">
        <w:fldChar w:fldCharType="begin"/>
      </w:r>
      <w:r w:rsidRPr="006C1E51">
        <w:instrText xml:space="preserve"> SEQ Figure \* ARABIC </w:instrText>
      </w:r>
      <w:r w:rsidRPr="006C1E51">
        <w:fldChar w:fldCharType="separate"/>
      </w:r>
      <w:r w:rsidRPr="006C1E51">
        <w:rPr>
          <w:noProof/>
        </w:rPr>
        <w:t>17</w:t>
      </w:r>
      <w:r w:rsidRPr="006C1E51">
        <w:rPr>
          <w:noProof/>
        </w:rPr>
        <w:fldChar w:fldCharType="end"/>
      </w:r>
      <w:r w:rsidRPr="006C1E51">
        <w:t>. First board building workshop in Philadelphia in September 2010 hosted by the National Trust African American History Initiative.</w:t>
      </w:r>
      <w:bookmarkEnd w:id="83"/>
    </w:p>
    <w:p w14:paraId="000000D7" w14:textId="77777777" w:rsidR="0006233B" w:rsidRPr="006C1E51" w:rsidRDefault="00C5531F" w:rsidP="002A7ACB">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Each case study is analyzed using a consistent structure: (1) cooperative model and operating context, (2) alignment with CHC principles, (3) brief insights based on high-level, analytical questions, and (4) implications for refining the CHC framework. The chapter concludes with a narrative synthesis identifying cross-case patterns, frictions, and structural insights that prepare the ground for the scenario-building chapter that follows.</w:t>
      </w:r>
    </w:p>
    <w:p w14:paraId="000000D8" w14:textId="77777777" w:rsidR="0006233B" w:rsidRPr="006C1E51" w:rsidRDefault="00C5531F" w:rsidP="00775270">
      <w:pPr>
        <w:pStyle w:val="Heading2"/>
        <w:spacing w:line="480" w:lineRule="auto"/>
        <w:rPr>
          <w:rFonts w:ascii="Times New Roman" w:hAnsi="Times New Roman" w:cs="Times New Roman"/>
        </w:rPr>
      </w:pPr>
      <w:bookmarkStart w:id="84" w:name="_2hygfpwbkldy" w:colFirst="0" w:colLast="0"/>
      <w:bookmarkStart w:id="85" w:name="_Toc220011107"/>
      <w:bookmarkEnd w:id="84"/>
      <w:r w:rsidRPr="006C1E51">
        <w:rPr>
          <w:rFonts w:ascii="Times New Roman" w:hAnsi="Times New Roman" w:cs="Times New Roman"/>
        </w:rPr>
        <w:t>Case Study 1: Chesapeake Heartland - A Regional Model of Shared Stewardship</w:t>
      </w:r>
      <w:bookmarkEnd w:id="85"/>
    </w:p>
    <w:p w14:paraId="000000D9" w14:textId="77777777" w:rsidR="0006233B" w:rsidRPr="006C1E51" w:rsidRDefault="00C5531F" w:rsidP="00775270">
      <w:pPr>
        <w:pStyle w:val="Heading3"/>
      </w:pPr>
      <w:bookmarkStart w:id="86" w:name="_q2k55v53mjvm" w:colFirst="0" w:colLast="0"/>
      <w:bookmarkStart w:id="87" w:name="_Toc220011108"/>
      <w:bookmarkEnd w:id="86"/>
      <w:r w:rsidRPr="006C1E51">
        <w:t>Cooperative Model and Operating Context</w:t>
      </w:r>
      <w:bookmarkEnd w:id="87"/>
    </w:p>
    <w:p w14:paraId="07578F3F" w14:textId="79608512" w:rsidR="00AC48EA" w:rsidRPr="006C1E51" w:rsidRDefault="00C5531F" w:rsidP="006F0F0E">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Maryland’s Eastern Shore is a region deeply shaped by African American labor, agricultural expertise, water-based livelihoods, spiritual traditions, and communal resilience. Yet persistent inequities continue to affect access, authority, and sustainability in African American heritage work. Much of the history of Black Eastern Shore families remains scattered across private homes, saved in fragile family collections, stored in institutions far removed from the community, or held only in memory. These access gaps intersect with structural questions about who possesses interpretive power and who is resourced to steward heritage. Rural grassroots organizations often struggle with limited funding, organizational capacity, and talent retention, making it difficult to support long-term preservation efforts. </w:t>
      </w:r>
      <w:r w:rsidR="00AC48EA" w:rsidRPr="006C1E51">
        <w:rPr>
          <w:rFonts w:ascii="Times New Roman" w:hAnsi="Times New Roman" w:cs="Times New Roman"/>
          <w:sz w:val="24"/>
          <w:szCs w:val="24"/>
        </w:rPr>
        <w:t>Together, these conditions create an urgent need for digital justice—approaches that return knowledge to descendant communities, build local capacity, and center meaningful learning and participation. In this model, a digital archive becomes a site of stewardship, bringing together reclaimed materials from distant, hard-to-navigate institutional collections and family-held archives, and weaving narratives that were never intended to sit in the same frame as an act of cultural preservation.</w:t>
      </w:r>
    </w:p>
    <w:p w14:paraId="000000DB" w14:textId="1A5A4DAD"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 xml:space="preserve">Chesapeake Heartland: An African American Humanities Project was designed to address these conditions directly. Launched through a collaboration between the Smithsonian’s National Museum of African American History and Culture and Washington College’s Starr Center for the Study of the American Experience, Chesapeake Heartland has grown into a regional network of community organizations, schools, churches, and archival partners. Since 2020, the project has digitized over 6,000 items reflecting 400 years of African American history in the region, while engaging more than 100 community contributors to its digital archive, mentoring over 200 interns, and hosting or participating in more than 200 public programs. Its early success is further solidified by more than $3 million in grant funds invested in the project by several major funders. My involvement with the project began in 2018, long before its official launch, when I volunteered as a way of reconnecting with my community’s cultural history—a personal exploration that evolved into professional commitment. I received a Community Curation Fellowship to contribute my own family materials to the archive, during which I curated 60 images that reflect positive themes of rural Black life—celebration, love, family, labor, triumph, to name a few. </w:t>
      </w:r>
      <w:r w:rsidR="00C044FE" w:rsidRPr="006C1E51">
        <w:rPr>
          <w:rFonts w:ascii="Times New Roman" w:hAnsi="Times New Roman" w:cs="Times New Roman"/>
          <w:sz w:val="24"/>
          <w:szCs w:val="24"/>
        </w:rPr>
        <w:t>Now, as Project Director, I work with family and community members alongside archival institutions in ways that make these connections visible. During one of my first visits to the Maryland State Archives, I encountered the bill of sale for my fifth great-grandfather, James Butler, buried among thousands of pages of Kent County chattel records dating from 1753 to 1851.</w:t>
      </w:r>
      <w:r w:rsidR="00C044FE" w:rsidRPr="006C1E51">
        <w:rPr>
          <w:rStyle w:val="FootnoteReference"/>
          <w:rFonts w:ascii="Times New Roman" w:hAnsi="Times New Roman" w:cs="Times New Roman"/>
          <w:sz w:val="24"/>
          <w:szCs w:val="24"/>
        </w:rPr>
        <w:footnoteReference w:id="110"/>
      </w:r>
      <w:r w:rsidR="00C044FE" w:rsidRPr="006C1E51">
        <w:rPr>
          <w:rFonts w:ascii="Times New Roman" w:hAnsi="Times New Roman" w:cs="Times New Roman"/>
          <w:sz w:val="24"/>
          <w:szCs w:val="24"/>
        </w:rPr>
        <w:t xml:space="preserve"> Through a grant-funded partnership, the Maryland State Archives—now one of our core archival collaborators—has shared its digitization capacity with Chesapeake Heartland, scanning these records in high resolution for the first time. This work unlocks critical </w:t>
      </w:r>
      <w:r w:rsidR="00C044FE" w:rsidRPr="006C1E51">
        <w:rPr>
          <w:rFonts w:ascii="Times New Roman" w:hAnsi="Times New Roman" w:cs="Times New Roman"/>
          <w:sz w:val="24"/>
          <w:szCs w:val="24"/>
        </w:rPr>
        <w:lastRenderedPageBreak/>
        <w:t>context for genealogy, placekeeping, and reparative preservation. As a result, I can now see my cousin Joan’s photographs of Butlertown from the 1980s alongside the document in which Butler purchased his freedom for one dollar in 1812 and went on to found the town—materials never meant to meet, now held together in a shared frame of community memory and stewardship</w:t>
      </w:r>
      <w:r w:rsidR="002A7ACB" w:rsidRPr="006C1E51">
        <w:rPr>
          <w:rFonts w:ascii="Times New Roman" w:hAnsi="Times New Roman" w:cs="Times New Roman"/>
          <w:sz w:val="24"/>
          <w:szCs w:val="24"/>
        </w:rPr>
        <w:t xml:space="preserve"> (see fig. 18)</w:t>
      </w:r>
      <w:r w:rsidR="00C044FE" w:rsidRPr="006C1E51">
        <w:rPr>
          <w:rFonts w:ascii="Times New Roman" w:hAnsi="Times New Roman" w:cs="Times New Roman"/>
          <w:sz w:val="24"/>
          <w:szCs w:val="24"/>
        </w:rPr>
        <w:t xml:space="preserve">. </w:t>
      </w:r>
      <w:r w:rsidRPr="006C1E51">
        <w:rPr>
          <w:rFonts w:ascii="Times New Roman" w:hAnsi="Times New Roman" w:cs="Times New Roman"/>
          <w:sz w:val="24"/>
          <w:szCs w:val="24"/>
        </w:rPr>
        <w:t>This experience revealed how deeply cooperative logic was embedded in Eastern Shore heritage practices and directly shaped my thinking about Cooperative Heritage Communities.</w:t>
      </w:r>
    </w:p>
    <w:p w14:paraId="185FFF4B" w14:textId="77777777" w:rsidR="00C044FE" w:rsidRPr="006C1E51" w:rsidRDefault="00C044FE" w:rsidP="00775270">
      <w:pPr>
        <w:keepNext/>
        <w:spacing w:before="240" w:after="240" w:line="480" w:lineRule="auto"/>
        <w:rPr>
          <w:rFonts w:ascii="Times New Roman" w:hAnsi="Times New Roman" w:cs="Times New Roman"/>
          <w:sz w:val="24"/>
          <w:szCs w:val="24"/>
        </w:rPr>
      </w:pPr>
      <w:r w:rsidRPr="006C1E51">
        <w:rPr>
          <w:rFonts w:ascii="Times New Roman" w:hAnsi="Times New Roman" w:cs="Times New Roman"/>
          <w:noProof/>
          <w:sz w:val="24"/>
          <w:szCs w:val="24"/>
        </w:rPr>
        <w:drawing>
          <wp:inline distT="0" distB="0" distL="0" distR="0" wp14:anchorId="27893550" wp14:editId="7FE661BB">
            <wp:extent cx="5892800" cy="3632200"/>
            <wp:effectExtent l="0" t="0" r="0" b="0"/>
            <wp:docPr id="574815342" name="Picture 1" descr="A collage of photos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815342" name="Picture 1" descr="A collage of photos of people&#10;&#10;AI-generated content may be incorrect."/>
                    <pic:cNvPicPr/>
                  </pic:nvPicPr>
                  <pic:blipFill>
                    <a:blip r:embed="rId32" cstate="email">
                      <a:extLst>
                        <a:ext uri="{28A0092B-C50C-407E-A947-70E740481C1C}">
                          <a14:useLocalDpi xmlns:a14="http://schemas.microsoft.com/office/drawing/2010/main"/>
                        </a:ext>
                      </a:extLst>
                    </a:blip>
                    <a:stretch>
                      <a:fillRect/>
                    </a:stretch>
                  </pic:blipFill>
                  <pic:spPr>
                    <a:xfrm>
                      <a:off x="0" y="0"/>
                      <a:ext cx="5892800" cy="3632200"/>
                    </a:xfrm>
                    <a:prstGeom prst="rect">
                      <a:avLst/>
                    </a:prstGeom>
                  </pic:spPr>
                </pic:pic>
              </a:graphicData>
            </a:graphic>
          </wp:inline>
        </w:drawing>
      </w:r>
    </w:p>
    <w:p w14:paraId="7A9D79FC" w14:textId="03A89815" w:rsidR="00C044FE" w:rsidRPr="006C1E51" w:rsidRDefault="00C044FE" w:rsidP="00F50E4B">
      <w:pPr>
        <w:pStyle w:val="Caption"/>
      </w:pPr>
      <w:bookmarkStart w:id="88" w:name="_Toc220011013"/>
      <w:r w:rsidRPr="006C1E51">
        <w:t xml:space="preserve">Figure </w:t>
      </w:r>
      <w:r w:rsidR="0044768F" w:rsidRPr="006C1E51">
        <w:fldChar w:fldCharType="begin"/>
      </w:r>
      <w:r w:rsidR="0044768F" w:rsidRPr="006C1E51">
        <w:instrText xml:space="preserve"> SEQ Figure \* ARABIC </w:instrText>
      </w:r>
      <w:r w:rsidR="0044768F" w:rsidRPr="006C1E51">
        <w:fldChar w:fldCharType="separate"/>
      </w:r>
      <w:r w:rsidR="00C63ED1" w:rsidRPr="006C1E51">
        <w:rPr>
          <w:noProof/>
        </w:rPr>
        <w:t>18</w:t>
      </w:r>
      <w:r w:rsidR="0044768F" w:rsidRPr="006C1E51">
        <w:rPr>
          <w:noProof/>
        </w:rPr>
        <w:fldChar w:fldCharType="end"/>
      </w:r>
      <w:r w:rsidRPr="006C1E51">
        <w:t>. Collage of images from the Chesapeake Heartland Digital Archive representing more than two-hundred years of family history in Butlertown.</w:t>
      </w:r>
      <w:bookmarkEnd w:id="88"/>
    </w:p>
    <w:p w14:paraId="000000DC" w14:textId="77777777" w:rsidR="0006233B" w:rsidRPr="006C1E51" w:rsidRDefault="00C5531F" w:rsidP="00775270">
      <w:pPr>
        <w:pStyle w:val="Heading3"/>
      </w:pPr>
      <w:bookmarkStart w:id="89" w:name="_mu28inpeeizw" w:colFirst="0" w:colLast="0"/>
      <w:bookmarkStart w:id="90" w:name="_Toc220011109"/>
      <w:bookmarkEnd w:id="89"/>
      <w:r w:rsidRPr="006C1E51">
        <w:lastRenderedPageBreak/>
        <w:t>Alignment With CHC Principles</w:t>
      </w:r>
      <w:bookmarkEnd w:id="90"/>
    </w:p>
    <w:p w14:paraId="000000DD" w14:textId="77777777" w:rsidR="0006233B" w:rsidRPr="006C1E51" w:rsidRDefault="00C5531F" w:rsidP="00775270">
      <w:pPr>
        <w:pStyle w:val="Heading4"/>
        <w:spacing w:line="480" w:lineRule="auto"/>
      </w:pPr>
      <w:bookmarkStart w:id="91" w:name="_uh1csfncl2m1" w:colFirst="0" w:colLast="0"/>
      <w:bookmarkEnd w:id="91"/>
      <w:r w:rsidRPr="006C1E51">
        <w:t>Shared ownership</w:t>
      </w:r>
    </w:p>
    <w:p w14:paraId="000000DE"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Chesapeake Heartland centers descendant authority by actively involving community historians, elders, families, and youth in shaping its archival and interpretive priorities. Ownership extends beyond participation and prioritizes shared decision-making power about what gets digitized, how material is interpreted, and where and how stories are shared. Rather than imposing an institutional narrative, the project cultivates a shared narrative shaped by many hands. This orientation ensures that community members exercise genuine agency over their own heritage.</w:t>
      </w:r>
    </w:p>
    <w:p w14:paraId="000000DF" w14:textId="77777777" w:rsidR="0006233B" w:rsidRPr="006C1E51" w:rsidRDefault="00C5531F" w:rsidP="00775270">
      <w:pPr>
        <w:pStyle w:val="Heading4"/>
        <w:spacing w:line="480" w:lineRule="auto"/>
      </w:pPr>
      <w:bookmarkStart w:id="92" w:name="_voez9h3t4fmp" w:colFirst="0" w:colLast="0"/>
      <w:bookmarkEnd w:id="92"/>
      <w:r w:rsidRPr="006C1E51">
        <w:t>Resource distribution</w:t>
      </w:r>
    </w:p>
    <w:p w14:paraId="000000E0"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Through mobile digitization tools, archival training, stipends, subgrants, youth wages, and shared equipment, Chesapeake Heartland redistributes institutional resources directly to community partners. This approach addresses historical resource imbalances by placing tools of preservation and interpretation in the hands of descendant communities. Resource-sharing is not symbolic. It actively expands local interpretive capacity and ensures the benefits of grant funding circulate widely across the region.</w:t>
      </w:r>
    </w:p>
    <w:p w14:paraId="000000E1" w14:textId="77777777" w:rsidR="0006233B" w:rsidRPr="006C1E51" w:rsidRDefault="00C5531F" w:rsidP="00775270">
      <w:pPr>
        <w:pStyle w:val="Heading4"/>
        <w:spacing w:line="480" w:lineRule="auto"/>
      </w:pPr>
      <w:bookmarkStart w:id="93" w:name="_g7lhgkuhw3" w:colFirst="0" w:colLast="0"/>
      <w:bookmarkEnd w:id="93"/>
      <w:r w:rsidRPr="006C1E51">
        <w:t>Democratic governance</w:t>
      </w:r>
    </w:p>
    <w:p w14:paraId="000000E2"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Governance occurs through listening sessions, advisory groups, community historian leadership, and iterative consultation, allowing a broad network of stakeholders to influence decisions. While Washington College provides administrative structure, interpretive and community-facing decisions emerge through dialogue and shared deliberation with individuals </w:t>
      </w:r>
      <w:r w:rsidRPr="006C1E51">
        <w:rPr>
          <w:rFonts w:ascii="Times New Roman" w:hAnsi="Times New Roman" w:cs="Times New Roman"/>
          <w:sz w:val="24"/>
          <w:szCs w:val="24"/>
        </w:rPr>
        <w:lastRenderedPageBreak/>
        <w:t>who contribute materials to the digital archive. This distributed governance model reflects CHC principles by balancing institutional accountability with community-defined direction.</w:t>
      </w:r>
    </w:p>
    <w:p w14:paraId="000000E3" w14:textId="77777777" w:rsidR="0006233B" w:rsidRPr="006C1E51" w:rsidRDefault="00C5531F" w:rsidP="00775270">
      <w:pPr>
        <w:pStyle w:val="Heading4"/>
        <w:spacing w:line="480" w:lineRule="auto"/>
      </w:pPr>
      <w:bookmarkStart w:id="94" w:name="_b9jh2ne9n12u" w:colFirst="0" w:colLast="0"/>
      <w:bookmarkEnd w:id="94"/>
      <w:r w:rsidRPr="006C1E51">
        <w:t>Shared experience</w:t>
      </w:r>
    </w:p>
    <w:p w14:paraId="000000E4" w14:textId="0B9E6BBF"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Intergenerational collaboration is fundamental to Chesapeake Heartland’s structure. Elders contribute memory, cultural grounding, and guidance; teenagers contribute creativity, digital fluency, and labor; archivists and historians contribute methodological and interpretive expertise. Shared experience emerges as a relational process where folks digitize together, interpret together, and build cultural knowledge as a community. This strengthens continuity and deepens community trust</w:t>
      </w:r>
      <w:r w:rsidR="00C044FE" w:rsidRPr="006C1E51">
        <w:rPr>
          <w:rFonts w:ascii="Times New Roman" w:hAnsi="Times New Roman" w:cs="Times New Roman"/>
          <w:sz w:val="24"/>
          <w:szCs w:val="24"/>
        </w:rPr>
        <w:t xml:space="preserve">. Furthermore, the Eastern Shore way of life carries shared meanings and experiences across village enclaves, workplaces, churches, and families. These shared experiences create a common language through which memory, labor, and belonging are understood across the region. </w:t>
      </w:r>
      <w:r w:rsidRPr="006C1E51">
        <w:rPr>
          <w:rFonts w:ascii="Times New Roman" w:hAnsi="Times New Roman" w:cs="Times New Roman"/>
          <w:sz w:val="24"/>
          <w:szCs w:val="24"/>
        </w:rPr>
        <w:t xml:space="preserve">Every time a new artifact makes it ways to the archive, another voice joins in the co-creation of shared narratives that reflect how people have existed and develop their sense of place over time. </w:t>
      </w:r>
    </w:p>
    <w:p w14:paraId="000000E5" w14:textId="77777777" w:rsidR="0006233B" w:rsidRPr="006C1E51" w:rsidRDefault="00C5531F" w:rsidP="00775270">
      <w:pPr>
        <w:pStyle w:val="Heading4"/>
        <w:spacing w:line="480" w:lineRule="auto"/>
      </w:pPr>
      <w:bookmarkStart w:id="95" w:name="_x0zrupbq6ld7" w:colFirst="0" w:colLast="0"/>
      <w:bookmarkEnd w:id="95"/>
      <w:r w:rsidRPr="006C1E51">
        <w:t>Equity and justice orientation</w:t>
      </w:r>
    </w:p>
    <w:p w14:paraId="000000E6" w14:textId="29B4C91C" w:rsidR="0006233B" w:rsidRPr="006C1E51" w:rsidRDefault="00F60E8C"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w:t>
      </w:r>
      <w:r w:rsidR="00C044FE" w:rsidRPr="006C1E51">
        <w:rPr>
          <w:rFonts w:ascii="Times New Roman" w:hAnsi="Times New Roman" w:cs="Times New Roman"/>
          <w:sz w:val="24"/>
          <w:szCs w:val="24"/>
        </w:rPr>
        <w:t xml:space="preserve">he project explicitly confronts historical erasure by reclaiming overlooked memories and returning them to communities through digital and physical exhibitions, community presentations, and other public platforms. In doing so, it documents lives long excluded from formal archives and creates interpretive spaces that hold both joy and trauma. This work is guided by community-defined operating principles: creating platforms for community interpretation; supporting local schools, nonprofits, and Black-led businesses; fostering cross-generational and interracial dialogue; engaging, employing, and training local teenagers; </w:t>
      </w:r>
      <w:r w:rsidR="00C044FE" w:rsidRPr="006C1E51">
        <w:rPr>
          <w:rFonts w:ascii="Times New Roman" w:hAnsi="Times New Roman" w:cs="Times New Roman"/>
          <w:sz w:val="24"/>
          <w:szCs w:val="24"/>
        </w:rPr>
        <w:lastRenderedPageBreak/>
        <w:t xml:space="preserve">documenting everyday joy alongside injustice and activism; and naming how racism has operated historically while actively working to undo it in the present. </w:t>
      </w:r>
      <w:r w:rsidRPr="006C1E51">
        <w:rPr>
          <w:rFonts w:ascii="Times New Roman" w:hAnsi="Times New Roman" w:cs="Times New Roman"/>
          <w:sz w:val="24"/>
          <w:szCs w:val="24"/>
        </w:rPr>
        <w:t>More than 75 percent of the project’s funding has been reinvested directly in the community through paid internships, subgrants, and honoraria for subject-matter advisors. Equity within Chesapeake Heartland is structural by design, built into how resources, authority, and narrative control are shared from the outset.</w:t>
      </w:r>
    </w:p>
    <w:p w14:paraId="000000E7" w14:textId="77777777" w:rsidR="0006233B" w:rsidRPr="006C1E51" w:rsidRDefault="00C5531F" w:rsidP="00775270">
      <w:pPr>
        <w:pStyle w:val="Heading4"/>
        <w:spacing w:line="480" w:lineRule="auto"/>
      </w:pPr>
      <w:bookmarkStart w:id="96" w:name="_1ztbh2prid24" w:colFirst="0" w:colLast="0"/>
      <w:bookmarkEnd w:id="96"/>
      <w:r w:rsidRPr="006C1E51">
        <w:t>Cooperative resource development</w:t>
      </w:r>
    </w:p>
    <w:p w14:paraId="000000E8" w14:textId="6FB5BA30"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Funding from the Mellon Foundation, the National Historical Publications and Records Commission and others is deployed cooperatively across organizations, rather than concentrated at Washington College. Community historian positions, mobile infrastructure, and shared staffing pools distribute economic and cultural capital. Chesapeake Heartland has raised money to share interns and contractual resources with small cultural organizations to support their staffing capacity as well. This model reflects historic Black cooperative economic traditions in which pooled resources strengthen collective wellbeing.</w:t>
      </w:r>
    </w:p>
    <w:p w14:paraId="000000E9" w14:textId="77777777" w:rsidR="0006233B" w:rsidRPr="006C1E51" w:rsidRDefault="00C5531F" w:rsidP="00775270">
      <w:pPr>
        <w:pStyle w:val="Heading4"/>
        <w:spacing w:line="480" w:lineRule="auto"/>
      </w:pPr>
      <w:bookmarkStart w:id="97" w:name="_1avs9xd0ez4w" w:colFirst="0" w:colLast="0"/>
      <w:bookmarkEnd w:id="97"/>
      <w:r w:rsidRPr="006C1E51">
        <w:t>Shared language and practice</w:t>
      </w:r>
    </w:p>
    <w:p w14:paraId="000000EA" w14:textId="67D57796" w:rsidR="0006233B" w:rsidRPr="006C1E51" w:rsidRDefault="00B17F7C"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As these shared experiences accumulate, the CHC process intentionally cultivates a shared language. Partner organizations and community members begin to develop common terms, reference points, and ways of naming their lived experiences on Maryland’s Eastern Shore. This shared vocabulary does not replace difference; it enables coordination, mutual recognition, and collective action across communities. Each new artifact added to the digital archive strengthens this shared language, scaling the narrative power of the collective while reinforcing a cooperative identity rooted in place, experience, and shared purpose.</w:t>
      </w:r>
    </w:p>
    <w:p w14:paraId="000000EB" w14:textId="77777777" w:rsidR="0006233B" w:rsidRPr="006C1E51" w:rsidRDefault="00C5531F" w:rsidP="00775270">
      <w:pPr>
        <w:pStyle w:val="Heading3"/>
      </w:pPr>
      <w:bookmarkStart w:id="98" w:name="_Toc220011110"/>
      <w:r w:rsidRPr="006C1E51">
        <w:lastRenderedPageBreak/>
        <w:t>Analysis Based on Research Questions</w:t>
      </w:r>
      <w:bookmarkEnd w:id="98"/>
    </w:p>
    <w:p w14:paraId="000000EC" w14:textId="77777777" w:rsidR="0006233B" w:rsidRPr="006C1E51" w:rsidRDefault="00C5531F" w:rsidP="00775270">
      <w:pPr>
        <w:pStyle w:val="Heading4"/>
        <w:spacing w:line="480" w:lineRule="auto"/>
      </w:pPr>
      <w:bookmarkStart w:id="99" w:name="_x9h6k62up09a" w:colFirst="0" w:colLast="0"/>
      <w:bookmarkEnd w:id="99"/>
      <w:r w:rsidRPr="006C1E51">
        <w:t>Structural and Financial Mechanisms</w:t>
      </w:r>
    </w:p>
    <w:p w14:paraId="000000ED"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Chesapeake Heartland’s structure is anchored by multi-year grants and institutional support, enabling the project to employ youth, maintain local community historian and staff roles, sustain community digitization, and develop interpretive materials. While these structures foster innovation and collaboration, reliance on grant funding makes long-term sustainability uncertain. Without cooperative financing or diversified revenue sources, the project faces cycles of expansion and vulnerability typical of grant-funded models.</w:t>
      </w:r>
    </w:p>
    <w:p w14:paraId="000000EE" w14:textId="77777777" w:rsidR="0006233B" w:rsidRPr="006C1E51" w:rsidRDefault="00C5531F" w:rsidP="00775270">
      <w:pPr>
        <w:pStyle w:val="Heading4"/>
        <w:spacing w:line="480" w:lineRule="auto"/>
      </w:pPr>
      <w:bookmarkStart w:id="100" w:name="_zaphtm7cublm" w:colFirst="0" w:colLast="0"/>
      <w:bookmarkEnd w:id="100"/>
      <w:r w:rsidRPr="006C1E51">
        <w:t>Resource Distribution and Barriers to Equity</w:t>
      </w:r>
    </w:p>
    <w:p w14:paraId="000000EF"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Although digitization tools, training, stipends, and subgrants circulate equitably, disparities in capacity—such as broadband access, staffing shortages, or limited facilities—affect partners’ ability to benefit fully. Equal distribution does not equalize structural inequities. Addressing these disparities requires tailored support and long-term cooperative capacity-building.</w:t>
      </w:r>
    </w:p>
    <w:p w14:paraId="000000F0" w14:textId="77777777" w:rsidR="0006233B" w:rsidRPr="006C1E51" w:rsidRDefault="00C5531F" w:rsidP="00775270">
      <w:pPr>
        <w:pStyle w:val="Heading4"/>
        <w:spacing w:line="480" w:lineRule="auto"/>
      </w:pPr>
      <w:bookmarkStart w:id="101" w:name="_vgo2lqaj3z8n" w:colFirst="0" w:colLast="0"/>
      <w:bookmarkEnd w:id="101"/>
      <w:r w:rsidRPr="006C1E51">
        <w:t>Stakeholders and Governance</w:t>
      </w:r>
    </w:p>
    <w:p w14:paraId="000000F1"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Stakeholders include descendant families, students, partner organizations, churches, educators, and national institutions. Governance is collaborative, but institutional oversight at Washington College introduces procedural constraints that may not align with community timelines or expectations. Hybrid governance models are necessary to balance institutional accountability with community authority.</w:t>
      </w:r>
    </w:p>
    <w:p w14:paraId="000000F2" w14:textId="77777777" w:rsidR="0006233B" w:rsidRPr="006C1E51" w:rsidRDefault="00C5531F" w:rsidP="00775270">
      <w:pPr>
        <w:pStyle w:val="Heading4"/>
        <w:spacing w:line="480" w:lineRule="auto"/>
      </w:pPr>
      <w:bookmarkStart w:id="102" w:name="_1qf7sb1pif1i" w:colFirst="0" w:colLast="0"/>
      <w:bookmarkEnd w:id="102"/>
      <w:r w:rsidRPr="006C1E51">
        <w:lastRenderedPageBreak/>
        <w:t>Relevance to Heritage Communities of Practice</w:t>
      </w:r>
    </w:p>
    <w:p w14:paraId="000000F3"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Chesapeake Heartland reflects a heritage community of practice where stakeholders learn together through shared labor—digitizing, interpreting, and sharing history. Knowledge is transferred through practice, as well as formal instruction, aligning with principles of mutual engagement and collective learning. Community consent shapes interpretive ethics.</w:t>
      </w:r>
    </w:p>
    <w:p w14:paraId="000000F4" w14:textId="77777777" w:rsidR="0006233B" w:rsidRPr="006C1E51" w:rsidRDefault="00C5531F" w:rsidP="00775270">
      <w:pPr>
        <w:pStyle w:val="Heading4"/>
        <w:spacing w:line="480" w:lineRule="auto"/>
      </w:pPr>
      <w:bookmarkStart w:id="103" w:name="_jbfpz8am6kni" w:colFirst="0" w:colLast="0"/>
      <w:bookmarkEnd w:id="103"/>
      <w:r w:rsidRPr="006C1E51">
        <w:t>Balancing Preservation, Economic Empowerment, and Sustainability</w:t>
      </w:r>
    </w:p>
    <w:p w14:paraId="000000F5"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project combines cultural preservation with economic empowerment by paying youth, compensating community historians, and distributing subgrants to community partners. However, long-term sustainability requires cooperative financing to reduce reliance on temporary funding cycles. Preservation cannot depend solely on soft-money grants. The project needs to be careful about creating new projects that don’t have long-term funding.</w:t>
      </w:r>
    </w:p>
    <w:p w14:paraId="000000F6" w14:textId="77777777" w:rsidR="0006233B" w:rsidRPr="006C1E51" w:rsidRDefault="00C5531F" w:rsidP="00775270">
      <w:pPr>
        <w:pStyle w:val="Heading4"/>
        <w:spacing w:line="480" w:lineRule="auto"/>
      </w:pPr>
      <w:bookmarkStart w:id="104" w:name="_cno15cj91s3e" w:colFirst="0" w:colLast="0"/>
      <w:bookmarkEnd w:id="104"/>
      <w:r w:rsidRPr="006C1E51">
        <w:t>Implications for the CHC Framework</w:t>
      </w:r>
    </w:p>
    <w:p w14:paraId="000000F7"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Chesapeake Heartland demonstrates that cooperative heritage work must be rooted in descendant authority, shared resources, and community-defined values. At the same time, its reliance on grant funding underscores the need for cooperative financing and long-term infrastructure to sustain this model. CHCs must integrate both cultural and economic strategies tailored to community inputs and opportunities to remain viable.</w:t>
      </w:r>
    </w:p>
    <w:p w14:paraId="000000F8" w14:textId="7634ACB5" w:rsidR="0006233B" w:rsidRPr="006C1E51" w:rsidRDefault="00C5531F" w:rsidP="00775270">
      <w:pPr>
        <w:pStyle w:val="Heading2"/>
        <w:keepNext w:val="0"/>
        <w:keepLines w:val="0"/>
        <w:spacing w:before="480" w:line="480" w:lineRule="auto"/>
        <w:rPr>
          <w:rFonts w:ascii="Times New Roman" w:hAnsi="Times New Roman" w:cs="Times New Roman"/>
        </w:rPr>
      </w:pPr>
      <w:bookmarkStart w:id="105" w:name="_Toc220011111"/>
      <w:r w:rsidRPr="006C1E51">
        <w:rPr>
          <w:rFonts w:ascii="Times New Roman" w:hAnsi="Times New Roman" w:cs="Times New Roman"/>
        </w:rPr>
        <w:t>Case Study 2: Knoxville Reanimation Coalition - Community Stewardship and Cooperative Cemetery Restoration</w:t>
      </w:r>
      <w:bookmarkEnd w:id="105"/>
    </w:p>
    <w:p w14:paraId="000000F9" w14:textId="77777777" w:rsidR="0006233B" w:rsidRPr="006C1E51" w:rsidRDefault="00C5531F" w:rsidP="00775270">
      <w:pPr>
        <w:pStyle w:val="Heading3"/>
      </w:pPr>
      <w:bookmarkStart w:id="106" w:name="_77i61t79zjcz" w:colFirst="0" w:colLast="0"/>
      <w:bookmarkStart w:id="107" w:name="_Toc220011112"/>
      <w:bookmarkEnd w:id="106"/>
      <w:r w:rsidRPr="006C1E51">
        <w:lastRenderedPageBreak/>
        <w:t>Cooperative Model and Operating Context</w:t>
      </w:r>
      <w:bookmarkEnd w:id="107"/>
    </w:p>
    <w:p w14:paraId="000000FA" w14:textId="3DCC3A75"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Knoxville</w:t>
      </w:r>
      <w:r w:rsidR="00B17F7C" w:rsidRPr="006C1E51">
        <w:rPr>
          <w:rFonts w:ascii="Times New Roman" w:hAnsi="Times New Roman" w:cs="Times New Roman"/>
          <w:sz w:val="24"/>
          <w:szCs w:val="24"/>
        </w:rPr>
        <w:t xml:space="preserve"> </w:t>
      </w:r>
      <w:r w:rsidRPr="006C1E51">
        <w:rPr>
          <w:rFonts w:ascii="Times New Roman" w:hAnsi="Times New Roman" w:cs="Times New Roman"/>
          <w:sz w:val="24"/>
          <w:szCs w:val="24"/>
        </w:rPr>
        <w:t>Reanimation Coalition (KRC) operates in East Knoxville, Tennessee, a historically Black community shaped by deep kinship networks, strong church traditions, and a long pattern of resilience amid systemic inequity. For decades, historic African American cemeteries such as Odd Fellows Cemetery and Good Citizens (also known as Citizens or Eastport Cemetery) were severely neglected—overgrown with invasive vegetation, filled with sunken graves, and stripped of visible historical identity. These cemeteries contain the remains of enslaved ancestors, post–Civil War landowners, civic leaders, veterans, educators, and community builders. Their deterioration reflects broader racialized patterns of abandonment and the marginalization of Black sacred spaces. Within this context, cemetery restoration becomes a form of cultural reclamation, narrative repair, and historical justice.</w:t>
      </w:r>
    </w:p>
    <w:p w14:paraId="000000FB" w14:textId="5652CC09"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I learned about KRC through a Goucher cohort-mate’s thesis presentation, Cory France, and their work resonated deeply with me. Though we grew up in different states, we shared similar rural Black upbringings—where place, ancestry, labor, and community memory shaped our identities. </w:t>
      </w:r>
      <w:r w:rsidR="00137134" w:rsidRPr="006C1E51">
        <w:rPr>
          <w:rFonts w:ascii="Times New Roman" w:hAnsi="Times New Roman" w:cs="Times New Roman"/>
          <w:sz w:val="24"/>
          <w:szCs w:val="24"/>
        </w:rPr>
        <w:t>Knoxville’s community-driven response to cemetery neglect mirrors challenges on Maryland’s Eastern Shore, where burial grounds and cultural sites have also suffered loss through neglect, lack of recognition, displacement by new housing development, and environmental threats such as flooding</w:t>
      </w:r>
      <w:r w:rsidR="002A7ACB" w:rsidRPr="006C1E51">
        <w:rPr>
          <w:rFonts w:ascii="Times New Roman" w:hAnsi="Times New Roman" w:cs="Times New Roman"/>
          <w:sz w:val="24"/>
          <w:szCs w:val="24"/>
        </w:rPr>
        <w:t xml:space="preserve"> (see fig. 19)</w:t>
      </w:r>
      <w:r w:rsidR="00137134" w:rsidRPr="006C1E51">
        <w:rPr>
          <w:rFonts w:ascii="Times New Roman" w:hAnsi="Times New Roman" w:cs="Times New Roman"/>
          <w:sz w:val="24"/>
          <w:szCs w:val="24"/>
        </w:rPr>
        <w:t xml:space="preserve">. </w:t>
      </w:r>
      <w:r w:rsidRPr="006C1E51">
        <w:rPr>
          <w:rFonts w:ascii="Times New Roman" w:hAnsi="Times New Roman" w:cs="Times New Roman"/>
          <w:sz w:val="24"/>
          <w:szCs w:val="24"/>
        </w:rPr>
        <w:t>I chose this case because it reflects how cooperative heritage work emerges organically from descendant communities and because it demonstrates how collective labor, shared authority, and intergenerational collaboration can restore dignity to cultural landscapes when institutional systems fall short.</w:t>
      </w:r>
    </w:p>
    <w:p w14:paraId="0C6A4BF3" w14:textId="77777777" w:rsidR="00137134" w:rsidRPr="006C1E51" w:rsidRDefault="00137134" w:rsidP="00775270">
      <w:pPr>
        <w:keepNext/>
        <w:spacing w:before="240" w:after="240" w:line="480" w:lineRule="auto"/>
        <w:rPr>
          <w:rFonts w:ascii="Times New Roman" w:hAnsi="Times New Roman" w:cs="Times New Roman"/>
          <w:sz w:val="24"/>
          <w:szCs w:val="24"/>
        </w:rPr>
      </w:pPr>
      <w:r w:rsidRPr="006C1E51">
        <w:rPr>
          <w:rFonts w:ascii="Times New Roman" w:hAnsi="Times New Roman" w:cs="Times New Roman"/>
          <w:sz w:val="24"/>
          <w:szCs w:val="24"/>
        </w:rPr>
        <w:lastRenderedPageBreak/>
        <w:fldChar w:fldCharType="begin"/>
      </w:r>
      <w:r w:rsidRPr="006C1E51">
        <w:rPr>
          <w:rFonts w:ascii="Times New Roman" w:hAnsi="Times New Roman" w:cs="Times New Roman"/>
          <w:sz w:val="24"/>
          <w:szCs w:val="24"/>
        </w:rPr>
        <w:instrText xml:space="preserve"> INCLUDEPICTURE "https://media.wusa9.com/assets/WUSA/images/116a3eed-6121-44a6-971c-e42eef4425d6/116a3eed-6121-44a6-971c-e42eef4425d6_750x422.jpg" \* MERGEFORMATINET </w:instrText>
      </w:r>
      <w:r w:rsidRPr="006C1E51">
        <w:rPr>
          <w:rFonts w:ascii="Times New Roman" w:hAnsi="Times New Roman" w:cs="Times New Roman"/>
          <w:sz w:val="24"/>
          <w:szCs w:val="24"/>
        </w:rPr>
        <w:fldChar w:fldCharType="separate"/>
      </w:r>
      <w:r w:rsidRPr="006C1E51">
        <w:rPr>
          <w:rFonts w:ascii="Times New Roman" w:hAnsi="Times New Roman" w:cs="Times New Roman"/>
          <w:noProof/>
          <w:sz w:val="24"/>
          <w:szCs w:val="24"/>
        </w:rPr>
        <w:drawing>
          <wp:inline distT="0" distB="0" distL="0" distR="0" wp14:anchorId="2C7205A8" wp14:editId="4840FAE8">
            <wp:extent cx="5943600" cy="3345180"/>
            <wp:effectExtent l="0" t="0" r="0" b="0"/>
            <wp:docPr id="356984180" name="Picture 5" descr="A close-up of a coffi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984180" name="Picture 5" descr="A close-up of a coffin&#10;&#10;AI-generated content may be incorrect."/>
                    <pic:cNvPicPr>
                      <a:picLocks noChangeAspect="1" noChangeArrowheads="1"/>
                    </pic:cNvPicPr>
                  </pic:nvPicPr>
                  <pic:blipFill>
                    <a:blip r:embed="rId33" cstate="email">
                      <a:extLst>
                        <a:ext uri="{28A0092B-C50C-407E-A947-70E740481C1C}">
                          <a14:useLocalDpi xmlns:a14="http://schemas.microsoft.com/office/drawing/2010/main"/>
                        </a:ext>
                      </a:extLst>
                    </a:blip>
                    <a:srcRect/>
                    <a:stretch>
                      <a:fillRect/>
                    </a:stretch>
                  </pic:blipFill>
                  <pic:spPr bwMode="auto">
                    <a:xfrm>
                      <a:off x="0" y="0"/>
                      <a:ext cx="5943600" cy="3345180"/>
                    </a:xfrm>
                    <a:prstGeom prst="rect">
                      <a:avLst/>
                    </a:prstGeom>
                    <a:noFill/>
                    <a:ln>
                      <a:noFill/>
                    </a:ln>
                  </pic:spPr>
                </pic:pic>
              </a:graphicData>
            </a:graphic>
          </wp:inline>
        </w:drawing>
      </w:r>
      <w:r w:rsidRPr="006C1E51">
        <w:rPr>
          <w:rFonts w:ascii="Times New Roman" w:hAnsi="Times New Roman" w:cs="Times New Roman"/>
          <w:sz w:val="24"/>
          <w:szCs w:val="24"/>
        </w:rPr>
        <w:fldChar w:fldCharType="end"/>
      </w:r>
    </w:p>
    <w:p w14:paraId="7ED38E9C" w14:textId="0D462852" w:rsidR="00137134" w:rsidRPr="006C1E51" w:rsidRDefault="00137134" w:rsidP="00F50E4B">
      <w:pPr>
        <w:pStyle w:val="Caption"/>
      </w:pPr>
      <w:bookmarkStart w:id="108" w:name="_Toc220011014"/>
      <w:r w:rsidRPr="006C1E51">
        <w:t xml:space="preserve">Figure </w:t>
      </w:r>
      <w:r w:rsidR="0044768F" w:rsidRPr="006C1E51">
        <w:fldChar w:fldCharType="begin"/>
      </w:r>
      <w:r w:rsidR="0044768F" w:rsidRPr="006C1E51">
        <w:instrText xml:space="preserve"> SEQ Figure \* ARABIC </w:instrText>
      </w:r>
      <w:r w:rsidR="0044768F" w:rsidRPr="006C1E51">
        <w:fldChar w:fldCharType="separate"/>
      </w:r>
      <w:r w:rsidR="00C63ED1" w:rsidRPr="006C1E51">
        <w:rPr>
          <w:noProof/>
        </w:rPr>
        <w:t>19</w:t>
      </w:r>
      <w:r w:rsidR="0044768F" w:rsidRPr="006C1E51">
        <w:rPr>
          <w:noProof/>
        </w:rPr>
        <w:fldChar w:fldCharType="end"/>
      </w:r>
      <w:r w:rsidRPr="006C1E51">
        <w:t>. A bayside African American cemetery on Hoopers Island in Dorchester County, Maryland, collapses into the Chesapeake Bay</w:t>
      </w:r>
      <w:r w:rsidR="006F0F0E" w:rsidRPr="006C1E51">
        <w:t>.</w:t>
      </w:r>
      <w:bookmarkEnd w:id="108"/>
    </w:p>
    <w:p w14:paraId="000000FC" w14:textId="77777777" w:rsidR="0006233B" w:rsidRPr="006C1E51" w:rsidRDefault="00C5531F" w:rsidP="00775270">
      <w:pPr>
        <w:pStyle w:val="Heading3"/>
      </w:pPr>
      <w:bookmarkStart w:id="109" w:name="_8gqmbcz1v8li" w:colFirst="0" w:colLast="0"/>
      <w:bookmarkStart w:id="110" w:name="_Toc220011113"/>
      <w:bookmarkEnd w:id="109"/>
      <w:r w:rsidRPr="006C1E51">
        <w:t>Alignment With CHC Principles</w:t>
      </w:r>
      <w:bookmarkEnd w:id="110"/>
    </w:p>
    <w:p w14:paraId="000000FD" w14:textId="77777777" w:rsidR="0006233B" w:rsidRPr="006C1E51" w:rsidRDefault="00C5531F" w:rsidP="00775270">
      <w:pPr>
        <w:pStyle w:val="Heading4"/>
        <w:spacing w:line="480" w:lineRule="auto"/>
      </w:pPr>
      <w:bookmarkStart w:id="111" w:name="_okyzgx7rjxts" w:colFirst="0" w:colLast="0"/>
      <w:bookmarkEnd w:id="111"/>
      <w:r w:rsidRPr="006C1E51">
        <w:t>Shared ownership</w:t>
      </w:r>
    </w:p>
    <w:p w14:paraId="000000FE"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KRC’s restoration work is led by descendants and long-standing community residents who define restoration priorities and guide volunteer activities. Ownership is expressed through decision-making authority and through the coalition’s commitment to giving descendants the central voice in how cemeteries are cared for and interpreted. This structure ensures that cultural stewardship resides with those whose ancestors are buried in these sacred spaces.</w:t>
      </w:r>
    </w:p>
    <w:p w14:paraId="000000FF" w14:textId="77777777" w:rsidR="0006233B" w:rsidRPr="006C1E51" w:rsidRDefault="00C5531F" w:rsidP="00775270">
      <w:pPr>
        <w:pStyle w:val="Heading4"/>
        <w:spacing w:line="480" w:lineRule="auto"/>
      </w:pPr>
      <w:bookmarkStart w:id="112" w:name="_qiuzow7csr4e" w:colFirst="0" w:colLast="0"/>
      <w:bookmarkEnd w:id="112"/>
      <w:r w:rsidRPr="006C1E51">
        <w:lastRenderedPageBreak/>
        <w:t>Resource distribution</w:t>
      </w:r>
    </w:p>
    <w:p w14:paraId="00000100"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Tools, equipment, transportation, mapping technologies, and supplies circulate among institutional partners, volunteer groups, fraternities, churches, and families. This collaborative exchange allows under-resourced community members to access preservation infrastructure traditionally held by municipal or academic institutions.</w:t>
      </w:r>
      <w:r w:rsidRPr="006C1E51">
        <w:rPr>
          <w:rFonts w:ascii="Times New Roman" w:hAnsi="Times New Roman" w:cs="Times New Roman"/>
          <w:sz w:val="24"/>
          <w:szCs w:val="24"/>
          <w:vertAlign w:val="superscript"/>
        </w:rPr>
        <w:footnoteReference w:id="111"/>
      </w:r>
      <w:r w:rsidRPr="006C1E51">
        <w:rPr>
          <w:rFonts w:ascii="Times New Roman" w:hAnsi="Times New Roman" w:cs="Times New Roman"/>
          <w:sz w:val="24"/>
          <w:szCs w:val="24"/>
        </w:rPr>
        <w:t xml:space="preserve"> Resource distribution becomes a practical act of equity rather than symbolic support.</w:t>
      </w:r>
    </w:p>
    <w:p w14:paraId="00000101" w14:textId="77777777" w:rsidR="0006233B" w:rsidRPr="006C1E51" w:rsidRDefault="00C5531F" w:rsidP="00775270">
      <w:pPr>
        <w:pStyle w:val="Heading4"/>
        <w:spacing w:line="480" w:lineRule="auto"/>
      </w:pPr>
      <w:bookmarkStart w:id="113" w:name="_t4b7f7mwhwbs" w:colFirst="0" w:colLast="0"/>
      <w:bookmarkEnd w:id="113"/>
      <w:r w:rsidRPr="006C1E51">
        <w:t>Democratic governance</w:t>
      </w:r>
    </w:p>
    <w:p w14:paraId="00000102"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Governance within KRC is community-driven, with leaders like George Kemp and longtime residents coordinating activities and cultivating broad input. Decisions are made through grassroots informal, yet participatory processes and through ongoing dialogue with families and volunteers. Although the coalition collaborates with city agencies and university departments, it maintains governance practices grounded in community values rather than institutional mandates.</w:t>
      </w:r>
    </w:p>
    <w:p w14:paraId="00000103" w14:textId="77777777" w:rsidR="0006233B" w:rsidRPr="006C1E51" w:rsidRDefault="00C5531F" w:rsidP="00775270">
      <w:pPr>
        <w:pStyle w:val="Heading4"/>
        <w:spacing w:line="480" w:lineRule="auto"/>
      </w:pPr>
      <w:bookmarkStart w:id="114" w:name="_baopq11a6ypq" w:colFirst="0" w:colLast="0"/>
      <w:bookmarkEnd w:id="114"/>
      <w:r w:rsidRPr="006C1E51">
        <w:t>Shared experience</w:t>
      </w:r>
    </w:p>
    <w:p w14:paraId="00000104"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Cemetery restoration becomes an intergenerational experience in which elders, youth, students, church groups, local historians, and residents work alongside one another. Volunteers learn to map graves, clear pathways, reset markers, and research buried individuals, creating </w:t>
      </w:r>
      <w:r w:rsidRPr="006C1E51">
        <w:rPr>
          <w:rFonts w:ascii="Times New Roman" w:hAnsi="Times New Roman" w:cs="Times New Roman"/>
          <w:sz w:val="24"/>
          <w:szCs w:val="24"/>
        </w:rPr>
        <w:lastRenderedPageBreak/>
        <w:t>shared emotional and educational experiences. This cooperative labor builds community bonds and embeds learning within lived experience.</w:t>
      </w:r>
    </w:p>
    <w:p w14:paraId="00000105" w14:textId="77777777" w:rsidR="0006233B" w:rsidRPr="006C1E51" w:rsidRDefault="00C5531F" w:rsidP="00775270">
      <w:pPr>
        <w:pStyle w:val="Heading4"/>
        <w:spacing w:line="480" w:lineRule="auto"/>
      </w:pPr>
      <w:bookmarkStart w:id="115" w:name="_cfw67zbl2mbs" w:colFirst="0" w:colLast="0"/>
      <w:bookmarkEnd w:id="115"/>
      <w:r w:rsidRPr="006C1E51">
        <w:t>Equity and justice orientation</w:t>
      </w:r>
    </w:p>
    <w:p w14:paraId="00000106" w14:textId="28B2706C" w:rsidR="0006233B" w:rsidRPr="006C1E51" w:rsidRDefault="00137134"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KRC’s mission responds directly to the conditions that produced racialized disinvestment and heritage erasure. By restoring Black cemeteries that endured decades of neglect in its many forms, the coalition confronts the structural, political, and social forces that made abandonment possible in the first place. Their work affirms that Black cultural landscapes deserve dignity and care, and that restoring sacred spaces requires addressing the same conditions—policy, power, and neglect—that once allowed them to be forgotten.</w:t>
      </w:r>
    </w:p>
    <w:p w14:paraId="00000107" w14:textId="77777777" w:rsidR="0006233B" w:rsidRPr="006C1E51" w:rsidRDefault="00C5531F" w:rsidP="00775270">
      <w:pPr>
        <w:pStyle w:val="Heading4"/>
        <w:spacing w:line="480" w:lineRule="auto"/>
      </w:pPr>
      <w:bookmarkStart w:id="116" w:name="_cwtkuo7nmbj5" w:colFirst="0" w:colLast="0"/>
      <w:bookmarkEnd w:id="116"/>
      <w:r w:rsidRPr="006C1E51">
        <w:t>Cooperative resource development</w:t>
      </w:r>
    </w:p>
    <w:p w14:paraId="00000108"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KRC leverages partnerships with municipal departments, universities, nonprofits, volunteer organizations, and philanthropic supporters. These relationships facilitate the pooling of equipment, technical expertise, and volunteer labor that no single entity could sustain alone. Cooperative resource development becomes both a practical necessity and a cultural ethic.</w:t>
      </w:r>
    </w:p>
    <w:p w14:paraId="00000109" w14:textId="77777777" w:rsidR="0006233B" w:rsidRPr="006C1E51" w:rsidRDefault="00C5531F" w:rsidP="00775270">
      <w:pPr>
        <w:pStyle w:val="Heading4"/>
        <w:spacing w:line="480" w:lineRule="auto"/>
      </w:pPr>
      <w:bookmarkStart w:id="117" w:name="_xo3nii3jhoba" w:colFirst="0" w:colLast="0"/>
      <w:bookmarkEnd w:id="117"/>
      <w:r w:rsidRPr="006C1E51">
        <w:t>Shared language and practice</w:t>
      </w:r>
    </w:p>
    <w:p w14:paraId="0000010A" w14:textId="1E64BBFF"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Over time, volunteers develop shared practices and terminology—identifying sunken graves, mapping burial plots, researching historical figures, and documenting headstones. This shared repertoire reinforces a collective understanding of </w:t>
      </w:r>
      <w:r w:rsidR="00137134" w:rsidRPr="006C1E51">
        <w:rPr>
          <w:rFonts w:ascii="Times New Roman" w:hAnsi="Times New Roman" w:cs="Times New Roman"/>
          <w:sz w:val="24"/>
          <w:szCs w:val="24"/>
        </w:rPr>
        <w:t xml:space="preserve">historical communal actions and </w:t>
      </w:r>
      <w:r w:rsidRPr="006C1E51">
        <w:rPr>
          <w:rFonts w:ascii="Times New Roman" w:hAnsi="Times New Roman" w:cs="Times New Roman"/>
          <w:sz w:val="24"/>
          <w:szCs w:val="24"/>
        </w:rPr>
        <w:t>stewardship and develops community knowledge systems rooted in practice rather than institutional instruction.</w:t>
      </w:r>
    </w:p>
    <w:p w14:paraId="0000010B" w14:textId="77777777" w:rsidR="0006233B" w:rsidRPr="006C1E51" w:rsidRDefault="00C5531F" w:rsidP="00775270">
      <w:pPr>
        <w:pStyle w:val="Heading3"/>
      </w:pPr>
      <w:bookmarkStart w:id="118" w:name="_u6x86uuo4hge" w:colFirst="0" w:colLast="0"/>
      <w:bookmarkStart w:id="119" w:name="_Toc220011114"/>
      <w:bookmarkEnd w:id="118"/>
      <w:r w:rsidRPr="006C1E51">
        <w:lastRenderedPageBreak/>
        <w:t>Analysis Based on Research Questions</w:t>
      </w:r>
      <w:bookmarkEnd w:id="119"/>
    </w:p>
    <w:p w14:paraId="0000010C" w14:textId="77777777" w:rsidR="0006233B" w:rsidRPr="006C1E51" w:rsidRDefault="00C5531F" w:rsidP="00775270">
      <w:pPr>
        <w:pStyle w:val="Heading4"/>
        <w:spacing w:line="480" w:lineRule="auto"/>
      </w:pPr>
      <w:bookmarkStart w:id="120" w:name="_2pbjc0kjgo0g" w:colFirst="0" w:colLast="0"/>
      <w:bookmarkEnd w:id="120"/>
      <w:r w:rsidRPr="006C1E51">
        <w:t>Structural and Financial Mechanisms</w:t>
      </w:r>
    </w:p>
    <w:p w14:paraId="0000010D" w14:textId="688BEA9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KRC’s structure combines volunteer labor, municipal collaboration, modest philanthropic funding, and university partnerships. The City of Knoxville provides tools, gravel, wood chips, and occasional staff support; UT faculty contribute mapping expertise; and volunteers contribute thousands of hours of labor. While this cooperative structure is powerful, long-term financial stability remains fragile due to reliance on volunteer energy and inconsistent municipal resources.</w:t>
      </w:r>
    </w:p>
    <w:p w14:paraId="0000010E" w14:textId="77777777" w:rsidR="0006233B" w:rsidRPr="006C1E51" w:rsidRDefault="00C5531F" w:rsidP="00775270">
      <w:pPr>
        <w:pStyle w:val="Heading4"/>
        <w:spacing w:line="480" w:lineRule="auto"/>
      </w:pPr>
      <w:bookmarkStart w:id="121" w:name="_9zv2f7opq3aq" w:colFirst="0" w:colLast="0"/>
      <w:bookmarkEnd w:id="121"/>
      <w:r w:rsidRPr="006C1E51">
        <w:t>Resource Distribution and Barriers to Equity</w:t>
      </w:r>
    </w:p>
    <w:p w14:paraId="0000010F" w14:textId="7EC9E2D5"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Resources circulate across partners, but descendants and community members shoulder disproportionate emotional and physical labor. While KRC broadens access to tools and expertise, historical inequities still shape who participates and who benefits. This case reveals that cooperative resource distribution must be paired with strategies that address structural disparities, not just shar</w:t>
      </w:r>
      <w:r w:rsidR="00137134" w:rsidRPr="006C1E51">
        <w:rPr>
          <w:rFonts w:ascii="Times New Roman" w:hAnsi="Times New Roman" w:cs="Times New Roman"/>
          <w:sz w:val="24"/>
          <w:szCs w:val="24"/>
        </w:rPr>
        <w:t>ing</w:t>
      </w:r>
      <w:r w:rsidRPr="006C1E51">
        <w:rPr>
          <w:rFonts w:ascii="Times New Roman" w:hAnsi="Times New Roman" w:cs="Times New Roman"/>
          <w:sz w:val="24"/>
          <w:szCs w:val="24"/>
        </w:rPr>
        <w:t xml:space="preserve"> tools.</w:t>
      </w:r>
    </w:p>
    <w:p w14:paraId="00000110" w14:textId="77777777" w:rsidR="0006233B" w:rsidRPr="006C1E51" w:rsidRDefault="00C5531F" w:rsidP="00775270">
      <w:pPr>
        <w:pStyle w:val="Heading4"/>
        <w:spacing w:line="480" w:lineRule="auto"/>
      </w:pPr>
      <w:bookmarkStart w:id="122" w:name="_kkekoh107s4" w:colFirst="0" w:colLast="0"/>
      <w:bookmarkEnd w:id="122"/>
      <w:r w:rsidRPr="006C1E51">
        <w:t>Stakeholders and Governance</w:t>
      </w:r>
    </w:p>
    <w:p w14:paraId="00000111" w14:textId="7DCF3AC5"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Stakeholders include descendants, community residents, volunteers, UT faculty, church groups, fraternities, nonprofits, and the City of Knoxville. Governance is anchored in community leadership, but the coalition must navigate institutional constraints, such as city schedules, university calendars, and liability concerns. These tensions highlight the need for hybrid governance models that protect community authority.</w:t>
      </w:r>
    </w:p>
    <w:p w14:paraId="00000112" w14:textId="77777777" w:rsidR="0006233B" w:rsidRPr="006C1E51" w:rsidRDefault="00C5531F" w:rsidP="00775270">
      <w:pPr>
        <w:pStyle w:val="Heading4"/>
        <w:spacing w:line="480" w:lineRule="auto"/>
      </w:pPr>
      <w:bookmarkStart w:id="123" w:name="_n4bpz7s7v4k6" w:colFirst="0" w:colLast="0"/>
      <w:bookmarkEnd w:id="123"/>
      <w:r w:rsidRPr="006C1E51">
        <w:lastRenderedPageBreak/>
        <w:t>Relevance to Heritage Communities of Practice</w:t>
      </w:r>
    </w:p>
    <w:p w14:paraId="00000113" w14:textId="051A01B8"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KRC demonstrates how heritage learning emerges through doing: volunteers learn restoration techniques, cemetery history, and cultural significance through shared labor. This aligns with Wenger</w:t>
      </w:r>
      <w:r w:rsidR="00137134" w:rsidRPr="006C1E51">
        <w:rPr>
          <w:rFonts w:ascii="Times New Roman" w:hAnsi="Times New Roman" w:cs="Times New Roman"/>
          <w:sz w:val="24"/>
          <w:szCs w:val="24"/>
        </w:rPr>
        <w:t>’</w:t>
      </w:r>
      <w:r w:rsidRPr="006C1E51">
        <w:rPr>
          <w:rFonts w:ascii="Times New Roman" w:hAnsi="Times New Roman" w:cs="Times New Roman"/>
          <w:sz w:val="24"/>
          <w:szCs w:val="24"/>
        </w:rPr>
        <w:t>s model of mutual engagement and shared practice while embedding descendant ethics, cultural respect, and intergenerational learning at the center.</w:t>
      </w:r>
    </w:p>
    <w:p w14:paraId="00000114" w14:textId="77777777" w:rsidR="0006233B" w:rsidRPr="006C1E51" w:rsidRDefault="00C5531F" w:rsidP="00775270">
      <w:pPr>
        <w:pStyle w:val="Heading4"/>
        <w:spacing w:line="480" w:lineRule="auto"/>
      </w:pPr>
      <w:bookmarkStart w:id="124" w:name="_7widel2zddqz" w:colFirst="0" w:colLast="0"/>
      <w:bookmarkEnd w:id="124"/>
      <w:r w:rsidRPr="006C1E51">
        <w:t>Balancing Preservation, Economic Empowerment, and Sustainability</w:t>
      </w:r>
    </w:p>
    <w:p w14:paraId="00000115"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KRC’s model is strong in preservation and empowerment but limited in economic development, as labor is primarily voluntary. This exposes a tension: cultural labor is treated as communal obligation rather than compensated work. Long-term sustainability requires cooperative financing that compensates cultural labor and reduces burnout.</w:t>
      </w:r>
    </w:p>
    <w:p w14:paraId="00000116" w14:textId="77777777" w:rsidR="0006233B" w:rsidRPr="006C1E51" w:rsidRDefault="00C5531F" w:rsidP="00775270">
      <w:pPr>
        <w:pStyle w:val="Heading4"/>
        <w:spacing w:line="480" w:lineRule="auto"/>
      </w:pPr>
      <w:bookmarkStart w:id="125" w:name="_wtw556ch96fo" w:colFirst="0" w:colLast="0"/>
      <w:bookmarkEnd w:id="125"/>
      <w:r w:rsidRPr="006C1E51">
        <w:t>Implications for the CHC Framework</w:t>
      </w:r>
    </w:p>
    <w:p w14:paraId="00000117"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KRC reinforces core CHC principles by demonstrating how shared authority, cooperative resource exchange, and intergenerational learning restore cultural landscapes. It also highlights challenges—especially the need for sustainable funding and paid heritage labor, even when the work is personal. This case expands the CHC framework by showing the power of grassroots cooperation while underscoring the necessity of financial infrastructure to support long-term community stewardship.</w:t>
      </w:r>
    </w:p>
    <w:p w14:paraId="00000118" w14:textId="3123C03C" w:rsidR="0006233B" w:rsidRPr="006C1E51" w:rsidRDefault="00C5531F" w:rsidP="00775270">
      <w:pPr>
        <w:pStyle w:val="Heading2"/>
        <w:spacing w:line="480" w:lineRule="auto"/>
        <w:rPr>
          <w:rFonts w:ascii="Times New Roman" w:hAnsi="Times New Roman" w:cs="Times New Roman"/>
        </w:rPr>
      </w:pPr>
      <w:bookmarkStart w:id="126" w:name="_Toc220011115"/>
      <w:r w:rsidRPr="006C1E51">
        <w:rPr>
          <w:rFonts w:ascii="Times New Roman" w:hAnsi="Times New Roman" w:cs="Times New Roman"/>
        </w:rPr>
        <w:lastRenderedPageBreak/>
        <w:t>Case Study 3: HBCU History &amp; Culture Access Consortium- A National Model of Cooperative Cultural Infrastructure</w:t>
      </w:r>
      <w:bookmarkEnd w:id="126"/>
    </w:p>
    <w:p w14:paraId="00000119" w14:textId="77777777" w:rsidR="0006233B" w:rsidRPr="006C1E51" w:rsidRDefault="00C5531F" w:rsidP="00775270">
      <w:pPr>
        <w:pStyle w:val="Heading3"/>
      </w:pPr>
      <w:bookmarkStart w:id="127" w:name="_lv0kuzajx8yf" w:colFirst="0" w:colLast="0"/>
      <w:bookmarkStart w:id="128" w:name="_Toc220011116"/>
      <w:bookmarkEnd w:id="127"/>
      <w:r w:rsidRPr="006C1E51">
        <w:t>Cooperative Model and Operating Context</w:t>
      </w:r>
      <w:bookmarkEnd w:id="128"/>
    </w:p>
    <w:p w14:paraId="0000011A" w14:textId="0906F18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HBCU</w:t>
      </w:r>
      <w:r w:rsidR="00836412" w:rsidRPr="006C1E51">
        <w:rPr>
          <w:rFonts w:ascii="Times New Roman" w:hAnsi="Times New Roman" w:cs="Times New Roman"/>
          <w:sz w:val="24"/>
          <w:szCs w:val="24"/>
        </w:rPr>
        <w:t xml:space="preserve"> </w:t>
      </w:r>
      <w:r w:rsidRPr="006C1E51">
        <w:rPr>
          <w:rFonts w:ascii="Times New Roman" w:hAnsi="Times New Roman" w:cs="Times New Roman"/>
          <w:sz w:val="24"/>
          <w:szCs w:val="24"/>
        </w:rPr>
        <w:t>History &amp; Culture Access Consortium (HCAC), launched by the Smithsonian’s National Museum of African American History and Culture (NMAAHC), strengthens the archival, curatorial, and interpretive capacity of partner Historically Black Colleges and Universities. HBCU</w:t>
      </w:r>
      <w:r w:rsidR="00836412" w:rsidRPr="006C1E51">
        <w:rPr>
          <w:rFonts w:ascii="Times New Roman" w:hAnsi="Times New Roman" w:cs="Times New Roman"/>
          <w:sz w:val="24"/>
          <w:szCs w:val="24"/>
        </w:rPr>
        <w:t>’</w:t>
      </w:r>
      <w:r w:rsidRPr="006C1E51">
        <w:rPr>
          <w:rFonts w:ascii="Times New Roman" w:hAnsi="Times New Roman" w:cs="Times New Roman"/>
          <w:sz w:val="24"/>
          <w:szCs w:val="24"/>
        </w:rPr>
        <w:t>s house extraordinary collections documenting African American life, civil rights activism, art, literature, and community history. Yet many have suffered from decades of structural underfunding, staffing shortages, aging infrastructure, and limited digitization capacity—conditions that compromise long-term sustainability. HCAC addresses this structural inequity by building a national cooperative network that provides digitization support, professional development, leadership training, traveling exhibitions, and collaborative research opportunities.</w:t>
      </w:r>
    </w:p>
    <w:p w14:paraId="0000011B" w14:textId="280E2774"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 became interested in HCAC through discussions about Black-led and Black-serving philanthropy with Rob Bull (President, The Compass Group) and Damika Baker-Wilson (VP, JEDI Division).</w:t>
      </w:r>
      <w:r w:rsidR="007B4CB6" w:rsidRPr="006C1E51">
        <w:rPr>
          <w:rStyle w:val="FootnoteReference"/>
          <w:rFonts w:ascii="Times New Roman" w:hAnsi="Times New Roman" w:cs="Times New Roman"/>
          <w:sz w:val="24"/>
          <w:szCs w:val="24"/>
        </w:rPr>
        <w:footnoteReference w:id="112"/>
      </w:r>
      <w:r w:rsidRPr="006C1E51">
        <w:rPr>
          <w:rFonts w:ascii="Times New Roman" w:hAnsi="Times New Roman" w:cs="Times New Roman"/>
          <w:sz w:val="24"/>
          <w:szCs w:val="24"/>
        </w:rPr>
        <w:t xml:space="preserve"> These conversations clarified how philanthropy shapes the sustainability of Black heritage institutions and illuminate</w:t>
      </w:r>
      <w:r w:rsidR="00836412" w:rsidRPr="006C1E51">
        <w:rPr>
          <w:rFonts w:ascii="Times New Roman" w:hAnsi="Times New Roman" w:cs="Times New Roman"/>
          <w:sz w:val="24"/>
          <w:szCs w:val="24"/>
        </w:rPr>
        <w:t>s</w:t>
      </w:r>
      <w:r w:rsidRPr="006C1E51">
        <w:rPr>
          <w:rFonts w:ascii="Times New Roman" w:hAnsi="Times New Roman" w:cs="Times New Roman"/>
          <w:sz w:val="24"/>
          <w:szCs w:val="24"/>
        </w:rPr>
        <w:t xml:space="preserve"> the systemic challenges faced by HBCU</w:t>
      </w:r>
      <w:r w:rsidR="00836412" w:rsidRPr="006C1E51">
        <w:rPr>
          <w:rFonts w:ascii="Times New Roman" w:hAnsi="Times New Roman" w:cs="Times New Roman"/>
          <w:sz w:val="24"/>
          <w:szCs w:val="24"/>
        </w:rPr>
        <w:t>’</w:t>
      </w:r>
      <w:r w:rsidRPr="006C1E51">
        <w:rPr>
          <w:rFonts w:ascii="Times New Roman" w:hAnsi="Times New Roman" w:cs="Times New Roman"/>
          <w:sz w:val="24"/>
          <w:szCs w:val="24"/>
        </w:rPr>
        <w:t xml:space="preserve">s. HCAC stood out as a rare model in which Black cultural institutions received coordinated investment, shared learning opportunities, and national-level support. It helped shape my understanding of </w:t>
      </w:r>
      <w:r w:rsidRPr="006C1E51">
        <w:rPr>
          <w:rFonts w:ascii="Times New Roman" w:hAnsi="Times New Roman" w:cs="Times New Roman"/>
          <w:sz w:val="24"/>
          <w:szCs w:val="24"/>
        </w:rPr>
        <w:lastRenderedPageBreak/>
        <w:t>CHCs by showing how cooperative cultural ecosystems can operate at scale—supported by national institutions but grounded in local stewardship.</w:t>
      </w:r>
    </w:p>
    <w:p w14:paraId="0000011C" w14:textId="77777777" w:rsidR="0006233B" w:rsidRPr="006C1E51" w:rsidRDefault="00C5531F" w:rsidP="00775270">
      <w:pPr>
        <w:pStyle w:val="Heading3"/>
      </w:pPr>
      <w:bookmarkStart w:id="129" w:name="_et4yc7r721r0" w:colFirst="0" w:colLast="0"/>
      <w:bookmarkStart w:id="130" w:name="_Toc220011117"/>
      <w:bookmarkEnd w:id="129"/>
      <w:r w:rsidRPr="006C1E51">
        <w:t>Alignment With CHC Principles</w:t>
      </w:r>
      <w:bookmarkEnd w:id="130"/>
    </w:p>
    <w:p w14:paraId="0000011D" w14:textId="77777777" w:rsidR="0006233B" w:rsidRPr="006C1E51" w:rsidRDefault="00C5531F" w:rsidP="00775270">
      <w:pPr>
        <w:pStyle w:val="Heading4"/>
        <w:spacing w:line="480" w:lineRule="auto"/>
      </w:pPr>
      <w:bookmarkStart w:id="131" w:name="_u59pdiu8sh4p" w:colFirst="0" w:colLast="0"/>
      <w:bookmarkEnd w:id="131"/>
      <w:r w:rsidRPr="006C1E51">
        <w:t>Shared ownership</w:t>
      </w:r>
    </w:p>
    <w:p w14:paraId="0000011E" w14:textId="0C14967F"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HCAC elevates the authority of HBCU archivists, faculty, students, and administrators, ensuring they shape priorities for digitization, interpretation, and preservation. Shared ownership is embedded in the collaborative structure in which each campus maintains control over its materials while participating in a shared national initiative.</w:t>
      </w:r>
    </w:p>
    <w:p w14:paraId="0000011F" w14:textId="77777777" w:rsidR="0006233B" w:rsidRPr="006C1E51" w:rsidRDefault="00C5531F" w:rsidP="00775270">
      <w:pPr>
        <w:pStyle w:val="Heading4"/>
        <w:spacing w:line="480" w:lineRule="auto"/>
      </w:pPr>
      <w:bookmarkStart w:id="132" w:name="_k8yjvt6fjhtu" w:colFirst="0" w:colLast="0"/>
      <w:bookmarkEnd w:id="132"/>
      <w:r w:rsidRPr="006C1E51">
        <w:t>Resource distribution</w:t>
      </w:r>
    </w:p>
    <w:p w14:paraId="00000120" w14:textId="535BBDB0"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Digitization equipment, training, staffing support, traveling exhibitions, project grants, and professional development circulate across participating HBC</w:t>
      </w:r>
      <w:r w:rsidR="002B27FD" w:rsidRPr="006C1E51">
        <w:rPr>
          <w:rFonts w:ascii="Times New Roman" w:hAnsi="Times New Roman" w:cs="Times New Roman"/>
          <w:sz w:val="24"/>
          <w:szCs w:val="24"/>
        </w:rPr>
        <w:t>U</w:t>
      </w:r>
      <w:r w:rsidRPr="006C1E51">
        <w:rPr>
          <w:rFonts w:ascii="Times New Roman" w:hAnsi="Times New Roman" w:cs="Times New Roman"/>
          <w:sz w:val="24"/>
          <w:szCs w:val="24"/>
        </w:rPr>
        <w:t>s. This distribution addresses chronic resource inequities in the HBCU</w:t>
      </w:r>
      <w:r w:rsidR="002B27FD" w:rsidRPr="006C1E51">
        <w:rPr>
          <w:rFonts w:ascii="Times New Roman" w:hAnsi="Times New Roman" w:cs="Times New Roman"/>
          <w:sz w:val="24"/>
          <w:szCs w:val="24"/>
        </w:rPr>
        <w:t xml:space="preserve"> </w:t>
      </w:r>
      <w:r w:rsidRPr="006C1E51">
        <w:rPr>
          <w:rFonts w:ascii="Times New Roman" w:hAnsi="Times New Roman" w:cs="Times New Roman"/>
          <w:sz w:val="24"/>
          <w:szCs w:val="24"/>
        </w:rPr>
        <w:t>sector and ensures that institutional capacity grows collectively rather than competitively.</w:t>
      </w:r>
    </w:p>
    <w:p w14:paraId="00000121" w14:textId="77777777" w:rsidR="0006233B" w:rsidRPr="006C1E51" w:rsidRDefault="00C5531F" w:rsidP="00775270">
      <w:pPr>
        <w:pStyle w:val="Heading4"/>
        <w:spacing w:line="480" w:lineRule="auto"/>
      </w:pPr>
      <w:bookmarkStart w:id="133" w:name="_txj19iwmusb7" w:colFirst="0" w:colLast="0"/>
      <w:bookmarkEnd w:id="133"/>
      <w:r w:rsidRPr="006C1E51">
        <w:t>Democratic governance</w:t>
      </w:r>
    </w:p>
    <w:p w14:paraId="00000122"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HCAC governance includes campus representatives, Smithsonian liaisons, and advisory groups that shape program direction and priorities. Decision-making is informed by collective expertise and grounded in the lived realities of Black educational institutions, making governance participatory rather than top-down.</w:t>
      </w:r>
    </w:p>
    <w:p w14:paraId="00000123" w14:textId="77777777" w:rsidR="0006233B" w:rsidRPr="006C1E51" w:rsidRDefault="00C5531F" w:rsidP="00775270">
      <w:pPr>
        <w:pStyle w:val="Heading4"/>
        <w:spacing w:line="480" w:lineRule="auto"/>
      </w:pPr>
      <w:bookmarkStart w:id="134" w:name="_sg6gm9petnxj" w:colFirst="0" w:colLast="0"/>
      <w:bookmarkEnd w:id="134"/>
      <w:r w:rsidRPr="006C1E51">
        <w:lastRenderedPageBreak/>
        <w:t>Shared experience</w:t>
      </w:r>
    </w:p>
    <w:p w14:paraId="00000124"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Students, archivists, and faculty across partner campuses collaborate in training, research, and exhibition development. This shared experience creates cross-campus learning communities and fosters an intergenerational heritage workforce rooted in Black intellectual traditions.</w:t>
      </w:r>
    </w:p>
    <w:p w14:paraId="00000125" w14:textId="77777777" w:rsidR="0006233B" w:rsidRPr="006C1E51" w:rsidRDefault="00C5531F" w:rsidP="00775270">
      <w:pPr>
        <w:pStyle w:val="Heading4"/>
        <w:spacing w:line="480" w:lineRule="auto"/>
      </w:pPr>
      <w:bookmarkStart w:id="135" w:name="_6ruif8lri73b" w:colFirst="0" w:colLast="0"/>
      <w:bookmarkEnd w:id="135"/>
      <w:r w:rsidRPr="006C1E51">
        <w:t>Equity and justice orientation</w:t>
      </w:r>
    </w:p>
    <w:p w14:paraId="00000126"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consortium explicitly addresses systemic disparities in cultural infrastructure faced by Black institutions. Its purpose is rooted in redistributive justice: providing resources, training, and visibility to archives historically marginalized within the national heritage landscape.</w:t>
      </w:r>
    </w:p>
    <w:p w14:paraId="00000127" w14:textId="77777777" w:rsidR="0006233B" w:rsidRPr="006C1E51" w:rsidRDefault="00C5531F" w:rsidP="00775270">
      <w:pPr>
        <w:pStyle w:val="Heading4"/>
        <w:spacing w:line="480" w:lineRule="auto"/>
      </w:pPr>
      <w:bookmarkStart w:id="136" w:name="_ymyezp2xm1q5" w:colFirst="0" w:colLast="0"/>
      <w:bookmarkEnd w:id="136"/>
      <w:r w:rsidRPr="006C1E51">
        <w:t>Cooperative resource development</w:t>
      </w:r>
    </w:p>
    <w:p w14:paraId="00000128" w14:textId="4C6EDFCD"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By pooling Smithsonian resources with HBCU expertise and community connections, HCAC creates a cooperative infrastructure for digitization, interpretation, and curation. This model demonstrates how national institutions can share and democratize power and capacity.</w:t>
      </w:r>
    </w:p>
    <w:p w14:paraId="00000129" w14:textId="77777777" w:rsidR="0006233B" w:rsidRPr="006C1E51" w:rsidRDefault="00C5531F" w:rsidP="00775270">
      <w:pPr>
        <w:pStyle w:val="Heading4"/>
        <w:spacing w:line="480" w:lineRule="auto"/>
      </w:pPr>
      <w:bookmarkStart w:id="137" w:name="_5pm6idinr69" w:colFirst="0" w:colLast="0"/>
      <w:bookmarkEnd w:id="137"/>
      <w:r w:rsidRPr="006C1E51">
        <w:t>Shared language and practice</w:t>
      </w:r>
    </w:p>
    <w:p w14:paraId="0000012A" w14:textId="548DD25B"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Digitization standards, metadata practices, interpretive frameworks, and archival ethics are developed collaboratively across institutions, strengthening professional consistency and shared identity among HBCU heritage practitioners.</w:t>
      </w:r>
    </w:p>
    <w:p w14:paraId="0000012B" w14:textId="77777777" w:rsidR="0006233B" w:rsidRPr="006C1E51" w:rsidRDefault="00C5531F" w:rsidP="00775270">
      <w:pPr>
        <w:pStyle w:val="Heading3"/>
      </w:pPr>
      <w:bookmarkStart w:id="138" w:name="_tuv6f2a496pj" w:colFirst="0" w:colLast="0"/>
      <w:bookmarkStart w:id="139" w:name="_Toc220011118"/>
      <w:bookmarkEnd w:id="138"/>
      <w:r w:rsidRPr="006C1E51">
        <w:t>Analysis Based on Research Questions</w:t>
      </w:r>
      <w:bookmarkEnd w:id="139"/>
    </w:p>
    <w:p w14:paraId="0000012C" w14:textId="77777777" w:rsidR="0006233B" w:rsidRPr="006C1E51" w:rsidRDefault="00C5531F" w:rsidP="00775270">
      <w:pPr>
        <w:pStyle w:val="Heading4"/>
        <w:spacing w:line="480" w:lineRule="auto"/>
      </w:pPr>
      <w:bookmarkStart w:id="140" w:name="_1frvfd9rwggi" w:colFirst="0" w:colLast="0"/>
      <w:bookmarkEnd w:id="140"/>
      <w:r w:rsidRPr="006C1E51">
        <w:t>Structural and Financial Mechanisms</w:t>
      </w:r>
    </w:p>
    <w:p w14:paraId="0000012D" w14:textId="5B8D49CF"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HCAC’s structure of combining national resources with local stewardship enables sustainable staffing, digitization, training, and exhibition development across campuses. While </w:t>
      </w:r>
      <w:r w:rsidR="007B4CB6" w:rsidRPr="006C1E51">
        <w:rPr>
          <w:rFonts w:ascii="Times New Roman" w:hAnsi="Times New Roman" w:cs="Times New Roman"/>
          <w:sz w:val="24"/>
          <w:szCs w:val="24"/>
        </w:rPr>
        <w:lastRenderedPageBreak/>
        <w:t xml:space="preserve">the </w:t>
      </w:r>
      <w:r w:rsidRPr="006C1E51">
        <w:rPr>
          <w:rFonts w:ascii="Times New Roman" w:hAnsi="Times New Roman" w:cs="Times New Roman"/>
          <w:sz w:val="24"/>
          <w:szCs w:val="24"/>
        </w:rPr>
        <w:t>Smithsonian</w:t>
      </w:r>
      <w:r w:rsidR="007B4CB6" w:rsidRPr="006C1E51">
        <w:rPr>
          <w:rFonts w:ascii="Times New Roman" w:hAnsi="Times New Roman" w:cs="Times New Roman"/>
          <w:sz w:val="24"/>
          <w:szCs w:val="24"/>
        </w:rPr>
        <w:t>’s</w:t>
      </w:r>
      <w:r w:rsidRPr="006C1E51">
        <w:rPr>
          <w:rFonts w:ascii="Times New Roman" w:hAnsi="Times New Roman" w:cs="Times New Roman"/>
          <w:sz w:val="24"/>
          <w:szCs w:val="24"/>
        </w:rPr>
        <w:t xml:space="preserve"> anchoring provides stability, long-term sustainability relies on diversified funding, cooperative endowments, and ongoing philanthropic commitment.</w:t>
      </w:r>
    </w:p>
    <w:p w14:paraId="0000012E" w14:textId="77777777" w:rsidR="0006233B" w:rsidRPr="006C1E51" w:rsidRDefault="00C5531F" w:rsidP="00775270">
      <w:pPr>
        <w:pStyle w:val="Heading4"/>
        <w:spacing w:line="480" w:lineRule="auto"/>
      </w:pPr>
      <w:bookmarkStart w:id="141" w:name="_6w0bewuo3uph" w:colFirst="0" w:colLast="0"/>
      <w:bookmarkEnd w:id="141"/>
      <w:r w:rsidRPr="006C1E51">
        <w:t>Resource Distribution and Barriers to Equity</w:t>
      </w:r>
    </w:p>
    <w:p w14:paraId="0000012F" w14:textId="23E53D39"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consortium addresses inequities by distributing equipment, training, and grant support across institutions historically denied such resources. Yet disparities remain: some HBCU</w:t>
      </w:r>
      <w:r w:rsidR="007B4CB6" w:rsidRPr="006C1E51">
        <w:rPr>
          <w:rFonts w:ascii="Times New Roman" w:hAnsi="Times New Roman" w:cs="Times New Roman"/>
          <w:sz w:val="24"/>
          <w:szCs w:val="24"/>
        </w:rPr>
        <w:t>’</w:t>
      </w:r>
      <w:r w:rsidRPr="006C1E51">
        <w:rPr>
          <w:rFonts w:ascii="Times New Roman" w:hAnsi="Times New Roman" w:cs="Times New Roman"/>
          <w:sz w:val="24"/>
          <w:szCs w:val="24"/>
        </w:rPr>
        <w:t>s require deeper infrastructural repair than others, making equal distribution insufficient for equitable outcomes.</w:t>
      </w:r>
    </w:p>
    <w:p w14:paraId="00000130" w14:textId="77777777" w:rsidR="0006233B" w:rsidRPr="006C1E51" w:rsidRDefault="00C5531F" w:rsidP="00775270">
      <w:pPr>
        <w:pStyle w:val="Heading4"/>
        <w:spacing w:line="480" w:lineRule="auto"/>
      </w:pPr>
      <w:bookmarkStart w:id="142" w:name="_41vl8bcbuqsb" w:colFirst="0" w:colLast="0"/>
      <w:bookmarkEnd w:id="142"/>
      <w:r w:rsidRPr="006C1E51">
        <w:t>Stakeholders and Governance</w:t>
      </w:r>
    </w:p>
    <w:p w14:paraId="00000131"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Stakeholders include archivists, faculty, students, Smithsonian staff, local communities, and partner organizations. Governance blends Smithsonian oversight with campus-level autonomy, creating a hybrid model that balances national coordination with local control.</w:t>
      </w:r>
    </w:p>
    <w:p w14:paraId="00000132" w14:textId="77777777" w:rsidR="0006233B" w:rsidRPr="006C1E51" w:rsidRDefault="00C5531F" w:rsidP="00775270">
      <w:pPr>
        <w:pStyle w:val="Heading4"/>
        <w:spacing w:line="480" w:lineRule="auto"/>
      </w:pPr>
      <w:bookmarkStart w:id="143" w:name="_bztj2jfe61k5" w:colFirst="0" w:colLast="0"/>
      <w:bookmarkEnd w:id="143"/>
      <w:r w:rsidRPr="006C1E51">
        <w:t>Relevance to Heritage Communities of Practice</w:t>
      </w:r>
    </w:p>
    <w:p w14:paraId="00000133"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HCAC cultivates shared learning communities across campuses where practitioners exchange skills, interpretive approaches, and ethical frameworks. This aligns closely with CHC principles and demonstrates how heritage communities of practice can operate across multiple institutions.</w:t>
      </w:r>
    </w:p>
    <w:p w14:paraId="00000134" w14:textId="77777777" w:rsidR="0006233B" w:rsidRPr="006C1E51" w:rsidRDefault="00C5531F" w:rsidP="00775270">
      <w:pPr>
        <w:pStyle w:val="Heading4"/>
        <w:spacing w:line="480" w:lineRule="auto"/>
      </w:pPr>
      <w:bookmarkStart w:id="144" w:name="_owegn5venofx" w:colFirst="0" w:colLast="0"/>
      <w:bookmarkEnd w:id="144"/>
      <w:r w:rsidRPr="006C1E51">
        <w:t>Balancing Preservation, Economic Empowerment, and Sustainability</w:t>
      </w:r>
    </w:p>
    <w:p w14:paraId="00000135"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HCAC invests in professional development, student training, and workforce pipelines, strengthening economic empowerment within the heritage sector. Yet long-term sustainability depends on continued financial investment and institutional commitment beyond the grant cycle.</w:t>
      </w:r>
    </w:p>
    <w:p w14:paraId="00000136" w14:textId="77777777" w:rsidR="0006233B" w:rsidRPr="006C1E51" w:rsidRDefault="00C5531F" w:rsidP="00775270">
      <w:pPr>
        <w:pStyle w:val="Heading4"/>
        <w:spacing w:line="480" w:lineRule="auto"/>
      </w:pPr>
      <w:bookmarkStart w:id="145" w:name="_3d4foahaqx7l" w:colFirst="0" w:colLast="0"/>
      <w:bookmarkEnd w:id="145"/>
      <w:r w:rsidRPr="006C1E51">
        <w:lastRenderedPageBreak/>
        <w:t>Implications for the CHC Framework</w:t>
      </w:r>
    </w:p>
    <w:p w14:paraId="00000137"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HCAC demonstrates how cooperative heritage infrastructure can function at a national scale when resourced adequately and grounded in shared authority. It reinforces CHC principles of resource circulation, collaborative governance, and equity-centered practice, while highlighting the need for cooperative financing and long-term institutional commitment.</w:t>
      </w:r>
    </w:p>
    <w:p w14:paraId="00000138" w14:textId="77777777" w:rsidR="0006233B" w:rsidRPr="006C1E51" w:rsidRDefault="00C5531F" w:rsidP="00775270">
      <w:pPr>
        <w:pStyle w:val="Heading2"/>
        <w:spacing w:line="480" w:lineRule="auto"/>
        <w:rPr>
          <w:rFonts w:ascii="Times New Roman" w:hAnsi="Times New Roman" w:cs="Times New Roman"/>
        </w:rPr>
      </w:pPr>
      <w:bookmarkStart w:id="146" w:name="_gxsml8va8nlt" w:colFirst="0" w:colLast="0"/>
      <w:bookmarkStart w:id="147" w:name="_Toc220011119"/>
      <w:bookmarkEnd w:id="146"/>
      <w:r w:rsidRPr="006C1E51">
        <w:rPr>
          <w:rFonts w:ascii="Times New Roman" w:hAnsi="Times New Roman" w:cs="Times New Roman"/>
        </w:rPr>
        <w:t>Case Study 4: Culture Keeper Mutual Aid Fund - Mutual Aid as Cooperative Infrastructure for Cultural Workers</w:t>
      </w:r>
      <w:bookmarkEnd w:id="147"/>
    </w:p>
    <w:p w14:paraId="00000139" w14:textId="77777777" w:rsidR="0006233B" w:rsidRPr="006C1E51" w:rsidRDefault="00C5531F" w:rsidP="00775270">
      <w:pPr>
        <w:pStyle w:val="Heading3"/>
      </w:pPr>
      <w:bookmarkStart w:id="148" w:name="_ny9n57w99hl7" w:colFirst="0" w:colLast="0"/>
      <w:bookmarkStart w:id="149" w:name="_Toc220011120"/>
      <w:bookmarkEnd w:id="148"/>
      <w:r w:rsidRPr="006C1E51">
        <w:t>Cooperative Model and Operating Context</w:t>
      </w:r>
      <w:bookmarkEnd w:id="149"/>
    </w:p>
    <w:p w14:paraId="0000013A"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Cultural workers—including archivists, museum professionals, preservationists, artists, educators, and humanities practitioners—often operate within precarious economic conditions. In 2025, deep federal cuts to the National Endowment for the Arts, National Endowment for Humanities, and Institute of Museum and Library Services intensified financial instability for these workers, exacerbating long-standing inequities in compensation, job security, and access to professional development. Many cultural workers, especially those of color, confront overlapping challenges: irregular employment, low wages, limited benefits, and emotional burnout. In this context, cultural labor becomes risky or unsustainable without community-based support systems.</w:t>
      </w:r>
    </w:p>
    <w:p w14:paraId="0000013B" w14:textId="0C8E22C6"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I first encountered the Culture Keeper Mutual Aid Fund through the Historic Preservation Professionals Facebook group, where preservationists and cultural workers sought care, solidarity, and mutual support during a volatile sociopolitical moment. Conversations in that space revealed a shared truth: heritage work cannot thrive if the individuals sustaining it lack </w:t>
      </w:r>
      <w:r w:rsidRPr="006C1E51">
        <w:rPr>
          <w:rFonts w:ascii="Times New Roman" w:hAnsi="Times New Roman" w:cs="Times New Roman"/>
          <w:sz w:val="24"/>
          <w:szCs w:val="24"/>
        </w:rPr>
        <w:lastRenderedPageBreak/>
        <w:t xml:space="preserve">economic stability. The Culture Keeper Fund, </w:t>
      </w:r>
      <w:r w:rsidR="007B4CB6" w:rsidRPr="006C1E51">
        <w:rPr>
          <w:rFonts w:ascii="Times New Roman" w:hAnsi="Times New Roman" w:cs="Times New Roman"/>
          <w:sz w:val="24"/>
          <w:szCs w:val="24"/>
        </w:rPr>
        <w:t xml:space="preserve">an organization </w:t>
      </w:r>
      <w:r w:rsidRPr="006C1E51">
        <w:rPr>
          <w:rFonts w:ascii="Times New Roman" w:hAnsi="Times New Roman" w:cs="Times New Roman"/>
          <w:sz w:val="24"/>
          <w:szCs w:val="24"/>
        </w:rPr>
        <w:t>operated by Higher Ground Society</w:t>
      </w:r>
      <w:r w:rsidR="007B4CB6" w:rsidRPr="006C1E51">
        <w:rPr>
          <w:rFonts w:ascii="Times New Roman" w:hAnsi="Times New Roman" w:cs="Times New Roman"/>
          <w:sz w:val="24"/>
          <w:szCs w:val="24"/>
        </w:rPr>
        <w:t>,</w:t>
      </w:r>
      <w:r w:rsidRPr="006C1E51">
        <w:rPr>
          <w:rFonts w:ascii="Times New Roman" w:hAnsi="Times New Roman" w:cs="Times New Roman"/>
          <w:sz w:val="24"/>
          <w:szCs w:val="24"/>
        </w:rPr>
        <w:t xml:space="preserve"> and overseen by cultural worker volunteers, emerged as a community-powered mechanism designed to offer financial relief to cultural workers facing hardship. I chose this case because it demonstrates that cooperative heritage work requires cooperative economic well-being for the workers who perform cultural care.</w:t>
      </w:r>
    </w:p>
    <w:p w14:paraId="0000013C" w14:textId="77777777" w:rsidR="0006233B" w:rsidRPr="006C1E51" w:rsidRDefault="00C5531F" w:rsidP="00775270">
      <w:pPr>
        <w:pStyle w:val="Heading3"/>
      </w:pPr>
      <w:bookmarkStart w:id="150" w:name="_evet2vv772tf" w:colFirst="0" w:colLast="0"/>
      <w:bookmarkStart w:id="151" w:name="_Toc220011121"/>
      <w:bookmarkEnd w:id="150"/>
      <w:r w:rsidRPr="006C1E51">
        <w:t>Alignment With CHC Principles</w:t>
      </w:r>
      <w:bookmarkEnd w:id="151"/>
    </w:p>
    <w:p w14:paraId="0000013D" w14:textId="77777777" w:rsidR="0006233B" w:rsidRPr="006C1E51" w:rsidRDefault="00C5531F" w:rsidP="00775270">
      <w:pPr>
        <w:pStyle w:val="Heading4"/>
        <w:spacing w:line="480" w:lineRule="auto"/>
      </w:pPr>
      <w:bookmarkStart w:id="152" w:name="_bwuuj39frmko" w:colFirst="0" w:colLast="0"/>
      <w:bookmarkEnd w:id="152"/>
      <w:r w:rsidRPr="006C1E51">
        <w:t>Shared ownership</w:t>
      </w:r>
    </w:p>
    <w:p w14:paraId="0000013E"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Fund is governed and co-operated by cultural workers themselves, ensuring that community members—not external institutions—define eligibility, priorities, and distribution processes. This creates a shared-ownership model rooted in mutual responsibility, trust, and shared lived experiences.</w:t>
      </w:r>
    </w:p>
    <w:p w14:paraId="0000013F" w14:textId="77777777" w:rsidR="0006233B" w:rsidRPr="006C1E51" w:rsidRDefault="00C5531F" w:rsidP="00775270">
      <w:pPr>
        <w:pStyle w:val="Heading4"/>
        <w:spacing w:line="480" w:lineRule="auto"/>
      </w:pPr>
      <w:bookmarkStart w:id="153" w:name="_vt357a1zfdkp" w:colFirst="0" w:colLast="0"/>
      <w:bookmarkEnd w:id="153"/>
      <w:r w:rsidRPr="006C1E51">
        <w:t>Resource distribution</w:t>
      </w:r>
    </w:p>
    <w:p w14:paraId="00000140"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Funds circulate directly to cultural workers experiencing financial need, with clear guidelines that prioritize essential expenses such as rent, groceries, childcare, transportation, and medical costs. Contributors include both Keepers (cultural workers) and Friends (supporters), ensuring that resources move fluidly across networks of care.</w:t>
      </w:r>
    </w:p>
    <w:p w14:paraId="00000141" w14:textId="77777777" w:rsidR="0006233B" w:rsidRPr="006C1E51" w:rsidRDefault="00C5531F" w:rsidP="00775270">
      <w:pPr>
        <w:pStyle w:val="Heading4"/>
        <w:spacing w:line="480" w:lineRule="auto"/>
      </w:pPr>
      <w:bookmarkStart w:id="154" w:name="_lsjrkvvhusp4" w:colFirst="0" w:colLast="0"/>
      <w:bookmarkEnd w:id="154"/>
      <w:r w:rsidRPr="006C1E51">
        <w:t>Democratic governance</w:t>
      </w:r>
    </w:p>
    <w:p w14:paraId="00000142"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Decision-making occurs through a volunteer administrative team composed of cultural workers across the country. This governance structure reflects democratic principles: distributed authority, transparency, and accountability to contributors and requesters.</w:t>
      </w:r>
    </w:p>
    <w:p w14:paraId="00000143" w14:textId="77777777" w:rsidR="0006233B" w:rsidRPr="006C1E51" w:rsidRDefault="00C5531F" w:rsidP="00775270">
      <w:pPr>
        <w:pStyle w:val="Heading4"/>
        <w:spacing w:line="480" w:lineRule="auto"/>
      </w:pPr>
      <w:bookmarkStart w:id="155" w:name="_jmww8yh8miwo" w:colFirst="0" w:colLast="0"/>
      <w:bookmarkEnd w:id="155"/>
      <w:r w:rsidRPr="006C1E51">
        <w:lastRenderedPageBreak/>
        <w:t>Shared experience</w:t>
      </w:r>
    </w:p>
    <w:p w14:paraId="00000144"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Fund draws from collective understanding of the emotional and financial realities of cultural labor. Contributors and recipients share lived experiences within the sector—such as economic instability, burnout, and structural inequity—which deepens mutual empathy and cooperative motivation.</w:t>
      </w:r>
    </w:p>
    <w:p w14:paraId="00000145" w14:textId="77777777" w:rsidR="0006233B" w:rsidRPr="006C1E51" w:rsidRDefault="00C5531F" w:rsidP="00775270">
      <w:pPr>
        <w:pStyle w:val="Heading4"/>
        <w:spacing w:line="480" w:lineRule="auto"/>
      </w:pPr>
      <w:bookmarkStart w:id="156" w:name="_at190d8smkw9" w:colFirst="0" w:colLast="0"/>
      <w:bookmarkEnd w:id="156"/>
      <w:r w:rsidRPr="006C1E51">
        <w:t>Equity and justice orientation</w:t>
      </w:r>
    </w:p>
    <w:p w14:paraId="00000146"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Fund prioritizes need-based support for cultural workers, particularly those who face structural disadvantages. Its model recognizes that heritage ecosystems are weakened when cultural workers cannot afford basic necessities such as funding for rent, utilities, travel, food.</w:t>
      </w:r>
    </w:p>
    <w:p w14:paraId="00000147" w14:textId="77777777" w:rsidR="0006233B" w:rsidRPr="006C1E51" w:rsidRDefault="00C5531F" w:rsidP="00775270">
      <w:pPr>
        <w:pStyle w:val="Heading4"/>
        <w:spacing w:line="480" w:lineRule="auto"/>
      </w:pPr>
      <w:bookmarkStart w:id="157" w:name="_x4te95k2mwsa" w:colFirst="0" w:colLast="0"/>
      <w:bookmarkEnd w:id="157"/>
      <w:r w:rsidRPr="006C1E51">
        <w:t>Cooperative resource development</w:t>
      </w:r>
    </w:p>
    <w:p w14:paraId="00000148"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Fund pools small contributions from individuals and organizations, demonstrating how cooperative economics can sustain cultural workers when institutional support is insufficient. This model is scalable and adaptable across regions.</w:t>
      </w:r>
    </w:p>
    <w:p w14:paraId="00000149" w14:textId="77777777" w:rsidR="0006233B" w:rsidRPr="006C1E51" w:rsidRDefault="00C5531F" w:rsidP="00775270">
      <w:pPr>
        <w:pStyle w:val="Heading4"/>
        <w:spacing w:line="480" w:lineRule="auto"/>
      </w:pPr>
      <w:bookmarkStart w:id="158" w:name="_nn7ldrj13tqq" w:colFirst="0" w:colLast="0"/>
      <w:bookmarkEnd w:id="158"/>
      <w:r w:rsidRPr="006C1E51">
        <w:t>Shared language and practice</w:t>
      </w:r>
    </w:p>
    <w:p w14:paraId="0000014A"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Mutual aid principles—such as solidarity, reciprocity, and need-based distribution—guide the Fund’s operations. Participants develop shared practices in documenting need, determining eligibility, and communicating about hardship.</w:t>
      </w:r>
    </w:p>
    <w:p w14:paraId="0000014B" w14:textId="77777777" w:rsidR="0006233B" w:rsidRPr="006C1E51" w:rsidRDefault="00C5531F" w:rsidP="00775270">
      <w:pPr>
        <w:pStyle w:val="Heading3"/>
      </w:pPr>
      <w:bookmarkStart w:id="159" w:name="_7g2ta4n3wpnw" w:colFirst="0" w:colLast="0"/>
      <w:bookmarkStart w:id="160" w:name="_Toc220011122"/>
      <w:bookmarkEnd w:id="159"/>
      <w:r w:rsidRPr="006C1E51">
        <w:lastRenderedPageBreak/>
        <w:t>Analysis Based on Research Questions</w:t>
      </w:r>
      <w:bookmarkEnd w:id="160"/>
    </w:p>
    <w:p w14:paraId="0000014C" w14:textId="77777777" w:rsidR="0006233B" w:rsidRPr="006C1E51" w:rsidRDefault="00C5531F" w:rsidP="00775270">
      <w:pPr>
        <w:pStyle w:val="Heading4"/>
        <w:spacing w:line="480" w:lineRule="auto"/>
      </w:pPr>
      <w:bookmarkStart w:id="161" w:name="_ur5nanmu8dto" w:colFirst="0" w:colLast="0"/>
      <w:bookmarkEnd w:id="161"/>
      <w:r w:rsidRPr="006C1E51">
        <w:t>Structural and Financial Mechanisms</w:t>
      </w:r>
    </w:p>
    <w:p w14:paraId="0000014D"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Fund relies on community contributions, volunteer administration, and transparent criteria for distribution. While this model is flexible and needs-responsive, sustainability requires continuous contributor engagement and the cultivation of reliable funding streams.</w:t>
      </w:r>
    </w:p>
    <w:p w14:paraId="0000014E" w14:textId="77777777" w:rsidR="0006233B" w:rsidRPr="006C1E51" w:rsidRDefault="00C5531F" w:rsidP="00775270">
      <w:pPr>
        <w:pStyle w:val="Heading4"/>
        <w:spacing w:line="480" w:lineRule="auto"/>
      </w:pPr>
      <w:bookmarkStart w:id="162" w:name="_492dsk94n06m" w:colFirst="0" w:colLast="0"/>
      <w:bookmarkEnd w:id="162"/>
      <w:r w:rsidRPr="006C1E51">
        <w:t>Resource Distribution and Barriers to Equity</w:t>
      </w:r>
    </w:p>
    <w:p w14:paraId="0000014F"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Resource distribution prioritizes basic needs, with tiered support allowing keepers to request up to $300–$500 per quarter depending on their own participation. However, contributions are dependent on community generosity, meaning that demand may exceed supply during crises.</w:t>
      </w:r>
    </w:p>
    <w:p w14:paraId="00000150" w14:textId="77777777" w:rsidR="0006233B" w:rsidRPr="006C1E51" w:rsidRDefault="00C5531F" w:rsidP="00775270">
      <w:pPr>
        <w:pStyle w:val="Heading4"/>
        <w:spacing w:line="480" w:lineRule="auto"/>
      </w:pPr>
      <w:bookmarkStart w:id="163" w:name="_xvd19z4hvcvk" w:colFirst="0" w:colLast="0"/>
      <w:bookmarkEnd w:id="163"/>
      <w:r w:rsidRPr="006C1E51">
        <w:t>Stakeholders and Governance</w:t>
      </w:r>
    </w:p>
    <w:p w14:paraId="00000151" w14:textId="36AA06A5"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Stakeholders include cultural workers, supporters, Higher Ground Society, and the volunteer administrative team. Governance is decentralized and worker-led, although administrative labor is unpaid—creating long-term sustainability challenges.</w:t>
      </w:r>
    </w:p>
    <w:p w14:paraId="00000152" w14:textId="77777777" w:rsidR="0006233B" w:rsidRPr="006C1E51" w:rsidRDefault="00C5531F" w:rsidP="00775270">
      <w:pPr>
        <w:pStyle w:val="Heading4"/>
        <w:spacing w:line="480" w:lineRule="auto"/>
      </w:pPr>
      <w:bookmarkStart w:id="164" w:name="_6h1i54bx9ptx" w:colFirst="0" w:colLast="0"/>
      <w:bookmarkEnd w:id="164"/>
      <w:r w:rsidRPr="006C1E51">
        <w:t>Relevance to Heritage Communities of Practice</w:t>
      </w:r>
    </w:p>
    <w:p w14:paraId="00000153"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Fund cultivates a community of practice rooted in care for cultural labor. Cultural workers learn from one another’s experiences and build networks of solidarity that reinforce the emotional and material infrastructure needed for sustained heritage stewardship.</w:t>
      </w:r>
    </w:p>
    <w:p w14:paraId="00000154" w14:textId="77777777" w:rsidR="0006233B" w:rsidRPr="006C1E51" w:rsidRDefault="00C5531F" w:rsidP="00775270">
      <w:pPr>
        <w:pStyle w:val="Heading4"/>
        <w:spacing w:line="480" w:lineRule="auto"/>
      </w:pPr>
      <w:bookmarkStart w:id="165" w:name="_5mwtghjqtjrh" w:colFirst="0" w:colLast="0"/>
      <w:bookmarkEnd w:id="165"/>
      <w:r w:rsidRPr="006C1E51">
        <w:lastRenderedPageBreak/>
        <w:t>Balancing Preservation, Economic Empowerment, and Sustainability</w:t>
      </w:r>
    </w:p>
    <w:p w14:paraId="00000155" w14:textId="2931D2F3" w:rsidR="0006233B" w:rsidRPr="006C1E51" w:rsidRDefault="00AB3F1D"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Fund directly supports economic empowerment but operates within a contribution-based model whose long-term sustainability has yet to be determined. Even so, it underscores a critical point: preservation work cannot be sustained without materially supporting the workers who carry it out</w:t>
      </w:r>
      <w:r w:rsidR="00C5531F" w:rsidRPr="006C1E51">
        <w:rPr>
          <w:rFonts w:ascii="Times New Roman" w:hAnsi="Times New Roman" w:cs="Times New Roman"/>
          <w:sz w:val="24"/>
          <w:szCs w:val="24"/>
        </w:rPr>
        <w:t>.</w:t>
      </w:r>
    </w:p>
    <w:p w14:paraId="00000156" w14:textId="77777777" w:rsidR="0006233B" w:rsidRPr="006C1E51" w:rsidRDefault="00C5531F" w:rsidP="00775270">
      <w:pPr>
        <w:pStyle w:val="Heading4"/>
        <w:spacing w:line="480" w:lineRule="auto"/>
      </w:pPr>
      <w:r w:rsidRPr="006C1E51">
        <w:t>Implications for the CHC Framework</w:t>
      </w:r>
    </w:p>
    <w:p w14:paraId="00000157"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Culture Keeper Fund expands the CHC framework by highlighting the role of cultural worker well-being in cooperative heritage practice. It underscores that CHCs should integrate mutual aid principles and economic care within their structures. Cooperative stewardship must also include cooperative support for the people sustaining it.</w:t>
      </w:r>
    </w:p>
    <w:p w14:paraId="00000158" w14:textId="77777777" w:rsidR="0006233B" w:rsidRPr="006C1E51" w:rsidRDefault="00C5531F" w:rsidP="00775270">
      <w:pPr>
        <w:pStyle w:val="Heading2"/>
        <w:spacing w:line="480" w:lineRule="auto"/>
        <w:rPr>
          <w:rFonts w:ascii="Times New Roman" w:hAnsi="Times New Roman" w:cs="Times New Roman"/>
        </w:rPr>
      </w:pPr>
      <w:bookmarkStart w:id="166" w:name="_luzgptgvwf7y" w:colFirst="0" w:colLast="0"/>
      <w:bookmarkStart w:id="167" w:name="_Toc220011123"/>
      <w:bookmarkEnd w:id="166"/>
      <w:r w:rsidRPr="006C1E51">
        <w:rPr>
          <w:rFonts w:ascii="Times New Roman" w:hAnsi="Times New Roman" w:cs="Times New Roman"/>
        </w:rPr>
        <w:t>Case Study 5: Northeast African American History Initiative - Regional Capacity-Building as Cooperative Preservation Strategy</w:t>
      </w:r>
      <w:bookmarkEnd w:id="167"/>
    </w:p>
    <w:p w14:paraId="00000159" w14:textId="77777777" w:rsidR="0006233B" w:rsidRPr="006C1E51" w:rsidRDefault="00C5531F" w:rsidP="00775270">
      <w:pPr>
        <w:pStyle w:val="Heading3"/>
      </w:pPr>
      <w:bookmarkStart w:id="168" w:name="_t323aqsm739d" w:colFirst="0" w:colLast="0"/>
      <w:bookmarkStart w:id="169" w:name="_Toc220011124"/>
      <w:bookmarkEnd w:id="168"/>
      <w:r w:rsidRPr="006C1E51">
        <w:t>Cooperative Model and Operating Context</w:t>
      </w:r>
      <w:bookmarkEnd w:id="169"/>
    </w:p>
    <w:p w14:paraId="0000015A" w14:textId="07A8C866" w:rsidR="0006233B" w:rsidRPr="006C1E51" w:rsidRDefault="00AB3F1D"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Launched in 2009 by the National Trust for Historic Preservation’s Northeast Office, the African American History Initiative (AAHI) was designed to catalyze a regional movement for African American preservation across ten states—from Maine to Delaware. With early funding of $70,000 from the 1772 Foundation, the initiative was led operationally by Brent Leggs, who later went on to establish the African American Cultural Heritage Action Fund. AAHI provided technical preservation assistance, organizational capacity-building, restoration grants, fundraising training, and sustainability planning for grassroots organizations stewarding African American heritage sites.</w:t>
      </w:r>
    </w:p>
    <w:p w14:paraId="0000015B" w14:textId="20B1AA21"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I chose this case because it bridged my personal conversations with the 1772 Foundation and Brent Leggs and illuminated a critical insight: heritage organizations thrive when regional networks provide coordinated training, resources, and strategic support. AAHI offered a precursor to the Action Fund and provided a model for how cooperative regional infrastructure can strengthen local organizations while addressing systemic inequities. It demonstrated that CHCs must consider not only community collaboration but also regional scaffolding.</w:t>
      </w:r>
    </w:p>
    <w:p w14:paraId="0000015C" w14:textId="77777777" w:rsidR="0006233B" w:rsidRPr="006C1E51" w:rsidRDefault="00C5531F" w:rsidP="00775270">
      <w:pPr>
        <w:pStyle w:val="Heading3"/>
      </w:pPr>
      <w:bookmarkStart w:id="170" w:name="_vdxpg9u3rwa6" w:colFirst="0" w:colLast="0"/>
      <w:bookmarkStart w:id="171" w:name="_Toc220011125"/>
      <w:bookmarkEnd w:id="170"/>
      <w:r w:rsidRPr="006C1E51">
        <w:t>Alignment With CHC Principles</w:t>
      </w:r>
      <w:bookmarkEnd w:id="171"/>
    </w:p>
    <w:p w14:paraId="0000015D" w14:textId="77777777" w:rsidR="0006233B" w:rsidRPr="006C1E51" w:rsidRDefault="00C5531F" w:rsidP="00775270">
      <w:pPr>
        <w:pStyle w:val="Heading4"/>
        <w:spacing w:line="480" w:lineRule="auto"/>
      </w:pPr>
      <w:bookmarkStart w:id="172" w:name="_owr8q6dyamq0" w:colFirst="0" w:colLast="0"/>
      <w:bookmarkEnd w:id="172"/>
      <w:r w:rsidRPr="006C1E51">
        <w:t>Shared ownership</w:t>
      </w:r>
    </w:p>
    <w:p w14:paraId="0000015E"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AAHI positioned community-based preservation organizations as leaders in defining preservation goals and strategies. This ensured that local knowledge and community priorities shaped the regional preservation agenda.</w:t>
      </w:r>
    </w:p>
    <w:p w14:paraId="0000015F" w14:textId="77777777" w:rsidR="0006233B" w:rsidRPr="006C1E51" w:rsidRDefault="00C5531F" w:rsidP="00775270">
      <w:pPr>
        <w:pStyle w:val="Heading4"/>
        <w:spacing w:line="480" w:lineRule="auto"/>
      </w:pPr>
      <w:bookmarkStart w:id="173" w:name="_e5agi1x0zwkg" w:colFirst="0" w:colLast="0"/>
      <w:bookmarkEnd w:id="173"/>
      <w:r w:rsidRPr="006C1E51">
        <w:t>Resource distribution</w:t>
      </w:r>
    </w:p>
    <w:p w14:paraId="00000160" w14:textId="778747B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initiative redistributed national philanthropic funds, technical expertise, and staff capacity across multiple states, enabling grassroots groups to access resources typically concentrated in large institutions.</w:t>
      </w:r>
    </w:p>
    <w:p w14:paraId="00000161" w14:textId="77777777" w:rsidR="0006233B" w:rsidRPr="006C1E51" w:rsidRDefault="00C5531F" w:rsidP="00775270">
      <w:pPr>
        <w:pStyle w:val="Heading4"/>
        <w:spacing w:line="480" w:lineRule="auto"/>
      </w:pPr>
      <w:bookmarkStart w:id="174" w:name="_5y0ip8pabhm7" w:colFirst="0" w:colLast="0"/>
      <w:bookmarkEnd w:id="174"/>
      <w:r w:rsidRPr="006C1E51">
        <w:t>Democratic governance</w:t>
      </w:r>
    </w:p>
    <w:p w14:paraId="00000162"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AAHI engaged local organizations, regional stakeholders, and Trust staff collaboratively. Trainings and consultations were shaped by local needs, creating bottom-up influence within a national program.</w:t>
      </w:r>
    </w:p>
    <w:p w14:paraId="00000163" w14:textId="77777777" w:rsidR="0006233B" w:rsidRPr="006C1E51" w:rsidRDefault="00C5531F" w:rsidP="00775270">
      <w:pPr>
        <w:pStyle w:val="Heading4"/>
        <w:spacing w:line="480" w:lineRule="auto"/>
      </w:pPr>
      <w:bookmarkStart w:id="175" w:name="_a13wk9rrck9s" w:colFirst="0" w:colLast="0"/>
      <w:bookmarkEnd w:id="175"/>
      <w:r w:rsidRPr="006C1E51">
        <w:lastRenderedPageBreak/>
        <w:t>Shared experience</w:t>
      </w:r>
    </w:p>
    <w:p w14:paraId="00000164"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Organizations across the region learned together through workshops, consultancies, and training sessions. This shared experience built a collective understanding of preservation challenges and strategies specific to African American heritage sites.</w:t>
      </w:r>
    </w:p>
    <w:p w14:paraId="00000165" w14:textId="77777777" w:rsidR="0006233B" w:rsidRPr="006C1E51" w:rsidRDefault="00C5531F" w:rsidP="00775270">
      <w:pPr>
        <w:pStyle w:val="Heading4"/>
        <w:spacing w:line="480" w:lineRule="auto"/>
      </w:pPr>
      <w:bookmarkStart w:id="176" w:name="_hn573hyoysby" w:colFirst="0" w:colLast="0"/>
      <w:bookmarkEnd w:id="176"/>
      <w:r w:rsidRPr="006C1E51">
        <w:t>Equity and justice orientation</w:t>
      </w:r>
    </w:p>
    <w:p w14:paraId="00000166"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program addressed longstanding exclusion of African American sites from mainstream preservation funding and resources. Its mission was corrective: creating pathways for historically marginalized organizations to access support.</w:t>
      </w:r>
    </w:p>
    <w:p w14:paraId="00000167" w14:textId="77777777" w:rsidR="0006233B" w:rsidRPr="006C1E51" w:rsidRDefault="00C5531F" w:rsidP="00775270">
      <w:pPr>
        <w:pStyle w:val="Heading4"/>
        <w:spacing w:line="480" w:lineRule="auto"/>
      </w:pPr>
      <w:bookmarkStart w:id="177" w:name="_8fwn5slb4hr5" w:colFirst="0" w:colLast="0"/>
      <w:bookmarkEnd w:id="177"/>
      <w:r w:rsidRPr="006C1E51">
        <w:t>Cooperative resource development</w:t>
      </w:r>
    </w:p>
    <w:p w14:paraId="00000168"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AAHI pooled philanthropic funds and staff expertise to build a shared regional infrastructure that individual organizations could not create alone. This cooperative model directly aligns with CHC principles of shared capacity-building.</w:t>
      </w:r>
    </w:p>
    <w:p w14:paraId="00000169" w14:textId="77777777" w:rsidR="0006233B" w:rsidRPr="006C1E51" w:rsidRDefault="00C5531F" w:rsidP="00775270">
      <w:pPr>
        <w:pStyle w:val="Heading4"/>
        <w:spacing w:line="480" w:lineRule="auto"/>
      </w:pPr>
      <w:bookmarkStart w:id="178" w:name="_xrk402cldnjf" w:colFirst="0" w:colLast="0"/>
      <w:bookmarkEnd w:id="178"/>
      <w:r w:rsidRPr="006C1E51">
        <w:t>Shared language and practice</w:t>
      </w:r>
    </w:p>
    <w:p w14:paraId="0000016A"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Through trainings and workshops, organizations developed shared terminology and strategies around fundraising language, business planning techniques, and preservation methodologies that strengthened regional coherence.</w:t>
      </w:r>
    </w:p>
    <w:p w14:paraId="0000016B" w14:textId="77777777" w:rsidR="0006233B" w:rsidRPr="006C1E51" w:rsidRDefault="00C5531F" w:rsidP="00775270">
      <w:pPr>
        <w:pStyle w:val="Heading3"/>
      </w:pPr>
      <w:bookmarkStart w:id="179" w:name="_gbkcjgb1lv1" w:colFirst="0" w:colLast="0"/>
      <w:bookmarkStart w:id="180" w:name="_Toc220011126"/>
      <w:bookmarkEnd w:id="179"/>
      <w:r w:rsidRPr="006C1E51">
        <w:lastRenderedPageBreak/>
        <w:t>Analysis Based on Research Questions</w:t>
      </w:r>
      <w:bookmarkEnd w:id="180"/>
    </w:p>
    <w:p w14:paraId="0000016C" w14:textId="77777777" w:rsidR="0006233B" w:rsidRPr="006C1E51" w:rsidRDefault="00C5531F" w:rsidP="00775270">
      <w:pPr>
        <w:pStyle w:val="Heading4"/>
        <w:spacing w:line="480" w:lineRule="auto"/>
      </w:pPr>
      <w:bookmarkStart w:id="181" w:name="_ufu96l36igct" w:colFirst="0" w:colLast="0"/>
      <w:bookmarkEnd w:id="181"/>
      <w:r w:rsidRPr="006C1E51">
        <w:t>Structural and Financial Mechanisms</w:t>
      </w:r>
    </w:p>
    <w:p w14:paraId="0000016D"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AAHI relied on philanthropic funding, National Trust staffing, and partnership-based consultancies. While effective in delivering capacity-building, the model required continuous fundraising to remain active.</w:t>
      </w:r>
    </w:p>
    <w:p w14:paraId="0000016E" w14:textId="77777777" w:rsidR="0006233B" w:rsidRPr="006C1E51" w:rsidRDefault="00C5531F" w:rsidP="00775270">
      <w:pPr>
        <w:pStyle w:val="Heading4"/>
        <w:spacing w:line="480" w:lineRule="auto"/>
      </w:pPr>
      <w:bookmarkStart w:id="182" w:name="_mfhk915yjdux" w:colFirst="0" w:colLast="0"/>
      <w:bookmarkEnd w:id="182"/>
      <w:r w:rsidRPr="006C1E51">
        <w:t>Resource Distribution and Barriers to Equity</w:t>
      </w:r>
    </w:p>
    <w:p w14:paraId="0000016F" w14:textId="2D010EAF"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Resources were distributed widely, yet organizations with deeper existing capacity could often benefit more quickly. Additional scaffolding was needed for historically under-resourced communities. Furthermore, the initiative needed participants to take </w:t>
      </w:r>
      <w:r w:rsidR="00AB3F1D" w:rsidRPr="006C1E51">
        <w:rPr>
          <w:rFonts w:ascii="Times New Roman" w:hAnsi="Times New Roman" w:cs="Times New Roman"/>
          <w:sz w:val="24"/>
          <w:szCs w:val="24"/>
        </w:rPr>
        <w:t xml:space="preserve">the </w:t>
      </w:r>
      <w:r w:rsidRPr="006C1E51">
        <w:rPr>
          <w:rFonts w:ascii="Times New Roman" w:hAnsi="Times New Roman" w:cs="Times New Roman"/>
          <w:sz w:val="24"/>
          <w:szCs w:val="24"/>
        </w:rPr>
        <w:t>lead in continuing the program but that did not happen.</w:t>
      </w:r>
    </w:p>
    <w:p w14:paraId="00000170" w14:textId="77777777" w:rsidR="0006233B" w:rsidRPr="006C1E51" w:rsidRDefault="00C5531F" w:rsidP="00775270">
      <w:pPr>
        <w:pStyle w:val="Heading4"/>
        <w:spacing w:line="480" w:lineRule="auto"/>
      </w:pPr>
      <w:bookmarkStart w:id="183" w:name="_dvdpo5ovn7b6" w:colFirst="0" w:colLast="0"/>
      <w:bookmarkEnd w:id="183"/>
      <w:r w:rsidRPr="006C1E51">
        <w:t>Stakeholders and Governance</w:t>
      </w:r>
    </w:p>
    <w:p w14:paraId="00000171"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Stakeholders included grassroots preservation groups, local communities, historians, Trust staff, and philanthropic partners. Governance combined national coordination with local autonomy.</w:t>
      </w:r>
    </w:p>
    <w:p w14:paraId="00000172" w14:textId="77777777" w:rsidR="0006233B" w:rsidRPr="006C1E51" w:rsidRDefault="00C5531F" w:rsidP="00775270">
      <w:pPr>
        <w:pStyle w:val="Heading4"/>
        <w:spacing w:line="480" w:lineRule="auto"/>
      </w:pPr>
      <w:bookmarkStart w:id="184" w:name="_8o2nqq5g3k3s" w:colFirst="0" w:colLast="0"/>
      <w:bookmarkEnd w:id="184"/>
      <w:r w:rsidRPr="006C1E51">
        <w:t>Relevance to Heritage Communities of Practice</w:t>
      </w:r>
    </w:p>
    <w:p w14:paraId="00000173"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initiative cultivated a cross-state learning community, fostering shared strategies, professional networks, and collaborative problem-solving rooted in African American heritage preservation. It demonstrated that CoPs can transcend geographical barriers by leaning into shared experiences.</w:t>
      </w:r>
    </w:p>
    <w:p w14:paraId="00000174" w14:textId="77777777" w:rsidR="0006233B" w:rsidRPr="006C1E51" w:rsidRDefault="00C5531F" w:rsidP="00775270">
      <w:pPr>
        <w:pStyle w:val="Heading4"/>
        <w:spacing w:line="480" w:lineRule="auto"/>
      </w:pPr>
      <w:bookmarkStart w:id="185" w:name="_qhazsnhkm6up" w:colFirst="0" w:colLast="0"/>
      <w:bookmarkEnd w:id="185"/>
      <w:r w:rsidRPr="006C1E51">
        <w:lastRenderedPageBreak/>
        <w:t>Balancing Preservation, Economic Empowerment, and Sustainability</w:t>
      </w:r>
    </w:p>
    <w:p w14:paraId="00000175"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AAHI strengthened organizational sustainability and economic empowerment by teaching business planning and fundraising skills. Long-term viability, however, required continued investment–financial and human/partner capital–beyond the pilot phase.</w:t>
      </w:r>
    </w:p>
    <w:p w14:paraId="00000176" w14:textId="77777777" w:rsidR="0006233B" w:rsidRPr="006C1E51" w:rsidRDefault="00C5531F" w:rsidP="00775270">
      <w:pPr>
        <w:pStyle w:val="Heading4"/>
        <w:spacing w:line="480" w:lineRule="auto"/>
      </w:pPr>
      <w:bookmarkStart w:id="186" w:name="_ojgcz3kgxyyq" w:colFirst="0" w:colLast="0"/>
      <w:bookmarkEnd w:id="186"/>
      <w:r w:rsidRPr="006C1E51">
        <w:t>Implications for the CHC Framework</w:t>
      </w:r>
    </w:p>
    <w:p w14:paraId="00000177"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AAHI reinforces the value of cooperative, regional capacity-building in heritage ecosystems. It demonstrates that CHCs must integrate organizational infrastructure, training, and long-term economic planning to sustain community-led heritage work.</w:t>
      </w:r>
    </w:p>
    <w:p w14:paraId="00000178" w14:textId="77777777" w:rsidR="0006233B" w:rsidRPr="006C1E51" w:rsidRDefault="00C5531F" w:rsidP="00775270">
      <w:pPr>
        <w:pStyle w:val="Heading2"/>
        <w:spacing w:line="480" w:lineRule="auto"/>
        <w:rPr>
          <w:rFonts w:ascii="Times New Roman" w:hAnsi="Times New Roman" w:cs="Times New Roman"/>
        </w:rPr>
      </w:pPr>
      <w:bookmarkStart w:id="187" w:name="_82drtcmwtg95" w:colFirst="0" w:colLast="0"/>
      <w:bookmarkStart w:id="188" w:name="_Toc220011127"/>
      <w:bookmarkEnd w:id="187"/>
      <w:r w:rsidRPr="006C1E51">
        <w:rPr>
          <w:rFonts w:ascii="Times New Roman" w:hAnsi="Times New Roman" w:cs="Times New Roman"/>
        </w:rPr>
        <w:t>Conclusion: Patterns, Frictions, and Refinements for Cooperative Heritage Communities</w:t>
      </w:r>
      <w:bookmarkEnd w:id="188"/>
    </w:p>
    <w:p w14:paraId="00000179"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Across the five core case studies and the broader lineage of cooperative practice represented by the reference cases, several clear patterns emerge. First, cooperation consistently arises in contexts of structural absence—when institutions fail to protect cultural landscapes or to support the people who steward them. In these cases, communities mobilize shared labor, pooled resources, collective memory, and intergenerational participation to fill those gaps. Second, successful cooperative heritage work depends on shared authority, distributed resources, and the integration of youth and elders into joint cultural labor. Third, cooperative heritage ecosystems thrive when they recognize cultural stewardship as both intellectual and economic work—supporting not only sites and archives but also the well-being of cultural workers.</w:t>
      </w:r>
    </w:p>
    <w:p w14:paraId="0000017A"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Yet these cases also reveal frictions. Volunteer-driven models, while powerful, are often unsustainable when labor demands exceed community capacity. Grant-funded models create cycles of expansion and vulnerability, challenging long-term planning. Disparities in partner </w:t>
      </w:r>
      <w:r w:rsidRPr="006C1E51">
        <w:rPr>
          <w:rFonts w:ascii="Times New Roman" w:hAnsi="Times New Roman" w:cs="Times New Roman"/>
          <w:sz w:val="24"/>
          <w:szCs w:val="24"/>
        </w:rPr>
        <w:lastRenderedPageBreak/>
        <w:t>capacity—stemming from centuries of racialized disinvestment—make equal resource distribution insufficient for equitable outcomes. And hybrid governance models that blend institutional and community leadership must constantly navigate tensions in expectations, timelines, and definitions of accountability. These frictions do not weaken the CHC framework; they clarify its structural requirements.</w:t>
      </w:r>
    </w:p>
    <w:p w14:paraId="0000017B"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From these insights, several refinements to the CHC framework emerge. Cooperative heritage work must incorporate cooperative financing, including pooled funds, endowments, and stable compensation for cultural labor. It must acknowledge and address disparities in organizational capacity by providing differentiated support rather than uniform resources. Governance structures must be designed to balance institutional stability with descendant authority. And CHCs must integrate the well-being of cultural workers into their core operations, recognizing that preservation and interpretation cannot occur without sustaining the people who carry the work. Together, these refinements strengthen the CHC model and prepare the foundation for the scenario-building chapter that follows, where cooperative heritage communities are reimagined as durable, justice-centered cultural ecosystems equipped to steward the past while shaping more equitable futures.</w:t>
      </w:r>
    </w:p>
    <w:p w14:paraId="0F8E895C" w14:textId="77777777" w:rsidR="00C63ED1" w:rsidRPr="006C1E51" w:rsidRDefault="00C63ED1" w:rsidP="00775270">
      <w:pPr>
        <w:spacing w:line="480" w:lineRule="auto"/>
        <w:rPr>
          <w:rFonts w:ascii="Times New Roman" w:hAnsi="Times New Roman" w:cs="Times New Roman"/>
          <w:b/>
          <w:bCs/>
          <w:sz w:val="24"/>
          <w:szCs w:val="24"/>
        </w:rPr>
      </w:pPr>
      <w:bookmarkStart w:id="189" w:name="_6m7tsp9d8jii" w:colFirst="0" w:colLast="0"/>
      <w:bookmarkEnd w:id="189"/>
      <w:r w:rsidRPr="006C1E51">
        <w:rPr>
          <w:rFonts w:ascii="Times New Roman" w:hAnsi="Times New Roman" w:cs="Times New Roman"/>
          <w:sz w:val="24"/>
          <w:szCs w:val="24"/>
        </w:rPr>
        <w:br w:type="page"/>
      </w:r>
    </w:p>
    <w:p w14:paraId="0000017C" w14:textId="0628F491" w:rsidR="0006233B" w:rsidRPr="006C1E51" w:rsidRDefault="00FA59C2" w:rsidP="00B97F99">
      <w:pPr>
        <w:pStyle w:val="Heading1"/>
      </w:pPr>
      <w:bookmarkStart w:id="190" w:name="_Toc220011128"/>
      <w:r w:rsidRPr="006C1E51">
        <w:lastRenderedPageBreak/>
        <w:t>Chapter 5: The Application: A CHC Scenario In Butlertown</w:t>
      </w:r>
      <w:bookmarkEnd w:id="190"/>
    </w:p>
    <w:p w14:paraId="0000017D" w14:textId="77777777" w:rsidR="0006233B" w:rsidRPr="006C1E51" w:rsidRDefault="00C5531F" w:rsidP="00775270">
      <w:pPr>
        <w:pStyle w:val="Heading2"/>
        <w:spacing w:line="480" w:lineRule="auto"/>
        <w:rPr>
          <w:rFonts w:ascii="Times New Roman" w:hAnsi="Times New Roman" w:cs="Times New Roman"/>
        </w:rPr>
      </w:pPr>
      <w:bookmarkStart w:id="191" w:name="_pw4fictf98d2" w:colFirst="0" w:colLast="0"/>
      <w:bookmarkStart w:id="192" w:name="_Toc220011129"/>
      <w:bookmarkEnd w:id="191"/>
      <w:r w:rsidRPr="006C1E51">
        <w:rPr>
          <w:rFonts w:ascii="Times New Roman" w:hAnsi="Times New Roman" w:cs="Times New Roman"/>
        </w:rPr>
        <w:t>Introduction to Chapter Five</w:t>
      </w:r>
      <w:bookmarkEnd w:id="192"/>
    </w:p>
    <w:p w14:paraId="0000017E" w14:textId="4396A5C6" w:rsidR="0006233B" w:rsidRPr="006C1E51" w:rsidRDefault="00C5531F" w:rsidP="006F0F0E">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This chapter uses scenario-building as both a research </w:t>
      </w:r>
      <w:r w:rsidR="00A85996" w:rsidRPr="006C1E51">
        <w:rPr>
          <w:rFonts w:ascii="Times New Roman" w:hAnsi="Times New Roman" w:cs="Times New Roman"/>
          <w:sz w:val="24"/>
          <w:szCs w:val="24"/>
        </w:rPr>
        <w:t xml:space="preserve">tool </w:t>
      </w:r>
      <w:r w:rsidRPr="006C1E51">
        <w:rPr>
          <w:rFonts w:ascii="Times New Roman" w:hAnsi="Times New Roman" w:cs="Times New Roman"/>
          <w:sz w:val="24"/>
          <w:szCs w:val="24"/>
        </w:rPr>
        <w:t>and a planning tool to apply the CHC framework to a plausible, future-oriented narrative set in a rural Black community on Maryland’s Eastern Shore. Through the lens of Henrietta Brown, a 72-year-old matriarch in a “backwoods” settlement of seventy parcels, the chapter imagines how a CHC-supported revolving fund could help residents collectively preserve land, stabilize housing, and channel heritage value into community ownership.</w:t>
      </w:r>
    </w:p>
    <w:p w14:paraId="0000017F"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goal of this chapter is to show how heritage can move from symbolic storytelling to structural empowerment, essentially, functioning as community infrastructure for self-determination and cooperative economics.</w:t>
      </w:r>
    </w:p>
    <w:p w14:paraId="00000180" w14:textId="268953E6"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This chapter blends creative narrative with applied planning. Each section of the scenario illustrates one of the CHC principles through the lived experiences of residents in a rural Black community. Following each narrative segment, I include a short set of Planning Prompts. These prompts invite readers to pause, reflect, and consider how the principle demonstrated in the story might apply to their own community or project. In this way, the chapter functions as both a narrative case study and a practical workbook—modeling how Cooperative Heritage Communities can be imagined, adapted, and implemented in real-life context.</w:t>
      </w:r>
    </w:p>
    <w:p w14:paraId="00000181" w14:textId="1F199B22" w:rsidR="0006233B" w:rsidRPr="006C1E51" w:rsidRDefault="00C5531F" w:rsidP="00775270">
      <w:pPr>
        <w:pStyle w:val="Heading2"/>
        <w:spacing w:line="480" w:lineRule="auto"/>
        <w:rPr>
          <w:rFonts w:ascii="Times New Roman" w:hAnsi="Times New Roman" w:cs="Times New Roman"/>
        </w:rPr>
      </w:pPr>
      <w:bookmarkStart w:id="193" w:name="_n2adjoj4pxf" w:colFirst="0" w:colLast="0"/>
      <w:bookmarkStart w:id="194" w:name="_Toc220011130"/>
      <w:bookmarkEnd w:id="193"/>
      <w:r w:rsidRPr="006C1E51">
        <w:rPr>
          <w:rFonts w:ascii="Times New Roman" w:hAnsi="Times New Roman" w:cs="Times New Roman"/>
        </w:rPr>
        <w:lastRenderedPageBreak/>
        <w:t>S</w:t>
      </w:r>
      <w:r w:rsidR="00A85996" w:rsidRPr="006C1E51">
        <w:rPr>
          <w:rFonts w:ascii="Times New Roman" w:hAnsi="Times New Roman" w:cs="Times New Roman"/>
        </w:rPr>
        <w:t>cenario</w:t>
      </w:r>
      <w:r w:rsidRPr="006C1E51">
        <w:rPr>
          <w:rFonts w:ascii="Times New Roman" w:hAnsi="Times New Roman" w:cs="Times New Roman"/>
        </w:rPr>
        <w:t>: Henrietta Brown’s Backwoods (Butlertown)</w:t>
      </w:r>
      <w:bookmarkEnd w:id="194"/>
    </w:p>
    <w:p w14:paraId="611BAFF1" w14:textId="7D6474DE" w:rsidR="00A85996" w:rsidRPr="006C1E51" w:rsidRDefault="00C5531F" w:rsidP="006F0F0E">
      <w:pPr>
        <w:pStyle w:val="Heading2"/>
        <w:spacing w:line="480" w:lineRule="auto"/>
        <w:rPr>
          <w:rFonts w:ascii="Times New Roman" w:hAnsi="Times New Roman" w:cs="Times New Roman"/>
        </w:rPr>
      </w:pPr>
      <w:bookmarkStart w:id="195" w:name="_yb0c75f7fav9" w:colFirst="0" w:colLast="0"/>
      <w:bookmarkStart w:id="196" w:name="_Toc220011131"/>
      <w:bookmarkEnd w:id="195"/>
      <w:r w:rsidRPr="006C1E51">
        <w:rPr>
          <w:rFonts w:ascii="Times New Roman" w:hAnsi="Times New Roman" w:cs="Times New Roman"/>
        </w:rPr>
        <w:t>Act I. A Living Landscape</w:t>
      </w:r>
      <w:bookmarkStart w:id="197" w:name="_ga85q15568b8" w:colFirst="0" w:colLast="0"/>
      <w:bookmarkEnd w:id="196"/>
      <w:bookmarkEnd w:id="197"/>
    </w:p>
    <w:p w14:paraId="00B86D6B" w14:textId="2327F0CC" w:rsidR="00A85996" w:rsidRPr="006C1E51" w:rsidRDefault="00C5531F" w:rsidP="00775270">
      <w:pPr>
        <w:spacing w:line="480" w:lineRule="auto"/>
        <w:rPr>
          <w:rFonts w:ascii="Times New Roman" w:hAnsi="Times New Roman" w:cs="Times New Roman"/>
          <w:sz w:val="24"/>
          <w:szCs w:val="24"/>
        </w:rPr>
      </w:pPr>
      <w:r w:rsidRPr="006C1E51">
        <w:rPr>
          <w:rFonts w:ascii="Times New Roman" w:hAnsi="Times New Roman" w:cs="Times New Roman"/>
          <w:sz w:val="24"/>
          <w:szCs w:val="24"/>
        </w:rPr>
        <w:t>Principle: Shared Experience – Understanding the lived experience as a unifier</w:t>
      </w:r>
    </w:p>
    <w:p w14:paraId="00000184" w14:textId="0D908290" w:rsidR="0006233B" w:rsidRPr="006C1E51" w:rsidRDefault="00C5531F" w:rsidP="00775270">
      <w:pPr>
        <w:pBdr>
          <w:bottom w:val="single" w:sz="6" w:space="1" w:color="auto"/>
        </w:pBdr>
        <w:spacing w:line="480" w:lineRule="auto"/>
        <w:rPr>
          <w:rFonts w:ascii="Times New Roman" w:hAnsi="Times New Roman" w:cs="Times New Roman"/>
          <w:sz w:val="24"/>
          <w:szCs w:val="24"/>
        </w:rPr>
      </w:pPr>
      <w:r w:rsidRPr="006C1E51">
        <w:rPr>
          <w:rFonts w:ascii="Times New Roman" w:hAnsi="Times New Roman" w:cs="Times New Roman"/>
          <w:sz w:val="24"/>
          <w:szCs w:val="24"/>
        </w:rPr>
        <w:t>Purpose: Ground the reader in Butlertown’s physical setting, continuity, and shared labor that</w:t>
      </w:r>
      <w:r w:rsidR="00A85996" w:rsidRPr="006C1E51">
        <w:rPr>
          <w:rFonts w:ascii="Times New Roman" w:hAnsi="Times New Roman" w:cs="Times New Roman"/>
          <w:sz w:val="24"/>
          <w:szCs w:val="24"/>
        </w:rPr>
        <w:t xml:space="preserve"> </w:t>
      </w:r>
      <w:r w:rsidRPr="006C1E51">
        <w:rPr>
          <w:rFonts w:ascii="Times New Roman" w:hAnsi="Times New Roman" w:cs="Times New Roman"/>
          <w:sz w:val="24"/>
          <w:szCs w:val="24"/>
        </w:rPr>
        <w:t>built it.</w:t>
      </w:r>
    </w:p>
    <w:p w14:paraId="00000186"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Everyone was headed home.</w:t>
      </w:r>
    </w:p>
    <w:p w14:paraId="00000187" w14:textId="3155EBBE"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It was the third of November, the first Monday after the clocks fell back for Daylight Savings Time. Around Kent County, this time of year, you wanted to get home before it got too dark, because that’s when the deer came out. </w:t>
      </w:r>
      <w:r w:rsidR="00FD6498" w:rsidRPr="006C1E51">
        <w:rPr>
          <w:rFonts w:ascii="Times New Roman" w:hAnsi="Times New Roman" w:cs="Times New Roman"/>
          <w:sz w:val="24"/>
          <w:szCs w:val="24"/>
        </w:rPr>
        <w:t>It’s</w:t>
      </w:r>
      <w:r w:rsidRPr="006C1E51">
        <w:rPr>
          <w:rFonts w:ascii="Times New Roman" w:hAnsi="Times New Roman" w:cs="Times New Roman"/>
          <w:sz w:val="24"/>
          <w:szCs w:val="24"/>
        </w:rPr>
        <w:t xml:space="preserve"> common for “goodbyes” to be replaced </w:t>
      </w:r>
      <w:r w:rsidR="00FD6498" w:rsidRPr="006C1E51">
        <w:rPr>
          <w:rFonts w:ascii="Times New Roman" w:hAnsi="Times New Roman" w:cs="Times New Roman"/>
          <w:sz w:val="24"/>
          <w:szCs w:val="24"/>
        </w:rPr>
        <w:t xml:space="preserve">with </w:t>
      </w:r>
      <w:r w:rsidRPr="006C1E51">
        <w:rPr>
          <w:rFonts w:ascii="Times New Roman" w:hAnsi="Times New Roman" w:cs="Times New Roman"/>
          <w:sz w:val="24"/>
          <w:szCs w:val="24"/>
        </w:rPr>
        <w:t>“Watch out for deer,” which really means “I love you” in Eastern Shore-speak.</w:t>
      </w:r>
    </w:p>
    <w:p w14:paraId="00000188" w14:textId="62333ACE"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Lambs Meadow Road came alive mornings and afternoons. School buses rumbled down the road carrying dozens of children home. Farmers turned their combines onto the main road to head back to the shop, dust trailing behind them, painting the sky. The silhouette of the Butlertown water tower</w:t>
      </w:r>
      <w:r w:rsidR="002A7ACB" w:rsidRPr="006C1E51">
        <w:rPr>
          <w:rFonts w:ascii="Times New Roman" w:hAnsi="Times New Roman" w:cs="Times New Roman"/>
          <w:sz w:val="24"/>
          <w:szCs w:val="24"/>
        </w:rPr>
        <w:t xml:space="preserve"> (see fig. 20)</w:t>
      </w:r>
      <w:r w:rsidRPr="006C1E51">
        <w:rPr>
          <w:rFonts w:ascii="Times New Roman" w:hAnsi="Times New Roman" w:cs="Times New Roman"/>
          <w:sz w:val="24"/>
          <w:szCs w:val="24"/>
        </w:rPr>
        <w:t xml:space="preserve"> rose above the treeline—an unintentional landmark, orienting people to home. Clouds gathered in cascading layers of yellow, orange, and red, competing with a deep blue sky in a way that only Kent County sunsets can offer. Captain John Smith once called the Chesapeake region “God’s Country.” </w:t>
      </w:r>
    </w:p>
    <w:p w14:paraId="73034574" w14:textId="77777777" w:rsidR="006F1F52" w:rsidRPr="006C1E51" w:rsidRDefault="00447244" w:rsidP="00775270">
      <w:pPr>
        <w:keepNext/>
        <w:spacing w:before="240" w:after="240" w:line="480" w:lineRule="auto"/>
        <w:rPr>
          <w:rFonts w:ascii="Times New Roman" w:hAnsi="Times New Roman" w:cs="Times New Roman"/>
          <w:sz w:val="24"/>
          <w:szCs w:val="24"/>
        </w:rPr>
      </w:pPr>
      <w:r w:rsidRPr="006C1E51">
        <w:rPr>
          <w:rFonts w:ascii="Times New Roman" w:hAnsi="Times New Roman" w:cs="Times New Roman"/>
          <w:noProof/>
          <w:sz w:val="24"/>
          <w:szCs w:val="24"/>
        </w:rPr>
        <w:lastRenderedPageBreak/>
        <w:drawing>
          <wp:inline distT="0" distB="0" distL="0" distR="0" wp14:anchorId="4F1A9F1B" wp14:editId="6FC734C9">
            <wp:extent cx="5943600" cy="2866390"/>
            <wp:effectExtent l="0" t="0" r="0" b="3810"/>
            <wp:docPr id="932450155" name="Picture 1" descr="A large white balloon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450155" name="Picture 1" descr="A large white balloon with black text&#10;&#10;AI-generated content may be incorrect."/>
                    <pic:cNvPicPr/>
                  </pic:nvPicPr>
                  <pic:blipFill>
                    <a:blip r:embed="rId34" cstate="email">
                      <a:extLst>
                        <a:ext uri="{28A0092B-C50C-407E-A947-70E740481C1C}">
                          <a14:useLocalDpi xmlns:a14="http://schemas.microsoft.com/office/drawing/2010/main"/>
                        </a:ext>
                      </a:extLst>
                    </a:blip>
                    <a:stretch>
                      <a:fillRect/>
                    </a:stretch>
                  </pic:blipFill>
                  <pic:spPr>
                    <a:xfrm>
                      <a:off x="0" y="0"/>
                      <a:ext cx="5943600" cy="2866390"/>
                    </a:xfrm>
                    <a:prstGeom prst="rect">
                      <a:avLst/>
                    </a:prstGeom>
                  </pic:spPr>
                </pic:pic>
              </a:graphicData>
            </a:graphic>
          </wp:inline>
        </w:drawing>
      </w:r>
    </w:p>
    <w:p w14:paraId="6B3773F0" w14:textId="02BF6A39" w:rsidR="00447244" w:rsidRPr="006C1E51" w:rsidRDefault="006F1F52" w:rsidP="00F50E4B">
      <w:pPr>
        <w:pStyle w:val="Caption"/>
      </w:pPr>
      <w:bookmarkStart w:id="198" w:name="_Toc220011015"/>
      <w:r w:rsidRPr="006C1E51">
        <w:t xml:space="preserve">Figure </w:t>
      </w:r>
      <w:r w:rsidR="0044768F" w:rsidRPr="006C1E51">
        <w:fldChar w:fldCharType="begin"/>
      </w:r>
      <w:r w:rsidR="0044768F" w:rsidRPr="006C1E51">
        <w:instrText xml:space="preserve"> SEQ Figure \* ARABIC </w:instrText>
      </w:r>
      <w:r w:rsidR="0044768F" w:rsidRPr="006C1E51">
        <w:fldChar w:fldCharType="separate"/>
      </w:r>
      <w:r w:rsidR="00C63ED1" w:rsidRPr="006C1E51">
        <w:rPr>
          <w:noProof/>
        </w:rPr>
        <w:t>20</w:t>
      </w:r>
      <w:r w:rsidR="0044768F" w:rsidRPr="006C1E51">
        <w:rPr>
          <w:noProof/>
        </w:rPr>
        <w:fldChar w:fldCharType="end"/>
      </w:r>
      <w:r w:rsidRPr="006C1E51">
        <w:t>. Screenshot of the Butlertown water tower from the music video.</w:t>
      </w:r>
      <w:r w:rsidR="006F0F0E" w:rsidRPr="006C1E51">
        <w:rPr>
          <w:rStyle w:val="FootnoteReference"/>
        </w:rPr>
        <w:footnoteReference w:id="113"/>
      </w:r>
      <w:bookmarkEnd w:id="198"/>
    </w:p>
    <w:p w14:paraId="0000018A" w14:textId="1EFEDC1B"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Up here, in this part of the county, folks said they lived in </w:t>
      </w:r>
      <w:r w:rsidRPr="006C1E51">
        <w:rPr>
          <w:rFonts w:ascii="Times New Roman" w:hAnsi="Times New Roman" w:cs="Times New Roman"/>
          <w:i/>
          <w:iCs/>
          <w:sz w:val="24"/>
          <w:szCs w:val="24"/>
        </w:rPr>
        <w:t>Butler’s Town</w:t>
      </w:r>
      <w:r w:rsidRPr="006C1E51">
        <w:rPr>
          <w:rFonts w:ascii="Times New Roman" w:hAnsi="Times New Roman" w:cs="Times New Roman"/>
          <w:sz w:val="24"/>
          <w:szCs w:val="24"/>
        </w:rPr>
        <w:t>—Butlertown</w:t>
      </w:r>
      <w:r w:rsidR="006F0F0E" w:rsidRPr="006C1E51">
        <w:rPr>
          <w:rFonts w:ascii="Times New Roman" w:hAnsi="Times New Roman" w:cs="Times New Roman"/>
          <w:sz w:val="24"/>
          <w:szCs w:val="24"/>
        </w:rPr>
        <w:t xml:space="preserve">. </w:t>
      </w:r>
      <w:r w:rsidRPr="006C1E51">
        <w:rPr>
          <w:rFonts w:ascii="Times New Roman" w:hAnsi="Times New Roman" w:cs="Times New Roman"/>
          <w:sz w:val="24"/>
          <w:szCs w:val="24"/>
        </w:rPr>
        <w:t>Brick ranchers lined the edges of the road—structures laid by the Freeman brothers, who were responsible</w:t>
      </w:r>
      <w:r w:rsidR="00A67976" w:rsidRPr="006C1E51">
        <w:rPr>
          <w:rFonts w:ascii="Times New Roman" w:hAnsi="Times New Roman" w:cs="Times New Roman"/>
          <w:sz w:val="24"/>
          <w:szCs w:val="24"/>
        </w:rPr>
        <w:t xml:space="preserve"> for</w:t>
      </w:r>
      <w:r w:rsidRPr="006C1E51">
        <w:rPr>
          <w:rFonts w:ascii="Times New Roman" w:hAnsi="Times New Roman" w:cs="Times New Roman"/>
          <w:sz w:val="24"/>
          <w:szCs w:val="24"/>
        </w:rPr>
        <w:t xml:space="preserve"> much of the in Butlertown. At the end of town stood Mt. Olive AME, also built by the Freemans, with its cemetery tucked off to the side</w:t>
      </w:r>
      <w:r w:rsidR="00F50E4B" w:rsidRPr="006C1E51">
        <w:rPr>
          <w:rFonts w:ascii="Times New Roman" w:hAnsi="Times New Roman" w:cs="Times New Roman"/>
          <w:sz w:val="24"/>
          <w:szCs w:val="24"/>
        </w:rPr>
        <w:t xml:space="preserve"> </w:t>
      </w:r>
      <w:r w:rsidRPr="006C1E51">
        <w:rPr>
          <w:rFonts w:ascii="Times New Roman" w:hAnsi="Times New Roman" w:cs="Times New Roman"/>
          <w:sz w:val="24"/>
          <w:szCs w:val="24"/>
        </w:rPr>
        <w:t>and the original cemetery dating back to the nineteenth century across the street, where a few headstones leaned slightly forward, like elders trying to hear the next generation’s conversations. The bell from the original church stands nearby, almost as if it's waiting to be rung one more time</w:t>
      </w:r>
      <w:r w:rsidR="002A7ACB" w:rsidRPr="006C1E51">
        <w:rPr>
          <w:rFonts w:ascii="Times New Roman" w:hAnsi="Times New Roman" w:cs="Times New Roman"/>
          <w:sz w:val="24"/>
          <w:szCs w:val="24"/>
        </w:rPr>
        <w:t xml:space="preserve"> (see fig. 21)</w:t>
      </w:r>
      <w:r w:rsidRPr="006C1E51">
        <w:rPr>
          <w:rFonts w:ascii="Times New Roman" w:hAnsi="Times New Roman" w:cs="Times New Roman"/>
          <w:sz w:val="24"/>
          <w:szCs w:val="24"/>
        </w:rPr>
        <w:t>. The sense of place was as strong as the community’s history.</w:t>
      </w:r>
    </w:p>
    <w:p w14:paraId="683DFED6" w14:textId="77777777" w:rsidR="006F1F52" w:rsidRPr="006C1E51" w:rsidRDefault="006F1F52" w:rsidP="00775270">
      <w:pPr>
        <w:keepNext/>
        <w:spacing w:before="240" w:after="240" w:line="480" w:lineRule="auto"/>
        <w:jc w:val="center"/>
        <w:rPr>
          <w:rFonts w:ascii="Times New Roman" w:hAnsi="Times New Roman" w:cs="Times New Roman"/>
          <w:sz w:val="24"/>
          <w:szCs w:val="24"/>
        </w:rPr>
      </w:pPr>
      <w:r w:rsidRPr="006C1E51">
        <w:rPr>
          <w:rFonts w:ascii="Times New Roman" w:hAnsi="Times New Roman" w:cs="Times New Roman"/>
          <w:noProof/>
          <w:sz w:val="24"/>
          <w:szCs w:val="24"/>
        </w:rPr>
        <w:lastRenderedPageBreak/>
        <w:drawing>
          <wp:inline distT="0" distB="0" distL="0" distR="0" wp14:anchorId="03DC0EB6" wp14:editId="691BEFB0">
            <wp:extent cx="3589425" cy="4785900"/>
            <wp:effectExtent l="0" t="0" r="5080" b="2540"/>
            <wp:docPr id="776213581" name="Picture 1" descr="A bell on a wooden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213581" name="Picture 1" descr="A bell on a wooden structure&#10;&#10;AI-generated content may be incorrect."/>
                    <pic:cNvPicPr/>
                  </pic:nvPicPr>
                  <pic:blipFill>
                    <a:blip r:embed="rId35" cstate="email">
                      <a:extLst>
                        <a:ext uri="{28A0092B-C50C-407E-A947-70E740481C1C}">
                          <a14:useLocalDpi xmlns:a14="http://schemas.microsoft.com/office/drawing/2010/main"/>
                        </a:ext>
                      </a:extLst>
                    </a:blip>
                    <a:stretch>
                      <a:fillRect/>
                    </a:stretch>
                  </pic:blipFill>
                  <pic:spPr>
                    <a:xfrm>
                      <a:off x="0" y="0"/>
                      <a:ext cx="3594980" cy="4793307"/>
                    </a:xfrm>
                    <a:prstGeom prst="rect">
                      <a:avLst/>
                    </a:prstGeom>
                  </pic:spPr>
                </pic:pic>
              </a:graphicData>
            </a:graphic>
          </wp:inline>
        </w:drawing>
      </w:r>
    </w:p>
    <w:p w14:paraId="729B008F" w14:textId="79C5E066" w:rsidR="006F1F52" w:rsidRPr="006C1E51" w:rsidRDefault="006F1F52" w:rsidP="00F50E4B">
      <w:pPr>
        <w:pStyle w:val="Caption"/>
      </w:pPr>
      <w:bookmarkStart w:id="199" w:name="_Toc220011016"/>
      <w:r w:rsidRPr="006C1E51">
        <w:t xml:space="preserve">Figure </w:t>
      </w:r>
      <w:r w:rsidR="0044768F" w:rsidRPr="006C1E51">
        <w:fldChar w:fldCharType="begin"/>
      </w:r>
      <w:r w:rsidR="0044768F" w:rsidRPr="006C1E51">
        <w:instrText xml:space="preserve"> SEQ Figure \* ARABIC </w:instrText>
      </w:r>
      <w:r w:rsidR="0044768F" w:rsidRPr="006C1E51">
        <w:fldChar w:fldCharType="separate"/>
      </w:r>
      <w:r w:rsidR="00C63ED1" w:rsidRPr="006C1E51">
        <w:rPr>
          <w:noProof/>
        </w:rPr>
        <w:t>21</w:t>
      </w:r>
      <w:r w:rsidR="0044768F" w:rsidRPr="006C1E51">
        <w:rPr>
          <w:noProof/>
        </w:rPr>
        <w:fldChar w:fldCharType="end"/>
      </w:r>
      <w:r w:rsidRPr="006C1E51">
        <w:t>. Original church bell from Mount Olive AME Church in Butlertown, Maryland</w:t>
      </w:r>
      <w:r w:rsidR="00FE75CC" w:rsidRPr="006C1E51">
        <w:t>.</w:t>
      </w:r>
      <w:r w:rsidRPr="006C1E51">
        <w:t xml:space="preserve"> </w:t>
      </w:r>
      <w:r w:rsidR="00FE75CC" w:rsidRPr="006C1E51">
        <w:t>P</w:t>
      </w:r>
      <w:r w:rsidRPr="006C1E51">
        <w:t>hoto by the author, 2023.</w:t>
      </w:r>
      <w:bookmarkEnd w:id="199"/>
    </w:p>
    <w:p w14:paraId="0000018B"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People moved by routine here. Always had. Off to work, church, the grocery store, school. The community circulated from hub to hub—shared spaces that held value for everyone. Frequenting the same spaces created a rhythm of shared experience. Everyone knew everyone–and you can’t go to the grocery store without seeing </w:t>
      </w:r>
      <w:r w:rsidRPr="006C1E51">
        <w:rPr>
          <w:rFonts w:ascii="Times New Roman" w:hAnsi="Times New Roman" w:cs="Times New Roman"/>
          <w:i/>
          <w:iCs/>
          <w:sz w:val="24"/>
          <w:szCs w:val="24"/>
        </w:rPr>
        <w:t>everybody</w:t>
      </w:r>
      <w:r w:rsidRPr="006C1E51">
        <w:rPr>
          <w:rFonts w:ascii="Times New Roman" w:hAnsi="Times New Roman" w:cs="Times New Roman"/>
          <w:sz w:val="24"/>
          <w:szCs w:val="24"/>
        </w:rPr>
        <w:t>. Shared experiences became shared understanding. But everyone wasn’t the same—Kent County had its fair share of unique folks, too.</w:t>
      </w:r>
    </w:p>
    <w:p w14:paraId="0000018C"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Henrietta Brown sat on her porch, taking in this rhythm she’d known her whole life. Deep roots kept her grounded here. She’d watched the old schoolhouses close. She’d seen new developments rise—people moving in who weren't family. She remembered being a girl standing at the hip of her grandmother Elsie, watching her prepare greens and ham hocks. Sometimes Elsie would even let her help make her famous white potato pies that the whole community loved.</w:t>
      </w:r>
    </w:p>
    <w:p w14:paraId="0000018D" w14:textId="77777777" w:rsidR="0006233B" w:rsidRPr="006C1E51" w:rsidRDefault="00C5531F" w:rsidP="006F0F0E">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Elsie lived to be 104. Born in 1908. And Elsie had known her own grandmother, Carol Butler, who lived to be 105, born in 1851—the year James Butler died. James Butler, the founding figure of Butlertown, somehow held twenty acres of land in 1820. A few years before Frederick Douglass and Harriet Tubman made their escapes down the shore, and long before Isaac Mason and Harriet Shepherd escaped from farms in northern Kent County, James Butler held property while others were still considered property themselves.</w:t>
      </w:r>
    </w:p>
    <w:p w14:paraId="0000018E" w14:textId="50BA70D8"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No one knew exactly how he acquired the land, but folks just began to learn that he purchased his own freedom for one dollar in 1812 from Richard Spencer, and he may have been the love child of an Irish indentured servant. But one thing was certain: when he wrote his will in 1851 and divided his land among his kin, he ensured that Butlertown would remain predominantly family for nearly 150 years.</w:t>
      </w:r>
    </w:p>
    <w:p w14:paraId="0000018F"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Henrietta thought of that often—how her people went from enslaved to landowning, from property to proprietors—and how the landscape before her eyes was slowly changing.</w:t>
      </w:r>
    </w:p>
    <w:p w14:paraId="00000190" w14:textId="68430A35" w:rsidR="0006233B" w:rsidRPr="006C1E51" w:rsidRDefault="00C5531F" w:rsidP="006F0F0E">
      <w:pPr>
        <w:pBdr>
          <w:bottom w:val="single" w:sz="6" w:space="1" w:color="auto"/>
        </w:pBd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Change didn’t come all at once in Butlertown. It crept</w:t>
      </w:r>
      <w:r w:rsidR="006F0F0E" w:rsidRPr="006C1E51">
        <w:rPr>
          <w:rFonts w:ascii="Times New Roman" w:hAnsi="Times New Roman" w:cs="Times New Roman"/>
          <w:sz w:val="24"/>
          <w:szCs w:val="24"/>
        </w:rPr>
        <w:t xml:space="preserve"> up on you</w:t>
      </w:r>
      <w:r w:rsidRPr="006C1E51">
        <w:rPr>
          <w:rFonts w:ascii="Times New Roman" w:hAnsi="Times New Roman" w:cs="Times New Roman"/>
          <w:sz w:val="24"/>
          <w:szCs w:val="24"/>
        </w:rPr>
        <w:t>. A new driveway here.</w:t>
      </w:r>
      <w:r w:rsidR="006F0F0E" w:rsidRPr="006C1E51">
        <w:rPr>
          <w:rFonts w:ascii="Times New Roman" w:hAnsi="Times New Roman" w:cs="Times New Roman"/>
          <w:sz w:val="24"/>
          <w:szCs w:val="24"/>
        </w:rPr>
        <w:t xml:space="preserve"> </w:t>
      </w:r>
      <w:r w:rsidRPr="006C1E51">
        <w:rPr>
          <w:rFonts w:ascii="Times New Roman" w:hAnsi="Times New Roman" w:cs="Times New Roman"/>
          <w:sz w:val="24"/>
          <w:szCs w:val="24"/>
        </w:rPr>
        <w:t>A “For Sale” sign there</w:t>
      </w:r>
      <w:r w:rsidR="006F0F0E" w:rsidRPr="006C1E51">
        <w:rPr>
          <w:rFonts w:ascii="Times New Roman" w:hAnsi="Times New Roman" w:cs="Times New Roman"/>
          <w:sz w:val="24"/>
          <w:szCs w:val="24"/>
        </w:rPr>
        <w:t>…</w:t>
      </w:r>
    </w:p>
    <w:p w14:paraId="00000191" w14:textId="4B515DA8" w:rsidR="0006233B" w:rsidRPr="006C1E51" w:rsidRDefault="00C5531F" w:rsidP="00775270">
      <w:pPr>
        <w:pStyle w:val="Heading3"/>
      </w:pPr>
      <w:bookmarkStart w:id="200" w:name="_bfeu8zpe3uzh" w:colFirst="0" w:colLast="0"/>
      <w:bookmarkStart w:id="201" w:name="_Toc220011132"/>
      <w:bookmarkEnd w:id="200"/>
      <w:r w:rsidRPr="006C1E51">
        <w:lastRenderedPageBreak/>
        <w:t>Planning Prompts (CHC Principle: Shared Experience)</w:t>
      </w:r>
      <w:bookmarkEnd w:id="201"/>
    </w:p>
    <w:p w14:paraId="00000192" w14:textId="77777777" w:rsidR="0006233B" w:rsidRPr="006C1E51" w:rsidRDefault="00C5531F" w:rsidP="00775270">
      <w:pPr>
        <w:spacing w:line="480" w:lineRule="auto"/>
        <w:rPr>
          <w:rFonts w:ascii="Times New Roman" w:hAnsi="Times New Roman" w:cs="Times New Roman"/>
          <w:sz w:val="24"/>
          <w:szCs w:val="24"/>
        </w:rPr>
      </w:pPr>
      <w:r w:rsidRPr="006C1E51">
        <w:rPr>
          <w:rFonts w:ascii="Times New Roman" w:hAnsi="Times New Roman" w:cs="Times New Roman"/>
          <w:sz w:val="24"/>
          <w:szCs w:val="24"/>
        </w:rPr>
        <w:t>Use these prompts to reflect on the shared experiences, rhythms, and everyday heritage in your community or project area.</w:t>
      </w:r>
    </w:p>
    <w:p w14:paraId="00000193" w14:textId="03278C0B" w:rsidR="0006233B" w:rsidRPr="006C1E51" w:rsidRDefault="00C5531F" w:rsidP="00775270">
      <w:pPr>
        <w:numPr>
          <w:ilvl w:val="0"/>
          <w:numId w:val="12"/>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rPr>
        <w:t>What daily routines or seasonal rhythms define your community’s sense of continuity?</w:t>
      </w:r>
    </w:p>
    <w:p w14:paraId="00000194" w14:textId="1F34273D" w:rsidR="0006233B" w:rsidRPr="006C1E51" w:rsidRDefault="00C5531F" w:rsidP="00775270">
      <w:pPr>
        <w:numPr>
          <w:ilvl w:val="0"/>
          <w:numId w:val="12"/>
        </w:numPr>
        <w:spacing w:line="480" w:lineRule="auto"/>
        <w:rPr>
          <w:rFonts w:ascii="Times New Roman" w:hAnsi="Times New Roman" w:cs="Times New Roman"/>
          <w:sz w:val="24"/>
          <w:szCs w:val="24"/>
        </w:rPr>
      </w:pPr>
      <w:r w:rsidRPr="006C1E51">
        <w:rPr>
          <w:rFonts w:ascii="Times New Roman" w:hAnsi="Times New Roman" w:cs="Times New Roman"/>
          <w:sz w:val="24"/>
          <w:szCs w:val="24"/>
        </w:rPr>
        <w:t>What small physical details—buildings, landscapes, paths—anchor local identity?</w:t>
      </w:r>
    </w:p>
    <w:p w14:paraId="00000195" w14:textId="2ED20D34" w:rsidR="0006233B" w:rsidRPr="006C1E51" w:rsidRDefault="00C5531F" w:rsidP="00775270">
      <w:pPr>
        <w:numPr>
          <w:ilvl w:val="0"/>
          <w:numId w:val="12"/>
        </w:numPr>
        <w:spacing w:line="480" w:lineRule="auto"/>
        <w:rPr>
          <w:rFonts w:ascii="Times New Roman" w:hAnsi="Times New Roman" w:cs="Times New Roman"/>
          <w:sz w:val="24"/>
          <w:szCs w:val="24"/>
        </w:rPr>
      </w:pPr>
      <w:r w:rsidRPr="006C1E51">
        <w:rPr>
          <w:rFonts w:ascii="Times New Roman" w:hAnsi="Times New Roman" w:cs="Times New Roman"/>
          <w:sz w:val="24"/>
          <w:szCs w:val="24"/>
        </w:rPr>
        <w:t>What memories or intergenerational stories shape how people understand their place?</w:t>
      </w:r>
    </w:p>
    <w:p w14:paraId="00000196" w14:textId="77777777" w:rsidR="0006233B" w:rsidRPr="006C1E51" w:rsidRDefault="00C5531F" w:rsidP="00775270">
      <w:pPr>
        <w:numPr>
          <w:ilvl w:val="0"/>
          <w:numId w:val="12"/>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What signals suggest continuity is slipping or being disrupted?</w:t>
      </w:r>
    </w:p>
    <w:p w14:paraId="00000197" w14:textId="77777777" w:rsidR="0006233B" w:rsidRPr="006C1E51" w:rsidRDefault="00C5531F" w:rsidP="00775270">
      <w:pPr>
        <w:pStyle w:val="Heading2"/>
        <w:spacing w:line="480" w:lineRule="auto"/>
        <w:rPr>
          <w:rFonts w:ascii="Times New Roman" w:hAnsi="Times New Roman" w:cs="Times New Roman"/>
        </w:rPr>
      </w:pPr>
      <w:bookmarkStart w:id="202" w:name="_r0bac8x0kl" w:colFirst="0" w:colLast="0"/>
      <w:bookmarkStart w:id="203" w:name="_Toc220011133"/>
      <w:bookmarkEnd w:id="202"/>
      <w:r w:rsidRPr="006C1E51">
        <w:rPr>
          <w:rFonts w:ascii="Times New Roman" w:hAnsi="Times New Roman" w:cs="Times New Roman"/>
        </w:rPr>
        <w:t>Act II. Rising Pressure – Encroachment &amp; Remembrance</w:t>
      </w:r>
      <w:bookmarkEnd w:id="203"/>
    </w:p>
    <w:p w14:paraId="00000198" w14:textId="77777777" w:rsidR="0006233B" w:rsidRPr="006C1E51" w:rsidRDefault="00C5531F" w:rsidP="00775270">
      <w:pPr>
        <w:pStyle w:val="Heading4"/>
        <w:spacing w:line="480" w:lineRule="auto"/>
        <w:rPr>
          <w:u w:val="none"/>
        </w:rPr>
      </w:pPr>
      <w:bookmarkStart w:id="204" w:name="_gwkz43q17peq" w:colFirst="0" w:colLast="0"/>
      <w:bookmarkEnd w:id="204"/>
      <w:r w:rsidRPr="006C1E51">
        <w:rPr>
          <w:u w:val="none"/>
        </w:rPr>
        <w:t>Principle: Equity and Justice Orientation – Recognizing how power, planning, and inequitable development shape community futures.</w:t>
      </w:r>
    </w:p>
    <w:p w14:paraId="00000199" w14:textId="77777777" w:rsidR="0006233B" w:rsidRPr="006C1E51" w:rsidRDefault="00C5531F" w:rsidP="00775270">
      <w:pPr>
        <w:pBdr>
          <w:bottom w:val="single" w:sz="6" w:space="1" w:color="auto"/>
        </w:pBdr>
        <w:spacing w:line="480" w:lineRule="auto"/>
        <w:rPr>
          <w:rFonts w:ascii="Times New Roman" w:hAnsi="Times New Roman" w:cs="Times New Roman"/>
          <w:sz w:val="24"/>
          <w:szCs w:val="24"/>
        </w:rPr>
      </w:pPr>
      <w:r w:rsidRPr="006C1E51">
        <w:rPr>
          <w:rFonts w:ascii="Times New Roman" w:hAnsi="Times New Roman" w:cs="Times New Roman"/>
          <w:sz w:val="24"/>
          <w:szCs w:val="24"/>
        </w:rPr>
        <w:t>Purpose: Introduce external forces reshaping Butlertown’s future.</w:t>
      </w:r>
    </w:p>
    <w:p w14:paraId="0000019A" w14:textId="6A2AFF00"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It was a bright fall day—the kind where every color sharpened against the sky, making the whole world feel fuller. Henrietta thought back to childhood afternoons when Butlertown felt almost enchanted. Back then, nearly every home had their own garden. Kids picked berries straight off the bushes, running across land that felt endless. The woods bordering properties didn’t feel like boundaries; they felt like portals to another world—one where children roamed freely, building clubhouses from tree limbs and carving shortcuts through the brush to cousins’ houses.</w:t>
      </w:r>
    </w:p>
    <w:p w14:paraId="0000019B"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When summer rains rolled in, the sky cracked open and sent children scattering home after a full day of play. When thunderstorms came, every household shut off the TV, cut the lights, and sat together in silence—a quiet respect for nature’s spirit speaking in the form of the </w:t>
      </w:r>
      <w:r w:rsidRPr="006C1E51">
        <w:rPr>
          <w:rFonts w:ascii="Times New Roman" w:hAnsi="Times New Roman" w:cs="Times New Roman"/>
          <w:sz w:val="24"/>
          <w:szCs w:val="24"/>
        </w:rPr>
        <w:lastRenderedPageBreak/>
        <w:t xml:space="preserve">Lord. </w:t>
      </w:r>
      <w:r w:rsidRPr="006C1E51">
        <w:rPr>
          <w:rFonts w:ascii="Times New Roman" w:hAnsi="Times New Roman" w:cs="Times New Roman"/>
          <w:i/>
          <w:iCs/>
          <w:sz w:val="24"/>
          <w:szCs w:val="24"/>
        </w:rPr>
        <w:t>“When it storms, the Lord is talkin’,”</w:t>
      </w:r>
      <w:r w:rsidRPr="006C1E51">
        <w:rPr>
          <w:rFonts w:ascii="Times New Roman" w:hAnsi="Times New Roman" w:cs="Times New Roman"/>
          <w:sz w:val="24"/>
          <w:szCs w:val="24"/>
        </w:rPr>
        <w:t xml:space="preserve"> elders said. And the families listened and prayed together. That connection to the environment, to ritual, to community—Henrietta didn’t remember the last time she’d honored a storm that way. But it represented something fundamental: traditions, beliefs, and ways of life that guided and connected generations of free, freed, and enslaved people.</w:t>
      </w:r>
    </w:p>
    <w:p w14:paraId="0000019C"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Her mind drifted back to the conversation unfolding on her back porch. Slick and Jean—brothers, and Slick being Henrietta’s husband—were talking about how the community was changing.</w:t>
      </w:r>
    </w:p>
    <w:p w14:paraId="0000019D" w14:textId="77777777" w:rsidR="0006233B" w:rsidRPr="006C1E51" w:rsidRDefault="00C5531F" w:rsidP="00775270">
      <w:pPr>
        <w:spacing w:before="240" w:after="240" w:line="480" w:lineRule="auto"/>
        <w:rPr>
          <w:rFonts w:ascii="Times New Roman" w:hAnsi="Times New Roman" w:cs="Times New Roman"/>
          <w:sz w:val="24"/>
          <w:szCs w:val="24"/>
        </w:rPr>
      </w:pPr>
      <w:r w:rsidRPr="006C1E51">
        <w:rPr>
          <w:rFonts w:ascii="Times New Roman" w:hAnsi="Times New Roman" w:cs="Times New Roman"/>
          <w:sz w:val="24"/>
          <w:szCs w:val="24"/>
        </w:rPr>
        <w:t>“It’s not all Black folks like it used to be,” Slick said. “Families still here, but it’s different.”</w:t>
      </w:r>
    </w:p>
    <w:p w14:paraId="0000019E"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Just a few years earlier, a couple from out of state had moved in and clashed with Slick, Lena, and Sadie almost every week. Arguments escalated. Cops were called. Once, the man tore through Slick’s yard doing donuts. </w:t>
      </w:r>
      <w:r w:rsidRPr="006C1E51">
        <w:rPr>
          <w:rFonts w:ascii="Times New Roman" w:hAnsi="Times New Roman" w:cs="Times New Roman"/>
          <w:i/>
          <w:iCs/>
          <w:sz w:val="24"/>
          <w:szCs w:val="24"/>
        </w:rPr>
        <w:t xml:space="preserve">He’s lucky Slick wasn’t home. </w:t>
      </w:r>
      <w:r w:rsidRPr="006C1E51">
        <w:rPr>
          <w:rFonts w:ascii="Times New Roman" w:hAnsi="Times New Roman" w:cs="Times New Roman"/>
          <w:sz w:val="24"/>
          <w:szCs w:val="24"/>
        </w:rPr>
        <w:t>Another time, he shot a round in the air during Slick’s son’s wedding while the reception was dancing away in Slick and Henrietta’s yard. And none of that would’ve happened a generation ago–they even had the same DJ that used to cut records at the lawn parties in Big Woods, Coleman, and all around the Eastern Shore.</w:t>
      </w:r>
    </w:p>
    <w:p w14:paraId="0000019F"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Henrietta cut them off.</w:t>
      </w:r>
    </w:p>
    <w:p w14:paraId="000001A0" w14:textId="6EEB85F7" w:rsidR="0006233B" w:rsidRPr="006C1E51" w:rsidRDefault="00C5531F" w:rsidP="00775270">
      <w:pPr>
        <w:spacing w:before="240" w:after="240" w:line="480" w:lineRule="auto"/>
        <w:rPr>
          <w:rFonts w:ascii="Times New Roman" w:hAnsi="Times New Roman" w:cs="Times New Roman"/>
          <w:sz w:val="24"/>
          <w:szCs w:val="24"/>
        </w:rPr>
      </w:pPr>
      <w:r w:rsidRPr="006C1E51">
        <w:rPr>
          <w:rFonts w:ascii="Times New Roman" w:hAnsi="Times New Roman" w:cs="Times New Roman"/>
          <w:sz w:val="24"/>
          <w:szCs w:val="24"/>
        </w:rPr>
        <w:t xml:space="preserve"> </w:t>
      </w:r>
      <w:r w:rsidR="006F0F0E" w:rsidRPr="006C1E51">
        <w:rPr>
          <w:rFonts w:ascii="Times New Roman" w:hAnsi="Times New Roman" w:cs="Times New Roman"/>
          <w:sz w:val="24"/>
          <w:szCs w:val="24"/>
        </w:rPr>
        <w:tab/>
      </w:r>
      <w:r w:rsidRPr="006C1E51">
        <w:rPr>
          <w:rFonts w:ascii="Times New Roman" w:hAnsi="Times New Roman" w:cs="Times New Roman"/>
          <w:sz w:val="24"/>
          <w:szCs w:val="24"/>
        </w:rPr>
        <w:t>“</w:t>
      </w:r>
      <w:r w:rsidR="00FD6498" w:rsidRPr="006C1E51">
        <w:rPr>
          <w:rFonts w:ascii="Times New Roman" w:hAnsi="Times New Roman" w:cs="Times New Roman"/>
          <w:sz w:val="24"/>
          <w:szCs w:val="24"/>
        </w:rPr>
        <w:t>So,</w:t>
      </w:r>
      <w:r w:rsidRPr="006C1E51">
        <w:rPr>
          <w:rFonts w:ascii="Times New Roman" w:hAnsi="Times New Roman" w:cs="Times New Roman"/>
          <w:sz w:val="24"/>
          <w:szCs w:val="24"/>
        </w:rPr>
        <w:t xml:space="preserve"> what are we gonna do?”</w:t>
      </w:r>
    </w:p>
    <w:p w14:paraId="000001A1"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Jean blinked. “Whatchu mean, ’Etta?”</w:t>
      </w:r>
    </w:p>
    <w:p w14:paraId="000001A2"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 xml:space="preserve">“When we first got this place from Cousin Wilson, my grandfather came over and said, </w:t>
      </w:r>
      <w:r w:rsidRPr="006C1E51">
        <w:rPr>
          <w:rFonts w:ascii="Times New Roman" w:hAnsi="Times New Roman" w:cs="Times New Roman"/>
          <w:i/>
          <w:iCs/>
          <w:sz w:val="24"/>
          <w:szCs w:val="24"/>
        </w:rPr>
        <w:t>‘Don’t let the woods grow up on you.’</w:t>
      </w:r>
      <w:r w:rsidRPr="006C1E51">
        <w:rPr>
          <w:rFonts w:ascii="Times New Roman" w:hAnsi="Times New Roman" w:cs="Times New Roman"/>
          <w:sz w:val="24"/>
          <w:szCs w:val="24"/>
        </w:rPr>
        <w:t xml:space="preserve"> And Slick went and got equipment to start pushing the woods back that week. Does it every year.”</w:t>
      </w:r>
    </w:p>
    <w:p w14:paraId="000001A3"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Henrietta paused.</w:t>
      </w:r>
    </w:p>
    <w:p w14:paraId="000001A4"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 “What are we gonna do about these </w:t>
      </w:r>
      <w:r w:rsidRPr="006C1E51">
        <w:rPr>
          <w:rFonts w:ascii="Times New Roman" w:hAnsi="Times New Roman" w:cs="Times New Roman"/>
          <w:i/>
          <w:iCs/>
          <w:sz w:val="24"/>
          <w:szCs w:val="24"/>
        </w:rPr>
        <w:t>people</w:t>
      </w:r>
      <w:r w:rsidRPr="006C1E51">
        <w:rPr>
          <w:rFonts w:ascii="Times New Roman" w:hAnsi="Times New Roman" w:cs="Times New Roman"/>
          <w:sz w:val="24"/>
          <w:szCs w:val="24"/>
        </w:rPr>
        <w:t xml:space="preserve"> growing up on us?”</w:t>
      </w:r>
    </w:p>
    <w:p w14:paraId="000001A5"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county and the realtors had plans for their land—but none for them. They barely had plans for themselves. Shelly had just lost her land to taxes. Jimmy and Benita were stuck in heirs’ property limbo.</w:t>
      </w:r>
    </w:p>
    <w:p w14:paraId="000001A6" w14:textId="77777777" w:rsidR="0006233B" w:rsidRPr="006C1E51" w:rsidRDefault="00C5531F" w:rsidP="006F0F0E">
      <w:pPr>
        <w:pBdr>
          <w:bottom w:val="single" w:sz="6" w:space="1" w:color="auto"/>
        </w:pBd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“We can’t just talk about it and watch it all go by,” Henrietta said. “We gotta be about it.”</w:t>
      </w:r>
    </w:p>
    <w:p w14:paraId="000001A7" w14:textId="6D5A5EA5" w:rsidR="0006233B" w:rsidRPr="006C1E51" w:rsidRDefault="00C5531F" w:rsidP="00775270">
      <w:pPr>
        <w:pStyle w:val="Heading3"/>
      </w:pPr>
      <w:bookmarkStart w:id="205" w:name="_sruofcuv7xsg" w:colFirst="0" w:colLast="0"/>
      <w:bookmarkStart w:id="206" w:name="_Toc220011134"/>
      <w:bookmarkEnd w:id="205"/>
      <w:r w:rsidRPr="006C1E51">
        <w:t>Planning Prompts (</w:t>
      </w:r>
      <w:r w:rsidR="00775270" w:rsidRPr="006C1E51">
        <w:t xml:space="preserve">CHC </w:t>
      </w:r>
      <w:r w:rsidRPr="006C1E51">
        <w:t>Principle: Equity &amp; Justice Orientation)</w:t>
      </w:r>
      <w:bookmarkEnd w:id="206"/>
    </w:p>
    <w:p w14:paraId="000001A8" w14:textId="77777777" w:rsidR="0006233B" w:rsidRPr="006C1E51" w:rsidRDefault="00C5531F" w:rsidP="00775270">
      <w:p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Use these prompts to analyze power, fairness, and community futures in your own CHC setting.</w:t>
      </w:r>
    </w:p>
    <w:p w14:paraId="000001A9" w14:textId="63F47102" w:rsidR="0006233B" w:rsidRPr="006C1E51" w:rsidRDefault="00C5531F" w:rsidP="00775270">
      <w:pPr>
        <w:numPr>
          <w:ilvl w:val="0"/>
          <w:numId w:val="3"/>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rPr>
        <w:t>What demographic, economic, or development pressures threaten cultural continuity in your community?</w:t>
      </w:r>
    </w:p>
    <w:p w14:paraId="000001AA" w14:textId="2127F663" w:rsidR="0006233B" w:rsidRPr="006C1E51" w:rsidRDefault="00C5531F" w:rsidP="00775270">
      <w:pPr>
        <w:numPr>
          <w:ilvl w:val="0"/>
          <w:numId w:val="3"/>
        </w:numPr>
        <w:spacing w:line="480" w:lineRule="auto"/>
        <w:rPr>
          <w:rFonts w:ascii="Times New Roman" w:hAnsi="Times New Roman" w:cs="Times New Roman"/>
          <w:sz w:val="24"/>
          <w:szCs w:val="24"/>
        </w:rPr>
      </w:pPr>
      <w:r w:rsidRPr="006C1E51">
        <w:rPr>
          <w:rFonts w:ascii="Times New Roman" w:hAnsi="Times New Roman" w:cs="Times New Roman"/>
          <w:sz w:val="24"/>
          <w:szCs w:val="24"/>
        </w:rPr>
        <w:t>Who is most vulnerable to these pressures, and why?</w:t>
      </w:r>
    </w:p>
    <w:p w14:paraId="000001AB" w14:textId="50F64BF8" w:rsidR="0006233B" w:rsidRPr="006C1E51" w:rsidRDefault="00C5531F" w:rsidP="00775270">
      <w:pPr>
        <w:numPr>
          <w:ilvl w:val="0"/>
          <w:numId w:val="3"/>
        </w:numPr>
        <w:spacing w:line="480" w:lineRule="auto"/>
        <w:rPr>
          <w:rFonts w:ascii="Times New Roman" w:hAnsi="Times New Roman" w:cs="Times New Roman"/>
          <w:sz w:val="24"/>
          <w:szCs w:val="24"/>
        </w:rPr>
      </w:pPr>
      <w:r w:rsidRPr="006C1E51">
        <w:rPr>
          <w:rFonts w:ascii="Times New Roman" w:hAnsi="Times New Roman" w:cs="Times New Roman"/>
          <w:sz w:val="24"/>
          <w:szCs w:val="24"/>
        </w:rPr>
        <w:t>Where do planning and preservation processes overlook or misunderstand local needs?</w:t>
      </w:r>
    </w:p>
    <w:p w14:paraId="000001AC" w14:textId="77777777" w:rsidR="0006233B" w:rsidRPr="006C1E51" w:rsidRDefault="00C5531F" w:rsidP="00775270">
      <w:pPr>
        <w:numPr>
          <w:ilvl w:val="0"/>
          <w:numId w:val="3"/>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How can justice—not just preservation—shape your response strategy?</w:t>
      </w:r>
    </w:p>
    <w:p w14:paraId="1C71406C" w14:textId="77777777" w:rsidR="006F0F0E" w:rsidRPr="006C1E51" w:rsidRDefault="006F0F0E">
      <w:pPr>
        <w:rPr>
          <w:rFonts w:ascii="Times New Roman" w:hAnsi="Times New Roman" w:cs="Times New Roman"/>
          <w:b/>
          <w:bCs/>
          <w:sz w:val="24"/>
          <w:szCs w:val="24"/>
          <w:u w:val="single"/>
        </w:rPr>
      </w:pPr>
      <w:bookmarkStart w:id="207" w:name="_pv950hm0dgb8" w:colFirst="0" w:colLast="0"/>
      <w:bookmarkEnd w:id="207"/>
      <w:r w:rsidRPr="006C1E51">
        <w:rPr>
          <w:rFonts w:ascii="Times New Roman" w:hAnsi="Times New Roman" w:cs="Times New Roman"/>
        </w:rPr>
        <w:br w:type="page"/>
      </w:r>
    </w:p>
    <w:p w14:paraId="000001AD" w14:textId="5C7F5874" w:rsidR="0006233B" w:rsidRPr="006C1E51" w:rsidRDefault="00C5531F" w:rsidP="00775270">
      <w:pPr>
        <w:pStyle w:val="Heading2"/>
        <w:spacing w:line="480" w:lineRule="auto"/>
        <w:rPr>
          <w:rFonts w:ascii="Times New Roman" w:hAnsi="Times New Roman" w:cs="Times New Roman"/>
        </w:rPr>
      </w:pPr>
      <w:bookmarkStart w:id="208" w:name="_Toc220011135"/>
      <w:r w:rsidRPr="006C1E51">
        <w:rPr>
          <w:rFonts w:ascii="Times New Roman" w:hAnsi="Times New Roman" w:cs="Times New Roman"/>
        </w:rPr>
        <w:lastRenderedPageBreak/>
        <w:t>Act III. Discovery – Realizing Collective Wealth</w:t>
      </w:r>
      <w:bookmarkEnd w:id="208"/>
    </w:p>
    <w:p w14:paraId="000001AE" w14:textId="77777777" w:rsidR="0006233B" w:rsidRPr="006C1E51" w:rsidRDefault="00C5531F" w:rsidP="00775270">
      <w:pPr>
        <w:pStyle w:val="Heading4"/>
        <w:spacing w:line="480" w:lineRule="auto"/>
        <w:rPr>
          <w:u w:val="none"/>
        </w:rPr>
      </w:pPr>
      <w:bookmarkStart w:id="209" w:name="_vfiwy6zbtkgf" w:colFirst="0" w:colLast="0"/>
      <w:bookmarkEnd w:id="209"/>
      <w:r w:rsidRPr="006C1E51">
        <w:rPr>
          <w:u w:val="none"/>
        </w:rPr>
        <w:t>Principle: Collective Ownership</w:t>
      </w:r>
    </w:p>
    <w:p w14:paraId="000001AF" w14:textId="77777777" w:rsidR="0006233B" w:rsidRPr="006C1E51" w:rsidRDefault="00C5531F" w:rsidP="00775270">
      <w:pPr>
        <w:pBdr>
          <w:bottom w:val="single" w:sz="6" w:space="1" w:color="auto"/>
        </w:pBdr>
        <w:spacing w:line="480" w:lineRule="auto"/>
        <w:rPr>
          <w:rFonts w:ascii="Times New Roman" w:hAnsi="Times New Roman" w:cs="Times New Roman"/>
          <w:i/>
          <w:iCs/>
          <w:sz w:val="24"/>
          <w:szCs w:val="24"/>
        </w:rPr>
      </w:pPr>
      <w:r w:rsidRPr="006C1E51">
        <w:rPr>
          <w:rFonts w:ascii="Times New Roman" w:hAnsi="Times New Roman" w:cs="Times New Roman"/>
          <w:sz w:val="24"/>
          <w:szCs w:val="24"/>
        </w:rPr>
        <w:t>Purpose: Demonstrate how communities begin to “see the whole</w:t>
      </w:r>
      <w:r w:rsidRPr="006C1E51">
        <w:rPr>
          <w:rFonts w:ascii="Times New Roman" w:hAnsi="Times New Roman" w:cs="Times New Roman"/>
          <w:i/>
          <w:iCs/>
          <w:sz w:val="24"/>
          <w:szCs w:val="24"/>
        </w:rPr>
        <w:t>.”</w:t>
      </w:r>
    </w:p>
    <w:p w14:paraId="000001B0" w14:textId="3FC12063"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That evening, Henrietta got a call from Naomi Brooks. Naomi wasn’t one to call—she usually just pulled up, knocked once or twice, and then walked in. That was the Butlertown way.</w:t>
      </w:r>
    </w:p>
    <w:p w14:paraId="000001B1"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 heard what you, Jean, and Slick been talking about,” Naomi said. “I want you to come by the courthouse tomorrow so I can show you something.”</w:t>
      </w:r>
    </w:p>
    <w:p w14:paraId="000001B2"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“Courthouse? Only time I’m there is to pay my tax bill or check on these little knuckleheads who can’t stay out of trouble. What business I got there?”</w:t>
      </w:r>
    </w:p>
    <w:p w14:paraId="000001B3" w14:textId="77777777" w:rsidR="0006233B" w:rsidRPr="006C1E51" w:rsidRDefault="00C5531F" w:rsidP="006F0F0E">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“Relax, ’Etta. This is about keeping what our people built. Keeping this land in our hands. Come by around 10 a.m. I’d bring the documents to you, but they can’t leave the courthouse.”</w:t>
      </w:r>
    </w:p>
    <w:p w14:paraId="602D1BE3" w14:textId="77777777" w:rsidR="00B97F99" w:rsidRPr="006C1E51" w:rsidRDefault="00C5531F" w:rsidP="00B97F99">
      <w:pPr>
        <w:spacing w:before="240" w:after="240" w:line="480" w:lineRule="auto"/>
        <w:ind w:left="720"/>
        <w:rPr>
          <w:rFonts w:ascii="Times New Roman" w:hAnsi="Times New Roman" w:cs="Times New Roman"/>
          <w:sz w:val="24"/>
          <w:szCs w:val="24"/>
        </w:rPr>
      </w:pPr>
      <w:r w:rsidRPr="006C1E51">
        <w:rPr>
          <w:rFonts w:ascii="Times New Roman" w:hAnsi="Times New Roman" w:cs="Times New Roman"/>
          <w:sz w:val="24"/>
          <w:szCs w:val="24"/>
        </w:rPr>
        <w:t>“Documents?” Henrietta frowned.</w:t>
      </w:r>
    </w:p>
    <w:p w14:paraId="6A0FE7AD" w14:textId="1B31CA5D" w:rsidR="00B97F99" w:rsidRPr="006C1E51" w:rsidRDefault="00C5531F" w:rsidP="00B97F99">
      <w:pPr>
        <w:spacing w:before="240" w:after="240" w:line="480" w:lineRule="auto"/>
        <w:ind w:left="720"/>
        <w:rPr>
          <w:rFonts w:ascii="Times New Roman" w:hAnsi="Times New Roman" w:cs="Times New Roman"/>
          <w:sz w:val="24"/>
          <w:szCs w:val="24"/>
        </w:rPr>
      </w:pPr>
      <w:r w:rsidRPr="006C1E51">
        <w:rPr>
          <w:rFonts w:ascii="Times New Roman" w:hAnsi="Times New Roman" w:cs="Times New Roman"/>
          <w:sz w:val="24"/>
          <w:szCs w:val="24"/>
        </w:rPr>
        <w:t xml:space="preserve"> “Just come. Trust me.”</w:t>
      </w:r>
      <w:r w:rsidR="00B97F99" w:rsidRPr="006C1E51">
        <w:rPr>
          <w:rFonts w:ascii="Times New Roman" w:hAnsi="Times New Roman" w:cs="Times New Roman"/>
          <w:sz w:val="24"/>
          <w:szCs w:val="24"/>
        </w:rPr>
        <w:t xml:space="preserve"> </w:t>
      </w:r>
    </w:p>
    <w:p w14:paraId="000001B5" w14:textId="42FFCAB2" w:rsidR="0006233B" w:rsidRPr="006C1E51" w:rsidRDefault="00C5531F" w:rsidP="00B97F99">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Naomi had always been different. Rooted in Kent County her whole life, she worked under the county clerk for fifteen years. In year sixteen, when the clerk retired, she stepped into the position—the first Black woman Clerk of the Court in the county’s history! When Naomi said something mattered, you listened.</w:t>
      </w:r>
    </w:p>
    <w:p w14:paraId="000001B6"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next morning, Henrietta made her way to town. She passed through security and asked for Naomi, who emerged with a faint, knowing smirk.</w:t>
      </w:r>
    </w:p>
    <w:p w14:paraId="000001B7" w14:textId="77777777" w:rsidR="0006233B" w:rsidRPr="006C1E51" w:rsidRDefault="00C5531F" w:rsidP="00B97F99">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“Glad you came, family,” Naomi said. “Follow me.”</w:t>
      </w:r>
    </w:p>
    <w:p w14:paraId="12302962" w14:textId="56CFBFF9" w:rsidR="00D404F2" w:rsidRPr="006C1E51" w:rsidRDefault="00C5531F" w:rsidP="00B97F99">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They stepped into the records room—a small but dense archive of Kent County’s past. Ledger books lined the walls, holding land records, criminal records, marriage records, and everything in between, some dating back to the late 1600s. Kent County was the </w:t>
      </w:r>
      <w:r w:rsidRPr="006C1E51">
        <w:rPr>
          <w:rFonts w:ascii="Times New Roman" w:hAnsi="Times New Roman" w:cs="Times New Roman"/>
          <w:i/>
          <w:iCs/>
          <w:sz w:val="24"/>
          <w:szCs w:val="24"/>
        </w:rPr>
        <w:t xml:space="preserve">only county </w:t>
      </w:r>
      <w:r w:rsidRPr="006C1E51">
        <w:rPr>
          <w:rFonts w:ascii="Times New Roman" w:hAnsi="Times New Roman" w:cs="Times New Roman"/>
          <w:sz w:val="24"/>
          <w:szCs w:val="24"/>
        </w:rPr>
        <w:t>in the state that kept their records at home, rather than send them to the State Archives. The previous clerk believed in their history that much and wanted it to be accessible.</w:t>
      </w:r>
      <w:r w:rsidR="00D404F2" w:rsidRPr="006C1E51">
        <w:rPr>
          <w:rFonts w:ascii="Times New Roman" w:hAnsi="Times New Roman" w:cs="Times New Roman"/>
          <w:sz w:val="24"/>
          <w:szCs w:val="24"/>
        </w:rPr>
        <w:t xml:space="preserve"> </w:t>
      </w:r>
    </w:p>
    <w:p w14:paraId="000001B9" w14:textId="0E16FF92" w:rsidR="0006233B" w:rsidRPr="006C1E51" w:rsidRDefault="00DC6304" w:rsidP="00B97F99">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Naomi and Henrietta gathered at the center table where a small box was sitting.</w:t>
      </w:r>
    </w:p>
    <w:p w14:paraId="000001BA" w14:textId="290C77F1" w:rsidR="0006233B" w:rsidRPr="006C1E51" w:rsidRDefault="00C5531F" w:rsidP="00B97F99">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“These,” Naomi said, “are articles of incorporation. Going back to the 1880s. People don’t realize how much these records can tell you about a community’s development.”</w:t>
      </w:r>
    </w:p>
    <w:p w14:paraId="3FFDE124" w14:textId="235729CE" w:rsidR="0044768F" w:rsidRPr="006C1E51" w:rsidRDefault="002A7ACB" w:rsidP="002A7ACB">
      <w:pPr>
        <w:spacing w:before="240" w:after="240" w:line="480" w:lineRule="auto"/>
        <w:ind w:firstLine="720"/>
        <w:rPr>
          <w:rFonts w:ascii="Times New Roman" w:hAnsi="Times New Roman" w:cs="Times New Roman"/>
          <w:i/>
          <w:iCs/>
          <w:sz w:val="24"/>
          <w:szCs w:val="24"/>
        </w:rPr>
      </w:pPr>
      <w:r w:rsidRPr="006C1E51">
        <w:rPr>
          <w:rFonts w:ascii="Times New Roman" w:hAnsi="Times New Roman"/>
          <w:i/>
          <w:iCs/>
          <w:noProof/>
          <w:sz w:val="24"/>
          <w:szCs w:val="24"/>
        </w:rPr>
        <w:drawing>
          <wp:anchor distT="0" distB="0" distL="114300" distR="114300" simplePos="0" relativeHeight="251659264" behindDoc="1" locked="0" layoutInCell="1" allowOverlap="1" wp14:anchorId="4EFDA4C9" wp14:editId="3A4F6550">
            <wp:simplePos x="0" y="0"/>
            <wp:positionH relativeFrom="column">
              <wp:posOffset>-494665</wp:posOffset>
            </wp:positionH>
            <wp:positionV relativeFrom="paragraph">
              <wp:posOffset>373380</wp:posOffset>
            </wp:positionV>
            <wp:extent cx="4041140" cy="3030220"/>
            <wp:effectExtent l="0" t="2540" r="0" b="0"/>
            <wp:wrapTight wrapText="bothSides">
              <wp:wrapPolygon edited="0">
                <wp:start x="-14" y="21582"/>
                <wp:lineTo x="21505" y="21582"/>
                <wp:lineTo x="21505" y="127"/>
                <wp:lineTo x="-14" y="127"/>
                <wp:lineTo x="-14" y="21582"/>
              </wp:wrapPolygon>
            </wp:wrapTight>
            <wp:docPr id="1313929066" name="Picture 1" descr="A notebook with writing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929066" name="Picture 1" descr="A notebook with writing on it&#10;&#10;AI-generated content may be incorrect."/>
                    <pic:cNvPicPr/>
                  </pic:nvPicPr>
                  <pic:blipFill>
                    <a:blip r:embed="rId36" cstate="print">
                      <a:extLst>
                        <a:ext uri="{28A0092B-C50C-407E-A947-70E740481C1C}">
                          <a14:useLocalDpi xmlns:a14="http://schemas.microsoft.com/office/drawing/2010/main" val="0"/>
                        </a:ext>
                      </a:extLst>
                    </a:blip>
                    <a:stretch>
                      <a:fillRect/>
                    </a:stretch>
                  </pic:blipFill>
                  <pic:spPr>
                    <a:xfrm rot="5400000">
                      <a:off x="0" y="0"/>
                      <a:ext cx="4041140" cy="3030220"/>
                    </a:xfrm>
                    <a:prstGeom prst="rect">
                      <a:avLst/>
                    </a:prstGeom>
                  </pic:spPr>
                </pic:pic>
              </a:graphicData>
            </a:graphic>
            <wp14:sizeRelH relativeFrom="page">
              <wp14:pctWidth>0</wp14:pctWidth>
            </wp14:sizeRelH>
            <wp14:sizeRelV relativeFrom="page">
              <wp14:pctHeight>0</wp14:pctHeight>
            </wp14:sizeRelV>
          </wp:anchor>
        </w:drawing>
      </w:r>
      <w:r w:rsidR="00C5531F" w:rsidRPr="006C1E51">
        <w:rPr>
          <w:rFonts w:ascii="Times New Roman" w:hAnsi="Times New Roman" w:cs="Times New Roman"/>
          <w:sz w:val="24"/>
          <w:szCs w:val="24"/>
        </w:rPr>
        <w:t xml:space="preserve">She pulled out the first set of trifolds, the pages were worn, edges soft from more than a century of handling. This one </w:t>
      </w:r>
      <w:r w:rsidR="00FD6498" w:rsidRPr="006C1E51">
        <w:rPr>
          <w:rFonts w:ascii="Times New Roman" w:hAnsi="Times New Roman" w:cs="Times New Roman"/>
          <w:sz w:val="24"/>
          <w:szCs w:val="24"/>
        </w:rPr>
        <w:t>said,</w:t>
      </w:r>
      <w:r w:rsidR="00C5531F" w:rsidRPr="006C1E51">
        <w:rPr>
          <w:rFonts w:ascii="Times New Roman" w:hAnsi="Times New Roman" w:cs="Times New Roman"/>
          <w:sz w:val="24"/>
          <w:szCs w:val="24"/>
        </w:rPr>
        <w:t xml:space="preserve"> </w:t>
      </w:r>
      <w:r w:rsidR="00C5531F" w:rsidRPr="006C1E51">
        <w:rPr>
          <w:rFonts w:ascii="Times New Roman" w:hAnsi="Times New Roman" w:cs="Times New Roman"/>
          <w:i/>
          <w:iCs/>
          <w:sz w:val="24"/>
          <w:szCs w:val="24"/>
        </w:rPr>
        <w:t xml:space="preserve">“Colored Building and Protective Association of Kent County, </w:t>
      </w:r>
      <w:r w:rsidR="00DC6304" w:rsidRPr="006C1E51">
        <w:rPr>
          <w:rFonts w:ascii="Times New Roman" w:hAnsi="Times New Roman" w:cs="Times New Roman"/>
          <w:i/>
          <w:iCs/>
          <w:sz w:val="24"/>
          <w:szCs w:val="24"/>
        </w:rPr>
        <w:t>1895</w:t>
      </w:r>
      <w:r w:rsidR="00C5531F" w:rsidRPr="006C1E51">
        <w:rPr>
          <w:rFonts w:ascii="Times New Roman" w:hAnsi="Times New Roman" w:cs="Times New Roman"/>
          <w:i/>
          <w:iCs/>
          <w:sz w:val="24"/>
          <w:szCs w:val="24"/>
        </w:rPr>
        <w:t>.</w:t>
      </w:r>
      <w:r w:rsidR="00DC6304" w:rsidRPr="006C1E51">
        <w:rPr>
          <w:rFonts w:ascii="Times New Roman" w:hAnsi="Times New Roman" w:cs="Times New Roman"/>
          <w:i/>
          <w:iCs/>
          <w:sz w:val="24"/>
          <w:szCs w:val="24"/>
        </w:rPr>
        <w:t>”</w:t>
      </w:r>
      <w:r w:rsidRPr="006C1E51">
        <w:rPr>
          <w:rFonts w:ascii="Times New Roman" w:hAnsi="Times New Roman"/>
          <w:i/>
          <w:iCs/>
          <w:noProof/>
          <w:sz w:val="24"/>
          <w:szCs w:val="24"/>
        </w:rPr>
        <w:t xml:space="preserve"> </w:t>
      </w:r>
    </w:p>
    <w:p w14:paraId="65000552" w14:textId="0C4365CE" w:rsidR="006F1F52" w:rsidRPr="006C1E51" w:rsidRDefault="0044768F" w:rsidP="00F50E4B">
      <w:pPr>
        <w:pStyle w:val="Caption"/>
        <w:rPr>
          <w:i/>
        </w:rPr>
      </w:pPr>
      <w:bookmarkStart w:id="210" w:name="_Toc220011017"/>
      <w:r w:rsidRPr="006C1E51">
        <w:t xml:space="preserve">Figure </w:t>
      </w:r>
      <w:r w:rsidRPr="006C1E51">
        <w:fldChar w:fldCharType="begin"/>
      </w:r>
      <w:r w:rsidRPr="006C1E51">
        <w:instrText xml:space="preserve"> SEQ Figure \* ARABIC </w:instrText>
      </w:r>
      <w:r w:rsidRPr="006C1E51">
        <w:fldChar w:fldCharType="separate"/>
      </w:r>
      <w:r w:rsidR="00C63ED1" w:rsidRPr="006C1E51">
        <w:rPr>
          <w:noProof/>
        </w:rPr>
        <w:t>22</w:t>
      </w:r>
      <w:r w:rsidRPr="006C1E51">
        <w:rPr>
          <w:noProof/>
        </w:rPr>
        <w:fldChar w:fldCharType="end"/>
      </w:r>
      <w:r w:rsidRPr="006C1E51">
        <w:t xml:space="preserve">. Article of incorporation for the Colored Building and Protective Association of Kent County, Maryland, circa </w:t>
      </w:r>
      <w:r w:rsidR="00DC6304" w:rsidRPr="006C1E51">
        <w:t>1895</w:t>
      </w:r>
      <w:r w:rsidRPr="006C1E51">
        <w:t xml:space="preserve">, recorded at the Kent County Courthouse, April 8, </w:t>
      </w:r>
      <w:r w:rsidR="00FD6498" w:rsidRPr="006C1E51">
        <w:t>2024,</w:t>
      </w:r>
      <w:r w:rsidRPr="006C1E51">
        <w:t xml:space="preserve"> photo by the author.</w:t>
      </w:r>
      <w:bookmarkEnd w:id="210"/>
    </w:p>
    <w:p w14:paraId="691E1075" w14:textId="77777777" w:rsidR="00B97F99" w:rsidRPr="006C1E51" w:rsidRDefault="00B97F99" w:rsidP="00775270">
      <w:pPr>
        <w:spacing w:line="480" w:lineRule="auto"/>
        <w:ind w:firstLine="720"/>
        <w:rPr>
          <w:rFonts w:ascii="Times New Roman" w:hAnsi="Times New Roman" w:cs="Times New Roman"/>
          <w:sz w:val="24"/>
          <w:szCs w:val="24"/>
        </w:rPr>
      </w:pPr>
    </w:p>
    <w:p w14:paraId="25D1A0D6" w14:textId="77777777" w:rsidR="00B97F99" w:rsidRPr="006C1E51" w:rsidRDefault="00B97F99" w:rsidP="00775270">
      <w:pPr>
        <w:spacing w:line="480" w:lineRule="auto"/>
        <w:ind w:firstLine="720"/>
        <w:rPr>
          <w:rFonts w:ascii="Times New Roman" w:hAnsi="Times New Roman" w:cs="Times New Roman"/>
          <w:sz w:val="24"/>
          <w:szCs w:val="24"/>
        </w:rPr>
      </w:pPr>
    </w:p>
    <w:p w14:paraId="000001BD" w14:textId="7613F5C6" w:rsidR="0006233B" w:rsidRPr="006C1E51" w:rsidRDefault="00C5531F" w:rsidP="00B97F99">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 xml:space="preserve">“Ok…so what am I looking at here Naomi?” </w:t>
      </w:r>
    </w:p>
    <w:p w14:paraId="000001BE" w14:textId="417D7DE9" w:rsidR="0006233B" w:rsidRPr="006C1E51" w:rsidRDefault="00C5531F" w:rsidP="00775270">
      <w:pPr>
        <w:spacing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This is an organization formed by white folks in 1895 who wanted to give Black folks loans to buy property, nearly thirty years after the civil war. Can you believe that? We got all these affordable housing organizations trying to do stuff in our community today. They had </w:t>
      </w:r>
      <w:r w:rsidR="00DA4DD5" w:rsidRPr="006C1E51">
        <w:rPr>
          <w:rFonts w:ascii="Times New Roman" w:hAnsi="Times New Roman" w:cs="Times New Roman"/>
          <w:sz w:val="24"/>
          <w:szCs w:val="24"/>
        </w:rPr>
        <w:t>‘</w:t>
      </w:r>
      <w:r w:rsidRPr="006C1E51">
        <w:rPr>
          <w:rFonts w:ascii="Times New Roman" w:hAnsi="Times New Roman" w:cs="Times New Roman"/>
          <w:sz w:val="24"/>
          <w:szCs w:val="24"/>
        </w:rPr>
        <w:t xml:space="preserve">em way back then!” Naomi further explained, “the association was formed in response to an 1868 Maryland General Assembly act that </w:t>
      </w:r>
      <w:r w:rsidRPr="006C1E51">
        <w:rPr>
          <w:rFonts w:ascii="Times New Roman" w:hAnsi="Times New Roman" w:cs="Times New Roman"/>
          <w:i/>
          <w:iCs/>
          <w:sz w:val="24"/>
          <w:szCs w:val="24"/>
        </w:rPr>
        <w:t>inspired</w:t>
      </w:r>
      <w:r w:rsidRPr="006C1E51">
        <w:rPr>
          <w:rFonts w:ascii="Times New Roman" w:hAnsi="Times New Roman" w:cs="Times New Roman"/>
          <w:sz w:val="24"/>
          <w:szCs w:val="24"/>
        </w:rPr>
        <w:t xml:space="preserve"> people to create mutual aid and benefit organizations to help newly freed Blacks. This one helped our people access loans to build or purchase homes. It offered grant funds on Saturday and Tuesday evenings.”</w:t>
      </w:r>
    </w:p>
    <w:p w14:paraId="000001BF" w14:textId="39E01E75" w:rsidR="0006233B" w:rsidRPr="006C1E51" w:rsidRDefault="00C5531F" w:rsidP="00B97F99">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Henrietta raised an eyebrow. “So… somebody else helping our people again?”</w:t>
      </w:r>
    </w:p>
    <w:p w14:paraId="000001C0"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“Hold on,” Naomi said. “Look at this one.”</w:t>
      </w:r>
    </w:p>
    <w:p w14:paraId="000001C1" w14:textId="77777777" w:rsidR="0006233B" w:rsidRPr="006C1E51" w:rsidRDefault="00C5531F" w:rsidP="00B97F99">
      <w:pPr>
        <w:spacing w:before="240" w:after="240" w:line="480" w:lineRule="auto"/>
        <w:ind w:firstLine="720"/>
        <w:rPr>
          <w:rFonts w:ascii="Times New Roman" w:hAnsi="Times New Roman" w:cs="Times New Roman"/>
          <w:i/>
          <w:iCs/>
          <w:sz w:val="24"/>
          <w:szCs w:val="24"/>
        </w:rPr>
      </w:pPr>
      <w:r w:rsidRPr="006C1E51">
        <w:rPr>
          <w:rFonts w:ascii="Times New Roman" w:hAnsi="Times New Roman" w:cs="Times New Roman"/>
          <w:sz w:val="24"/>
          <w:szCs w:val="24"/>
        </w:rPr>
        <w:t>She placed another a dusty blue trifold on the table. This one said, “</w:t>
      </w:r>
      <w:r w:rsidRPr="006C1E51">
        <w:rPr>
          <w:rFonts w:ascii="Times New Roman" w:hAnsi="Times New Roman" w:cs="Times New Roman"/>
          <w:i/>
          <w:iCs/>
          <w:sz w:val="24"/>
          <w:szCs w:val="24"/>
        </w:rPr>
        <w:t>Embarrassed Relief Association of Coleman – 1906.”</w:t>
      </w:r>
    </w:p>
    <w:p w14:paraId="000001C2" w14:textId="3F65D9CF"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Henrietta’s eyes widened.</w:t>
      </w:r>
      <w:r w:rsidR="00DC6304" w:rsidRPr="006C1E51">
        <w:rPr>
          <w:rFonts w:ascii="Times New Roman" w:hAnsi="Times New Roman" w:cs="Times New Roman"/>
          <w:sz w:val="24"/>
          <w:szCs w:val="24"/>
        </w:rPr>
        <w:t xml:space="preserve"> </w:t>
      </w:r>
      <w:r w:rsidRPr="006C1E51">
        <w:rPr>
          <w:rFonts w:ascii="Times New Roman" w:hAnsi="Times New Roman" w:cs="Times New Roman"/>
          <w:sz w:val="24"/>
          <w:szCs w:val="24"/>
        </w:rPr>
        <w:t xml:space="preserve"> “Coleman?! Embarrassed relief?! Now what is </w:t>
      </w:r>
      <w:r w:rsidRPr="006C1E51">
        <w:rPr>
          <w:rFonts w:ascii="Times New Roman" w:hAnsi="Times New Roman" w:cs="Times New Roman"/>
          <w:i/>
          <w:iCs/>
          <w:sz w:val="24"/>
          <w:szCs w:val="24"/>
        </w:rPr>
        <w:t>this</w:t>
      </w:r>
      <w:r w:rsidRPr="006C1E51">
        <w:rPr>
          <w:rFonts w:ascii="Times New Roman" w:hAnsi="Times New Roman" w:cs="Times New Roman"/>
          <w:sz w:val="24"/>
          <w:szCs w:val="24"/>
        </w:rPr>
        <w:t>, Naomi? You know my people from Coleman. And we ain’t embarrassed about nothing.”</w:t>
      </w:r>
    </w:p>
    <w:p w14:paraId="000001C3"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Naomi laughed. “This wasn’t about embarrassment. This was a group your people formed—to help one another purchase and improve property in the community. Your father, uncles, cousins—they were part of that tradition.”</w:t>
      </w:r>
    </w:p>
    <w:p w14:paraId="000001C5"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“When Jean told me about your conversation, I thought about these records. They show that our people had collective power. And look what Coleman became—a strong community. They even built a Rosenwald School, putting in more money than the county and Julius Rosenwald himself.”</w:t>
      </w:r>
    </w:p>
    <w:p w14:paraId="000001C6"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Henrietta felt her breath catch. Her people hadn’t just survived—they had built systems for themselves. Systems they had forgotten.</w:t>
      </w:r>
    </w:p>
    <w:p w14:paraId="000001C7"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“We did it before,” she whispered. “We just called it something else.”</w:t>
      </w:r>
    </w:p>
    <w:p w14:paraId="000001C8"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By week’s end, conversations were happening everywhere. Jean talked to the church trustees. Slick spoke to the Black Freemasons. Sadie called the younger folks trying to buy homes and stay in the community.</w:t>
      </w:r>
    </w:p>
    <w:p w14:paraId="000001C9" w14:textId="347D17BD" w:rsidR="0006233B" w:rsidRPr="006C1E51" w:rsidRDefault="00C5531F" w:rsidP="00775270">
      <w:pPr>
        <w:pBdr>
          <w:bottom w:val="single" w:sz="6" w:space="1" w:color="auto"/>
        </w:pBd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question echoing through Butlertown was simple:</w:t>
      </w:r>
      <w:r w:rsidR="00A42942" w:rsidRPr="006C1E51">
        <w:rPr>
          <w:rFonts w:ascii="Times New Roman" w:hAnsi="Times New Roman" w:cs="Times New Roman"/>
          <w:sz w:val="24"/>
          <w:szCs w:val="24"/>
        </w:rPr>
        <w:t xml:space="preserve"> </w:t>
      </w:r>
      <w:r w:rsidRPr="006C1E51">
        <w:rPr>
          <w:rFonts w:ascii="Times New Roman" w:hAnsi="Times New Roman" w:cs="Times New Roman"/>
          <w:i/>
          <w:iCs/>
          <w:sz w:val="24"/>
          <w:szCs w:val="24"/>
        </w:rPr>
        <w:t>What if we pooled a little of what we already have—not to give away, but to grow for the next generation?</w:t>
      </w:r>
    </w:p>
    <w:p w14:paraId="000001CA" w14:textId="0EDFF44C" w:rsidR="0006233B" w:rsidRPr="006C1E51" w:rsidRDefault="00C5531F" w:rsidP="00775270">
      <w:pPr>
        <w:pStyle w:val="Heading3"/>
      </w:pPr>
      <w:bookmarkStart w:id="211" w:name="_scqtdfh51wjd" w:colFirst="0" w:colLast="0"/>
      <w:bookmarkStart w:id="212" w:name="_Toc220011136"/>
      <w:bookmarkEnd w:id="211"/>
      <w:r w:rsidRPr="006C1E51">
        <w:t>Planning Prompts (CHC Principle: Collective Ownership)</w:t>
      </w:r>
      <w:bookmarkEnd w:id="212"/>
    </w:p>
    <w:p w14:paraId="000001CB" w14:textId="77777777" w:rsidR="0006233B" w:rsidRPr="006C1E51" w:rsidRDefault="00C5531F" w:rsidP="00775270">
      <w:p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Use these prompts to explore how your community recognizes and mobilizes shared assets.</w:t>
      </w:r>
    </w:p>
    <w:p w14:paraId="000001CC" w14:textId="6229AF95" w:rsidR="0006233B" w:rsidRPr="006C1E51" w:rsidRDefault="00C5531F" w:rsidP="00775270">
      <w:pPr>
        <w:numPr>
          <w:ilvl w:val="0"/>
          <w:numId w:val="4"/>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rPr>
        <w:t>What records, memories, or forgotten organizations reveal past self-governance?</w:t>
      </w:r>
    </w:p>
    <w:p w14:paraId="000001CD" w14:textId="7441DEA3" w:rsidR="0006233B" w:rsidRPr="006C1E51" w:rsidRDefault="00C5531F" w:rsidP="00775270">
      <w:pPr>
        <w:numPr>
          <w:ilvl w:val="0"/>
          <w:numId w:val="4"/>
        </w:numPr>
        <w:spacing w:line="480" w:lineRule="auto"/>
        <w:rPr>
          <w:rFonts w:ascii="Times New Roman" w:hAnsi="Times New Roman" w:cs="Times New Roman"/>
          <w:sz w:val="24"/>
          <w:szCs w:val="24"/>
        </w:rPr>
      </w:pPr>
      <w:r w:rsidRPr="006C1E51">
        <w:rPr>
          <w:rFonts w:ascii="Times New Roman" w:hAnsi="Times New Roman" w:cs="Times New Roman"/>
          <w:sz w:val="24"/>
          <w:szCs w:val="24"/>
        </w:rPr>
        <w:t>What assets—material or intangible—does the community already own collectively? Or should pursue ownership of?</w:t>
      </w:r>
    </w:p>
    <w:p w14:paraId="000001CE" w14:textId="1E07088E" w:rsidR="0006233B" w:rsidRPr="006C1E51" w:rsidRDefault="00C5531F" w:rsidP="00775270">
      <w:pPr>
        <w:numPr>
          <w:ilvl w:val="0"/>
          <w:numId w:val="4"/>
        </w:numPr>
        <w:spacing w:line="480" w:lineRule="auto"/>
        <w:rPr>
          <w:rFonts w:ascii="Times New Roman" w:hAnsi="Times New Roman" w:cs="Times New Roman"/>
          <w:sz w:val="24"/>
          <w:szCs w:val="24"/>
        </w:rPr>
      </w:pPr>
      <w:r w:rsidRPr="006C1E51">
        <w:rPr>
          <w:rFonts w:ascii="Times New Roman" w:hAnsi="Times New Roman" w:cs="Times New Roman"/>
          <w:sz w:val="24"/>
          <w:szCs w:val="24"/>
        </w:rPr>
        <w:t>How might historical cooperative practices inspire new ones today?</w:t>
      </w:r>
    </w:p>
    <w:p w14:paraId="000001CF" w14:textId="77777777" w:rsidR="0006233B" w:rsidRPr="006C1E51" w:rsidRDefault="00C5531F" w:rsidP="00775270">
      <w:pPr>
        <w:numPr>
          <w:ilvl w:val="0"/>
          <w:numId w:val="4"/>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What would pooling resources make possible that individuals can’t achieve alone?</w:t>
      </w:r>
    </w:p>
    <w:p w14:paraId="0B3F47C2" w14:textId="77777777" w:rsidR="00B97F99" w:rsidRPr="006C1E51" w:rsidRDefault="00B97F99">
      <w:pPr>
        <w:rPr>
          <w:rFonts w:ascii="Times New Roman" w:hAnsi="Times New Roman" w:cs="Times New Roman"/>
          <w:b/>
          <w:bCs/>
          <w:sz w:val="24"/>
          <w:szCs w:val="24"/>
          <w:u w:val="single"/>
        </w:rPr>
      </w:pPr>
      <w:bookmarkStart w:id="213" w:name="_dyc0u4rk5m5x" w:colFirst="0" w:colLast="0"/>
      <w:bookmarkEnd w:id="213"/>
      <w:r w:rsidRPr="006C1E51">
        <w:rPr>
          <w:rFonts w:ascii="Times New Roman" w:hAnsi="Times New Roman" w:cs="Times New Roman"/>
        </w:rPr>
        <w:br w:type="page"/>
      </w:r>
    </w:p>
    <w:p w14:paraId="000001D0" w14:textId="76C8AA6E" w:rsidR="0006233B" w:rsidRPr="006C1E51" w:rsidRDefault="00C5531F" w:rsidP="00775270">
      <w:pPr>
        <w:pStyle w:val="Heading2"/>
        <w:spacing w:line="480" w:lineRule="auto"/>
        <w:rPr>
          <w:rFonts w:ascii="Times New Roman" w:hAnsi="Times New Roman" w:cs="Times New Roman"/>
        </w:rPr>
      </w:pPr>
      <w:bookmarkStart w:id="214" w:name="_Toc220011137"/>
      <w:r w:rsidRPr="006C1E51">
        <w:rPr>
          <w:rFonts w:ascii="Times New Roman" w:hAnsi="Times New Roman" w:cs="Times New Roman"/>
        </w:rPr>
        <w:lastRenderedPageBreak/>
        <w:t>Act IV. Back to the Old Landmark – Reclaiming Power</w:t>
      </w:r>
      <w:bookmarkEnd w:id="214"/>
    </w:p>
    <w:p w14:paraId="000001D1" w14:textId="77777777" w:rsidR="0006233B" w:rsidRPr="006C1E51" w:rsidRDefault="00C5531F" w:rsidP="00775270">
      <w:pPr>
        <w:pStyle w:val="Heading4"/>
        <w:spacing w:line="480" w:lineRule="auto"/>
        <w:rPr>
          <w:u w:val="none"/>
        </w:rPr>
      </w:pPr>
      <w:bookmarkStart w:id="215" w:name="_cu2sukfrst99" w:colFirst="0" w:colLast="0"/>
      <w:bookmarkEnd w:id="215"/>
      <w:r w:rsidRPr="006C1E51">
        <w:rPr>
          <w:u w:val="none"/>
        </w:rPr>
        <w:t>Principle: Democratic Governance - Community members shaping decisions together, transparently, across generations.</w:t>
      </w:r>
    </w:p>
    <w:p w14:paraId="000001D2" w14:textId="77777777" w:rsidR="0006233B" w:rsidRPr="006C1E51" w:rsidRDefault="00C5531F" w:rsidP="00775270">
      <w:pPr>
        <w:pBdr>
          <w:bottom w:val="single" w:sz="6" w:space="1" w:color="auto"/>
        </w:pBdr>
        <w:spacing w:line="480" w:lineRule="auto"/>
        <w:rPr>
          <w:rFonts w:ascii="Times New Roman" w:hAnsi="Times New Roman" w:cs="Times New Roman"/>
          <w:sz w:val="24"/>
          <w:szCs w:val="24"/>
        </w:rPr>
      </w:pPr>
      <w:r w:rsidRPr="006C1E51">
        <w:rPr>
          <w:rFonts w:ascii="Times New Roman" w:hAnsi="Times New Roman" w:cs="Times New Roman"/>
          <w:sz w:val="24"/>
          <w:szCs w:val="24"/>
        </w:rPr>
        <w:t>Purpose: Demonstrate collective deliberation as heritage practice.</w:t>
      </w:r>
    </w:p>
    <w:p w14:paraId="7BBFFA4B" w14:textId="2ECAEF69" w:rsidR="002A7AC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 few days later, a meeting was held at Mt. Olive</w:t>
      </w:r>
      <w:r w:rsidR="002A7ACB" w:rsidRPr="006C1E51">
        <w:rPr>
          <w:rFonts w:ascii="Times New Roman" w:hAnsi="Times New Roman" w:cs="Times New Roman"/>
          <w:sz w:val="24"/>
          <w:szCs w:val="24"/>
        </w:rPr>
        <w:t xml:space="preserve"> (see fig. 23)</w:t>
      </w:r>
      <w:r w:rsidRPr="006C1E51">
        <w:rPr>
          <w:rFonts w:ascii="Times New Roman" w:hAnsi="Times New Roman" w:cs="Times New Roman"/>
          <w:sz w:val="24"/>
          <w:szCs w:val="24"/>
        </w:rPr>
        <w:t xml:space="preserve">—the church folks called it </w:t>
      </w:r>
      <w:r w:rsidRPr="006C1E51">
        <w:rPr>
          <w:rFonts w:ascii="Times New Roman" w:hAnsi="Times New Roman" w:cs="Times New Roman"/>
          <w:i/>
          <w:iCs/>
          <w:sz w:val="24"/>
          <w:szCs w:val="24"/>
        </w:rPr>
        <w:t>the Old Landmark</w:t>
      </w:r>
      <w:r w:rsidRPr="006C1E51">
        <w:rPr>
          <w:rFonts w:ascii="Times New Roman" w:hAnsi="Times New Roman" w:cs="Times New Roman"/>
          <w:sz w:val="24"/>
          <w:szCs w:val="24"/>
        </w:rPr>
        <w:t xml:space="preserve">. Not a “landmark” the way preservationists used the term, with national registers and nomination forms, but a landmark in the way that mattered here: a place rooted in memory, ritual, and relationship. In Butlertown, and many rural Black communities like it, “landmark” meant </w:t>
      </w:r>
      <w:r w:rsidRPr="006C1E51">
        <w:rPr>
          <w:rFonts w:ascii="Times New Roman" w:hAnsi="Times New Roman" w:cs="Times New Roman"/>
          <w:i/>
          <w:iCs/>
          <w:sz w:val="24"/>
          <w:szCs w:val="24"/>
        </w:rPr>
        <w:t>the</w:t>
      </w:r>
      <w:r w:rsidRPr="006C1E51">
        <w:rPr>
          <w:rFonts w:ascii="Times New Roman" w:hAnsi="Times New Roman" w:cs="Times New Roman"/>
          <w:sz w:val="24"/>
          <w:szCs w:val="24"/>
        </w:rPr>
        <w:t xml:space="preserve"> </w:t>
      </w:r>
      <w:r w:rsidRPr="006C1E51">
        <w:rPr>
          <w:rFonts w:ascii="Times New Roman" w:hAnsi="Times New Roman" w:cs="Times New Roman"/>
          <w:i/>
          <w:iCs/>
          <w:sz w:val="24"/>
          <w:szCs w:val="24"/>
        </w:rPr>
        <w:t>homebase</w:t>
      </w:r>
      <w:r w:rsidRPr="006C1E51">
        <w:rPr>
          <w:rFonts w:ascii="Times New Roman" w:hAnsi="Times New Roman" w:cs="Times New Roman"/>
          <w:sz w:val="24"/>
          <w:szCs w:val="24"/>
        </w:rPr>
        <w:t>—where decisions were made, where people gathered, where history was held in the bodies of the people, n</w:t>
      </w:r>
      <w:r w:rsidR="002A7ACB" w:rsidRPr="006C1E51">
        <w:rPr>
          <w:rFonts w:ascii="Times New Roman" w:hAnsi="Times New Roman" w:cs="Times New Roman"/>
          <w:sz w:val="24"/>
          <w:szCs w:val="24"/>
        </w:rPr>
        <w:t>ot in the language of policy.</w:t>
      </w:r>
    </w:p>
    <w:p w14:paraId="535608B8" w14:textId="68FAE214" w:rsidR="002A7ACB" w:rsidRPr="006C1E51" w:rsidRDefault="002A7ACB" w:rsidP="002A7ACB">
      <w:pPr>
        <w:spacing w:before="240" w:after="240" w:line="480" w:lineRule="auto"/>
        <w:ind w:firstLine="720"/>
        <w:jc w:val="center"/>
        <w:rPr>
          <w:rFonts w:ascii="Times New Roman" w:hAnsi="Times New Roman" w:cs="Times New Roman"/>
          <w:sz w:val="24"/>
          <w:szCs w:val="24"/>
        </w:rPr>
      </w:pPr>
      <w:r w:rsidRPr="006C1E51">
        <w:rPr>
          <w:rFonts w:ascii="Times New Roman" w:hAnsi="Times New Roman" w:cs="Times New Roman"/>
          <w:noProof/>
          <w:sz w:val="24"/>
          <w:szCs w:val="24"/>
        </w:rPr>
        <w:drawing>
          <wp:inline distT="0" distB="0" distL="0" distR="0" wp14:anchorId="37F86E88" wp14:editId="185DAF9F">
            <wp:extent cx="3956364" cy="2970950"/>
            <wp:effectExtent l="0" t="0" r="0" b="1270"/>
            <wp:docPr id="403546935" name="Picture 1" descr="A group of people outside a churc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546935" name="Picture 1" descr="A group of people outside a church&#10;&#10;AI-generated content may be incorrect."/>
                    <pic:cNvPicPr/>
                  </pic:nvPicPr>
                  <pic:blipFill>
                    <a:blip r:embed="rId37"/>
                    <a:stretch>
                      <a:fillRect/>
                    </a:stretch>
                  </pic:blipFill>
                  <pic:spPr>
                    <a:xfrm>
                      <a:off x="0" y="0"/>
                      <a:ext cx="4012605" cy="3013183"/>
                    </a:xfrm>
                    <a:prstGeom prst="rect">
                      <a:avLst/>
                    </a:prstGeom>
                  </pic:spPr>
                </pic:pic>
              </a:graphicData>
            </a:graphic>
          </wp:inline>
        </w:drawing>
      </w:r>
    </w:p>
    <w:p w14:paraId="6D41B950" w14:textId="5D2714B1" w:rsidR="00447244" w:rsidRPr="006C1E51" w:rsidRDefault="002A7ACB" w:rsidP="002A7ACB">
      <w:pPr>
        <w:pStyle w:val="Caption"/>
        <w:spacing w:after="0"/>
      </w:pPr>
      <w:bookmarkStart w:id="216" w:name="_Toc220011018"/>
      <w:r w:rsidRPr="006C1E51">
        <w:t xml:space="preserve">Figure </w:t>
      </w:r>
      <w:r w:rsidRPr="006C1E51">
        <w:fldChar w:fldCharType="begin"/>
      </w:r>
      <w:r w:rsidRPr="006C1E51">
        <w:instrText xml:space="preserve"> SEQ Figure \* ARABIC </w:instrText>
      </w:r>
      <w:r w:rsidRPr="006C1E51">
        <w:fldChar w:fldCharType="separate"/>
      </w:r>
      <w:r w:rsidRPr="006C1E51">
        <w:rPr>
          <w:noProof/>
        </w:rPr>
        <w:t>23</w:t>
      </w:r>
      <w:r w:rsidRPr="006C1E51">
        <w:rPr>
          <w:noProof/>
        </w:rPr>
        <w:fldChar w:fldCharType="end"/>
      </w:r>
      <w:r w:rsidRPr="006C1E51">
        <w:t>. Mount Olive AME Church dedication service.</w:t>
      </w:r>
      <w:r w:rsidRPr="006C1E51">
        <w:rPr>
          <w:rStyle w:val="FootnoteReference"/>
        </w:rPr>
        <w:footnoteReference w:id="114"/>
      </w:r>
      <w:bookmarkEnd w:id="216"/>
    </w:p>
    <w:p w14:paraId="000001D4"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 xml:space="preserve">Folding chairs scraped lightly across the fellowship hall floor. Someone had set out pitchers of sweet tea and paper plates of cookies. </w:t>
      </w:r>
    </w:p>
    <w:p w14:paraId="000001D5"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Word had spread fast. Younger folks, parents with children, and elders drifted in. The room felt like a family reunion with an agenda. </w:t>
      </w:r>
    </w:p>
    <w:p w14:paraId="000001D6"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Henrietta stood in the back for a while, taking in the energy. People had questions—real, urgent questions—but people also had stories, memories, and a shared sense that something needed to happen. </w:t>
      </w:r>
    </w:p>
    <w:p w14:paraId="000001D7"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This is how Black governance often starts: not with a policy meeting, but with church light, sweet tea, and people who know each other’s grandmothers.</w:t>
      </w:r>
    </w:p>
    <w:p w14:paraId="000001D8" w14:textId="07A1553C"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Jean opened the meeting.</w:t>
      </w:r>
      <w:r w:rsidR="00A42942" w:rsidRPr="006C1E51">
        <w:rPr>
          <w:rFonts w:ascii="Times New Roman" w:hAnsi="Times New Roman" w:cs="Times New Roman"/>
          <w:sz w:val="24"/>
          <w:szCs w:val="24"/>
        </w:rPr>
        <w:t xml:space="preserve"> </w:t>
      </w:r>
      <w:r w:rsidRPr="006C1E51">
        <w:rPr>
          <w:rFonts w:ascii="Times New Roman" w:hAnsi="Times New Roman" w:cs="Times New Roman"/>
          <w:sz w:val="24"/>
          <w:szCs w:val="24"/>
        </w:rPr>
        <w:t>“We all know our community is changing. Some of it is good. Some of it…ain’t so much. But we’re here because we want to keep what matters in our hands.”</w:t>
      </w:r>
    </w:p>
    <w:p w14:paraId="000001D9"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Heads nodded in agreement around the room.</w:t>
      </w:r>
    </w:p>
    <w:p w14:paraId="000001DA" w14:textId="48DCDD14"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Slick spoke next:</w:t>
      </w:r>
      <w:r w:rsidR="00A42942" w:rsidRPr="006C1E51">
        <w:rPr>
          <w:rFonts w:ascii="Times New Roman" w:hAnsi="Times New Roman" w:cs="Times New Roman"/>
          <w:sz w:val="24"/>
          <w:szCs w:val="24"/>
        </w:rPr>
        <w:t xml:space="preserve"> </w:t>
      </w:r>
      <w:r w:rsidRPr="006C1E51">
        <w:rPr>
          <w:rFonts w:ascii="Times New Roman" w:hAnsi="Times New Roman" w:cs="Times New Roman"/>
          <w:sz w:val="24"/>
          <w:szCs w:val="24"/>
        </w:rPr>
        <w:t>“If we can tithe every Sunday, we can invest in ourselves. A little from everybody can go a long way.”</w:t>
      </w:r>
    </w:p>
    <w:p w14:paraId="000001DC" w14:textId="732225E4"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Henrietta cleared her throat.</w:t>
      </w:r>
      <w:r w:rsidR="00A42942" w:rsidRPr="006C1E51">
        <w:rPr>
          <w:rFonts w:ascii="Times New Roman" w:hAnsi="Times New Roman" w:cs="Times New Roman"/>
          <w:sz w:val="24"/>
          <w:szCs w:val="24"/>
        </w:rPr>
        <w:t xml:space="preserve"> </w:t>
      </w:r>
      <w:r w:rsidRPr="006C1E51">
        <w:rPr>
          <w:rFonts w:ascii="Times New Roman" w:hAnsi="Times New Roman" w:cs="Times New Roman"/>
          <w:sz w:val="24"/>
          <w:szCs w:val="24"/>
        </w:rPr>
        <w:t>“I know some of ya’ll are young, but right here, we’ve planned and had baptisms, repasts, choir anniversaries, homegoings, fish fries, graduations, and more arguments and resolutions than anyone could count.”</w:t>
      </w:r>
    </w:p>
    <w:p w14:paraId="000001DD"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 xml:space="preserve">“We’re not here to fuss. We’re here to figure out whether we still got enough left in us—and enough left </w:t>
      </w:r>
      <w:r w:rsidRPr="006C1E51">
        <w:rPr>
          <w:rFonts w:ascii="Times New Roman" w:hAnsi="Times New Roman" w:cs="Times New Roman"/>
          <w:i/>
          <w:iCs/>
          <w:sz w:val="24"/>
          <w:szCs w:val="24"/>
        </w:rPr>
        <w:t>between</w:t>
      </w:r>
      <w:r w:rsidRPr="006C1E51">
        <w:rPr>
          <w:rFonts w:ascii="Times New Roman" w:hAnsi="Times New Roman" w:cs="Times New Roman"/>
          <w:sz w:val="24"/>
          <w:szCs w:val="24"/>
        </w:rPr>
        <w:t xml:space="preserve"> us—to do something.”</w:t>
      </w:r>
    </w:p>
    <w:p w14:paraId="000001DE"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People murmured. Heads continued to nod.</w:t>
      </w:r>
    </w:p>
    <w:p w14:paraId="000001DF" w14:textId="731E298A"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An elder spoke:</w:t>
      </w:r>
      <w:r w:rsidR="00A42942" w:rsidRPr="006C1E51">
        <w:rPr>
          <w:rFonts w:ascii="Times New Roman" w:hAnsi="Times New Roman" w:cs="Times New Roman"/>
          <w:sz w:val="24"/>
          <w:szCs w:val="24"/>
        </w:rPr>
        <w:t xml:space="preserve"> </w:t>
      </w:r>
      <w:r w:rsidRPr="006C1E51">
        <w:rPr>
          <w:rFonts w:ascii="Times New Roman" w:hAnsi="Times New Roman" w:cs="Times New Roman"/>
          <w:sz w:val="24"/>
          <w:szCs w:val="24"/>
        </w:rPr>
        <w:t>“Back in the day, we had those burial societies. Everybody paid their little bit. And when somebody passed, the family wasn’t left stranded. We handled our own.”</w:t>
      </w:r>
    </w:p>
    <w:p w14:paraId="000001E0" w14:textId="14BF43DB"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 younger neighbor raised their hand and said:</w:t>
      </w:r>
      <w:r w:rsidR="00A42942" w:rsidRPr="006C1E51">
        <w:rPr>
          <w:rFonts w:ascii="Times New Roman" w:hAnsi="Times New Roman" w:cs="Times New Roman"/>
          <w:sz w:val="24"/>
          <w:szCs w:val="24"/>
        </w:rPr>
        <w:t xml:space="preserve"> </w:t>
      </w:r>
      <w:r w:rsidRPr="006C1E51">
        <w:rPr>
          <w:rFonts w:ascii="Times New Roman" w:hAnsi="Times New Roman" w:cs="Times New Roman"/>
          <w:sz w:val="24"/>
          <w:szCs w:val="24"/>
        </w:rPr>
        <w:t>“Well today we got CashApp and crowdfunding. Same idea—just digital. Folks still help each other. It’s just scattered.”</w:t>
      </w:r>
    </w:p>
    <w:p w14:paraId="000001E1" w14:textId="089AEA46"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 younger woman raised her hand. “But how we gonna keep the books? We can’t be playin’ with people’s money.”</w:t>
      </w:r>
    </w:p>
    <w:p w14:paraId="000001E2"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Silence took over the room, because everyone knew bookkeeping had sunk more than one community effort.</w:t>
      </w:r>
    </w:p>
    <w:p w14:paraId="000001E4" w14:textId="59093BF4"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An elder shot back gently, “Baby, we been keepin’ books since long before QuickBooks was a thing. Pen and paper. Old fashioned way.</w:t>
      </w:r>
      <w:r w:rsidR="00A42942" w:rsidRPr="006C1E51">
        <w:rPr>
          <w:rFonts w:ascii="Times New Roman" w:hAnsi="Times New Roman" w:cs="Times New Roman"/>
          <w:sz w:val="24"/>
          <w:szCs w:val="24"/>
        </w:rPr>
        <w:t xml:space="preserve">” </w:t>
      </w:r>
      <w:r w:rsidRPr="006C1E51">
        <w:rPr>
          <w:rFonts w:ascii="Times New Roman" w:hAnsi="Times New Roman" w:cs="Times New Roman"/>
          <w:sz w:val="24"/>
          <w:szCs w:val="24"/>
        </w:rPr>
        <w:t>Laughter cracked the tension.</w:t>
      </w:r>
    </w:p>
    <w:p w14:paraId="000001E5" w14:textId="1C16E594"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Someone else chimed in: “Y’all remember when we had the dedication for the new church back in the day? Everybody came back to Old Landmark like we’re here today. We raised money, we cooked, we fixed roofs—we did for each other then. Why can’t we do it now?”</w:t>
      </w:r>
    </w:p>
    <w:p w14:paraId="000001E6"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But not everyone was convinced.</w:t>
      </w:r>
    </w:p>
    <w:p w14:paraId="000001E7" w14:textId="24817124"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A man in his fifties leaned forward.</w:t>
      </w:r>
      <w:r w:rsidR="00A42942" w:rsidRPr="006C1E51">
        <w:rPr>
          <w:rFonts w:ascii="Times New Roman" w:hAnsi="Times New Roman" w:cs="Times New Roman"/>
          <w:sz w:val="24"/>
          <w:szCs w:val="24"/>
        </w:rPr>
        <w:t xml:space="preserve"> </w:t>
      </w:r>
      <w:r w:rsidRPr="006C1E51">
        <w:rPr>
          <w:rFonts w:ascii="Times New Roman" w:hAnsi="Times New Roman" w:cs="Times New Roman"/>
          <w:sz w:val="24"/>
          <w:szCs w:val="24"/>
        </w:rPr>
        <w:t>“It’s too late. Young people lettin’ the land go for taxes. Folks movin’ away. County don’t care about us. What difference we gonna make now?”</w:t>
      </w:r>
    </w:p>
    <w:p w14:paraId="000001E9" w14:textId="2D589BF6"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The room fell quiet again.</w:t>
      </w:r>
      <w:r w:rsidR="00A42942" w:rsidRPr="006C1E51">
        <w:rPr>
          <w:rFonts w:ascii="Times New Roman" w:hAnsi="Times New Roman" w:cs="Times New Roman"/>
          <w:sz w:val="24"/>
          <w:szCs w:val="24"/>
        </w:rPr>
        <w:t xml:space="preserve"> </w:t>
      </w:r>
      <w:r w:rsidRPr="006C1E51">
        <w:rPr>
          <w:rFonts w:ascii="Times New Roman" w:hAnsi="Times New Roman" w:cs="Times New Roman"/>
          <w:sz w:val="24"/>
          <w:szCs w:val="24"/>
        </w:rPr>
        <w:t>Henrietta looked at him with patience honed over seven decades–perhaps more, if you count the centuries of wisdom instilled in her by the late Elsie, and her, by the late Carol Butler.</w:t>
      </w:r>
    </w:p>
    <w:p w14:paraId="000001EA"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“Well,” she said, “I just learned my people in Coleman put up more money than the county to build a whole Rosenwald school. And that was over a hundred years ago. On top of that, they were loaning each other money to purchase and build up homes in that community. If they could do </w:t>
      </w:r>
      <w:r w:rsidRPr="006C1E51">
        <w:rPr>
          <w:rFonts w:ascii="Times New Roman" w:hAnsi="Times New Roman" w:cs="Times New Roman"/>
          <w:i/>
          <w:iCs/>
          <w:sz w:val="24"/>
          <w:szCs w:val="24"/>
        </w:rPr>
        <w:t>that</w:t>
      </w:r>
      <w:r w:rsidRPr="006C1E51">
        <w:rPr>
          <w:rFonts w:ascii="Times New Roman" w:hAnsi="Times New Roman" w:cs="Times New Roman"/>
          <w:sz w:val="24"/>
          <w:szCs w:val="24"/>
        </w:rPr>
        <w:t xml:space="preserve"> then, you telling me we can’t at least </w:t>
      </w:r>
      <w:r w:rsidRPr="006C1E51">
        <w:rPr>
          <w:rFonts w:ascii="Times New Roman" w:hAnsi="Times New Roman" w:cs="Times New Roman"/>
          <w:i/>
          <w:iCs/>
          <w:sz w:val="24"/>
          <w:szCs w:val="24"/>
        </w:rPr>
        <w:t>start</w:t>
      </w:r>
      <w:r w:rsidRPr="006C1E51">
        <w:rPr>
          <w:rFonts w:ascii="Times New Roman" w:hAnsi="Times New Roman" w:cs="Times New Roman"/>
          <w:sz w:val="24"/>
          <w:szCs w:val="24"/>
        </w:rPr>
        <w:t xml:space="preserve"> something now?”</w:t>
      </w:r>
    </w:p>
    <w:p w14:paraId="000001EB"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Someone whispered, “Lord, she got a point.”</w:t>
      </w:r>
    </w:p>
    <w:p w14:paraId="000001ED" w14:textId="3B63F439"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Henrietta continued, “What we’re doing now—this is us reclaiming our power. Deciding how we want our place to look. Nobody else gonna do it for us.”</w:t>
      </w:r>
    </w:p>
    <w:p w14:paraId="000001EE"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Silence softened into agreement. Heads nodded. Pens began to write. A mother in the back pulled out her phone to take notes. </w:t>
      </w:r>
    </w:p>
    <w:p w14:paraId="000001EF"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Then a younger woman—Sadie’s daughter—stood.</w:t>
      </w:r>
    </w:p>
    <w:p w14:paraId="000001F0"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“If our grandparents could organize fish fries just to keep the lights on, and if our great-grandparents could build houses with their own hands, and if their parents could buy land when White folks were trying their hardest to keep it from them… then we can at least show up. We can try.”</w:t>
      </w:r>
    </w:p>
    <w:p w14:paraId="000001F1" w14:textId="723ABA01"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mood shifted. Postures straightened. People leaned in.</w:t>
      </w:r>
    </w:p>
    <w:p w14:paraId="000001F2"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Henrietta sensed it working—collective will gathering itself, like a muscle remembering it can still move. The community’s muscle memory was about to put in work.</w:t>
      </w:r>
    </w:p>
    <w:p w14:paraId="000001F3"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“So,” she said, “I say we start small. Pilot something. See how it goes. We don’t need a miracle. We just need each other.”</w:t>
      </w:r>
    </w:p>
    <w:p w14:paraId="000001F5" w14:textId="289293C1"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No vote was taken, but consensus rose in the room the way faith does—quietly, then all at once.</w:t>
      </w:r>
      <w:r w:rsidR="00A42942" w:rsidRPr="006C1E51">
        <w:rPr>
          <w:rFonts w:ascii="Times New Roman" w:hAnsi="Times New Roman" w:cs="Times New Roman"/>
          <w:sz w:val="24"/>
          <w:szCs w:val="24"/>
        </w:rPr>
        <w:t xml:space="preserve"> </w:t>
      </w:r>
      <w:r w:rsidRPr="006C1E51">
        <w:rPr>
          <w:rFonts w:ascii="Times New Roman" w:hAnsi="Times New Roman" w:cs="Times New Roman"/>
          <w:sz w:val="24"/>
          <w:szCs w:val="24"/>
        </w:rPr>
        <w:t>They would try.</w:t>
      </w:r>
    </w:p>
    <w:p w14:paraId="000001F6" w14:textId="6935D576"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Not a charity. Not a nonprofit led by outsiders.</w:t>
      </w:r>
      <w:r w:rsidR="00A42942" w:rsidRPr="006C1E51">
        <w:rPr>
          <w:rFonts w:ascii="Times New Roman" w:hAnsi="Times New Roman" w:cs="Times New Roman"/>
          <w:sz w:val="24"/>
          <w:szCs w:val="24"/>
        </w:rPr>
        <w:t xml:space="preserve"> </w:t>
      </w:r>
      <w:r w:rsidRPr="006C1E51">
        <w:rPr>
          <w:rFonts w:ascii="Times New Roman" w:hAnsi="Times New Roman" w:cs="Times New Roman"/>
          <w:sz w:val="24"/>
          <w:szCs w:val="24"/>
        </w:rPr>
        <w:t>A Butlertown fund, built by them, governed by them, for them.</w:t>
      </w:r>
    </w:p>
    <w:p w14:paraId="0378801E" w14:textId="77777777" w:rsidR="0044768F" w:rsidRPr="006C1E51" w:rsidRDefault="0044768F" w:rsidP="00775270">
      <w:pPr>
        <w:keepNext/>
        <w:spacing w:before="240" w:after="240" w:line="480" w:lineRule="auto"/>
        <w:rPr>
          <w:rFonts w:ascii="Times New Roman" w:hAnsi="Times New Roman" w:cs="Times New Roman"/>
          <w:sz w:val="24"/>
          <w:szCs w:val="24"/>
        </w:rPr>
      </w:pPr>
      <w:r w:rsidRPr="006C1E51">
        <w:rPr>
          <w:rFonts w:ascii="Times New Roman" w:hAnsi="Times New Roman" w:cs="Times New Roman"/>
          <w:noProof/>
          <w:color w:val="000000"/>
          <w:sz w:val="24"/>
          <w:szCs w:val="24"/>
          <w:bdr w:val="none" w:sz="0" w:space="0" w:color="auto" w:frame="1"/>
        </w:rPr>
        <w:drawing>
          <wp:inline distT="0" distB="0" distL="0" distR="0" wp14:anchorId="612CA8E5" wp14:editId="48E52F89">
            <wp:extent cx="5640946" cy="3611970"/>
            <wp:effectExtent l="0" t="0" r="0" b="0"/>
            <wp:docPr id="2025411459" name="Picture 6" descr="A group of people discussing someth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411459" name="Picture 6" descr="A group of people discussing something&#10;&#10;AI-generated content may be incorrect."/>
                    <pic:cNvPicPr>
                      <a:picLocks noChangeAspect="1" noChangeArrowheads="1"/>
                    </pic:cNvPicPr>
                  </pic:nvPicPr>
                  <pic:blipFill>
                    <a:blip r:embed="rId38">
                      <a:extLst>
                        <a:ext uri="{28A0092B-C50C-407E-A947-70E740481C1C}">
                          <a14:useLocalDpi xmlns:a14="http://schemas.microsoft.com/office/drawing/2010/main"/>
                        </a:ext>
                      </a:extLst>
                    </a:blip>
                    <a:srcRect/>
                    <a:stretch>
                      <a:fillRect/>
                    </a:stretch>
                  </pic:blipFill>
                  <pic:spPr bwMode="auto">
                    <a:xfrm>
                      <a:off x="0" y="0"/>
                      <a:ext cx="5654473" cy="3620631"/>
                    </a:xfrm>
                    <a:prstGeom prst="rect">
                      <a:avLst/>
                    </a:prstGeom>
                    <a:noFill/>
                    <a:ln>
                      <a:noFill/>
                    </a:ln>
                  </pic:spPr>
                </pic:pic>
              </a:graphicData>
            </a:graphic>
          </wp:inline>
        </w:drawing>
      </w:r>
    </w:p>
    <w:p w14:paraId="47106747" w14:textId="6C53EAF2" w:rsidR="0044768F" w:rsidRPr="006C1E51" w:rsidRDefault="0044768F" w:rsidP="00F50E4B">
      <w:pPr>
        <w:pStyle w:val="Caption"/>
        <w:pBdr>
          <w:bottom w:val="single" w:sz="6" w:space="1" w:color="auto"/>
        </w:pBdr>
      </w:pPr>
      <w:bookmarkStart w:id="217" w:name="_Toc220011019"/>
      <w:r w:rsidRPr="006C1E51">
        <w:t xml:space="preserve">Figure </w:t>
      </w:r>
      <w:r w:rsidRPr="006C1E51">
        <w:fldChar w:fldCharType="begin"/>
      </w:r>
      <w:r w:rsidRPr="006C1E51">
        <w:instrText xml:space="preserve"> SEQ Figure \* ARABIC </w:instrText>
      </w:r>
      <w:r w:rsidRPr="006C1E51">
        <w:fldChar w:fldCharType="separate"/>
      </w:r>
      <w:r w:rsidR="00C63ED1" w:rsidRPr="006C1E51">
        <w:rPr>
          <w:noProof/>
        </w:rPr>
        <w:t>24</w:t>
      </w:r>
      <w:r w:rsidRPr="006C1E51">
        <w:rPr>
          <w:noProof/>
        </w:rPr>
        <w:fldChar w:fldCharType="end"/>
      </w:r>
      <w:r w:rsidRPr="006C1E51">
        <w:t>. Butlertown residents at one of the planning sessions in 2007, including the author’s late great aunt, late cousins, and other community members. Source: 2007 Village Master Plan.</w:t>
      </w:r>
      <w:bookmarkEnd w:id="217"/>
    </w:p>
    <w:p w14:paraId="000001F7" w14:textId="1E2FAEA5" w:rsidR="0006233B" w:rsidRPr="006C1E51" w:rsidRDefault="00C5531F" w:rsidP="00775270">
      <w:pPr>
        <w:pStyle w:val="Heading3"/>
      </w:pPr>
      <w:bookmarkStart w:id="218" w:name="_Toc220011138"/>
      <w:r w:rsidRPr="006C1E51">
        <w:lastRenderedPageBreak/>
        <w:t>Planning Prompts (</w:t>
      </w:r>
      <w:r w:rsidR="00775270" w:rsidRPr="006C1E51">
        <w:t xml:space="preserve">CHC </w:t>
      </w:r>
      <w:r w:rsidRPr="006C1E51">
        <w:t>Principle: Democratic Governance)</w:t>
      </w:r>
      <w:bookmarkEnd w:id="218"/>
    </w:p>
    <w:p w14:paraId="000001F8" w14:textId="77777777" w:rsidR="0006233B" w:rsidRPr="006C1E51" w:rsidRDefault="00C5531F" w:rsidP="00775270">
      <w:p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Use these prompts to think through how decision-making, deliberation, and shared authority could work in your CHC context.</w:t>
      </w:r>
    </w:p>
    <w:p w14:paraId="000001F9" w14:textId="594A7D2E" w:rsidR="0006233B" w:rsidRPr="006C1E51" w:rsidRDefault="00C5531F" w:rsidP="00775270">
      <w:pPr>
        <w:numPr>
          <w:ilvl w:val="0"/>
          <w:numId w:val="8"/>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rPr>
        <w:t>Where do community members currently gather to make decisions, formally or informally?</w:t>
      </w:r>
    </w:p>
    <w:p w14:paraId="000001FA" w14:textId="70B48B22" w:rsidR="0006233B" w:rsidRPr="006C1E51" w:rsidRDefault="00C5531F" w:rsidP="00775270">
      <w:pPr>
        <w:numPr>
          <w:ilvl w:val="0"/>
          <w:numId w:val="8"/>
        </w:numPr>
        <w:spacing w:line="480" w:lineRule="auto"/>
        <w:rPr>
          <w:rFonts w:ascii="Times New Roman" w:hAnsi="Times New Roman" w:cs="Times New Roman"/>
          <w:sz w:val="24"/>
          <w:szCs w:val="24"/>
        </w:rPr>
      </w:pPr>
      <w:r w:rsidRPr="006C1E51">
        <w:rPr>
          <w:rFonts w:ascii="Times New Roman" w:hAnsi="Times New Roman" w:cs="Times New Roman"/>
          <w:sz w:val="24"/>
          <w:szCs w:val="24"/>
        </w:rPr>
        <w:t>What governance traditions (church circles, lodges, civic clubs) can be adapted today?</w:t>
      </w:r>
    </w:p>
    <w:p w14:paraId="000001FB" w14:textId="548796E4" w:rsidR="0006233B" w:rsidRPr="006C1E51" w:rsidRDefault="00C5531F" w:rsidP="00775270">
      <w:pPr>
        <w:numPr>
          <w:ilvl w:val="0"/>
          <w:numId w:val="8"/>
        </w:numPr>
        <w:spacing w:line="480" w:lineRule="auto"/>
        <w:rPr>
          <w:rFonts w:ascii="Times New Roman" w:hAnsi="Times New Roman" w:cs="Times New Roman"/>
          <w:sz w:val="24"/>
          <w:szCs w:val="24"/>
        </w:rPr>
      </w:pPr>
      <w:r w:rsidRPr="006C1E51">
        <w:rPr>
          <w:rFonts w:ascii="Times New Roman" w:hAnsi="Times New Roman" w:cs="Times New Roman"/>
          <w:sz w:val="24"/>
          <w:szCs w:val="24"/>
        </w:rPr>
        <w:t>Whose voices carry influence—and whose voices need intentional inclusion?</w:t>
      </w:r>
    </w:p>
    <w:p w14:paraId="000001FC" w14:textId="77777777" w:rsidR="0006233B" w:rsidRPr="006C1E51" w:rsidRDefault="00C5531F" w:rsidP="00775270">
      <w:pPr>
        <w:numPr>
          <w:ilvl w:val="0"/>
          <w:numId w:val="8"/>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How can decision-making processes reflect local culture, not outside frameworks?</w:t>
      </w:r>
    </w:p>
    <w:p w14:paraId="000001FD" w14:textId="77777777" w:rsidR="0006233B" w:rsidRPr="006C1E51" w:rsidRDefault="00C5531F" w:rsidP="00775270">
      <w:pPr>
        <w:pStyle w:val="Heading2"/>
        <w:spacing w:line="480" w:lineRule="auto"/>
        <w:rPr>
          <w:rFonts w:ascii="Times New Roman" w:hAnsi="Times New Roman" w:cs="Times New Roman"/>
        </w:rPr>
      </w:pPr>
      <w:bookmarkStart w:id="219" w:name="_ixzo3wv8hgfc" w:colFirst="0" w:colLast="0"/>
      <w:bookmarkStart w:id="220" w:name="_Toc220011139"/>
      <w:bookmarkEnd w:id="219"/>
      <w:r w:rsidRPr="006C1E51">
        <w:rPr>
          <w:rFonts w:ascii="Times New Roman" w:hAnsi="Times New Roman" w:cs="Times New Roman"/>
        </w:rPr>
        <w:t>Henrietta’s Interlude</w:t>
      </w:r>
      <w:bookmarkEnd w:id="220"/>
    </w:p>
    <w:p w14:paraId="000001FE" w14:textId="77777777"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Before anyone talked about bylaws, dues, or officers, Henrietta named the issue plain in her mind:</w:t>
      </w:r>
    </w:p>
    <w:p w14:paraId="000001FF"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“We losing land faster than we creating homeowners.”</w:t>
      </w:r>
    </w:p>
    <w:p w14:paraId="00000200"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In rural communities like Butlertown, family land was often tied to an elder’s name. When that elder passed, the chain of inheritance broke—not out of neglect, but because no one was prepared, no one lived close enough, or no one knew how to navigate the paperwork in time.</w:t>
      </w:r>
    </w:p>
    <w:p w14:paraId="00000201"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Outside organizations rarely understood this. They talked about expanding homeownership without noticing that generational ownership was unraveling beneath the surface.</w:t>
      </w:r>
    </w:p>
    <w:p w14:paraId="00000202"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If the land base kept shrinking, no program—no grant, no subsidy, no affordable housing initiative—could keep the community intact.</w:t>
      </w:r>
    </w:p>
    <w:p w14:paraId="00000203"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Henrietta believed there had to be another way: a structure where families could retain a stake in their land even if no one was ready to live on it;  a structure that could create new homeownership opportunities without breaking ties to legacy; a structure grounded in the same cooperative practices her ancestors once used to build Coleman and sustain the community through harder times than these…</w:t>
      </w:r>
    </w:p>
    <w:p w14:paraId="00000204" w14:textId="77777777" w:rsidR="0006233B" w:rsidRPr="006C1E51" w:rsidRDefault="00C5531F" w:rsidP="00775270">
      <w:pPr>
        <w:pStyle w:val="Heading2"/>
        <w:spacing w:line="480" w:lineRule="auto"/>
        <w:rPr>
          <w:rFonts w:ascii="Times New Roman" w:hAnsi="Times New Roman" w:cs="Times New Roman"/>
        </w:rPr>
      </w:pPr>
      <w:bookmarkStart w:id="221" w:name="_5kwck474chc5" w:colFirst="0" w:colLast="0"/>
      <w:bookmarkStart w:id="222" w:name="_Toc220011140"/>
      <w:bookmarkEnd w:id="221"/>
      <w:r w:rsidRPr="006C1E51">
        <w:rPr>
          <w:rFonts w:ascii="Times New Roman" w:hAnsi="Times New Roman" w:cs="Times New Roman"/>
        </w:rPr>
        <w:t>Act V. Formation – Building the Butlertown Fund</w:t>
      </w:r>
      <w:bookmarkEnd w:id="222"/>
    </w:p>
    <w:p w14:paraId="00000205" w14:textId="77777777" w:rsidR="0006233B" w:rsidRPr="006C1E51" w:rsidRDefault="00C5531F" w:rsidP="00775270">
      <w:pPr>
        <w:pStyle w:val="Heading4"/>
        <w:spacing w:line="480" w:lineRule="auto"/>
        <w:rPr>
          <w:u w:val="none"/>
        </w:rPr>
      </w:pPr>
      <w:bookmarkStart w:id="223" w:name="_rswex8szner6" w:colFirst="0" w:colLast="0"/>
      <w:bookmarkEnd w:id="223"/>
      <w:r w:rsidRPr="006C1E51">
        <w:rPr>
          <w:u w:val="none"/>
        </w:rPr>
        <w:t>Principle: Community Resource Building — Turning memory, relationships, and local assets into organized tools for collective stability.</w:t>
      </w:r>
    </w:p>
    <w:p w14:paraId="00000206" w14:textId="77777777" w:rsidR="0006233B" w:rsidRPr="006C1E51" w:rsidRDefault="00C5531F" w:rsidP="00775270">
      <w:pPr>
        <w:pBdr>
          <w:bottom w:val="single" w:sz="6" w:space="1" w:color="auto"/>
        </w:pBdr>
        <w:spacing w:line="480" w:lineRule="auto"/>
        <w:rPr>
          <w:rFonts w:ascii="Times New Roman" w:hAnsi="Times New Roman" w:cs="Times New Roman"/>
          <w:sz w:val="24"/>
          <w:szCs w:val="24"/>
        </w:rPr>
      </w:pPr>
      <w:r w:rsidRPr="006C1E51">
        <w:rPr>
          <w:rFonts w:ascii="Times New Roman" w:hAnsi="Times New Roman" w:cs="Times New Roman"/>
          <w:sz w:val="24"/>
          <w:szCs w:val="24"/>
        </w:rPr>
        <w:t>Purpose: Show cooperative infrastructure forming from shared knowledge.</w:t>
      </w:r>
    </w:p>
    <w:p w14:paraId="00000207" w14:textId="0F136350"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following week, folks gathered again—this time in Henrietta’s living room. The air felt different now. Less frustration. More focus. The idea had taken root, and people were ready to see what it might </w:t>
      </w:r>
      <w:r w:rsidR="00A42942" w:rsidRPr="006C1E51">
        <w:rPr>
          <w:rFonts w:ascii="Times New Roman" w:hAnsi="Times New Roman" w:cs="Times New Roman"/>
          <w:sz w:val="24"/>
          <w:szCs w:val="24"/>
        </w:rPr>
        <w:t>look</w:t>
      </w:r>
      <w:r w:rsidRPr="006C1E51">
        <w:rPr>
          <w:rFonts w:ascii="Times New Roman" w:hAnsi="Times New Roman" w:cs="Times New Roman"/>
          <w:sz w:val="24"/>
          <w:szCs w:val="24"/>
        </w:rPr>
        <w:t xml:space="preserve"> like.</w:t>
      </w:r>
    </w:p>
    <w:p w14:paraId="00000208"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Henrietta pulled out a small whiteboard she’d borrowed from her granddaughter and set it on a chair at the front of the room. She uncapped a marker, paused for a moment, then wrote in big, steady letters:</w:t>
      </w:r>
    </w:p>
    <w:p w14:paraId="00000209" w14:textId="77777777" w:rsidR="0006233B" w:rsidRPr="006C1E51" w:rsidRDefault="00C5531F" w:rsidP="00775270">
      <w:pPr>
        <w:pStyle w:val="Heading3"/>
      </w:pPr>
      <w:bookmarkStart w:id="224" w:name="_Toc220011141"/>
      <w:r w:rsidRPr="006C1E51">
        <w:t>THE BUTLERTOWN FUND</w:t>
      </w:r>
      <w:bookmarkEnd w:id="224"/>
    </w:p>
    <w:p w14:paraId="0000020A"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There was a low hum around the room. Seeing the name made it feel real.</w:t>
      </w:r>
    </w:p>
    <w:p w14:paraId="0000020B"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“So here’s what I’m thinking,” Henrietta said. “We not starting from scratch. We starting from memory.”</w:t>
      </w:r>
    </w:p>
    <w:p w14:paraId="0000020C"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Heads nodded. A couple of Amens slipped out.</w:t>
      </w:r>
    </w:p>
    <w:p w14:paraId="0000020D"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Jean spoke first. “We need something steady—dues or contributions folks can actually manage. Something small at first. Something sustainable.”</w:t>
      </w:r>
    </w:p>
    <w:p w14:paraId="0000020E"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Sadie added, “We’ll need transparency. People gon’ want to see where every dollar goes.”</w:t>
      </w:r>
    </w:p>
    <w:p w14:paraId="0000020F"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“Rotating officers,” Slick said. “It don’t need to be the same folks every year. Spread the responsibility.”</w:t>
      </w:r>
    </w:p>
    <w:p w14:paraId="00000210"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Someone suggested pulling equity—families who already had some land or assets that could contribute, even at small levels. Not giving it away, but leveraging it, the same way the Embarrassed Relief Association once did.</w:t>
      </w:r>
    </w:p>
    <w:p w14:paraId="00000211"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Then the practical questions came:</w:t>
      </w:r>
    </w:p>
    <w:p w14:paraId="00000212" w14:textId="77777777" w:rsidR="0006233B" w:rsidRPr="006C1E51" w:rsidRDefault="00C5531F" w:rsidP="00775270">
      <w:pPr>
        <w:spacing w:before="240" w:after="240" w:line="480" w:lineRule="auto"/>
        <w:ind w:left="720"/>
        <w:rPr>
          <w:rFonts w:ascii="Times New Roman" w:hAnsi="Times New Roman" w:cs="Times New Roman"/>
          <w:sz w:val="24"/>
          <w:szCs w:val="24"/>
        </w:rPr>
      </w:pPr>
      <w:r w:rsidRPr="006C1E51">
        <w:rPr>
          <w:rFonts w:ascii="Times New Roman" w:hAnsi="Times New Roman" w:cs="Times New Roman"/>
          <w:sz w:val="24"/>
          <w:szCs w:val="24"/>
        </w:rPr>
        <w:t>“Who’s writing this up?”</w:t>
      </w:r>
      <w:r w:rsidRPr="006C1E51">
        <w:rPr>
          <w:rFonts w:ascii="Times New Roman" w:hAnsi="Times New Roman" w:cs="Times New Roman"/>
          <w:sz w:val="24"/>
          <w:szCs w:val="24"/>
        </w:rPr>
        <w:br/>
        <w:t xml:space="preserve"> “We need bylaws.”</w:t>
      </w:r>
      <w:r w:rsidRPr="006C1E51">
        <w:rPr>
          <w:rFonts w:ascii="Times New Roman" w:hAnsi="Times New Roman" w:cs="Times New Roman"/>
          <w:sz w:val="24"/>
          <w:szCs w:val="24"/>
        </w:rPr>
        <w:br/>
        <w:t xml:space="preserve"> “We need a lawyer who understands shared equity.”</w:t>
      </w:r>
      <w:r w:rsidRPr="006C1E51">
        <w:rPr>
          <w:rFonts w:ascii="Times New Roman" w:hAnsi="Times New Roman" w:cs="Times New Roman"/>
          <w:sz w:val="24"/>
          <w:szCs w:val="24"/>
        </w:rPr>
        <w:br/>
        <w:t xml:space="preserve"> “I know someone who works with land trusts!”</w:t>
      </w:r>
      <w:r w:rsidRPr="006C1E51">
        <w:rPr>
          <w:rFonts w:ascii="Times New Roman" w:hAnsi="Times New Roman" w:cs="Times New Roman"/>
          <w:sz w:val="24"/>
          <w:szCs w:val="24"/>
        </w:rPr>
        <w:br/>
        <w:t xml:space="preserve"> “Maybe someone from out of state who isn’t caught up in local politics.”</w:t>
      </w:r>
    </w:p>
    <w:p w14:paraId="00000213"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Henrietta wrote each idea on the board. The words looked messy but promising.</w:t>
      </w:r>
    </w:p>
    <w:p w14:paraId="00000214"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She felt a swelling in her chest—they were building something to create the infrastructure for a future they could shape.</w:t>
      </w:r>
    </w:p>
    <w:p w14:paraId="00000215"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A revolving fund. A community chest.  A mechanism for keeping land in the hands of the people who built the place, with memory as the blueprint and heritage as the fuel for the community’s engine.</w:t>
      </w:r>
    </w:p>
    <w:p w14:paraId="1996B737" w14:textId="2CD85326" w:rsidR="00775270" w:rsidRPr="006C1E51" w:rsidRDefault="00C5531F" w:rsidP="00775270">
      <w:pPr>
        <w:pBdr>
          <w:bottom w:val="single" w:sz="6" w:space="1" w:color="auto"/>
        </w:pBd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Butlertown Fund wasn’t perfect yet, but it was possible. And in communities like theirs, possibility, hope, and faith </w:t>
      </w:r>
      <w:r w:rsidR="00DA4DD5" w:rsidRPr="006C1E51">
        <w:rPr>
          <w:rFonts w:ascii="Times New Roman" w:hAnsi="Times New Roman" w:cs="Times New Roman"/>
          <w:sz w:val="24"/>
          <w:szCs w:val="24"/>
        </w:rPr>
        <w:t>were</w:t>
      </w:r>
      <w:r w:rsidRPr="006C1E51">
        <w:rPr>
          <w:rFonts w:ascii="Times New Roman" w:hAnsi="Times New Roman" w:cs="Times New Roman"/>
          <w:sz w:val="24"/>
          <w:szCs w:val="24"/>
        </w:rPr>
        <w:t xml:space="preserve"> always strength.</w:t>
      </w:r>
    </w:p>
    <w:p w14:paraId="00000217" w14:textId="0C2B6D13" w:rsidR="0006233B" w:rsidRPr="006C1E51" w:rsidRDefault="00C5531F" w:rsidP="00775270">
      <w:pPr>
        <w:pStyle w:val="Heading3"/>
      </w:pPr>
      <w:bookmarkStart w:id="225" w:name="_khhi3upojb9e" w:colFirst="0" w:colLast="0"/>
      <w:bookmarkStart w:id="226" w:name="_Toc220011142"/>
      <w:bookmarkEnd w:id="225"/>
      <w:r w:rsidRPr="006C1E51">
        <w:t>Planning Prompts (</w:t>
      </w:r>
      <w:r w:rsidR="00775270" w:rsidRPr="006C1E51">
        <w:t xml:space="preserve">CHC </w:t>
      </w:r>
      <w:r w:rsidRPr="006C1E51">
        <w:t>Principle: Community Resource Building)</w:t>
      </w:r>
      <w:bookmarkEnd w:id="226"/>
    </w:p>
    <w:p w14:paraId="00000218" w14:textId="77777777" w:rsidR="0006233B" w:rsidRPr="006C1E51" w:rsidRDefault="00C5531F" w:rsidP="00775270">
      <w:p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Use these prompts to explore how your community can convert memory, skills, land, relationships, and shared purpose into cooperative infrastructure.</w:t>
      </w:r>
    </w:p>
    <w:p w14:paraId="00000219" w14:textId="77777777" w:rsidR="0006233B" w:rsidRPr="006C1E51" w:rsidRDefault="00C5531F" w:rsidP="00775270">
      <w:pPr>
        <w:numPr>
          <w:ilvl w:val="0"/>
          <w:numId w:val="7"/>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rPr>
        <w:t>What existing resources such as people, skills, land, meeting spaces, traditions, social networks can be organized into community assets and support a cooperative model?</w:t>
      </w:r>
    </w:p>
    <w:p w14:paraId="0000021A" w14:textId="77777777" w:rsidR="0006233B" w:rsidRPr="006C1E51" w:rsidRDefault="00C5531F" w:rsidP="00775270">
      <w:pPr>
        <w:numPr>
          <w:ilvl w:val="0"/>
          <w:numId w:val="7"/>
        </w:numPr>
        <w:spacing w:line="480" w:lineRule="auto"/>
        <w:rPr>
          <w:rFonts w:ascii="Times New Roman" w:hAnsi="Times New Roman" w:cs="Times New Roman"/>
          <w:sz w:val="24"/>
          <w:szCs w:val="24"/>
        </w:rPr>
      </w:pPr>
      <w:r w:rsidRPr="006C1E51">
        <w:rPr>
          <w:rFonts w:ascii="Times New Roman" w:hAnsi="Times New Roman" w:cs="Times New Roman"/>
          <w:sz w:val="24"/>
          <w:szCs w:val="24"/>
        </w:rPr>
        <w:t>What forms of transparency would build trust in your context (public ledgers, rotating officers, open meetings)?</w:t>
      </w:r>
    </w:p>
    <w:p w14:paraId="0000021B" w14:textId="77777777" w:rsidR="0006233B" w:rsidRPr="006C1E51" w:rsidRDefault="00C5531F" w:rsidP="00775270">
      <w:pPr>
        <w:numPr>
          <w:ilvl w:val="0"/>
          <w:numId w:val="7"/>
        </w:numPr>
        <w:spacing w:line="480" w:lineRule="auto"/>
        <w:rPr>
          <w:rFonts w:ascii="Times New Roman" w:hAnsi="Times New Roman" w:cs="Times New Roman"/>
          <w:sz w:val="24"/>
          <w:szCs w:val="24"/>
        </w:rPr>
      </w:pPr>
      <w:r w:rsidRPr="006C1E51">
        <w:rPr>
          <w:rFonts w:ascii="Times New Roman" w:hAnsi="Times New Roman" w:cs="Times New Roman"/>
          <w:sz w:val="24"/>
          <w:szCs w:val="24"/>
        </w:rPr>
        <w:t>Where in your history do you see lessons for building something new—clubs, mutual aid efforts, building associations, church practices?</w:t>
      </w:r>
    </w:p>
    <w:p w14:paraId="0000021C" w14:textId="77777777" w:rsidR="0006233B" w:rsidRPr="006C1E51" w:rsidRDefault="00C5531F" w:rsidP="00775270">
      <w:pPr>
        <w:numPr>
          <w:ilvl w:val="0"/>
          <w:numId w:val="7"/>
        </w:numPr>
        <w:spacing w:line="480" w:lineRule="auto"/>
        <w:rPr>
          <w:rFonts w:ascii="Times New Roman" w:hAnsi="Times New Roman" w:cs="Times New Roman"/>
          <w:sz w:val="24"/>
          <w:szCs w:val="24"/>
        </w:rPr>
      </w:pPr>
      <w:r w:rsidRPr="006C1E51">
        <w:rPr>
          <w:rFonts w:ascii="Times New Roman" w:hAnsi="Times New Roman" w:cs="Times New Roman"/>
          <w:sz w:val="24"/>
          <w:szCs w:val="24"/>
        </w:rPr>
        <w:t>Which external partners (lawyers, consultants, planners) could support your vision without overpowering community leadership?</w:t>
      </w:r>
    </w:p>
    <w:p w14:paraId="0000021D" w14:textId="77777777" w:rsidR="0006233B" w:rsidRPr="006C1E51" w:rsidRDefault="00C5531F" w:rsidP="00775270">
      <w:pPr>
        <w:numPr>
          <w:ilvl w:val="0"/>
          <w:numId w:val="7"/>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How can memory serve not as nostalgia but as a practical guide for structuring cooperative systems?</w:t>
      </w:r>
    </w:p>
    <w:p w14:paraId="2C432D67" w14:textId="77777777" w:rsidR="00B97F99" w:rsidRPr="006C1E51" w:rsidRDefault="00B97F99">
      <w:pPr>
        <w:rPr>
          <w:rFonts w:ascii="Times New Roman" w:hAnsi="Times New Roman" w:cs="Times New Roman"/>
          <w:b/>
          <w:bCs/>
          <w:sz w:val="24"/>
          <w:szCs w:val="24"/>
          <w:u w:val="single"/>
        </w:rPr>
      </w:pPr>
      <w:bookmarkStart w:id="227" w:name="_gnznd34n916" w:colFirst="0" w:colLast="0"/>
      <w:bookmarkEnd w:id="227"/>
      <w:r w:rsidRPr="006C1E51">
        <w:rPr>
          <w:rFonts w:ascii="Times New Roman" w:hAnsi="Times New Roman" w:cs="Times New Roman"/>
        </w:rPr>
        <w:br w:type="page"/>
      </w:r>
    </w:p>
    <w:p w14:paraId="0000021E" w14:textId="6054B225" w:rsidR="0006233B" w:rsidRPr="006C1E51" w:rsidRDefault="00C5531F" w:rsidP="00775270">
      <w:pPr>
        <w:pStyle w:val="Heading2"/>
        <w:spacing w:line="480" w:lineRule="auto"/>
        <w:rPr>
          <w:rFonts w:ascii="Times New Roman" w:hAnsi="Times New Roman" w:cs="Times New Roman"/>
        </w:rPr>
      </w:pPr>
      <w:bookmarkStart w:id="228" w:name="_Toc220011143"/>
      <w:r w:rsidRPr="006C1E51">
        <w:rPr>
          <w:rFonts w:ascii="Times New Roman" w:hAnsi="Times New Roman" w:cs="Times New Roman"/>
        </w:rPr>
        <w:lastRenderedPageBreak/>
        <w:t>ACT VI</w:t>
      </w:r>
      <w:r w:rsidR="006F6771" w:rsidRPr="006C1E51">
        <w:rPr>
          <w:rFonts w:ascii="Times New Roman" w:hAnsi="Times New Roman" w:cs="Times New Roman"/>
        </w:rPr>
        <w:t>.</w:t>
      </w:r>
      <w:r w:rsidRPr="006C1E51">
        <w:rPr>
          <w:rFonts w:ascii="Times New Roman" w:hAnsi="Times New Roman" w:cs="Times New Roman"/>
        </w:rPr>
        <w:t xml:space="preserve"> – First Test: Miss Lillian’s Heired Property</w:t>
      </w:r>
      <w:bookmarkEnd w:id="228"/>
    </w:p>
    <w:p w14:paraId="0000021F" w14:textId="77777777" w:rsidR="0006233B" w:rsidRPr="006C1E51" w:rsidRDefault="00C5531F" w:rsidP="00775270">
      <w:pPr>
        <w:pStyle w:val="Heading4"/>
        <w:spacing w:line="480" w:lineRule="auto"/>
        <w:rPr>
          <w:u w:val="none"/>
        </w:rPr>
      </w:pPr>
      <w:bookmarkStart w:id="229" w:name="_dsnrbkace37f" w:colFirst="0" w:colLast="0"/>
      <w:bookmarkEnd w:id="229"/>
      <w:r w:rsidRPr="006C1E51">
        <w:rPr>
          <w:u w:val="none"/>
        </w:rPr>
        <w:t>Principles: Community Resource Building + Equity &amp; Justice Orientation</w:t>
      </w:r>
    </w:p>
    <w:p w14:paraId="00000220" w14:textId="77777777" w:rsidR="0006233B" w:rsidRPr="006C1E51" w:rsidRDefault="00C5531F" w:rsidP="00775270">
      <w:pPr>
        <w:pBdr>
          <w:bottom w:val="single" w:sz="6" w:space="1" w:color="auto"/>
        </w:pBdr>
        <w:spacing w:line="480" w:lineRule="auto"/>
        <w:rPr>
          <w:rFonts w:ascii="Times New Roman" w:hAnsi="Times New Roman" w:cs="Times New Roman"/>
          <w:sz w:val="24"/>
          <w:szCs w:val="24"/>
        </w:rPr>
      </w:pPr>
      <w:r w:rsidRPr="006C1E51">
        <w:rPr>
          <w:rFonts w:ascii="Times New Roman" w:hAnsi="Times New Roman" w:cs="Times New Roman"/>
          <w:sz w:val="24"/>
          <w:szCs w:val="24"/>
        </w:rPr>
        <w:t>Purpose: Demonstrate tangible success and emotional payoff</w:t>
      </w:r>
    </w:p>
    <w:p w14:paraId="00000222" w14:textId="6BCD311B"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Miss Lillian’s situation came up almost immediately.</w:t>
      </w:r>
    </w:p>
    <w:p w14:paraId="5FDD8626" w14:textId="3764DBB2" w:rsidR="00A42942"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She’d been thinking about applying to Rebuilding Together after hearing from a woman in the grocery store that they had grants for roofing, flooring, and accessibility. Since her husband died, it had become </w:t>
      </w:r>
      <w:proofErr w:type="gramStart"/>
      <w:r w:rsidRPr="006C1E51">
        <w:rPr>
          <w:rFonts w:ascii="Times New Roman" w:hAnsi="Times New Roman" w:cs="Times New Roman"/>
          <w:sz w:val="24"/>
          <w:szCs w:val="24"/>
        </w:rPr>
        <w:t>harder and harder</w:t>
      </w:r>
      <w:proofErr w:type="gramEnd"/>
      <w:r w:rsidRPr="006C1E51">
        <w:rPr>
          <w:rFonts w:ascii="Times New Roman" w:hAnsi="Times New Roman" w:cs="Times New Roman"/>
          <w:sz w:val="24"/>
          <w:szCs w:val="24"/>
        </w:rPr>
        <w:t xml:space="preserve"> to keep up with the house. Most of her kids had moved away. The one still nearby was in and out of jail, unable to help reliably.</w:t>
      </w:r>
      <w:r w:rsidR="00A42942" w:rsidRPr="006C1E51">
        <w:rPr>
          <w:rFonts w:ascii="Times New Roman" w:hAnsi="Times New Roman" w:cs="Times New Roman"/>
          <w:sz w:val="24"/>
          <w:szCs w:val="24"/>
        </w:rPr>
        <w:t xml:space="preserve"> </w:t>
      </w:r>
      <w:r w:rsidR="00DA4DD5" w:rsidRPr="006C1E51">
        <w:rPr>
          <w:rFonts w:ascii="Times New Roman" w:hAnsi="Times New Roman" w:cs="Times New Roman"/>
          <w:sz w:val="24"/>
          <w:szCs w:val="24"/>
        </w:rPr>
        <w:t>So,</w:t>
      </w:r>
      <w:r w:rsidRPr="006C1E51">
        <w:rPr>
          <w:rFonts w:ascii="Times New Roman" w:hAnsi="Times New Roman" w:cs="Times New Roman"/>
          <w:sz w:val="24"/>
          <w:szCs w:val="24"/>
        </w:rPr>
        <w:t xml:space="preserve"> she went to apply.</w:t>
      </w:r>
    </w:p>
    <w:p w14:paraId="00000224" w14:textId="5A871658"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She showed up with paperwork she assumed was in good order. But Rebuilding Together asked for proof of clear title—and that’s when she learned the truth. Her house was heirs’ property. The deed still showed her late husband and his siblings, several of whom had died. Without clear title, they couldn’t do any work. The issue was so widespread that Rebuilding Together had recently partnered with Shore Legal Aid, which had received grant funding to help </w:t>
      </w:r>
      <w:r w:rsidR="00DA4DD5" w:rsidRPr="006C1E51">
        <w:rPr>
          <w:rFonts w:ascii="Times New Roman" w:hAnsi="Times New Roman" w:cs="Times New Roman"/>
          <w:sz w:val="24"/>
          <w:szCs w:val="24"/>
        </w:rPr>
        <w:t>families’</w:t>
      </w:r>
      <w:r w:rsidRPr="006C1E51">
        <w:rPr>
          <w:rFonts w:ascii="Times New Roman" w:hAnsi="Times New Roman" w:cs="Times New Roman"/>
          <w:sz w:val="24"/>
          <w:szCs w:val="24"/>
        </w:rPr>
        <w:t xml:space="preserve"> clear heirs’ property cases.</w:t>
      </w:r>
    </w:p>
    <w:p w14:paraId="00000225"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That was promising—but Miss Lillian didn’t have time to wait. Every heavy rain brought a new leak. Every email about her application felt like bad news—when her rural internet even allowed the emails to come through.</w:t>
      </w:r>
    </w:p>
    <w:p w14:paraId="00000226"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And historic preservation funding? That wasn’t even a thought. Not because the house lacked significance, but because no one had the language. The SHPO and county commission wouldn’t see architectural integrity. But what they didn’t know was that the house had been built </w:t>
      </w:r>
      <w:r w:rsidRPr="006C1E51">
        <w:rPr>
          <w:rFonts w:ascii="Times New Roman" w:hAnsi="Times New Roman" w:cs="Times New Roman"/>
          <w:sz w:val="24"/>
          <w:szCs w:val="24"/>
        </w:rPr>
        <w:lastRenderedPageBreak/>
        <w:t>by the Freeman brothers—men responsible for many of Butlertown’s vernacular brick homes and for masonry work in Chestertown.</w:t>
      </w:r>
    </w:p>
    <w:p w14:paraId="00000227"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Black builders were slowly gaining recognition in preservation circles—but not fast enough for Miss Lillian.</w:t>
      </w:r>
    </w:p>
    <w:p w14:paraId="00000228"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Butlertown Fund decided this would be their first test. Not charity—</w:t>
      </w:r>
      <w:r w:rsidRPr="006C1E51">
        <w:rPr>
          <w:rFonts w:ascii="Times New Roman" w:hAnsi="Times New Roman" w:cs="Times New Roman"/>
          <w:i/>
          <w:iCs/>
          <w:sz w:val="24"/>
          <w:szCs w:val="24"/>
        </w:rPr>
        <w:t>strategy</w:t>
      </w:r>
      <w:r w:rsidRPr="006C1E51">
        <w:rPr>
          <w:rFonts w:ascii="Times New Roman" w:hAnsi="Times New Roman" w:cs="Times New Roman"/>
          <w:sz w:val="24"/>
          <w:szCs w:val="24"/>
        </w:rPr>
        <w:t>.</w:t>
      </w:r>
    </w:p>
    <w:p w14:paraId="00000229"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They pooled funds for materials. Volunteers showed up with ladders and tool belts. Youth hammered shingles under the heat. Slick patched siding. Sadie recorded receipts. Henrietta sat with Miss Lillian on the porch, explaining every step and making sure no one cut corners.</w:t>
      </w:r>
    </w:p>
    <w:p w14:paraId="0000022A"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Halfway through the project, someone suggested a bigger idea: help Miss Lillian clear the heirs’ property </w:t>
      </w:r>
      <w:r w:rsidRPr="006C1E51">
        <w:rPr>
          <w:rFonts w:ascii="Times New Roman" w:hAnsi="Times New Roman" w:cs="Times New Roman"/>
          <w:i/>
          <w:iCs/>
          <w:sz w:val="24"/>
          <w:szCs w:val="24"/>
        </w:rPr>
        <w:t>and</w:t>
      </w:r>
      <w:r w:rsidRPr="006C1E51">
        <w:rPr>
          <w:rFonts w:ascii="Times New Roman" w:hAnsi="Times New Roman" w:cs="Times New Roman"/>
          <w:sz w:val="24"/>
          <w:szCs w:val="24"/>
        </w:rPr>
        <w:t xml:space="preserve"> transition the house to a younger community member who wanted to stay in Butlertown. The fund could provide down-payment assistance, to be repaid when the house sold—or forgiven entirely if the home stayed in family hands long-term.</w:t>
      </w:r>
    </w:p>
    <w:p w14:paraId="0000022B"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Miss Lillian hesitated at first, then softened.</w:t>
      </w:r>
    </w:p>
    <w:p w14:paraId="0000022C"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“If it means one of our own can stay here… and I can rest without worrying… then maybe that’s the blessing.”</w:t>
      </w:r>
    </w:p>
    <w:p w14:paraId="0000022D"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fund agreed: the improvements would stabilize the house, and the sale—structured with shared equity—would keep generational wealth intact. Not lost. Not sold off to outsiders.</w:t>
      </w:r>
    </w:p>
    <w:p w14:paraId="0000022E"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This became the Fund’s first major test—and its first major success. It wasn’t just repair. It was future-building.</w:t>
      </w:r>
    </w:p>
    <w:p w14:paraId="0000022F"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lastRenderedPageBreak/>
        <w:t>Meanwhile, a neighbor trained in preservation work began to document the community’s history and its continuity from enslavement to freedom to present. His work sparked an idea:</w:t>
      </w:r>
    </w:p>
    <w:p w14:paraId="00000230" w14:textId="77777777" w:rsidR="0006233B" w:rsidRPr="006C1E51" w:rsidRDefault="00C5531F" w:rsidP="00775270">
      <w:pPr>
        <w:spacing w:before="240" w:after="240" w:line="480" w:lineRule="auto"/>
        <w:ind w:right="600" w:firstLine="720"/>
        <w:rPr>
          <w:rFonts w:ascii="Times New Roman" w:hAnsi="Times New Roman" w:cs="Times New Roman"/>
          <w:sz w:val="24"/>
          <w:szCs w:val="24"/>
        </w:rPr>
      </w:pPr>
      <w:r w:rsidRPr="006C1E51">
        <w:rPr>
          <w:rFonts w:ascii="Times New Roman" w:hAnsi="Times New Roman" w:cs="Times New Roman"/>
          <w:sz w:val="24"/>
          <w:szCs w:val="24"/>
        </w:rPr>
        <w:t>What if Butlertown created its own community-sanctioned historic district?</w:t>
      </w:r>
    </w:p>
    <w:p w14:paraId="00000231"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Not the kind with rigid architectural restrictions and government designation. A covenant of community expectations.</w:t>
      </w:r>
    </w:p>
    <w:p w14:paraId="00000232" w14:textId="77777777"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He stopped to write down a few ideas to share at the next Butlertown Fund meeting:</w:t>
      </w:r>
    </w:p>
    <w:p w14:paraId="00000233" w14:textId="77777777" w:rsidR="0006233B" w:rsidRPr="006C1E51" w:rsidRDefault="00C5531F" w:rsidP="00775270">
      <w:pPr>
        <w:numPr>
          <w:ilvl w:val="0"/>
          <w:numId w:val="1"/>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rPr>
        <w:t>First right of refusal for legacy community members whenever a home is sold without a family member in line</w:t>
      </w:r>
    </w:p>
    <w:p w14:paraId="00000234" w14:textId="77777777" w:rsidR="0006233B" w:rsidRPr="006C1E51" w:rsidRDefault="00C5531F" w:rsidP="00775270">
      <w:pPr>
        <w:numPr>
          <w:ilvl w:val="0"/>
          <w:numId w:val="1"/>
        </w:numPr>
        <w:spacing w:line="480" w:lineRule="auto"/>
        <w:rPr>
          <w:rFonts w:ascii="Times New Roman" w:hAnsi="Times New Roman" w:cs="Times New Roman"/>
          <w:sz w:val="24"/>
          <w:szCs w:val="24"/>
        </w:rPr>
      </w:pPr>
      <w:r w:rsidRPr="006C1E51">
        <w:rPr>
          <w:rFonts w:ascii="Times New Roman" w:hAnsi="Times New Roman" w:cs="Times New Roman"/>
          <w:sz w:val="24"/>
          <w:szCs w:val="24"/>
        </w:rPr>
        <w:t>Neighbors collectively defining how people live here, what they value, and what they won’t compromise</w:t>
      </w:r>
    </w:p>
    <w:p w14:paraId="00000235" w14:textId="77777777" w:rsidR="0006233B" w:rsidRPr="006C1E51" w:rsidRDefault="00C5531F" w:rsidP="00775270">
      <w:pPr>
        <w:numPr>
          <w:ilvl w:val="0"/>
          <w:numId w:val="1"/>
        </w:numPr>
        <w:spacing w:line="480" w:lineRule="auto"/>
        <w:rPr>
          <w:rFonts w:ascii="Times New Roman" w:hAnsi="Times New Roman" w:cs="Times New Roman"/>
          <w:sz w:val="24"/>
          <w:szCs w:val="24"/>
        </w:rPr>
      </w:pPr>
      <w:r w:rsidRPr="006C1E51">
        <w:rPr>
          <w:rFonts w:ascii="Times New Roman" w:hAnsi="Times New Roman" w:cs="Times New Roman"/>
          <w:sz w:val="24"/>
          <w:szCs w:val="24"/>
        </w:rPr>
        <w:t>Simple, accessible “rules of respect” that align with how the place has always operated, something like an HOA</w:t>
      </w:r>
    </w:p>
    <w:p w14:paraId="00000236" w14:textId="77777777" w:rsidR="0006233B" w:rsidRPr="006C1E51" w:rsidRDefault="00C5531F" w:rsidP="00775270">
      <w:pPr>
        <w:numPr>
          <w:ilvl w:val="0"/>
          <w:numId w:val="1"/>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Recognition of builders, traditions, and everyday heritage that outsiders overlook with their own signage sited in the church grounds, yards, and other community spaces</w:t>
      </w:r>
    </w:p>
    <w:p w14:paraId="00000237" w14:textId="77777777"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In this process, the community began to talk about three dimensions—not as academic terms, but as common-sense truths about their priorities:</w:t>
      </w:r>
    </w:p>
    <w:p w14:paraId="55862873" w14:textId="77777777" w:rsidR="00A67976" w:rsidRPr="006C1E51" w:rsidRDefault="00C5531F" w:rsidP="00775270">
      <w:pPr>
        <w:numPr>
          <w:ilvl w:val="0"/>
          <w:numId w:val="5"/>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rPr>
        <w:t>The physical things that make the place what it is (homes, roads, fields, gathering spots)</w:t>
      </w:r>
    </w:p>
    <w:p w14:paraId="00000238" w14:textId="1D8013D9" w:rsidR="0006233B" w:rsidRPr="006C1E51" w:rsidRDefault="00C5531F" w:rsidP="00775270">
      <w:pPr>
        <w:numPr>
          <w:ilvl w:val="0"/>
          <w:numId w:val="5"/>
        </w:numPr>
        <w:spacing w:line="480" w:lineRule="auto"/>
        <w:rPr>
          <w:rFonts w:ascii="Times New Roman" w:hAnsi="Times New Roman" w:cs="Times New Roman"/>
          <w:sz w:val="24"/>
          <w:szCs w:val="24"/>
        </w:rPr>
      </w:pPr>
      <w:r w:rsidRPr="006C1E51">
        <w:rPr>
          <w:rFonts w:ascii="Times New Roman" w:hAnsi="Times New Roman" w:cs="Times New Roman"/>
          <w:sz w:val="24"/>
          <w:szCs w:val="24"/>
        </w:rPr>
        <w:t>The beliefs and behaviors that hold the community together (care, reciprocity, expectations)</w:t>
      </w:r>
    </w:p>
    <w:p w14:paraId="00000239" w14:textId="77777777" w:rsidR="0006233B" w:rsidRPr="006C1E51" w:rsidRDefault="00C5531F" w:rsidP="00775270">
      <w:pPr>
        <w:numPr>
          <w:ilvl w:val="0"/>
          <w:numId w:val="5"/>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The rules and governance they choose for themselves (decision-making, agreements, first rights)</w:t>
      </w:r>
    </w:p>
    <w:p w14:paraId="0000023A" w14:textId="77777777"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lastRenderedPageBreak/>
        <w:t>These became the bones of Butlertown’s own preservation logic. All named. All claimed. All protected through shared agreement.</w:t>
      </w:r>
    </w:p>
    <w:p w14:paraId="0000023B" w14:textId="77777777"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On the final day of the home sale, Miss Lillian watched the young couple stand on the porch—her old home place—holding the keys.</w:t>
      </w:r>
    </w:p>
    <w:p w14:paraId="0000023C" w14:textId="77777777" w:rsidR="0006233B" w:rsidRPr="006C1E51" w:rsidRDefault="00C5531F" w:rsidP="00775270">
      <w:pPr>
        <w:pBdr>
          <w:bottom w:val="single" w:sz="6" w:space="1" w:color="auto"/>
        </w:pBd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Henrietta sat on her own porch across the street and whispered: “We started with one house, but what we’re really saving is the neighborhood.”</w:t>
      </w:r>
    </w:p>
    <w:p w14:paraId="0000023D" w14:textId="54DB50AD" w:rsidR="0006233B" w:rsidRPr="006C1E51" w:rsidRDefault="00C5531F" w:rsidP="00775270">
      <w:pPr>
        <w:pStyle w:val="Heading3"/>
      </w:pPr>
      <w:bookmarkStart w:id="230" w:name="_honc1ma92yvp" w:colFirst="0" w:colLast="0"/>
      <w:bookmarkStart w:id="231" w:name="_Toc220011144"/>
      <w:bookmarkEnd w:id="230"/>
      <w:r w:rsidRPr="006C1E51">
        <w:t>Planning Prompts (</w:t>
      </w:r>
      <w:r w:rsidR="00775270" w:rsidRPr="006C1E51">
        <w:t xml:space="preserve">CHC </w:t>
      </w:r>
      <w:r w:rsidRPr="006C1E51">
        <w:t>Principles: Resource Building</w:t>
      </w:r>
      <w:r w:rsidR="00775270" w:rsidRPr="006C1E51">
        <w:t>,</w:t>
      </w:r>
      <w:r w:rsidRPr="006C1E51">
        <w:t xml:space="preserve"> Equity &amp; Justice)</w:t>
      </w:r>
      <w:bookmarkEnd w:id="231"/>
    </w:p>
    <w:p w14:paraId="0000023E" w14:textId="77777777" w:rsidR="0006233B" w:rsidRPr="006C1E51" w:rsidRDefault="00C5531F" w:rsidP="00775270">
      <w:p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Use these prompts to assess how community-controlled resources can intervene in housing vulnerability, and ultimately, influence the sustainability of places that matter.</w:t>
      </w:r>
    </w:p>
    <w:p w14:paraId="0000023F" w14:textId="77777777" w:rsidR="0006233B" w:rsidRPr="006C1E51" w:rsidRDefault="00C5531F" w:rsidP="00775270">
      <w:pPr>
        <w:numPr>
          <w:ilvl w:val="0"/>
          <w:numId w:val="11"/>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rPr>
        <w:t>How can physical repair become a step toward cultural repair—restoring dignity, belonging, continuity?</w:t>
      </w:r>
    </w:p>
    <w:p w14:paraId="00000240" w14:textId="205A0DC1" w:rsidR="0006233B" w:rsidRPr="006C1E51" w:rsidRDefault="00C5531F" w:rsidP="00775270">
      <w:pPr>
        <w:numPr>
          <w:ilvl w:val="0"/>
          <w:numId w:val="11"/>
        </w:numPr>
        <w:spacing w:line="480" w:lineRule="auto"/>
        <w:rPr>
          <w:rFonts w:ascii="Times New Roman" w:hAnsi="Times New Roman" w:cs="Times New Roman"/>
          <w:sz w:val="24"/>
          <w:szCs w:val="24"/>
        </w:rPr>
      </w:pPr>
      <w:r w:rsidRPr="006C1E51">
        <w:rPr>
          <w:rFonts w:ascii="Times New Roman" w:hAnsi="Times New Roman" w:cs="Times New Roman"/>
          <w:sz w:val="24"/>
          <w:szCs w:val="24"/>
        </w:rPr>
        <w:t>How do neighbors respond when outside systems cannot or will not help?</w:t>
      </w:r>
    </w:p>
    <w:p w14:paraId="00000241" w14:textId="77777777" w:rsidR="0006233B" w:rsidRPr="006C1E51" w:rsidRDefault="00C5531F" w:rsidP="00775270">
      <w:pPr>
        <w:numPr>
          <w:ilvl w:val="0"/>
          <w:numId w:val="11"/>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Which local skills (construction, legal know-how, record-keeping) can strengthen resource building?</w:t>
      </w:r>
    </w:p>
    <w:p w14:paraId="120DFC74" w14:textId="77777777" w:rsidR="00B97F99" w:rsidRPr="006C1E51" w:rsidRDefault="00B97F99">
      <w:pPr>
        <w:rPr>
          <w:rFonts w:ascii="Times New Roman" w:hAnsi="Times New Roman" w:cs="Times New Roman"/>
          <w:b/>
          <w:bCs/>
          <w:sz w:val="24"/>
          <w:szCs w:val="24"/>
          <w:u w:val="single"/>
        </w:rPr>
      </w:pPr>
      <w:bookmarkStart w:id="232" w:name="_cxf1wz73lhys" w:colFirst="0" w:colLast="0"/>
      <w:bookmarkEnd w:id="232"/>
      <w:r w:rsidRPr="006C1E51">
        <w:rPr>
          <w:rFonts w:ascii="Times New Roman" w:hAnsi="Times New Roman" w:cs="Times New Roman"/>
        </w:rPr>
        <w:br w:type="page"/>
      </w:r>
    </w:p>
    <w:p w14:paraId="00000242" w14:textId="28319AD7" w:rsidR="0006233B" w:rsidRPr="006C1E51" w:rsidRDefault="00C5531F" w:rsidP="00775270">
      <w:pPr>
        <w:pStyle w:val="Heading2"/>
        <w:spacing w:line="480" w:lineRule="auto"/>
        <w:rPr>
          <w:rFonts w:ascii="Times New Roman" w:hAnsi="Times New Roman" w:cs="Times New Roman"/>
        </w:rPr>
      </w:pPr>
      <w:bookmarkStart w:id="233" w:name="_Toc220011145"/>
      <w:r w:rsidRPr="006C1E51">
        <w:rPr>
          <w:rFonts w:ascii="Times New Roman" w:hAnsi="Times New Roman" w:cs="Times New Roman"/>
        </w:rPr>
        <w:lastRenderedPageBreak/>
        <w:t>Act VII. Now We’re Speaking The Same Language</w:t>
      </w:r>
      <w:bookmarkEnd w:id="233"/>
    </w:p>
    <w:p w14:paraId="00000243" w14:textId="77777777" w:rsidR="0006233B" w:rsidRPr="006C1E51" w:rsidRDefault="00C5531F" w:rsidP="00775270">
      <w:pPr>
        <w:pStyle w:val="Heading4"/>
        <w:spacing w:line="480" w:lineRule="auto"/>
        <w:rPr>
          <w:u w:val="none"/>
        </w:rPr>
      </w:pPr>
      <w:bookmarkStart w:id="234" w:name="_kck1zgijq0be" w:colFirst="0" w:colLast="0"/>
      <w:bookmarkEnd w:id="234"/>
      <w:r w:rsidRPr="006C1E51">
        <w:rPr>
          <w:u w:val="none"/>
        </w:rPr>
        <w:t>Principle: Shared Language and Trust</w:t>
      </w:r>
    </w:p>
    <w:p w14:paraId="00000244" w14:textId="13E26ED8" w:rsidR="0006233B" w:rsidRPr="006C1E51" w:rsidRDefault="00C5531F" w:rsidP="00775270">
      <w:pPr>
        <w:pBdr>
          <w:bottom w:val="single" w:sz="6" w:space="1" w:color="auto"/>
        </w:pBdr>
        <w:spacing w:line="480" w:lineRule="auto"/>
        <w:rPr>
          <w:rFonts w:ascii="Times New Roman" w:hAnsi="Times New Roman" w:cs="Times New Roman"/>
          <w:sz w:val="24"/>
          <w:szCs w:val="24"/>
        </w:rPr>
      </w:pPr>
      <w:r w:rsidRPr="006C1E51">
        <w:rPr>
          <w:rFonts w:ascii="Times New Roman" w:hAnsi="Times New Roman" w:cs="Times New Roman"/>
          <w:sz w:val="24"/>
          <w:szCs w:val="24"/>
        </w:rPr>
        <w:t xml:space="preserve">Purpose: Demonstrate </w:t>
      </w:r>
      <w:r w:rsidR="00775270" w:rsidRPr="006C1E51">
        <w:rPr>
          <w:rFonts w:ascii="Times New Roman" w:hAnsi="Times New Roman" w:cs="Times New Roman"/>
          <w:sz w:val="24"/>
          <w:szCs w:val="24"/>
        </w:rPr>
        <w:t>how shared language can establish trust and advance collaboration.</w:t>
      </w:r>
    </w:p>
    <w:p w14:paraId="00000245"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Something subtle—but powerful—began to shift after the work on Miss Lillian’s house.</w:t>
      </w:r>
    </w:p>
    <w:p w14:paraId="00000246"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People were talking differently.</w:t>
      </w:r>
    </w:p>
    <w:p w14:paraId="00000247"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Not in fancy preservation terms, but in ways that gave shape and intention to what they had always understood. The community-sanctioned district guidelines—their own collective agreement—became a living document. People started using shared phrases when talking about their place.</w:t>
      </w:r>
    </w:p>
    <w:p w14:paraId="00000248"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Without using academic language, they were naming the governance structures, beliefs and behaviors, and physical things that made up their community. They were creating a shared vocabulary—one rooted in their lived experience, not imposed from outside.</w:t>
      </w:r>
    </w:p>
    <w:p w14:paraId="00000249"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It all crystallized for Henrietta one Sunday after church. She had been gathering her things—planning to go home and start her meal of greens, pork chops, and potatoes, with her grandmother’s pound cake recipe for dessert—when the pastor stopped her.</w:t>
      </w:r>
    </w:p>
    <w:p w14:paraId="0000024A"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 had only been assigned to their charge a few years earlier and wasn’t from the area. But he had heard enough to sense something was happening.</w:t>
      </w:r>
    </w:p>
    <w:p w14:paraId="0000024B"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“Sister Henrietta,” he began, “I’ve been hearing about this fund. And I want to understand it better. The young folks—they don’t come to church like they used to. Some don’t </w:t>
      </w:r>
      <w:r w:rsidRPr="006C1E51">
        <w:rPr>
          <w:rFonts w:ascii="Times New Roman" w:hAnsi="Times New Roman" w:cs="Times New Roman"/>
          <w:sz w:val="24"/>
          <w:szCs w:val="24"/>
        </w:rPr>
        <w:lastRenderedPageBreak/>
        <w:t>come back home at all. But this—this thing y’all building—it feels like something that might bring them back.”</w:t>
      </w:r>
    </w:p>
    <w:p w14:paraId="0000024C" w14:textId="0817B36D"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 paused. “And I’m wondering how the church can help… and maybe how the fund might help the church too.”</w:t>
      </w:r>
    </w:p>
    <w:p w14:paraId="0000024D" w14:textId="5F339A4B"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Henrietta smiled.</w:t>
      </w:r>
      <w:r w:rsidR="00A42942" w:rsidRPr="006C1E51">
        <w:rPr>
          <w:rFonts w:ascii="Times New Roman" w:hAnsi="Times New Roman" w:cs="Times New Roman"/>
          <w:sz w:val="24"/>
          <w:szCs w:val="24"/>
        </w:rPr>
        <w:t xml:space="preserve"> </w:t>
      </w:r>
      <w:r w:rsidRPr="006C1E51">
        <w:rPr>
          <w:rFonts w:ascii="Times New Roman" w:hAnsi="Times New Roman" w:cs="Times New Roman"/>
          <w:sz w:val="24"/>
          <w:szCs w:val="24"/>
        </w:rPr>
        <w:t>It wasn’t about money. It was about connection—continuity.</w:t>
      </w:r>
    </w:p>
    <w:p w14:paraId="0000024E"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If the Butlertown Fund could help residents stabilize homes, maybe it could also help stabilize the institutions that grounded the place spiritually and socially. The fund had sparked something bigger than equity structures and repair projects. It had sparked a renewed sense of shared language, shared purpose, and shared future.</w:t>
      </w:r>
    </w:p>
    <w:p w14:paraId="0000024F" w14:textId="77777777" w:rsidR="0006233B" w:rsidRPr="006C1E51" w:rsidRDefault="00C5531F" w:rsidP="00775270">
      <w:pPr>
        <w:pBdr>
          <w:bottom w:val="single" w:sz="6" w:space="1" w:color="auto"/>
        </w:pBd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People were beginning to speak in “we” again.</w:t>
      </w:r>
    </w:p>
    <w:p w14:paraId="00000250" w14:textId="09D0775D" w:rsidR="0006233B" w:rsidRPr="006C1E51" w:rsidRDefault="00C5531F" w:rsidP="00775270">
      <w:pPr>
        <w:pStyle w:val="Heading3"/>
      </w:pPr>
      <w:bookmarkStart w:id="235" w:name="_tbat2na77z4m" w:colFirst="0" w:colLast="0"/>
      <w:bookmarkStart w:id="236" w:name="_Toc220011146"/>
      <w:bookmarkEnd w:id="235"/>
      <w:r w:rsidRPr="006C1E51">
        <w:t>Planning Prompts (</w:t>
      </w:r>
      <w:r w:rsidR="00F0441C" w:rsidRPr="006C1E51">
        <w:t xml:space="preserve">CHC </w:t>
      </w:r>
      <w:r w:rsidRPr="006C1E51">
        <w:t>Principle: Shared Language &amp; Trust)</w:t>
      </w:r>
      <w:bookmarkEnd w:id="236"/>
    </w:p>
    <w:p w14:paraId="00000251" w14:textId="77777777" w:rsidR="0006233B" w:rsidRPr="006C1E51" w:rsidRDefault="00C5531F" w:rsidP="00775270">
      <w:p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Use these prompts to consider how shared meaning and vocabulary strengthen cooperative work.</w:t>
      </w:r>
    </w:p>
    <w:p w14:paraId="00000252" w14:textId="31D9F822" w:rsidR="0006233B" w:rsidRPr="006C1E51" w:rsidRDefault="00C5531F" w:rsidP="00775270">
      <w:pPr>
        <w:numPr>
          <w:ilvl w:val="0"/>
          <w:numId w:val="6"/>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rPr>
        <w:t>What local phrases, sayings, or stories shape how people understand their community?</w:t>
      </w:r>
    </w:p>
    <w:p w14:paraId="00000253" w14:textId="1210F404" w:rsidR="0006233B" w:rsidRPr="006C1E51" w:rsidRDefault="00C5531F" w:rsidP="00775270">
      <w:pPr>
        <w:numPr>
          <w:ilvl w:val="0"/>
          <w:numId w:val="6"/>
        </w:numPr>
        <w:spacing w:line="480" w:lineRule="auto"/>
        <w:rPr>
          <w:rFonts w:ascii="Times New Roman" w:hAnsi="Times New Roman" w:cs="Times New Roman"/>
          <w:sz w:val="24"/>
          <w:szCs w:val="24"/>
        </w:rPr>
      </w:pPr>
      <w:r w:rsidRPr="006C1E51">
        <w:rPr>
          <w:rFonts w:ascii="Times New Roman" w:hAnsi="Times New Roman" w:cs="Times New Roman"/>
          <w:sz w:val="24"/>
          <w:szCs w:val="24"/>
        </w:rPr>
        <w:t>What shared expectations or unwritten rules already function as governance?</w:t>
      </w:r>
    </w:p>
    <w:p w14:paraId="00000254" w14:textId="2F6DF1C1" w:rsidR="0006233B" w:rsidRPr="006C1E51" w:rsidRDefault="00C5531F" w:rsidP="00775270">
      <w:pPr>
        <w:numPr>
          <w:ilvl w:val="0"/>
          <w:numId w:val="6"/>
        </w:numPr>
        <w:spacing w:line="480" w:lineRule="auto"/>
        <w:rPr>
          <w:rFonts w:ascii="Times New Roman" w:hAnsi="Times New Roman" w:cs="Times New Roman"/>
          <w:sz w:val="24"/>
          <w:szCs w:val="24"/>
        </w:rPr>
      </w:pPr>
      <w:r w:rsidRPr="006C1E51">
        <w:rPr>
          <w:rFonts w:ascii="Times New Roman" w:hAnsi="Times New Roman" w:cs="Times New Roman"/>
          <w:sz w:val="24"/>
          <w:szCs w:val="24"/>
        </w:rPr>
        <w:t>How can language become a tool for building trust, clarity, and continuity?</w:t>
      </w:r>
    </w:p>
    <w:p w14:paraId="00000255" w14:textId="77777777" w:rsidR="0006233B" w:rsidRPr="006C1E51" w:rsidRDefault="00C5531F" w:rsidP="00775270">
      <w:pPr>
        <w:numPr>
          <w:ilvl w:val="0"/>
          <w:numId w:val="6"/>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Who needs to be involved to ensure the shared language lasts beyond current leaders?</w:t>
      </w:r>
    </w:p>
    <w:p w14:paraId="73CBF2D0" w14:textId="77777777" w:rsidR="00B97F99" w:rsidRPr="006C1E51" w:rsidRDefault="00B97F99">
      <w:pPr>
        <w:rPr>
          <w:rFonts w:ascii="Times New Roman" w:hAnsi="Times New Roman" w:cs="Times New Roman"/>
          <w:b/>
          <w:bCs/>
          <w:sz w:val="24"/>
          <w:szCs w:val="24"/>
          <w:u w:val="single"/>
        </w:rPr>
      </w:pPr>
      <w:bookmarkStart w:id="237" w:name="_4bhvgjgmum2" w:colFirst="0" w:colLast="0"/>
      <w:bookmarkEnd w:id="237"/>
      <w:r w:rsidRPr="006C1E51">
        <w:rPr>
          <w:rFonts w:ascii="Times New Roman" w:hAnsi="Times New Roman" w:cs="Times New Roman"/>
        </w:rPr>
        <w:br w:type="page"/>
      </w:r>
    </w:p>
    <w:p w14:paraId="00000256" w14:textId="3D9AB985" w:rsidR="0006233B" w:rsidRPr="006C1E51" w:rsidRDefault="00C5531F" w:rsidP="00775270">
      <w:pPr>
        <w:pStyle w:val="Heading2"/>
        <w:spacing w:line="480" w:lineRule="auto"/>
        <w:rPr>
          <w:rFonts w:ascii="Times New Roman" w:hAnsi="Times New Roman" w:cs="Times New Roman"/>
        </w:rPr>
      </w:pPr>
      <w:bookmarkStart w:id="238" w:name="_Toc220011147"/>
      <w:r w:rsidRPr="006C1E51">
        <w:rPr>
          <w:rFonts w:ascii="Times New Roman" w:hAnsi="Times New Roman" w:cs="Times New Roman"/>
        </w:rPr>
        <w:lastRenderedPageBreak/>
        <w:t>ACT VIII. Looking Ahead</w:t>
      </w:r>
      <w:bookmarkEnd w:id="238"/>
    </w:p>
    <w:p w14:paraId="0000025B" w14:textId="0DBCCA52" w:rsidR="0006233B" w:rsidRPr="006C1E51" w:rsidRDefault="00C5531F" w:rsidP="00B97F99">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Word about the Butlertown Fund spread quickly.</w:t>
      </w:r>
      <w:r w:rsidR="00B97F99" w:rsidRPr="006C1E51">
        <w:rPr>
          <w:rFonts w:ascii="Times New Roman" w:hAnsi="Times New Roman" w:cs="Times New Roman"/>
          <w:sz w:val="24"/>
          <w:szCs w:val="24"/>
        </w:rPr>
        <w:t xml:space="preserve"> </w:t>
      </w:r>
      <w:r w:rsidRPr="006C1E51">
        <w:rPr>
          <w:rFonts w:ascii="Times New Roman" w:hAnsi="Times New Roman" w:cs="Times New Roman"/>
          <w:sz w:val="24"/>
          <w:szCs w:val="24"/>
        </w:rPr>
        <w:t>A cousin over in Coleman called Henrietta asking if he could see the bylaws.</w:t>
      </w:r>
      <w:r w:rsidR="00B97F99" w:rsidRPr="006C1E51">
        <w:rPr>
          <w:rFonts w:ascii="Times New Roman" w:hAnsi="Times New Roman" w:cs="Times New Roman"/>
          <w:sz w:val="24"/>
          <w:szCs w:val="24"/>
        </w:rPr>
        <w:t xml:space="preserve"> </w:t>
      </w:r>
      <w:r w:rsidRPr="006C1E51">
        <w:rPr>
          <w:rFonts w:ascii="Times New Roman" w:hAnsi="Times New Roman" w:cs="Times New Roman"/>
          <w:sz w:val="24"/>
          <w:szCs w:val="24"/>
        </w:rPr>
        <w:t>Someone from Worton showed up at Mt. Olive wanting to learn how they set up their dues and ledger.</w:t>
      </w:r>
      <w:r w:rsidR="00B97F99" w:rsidRPr="006C1E51">
        <w:rPr>
          <w:rFonts w:ascii="Times New Roman" w:hAnsi="Times New Roman" w:cs="Times New Roman"/>
          <w:sz w:val="24"/>
          <w:szCs w:val="24"/>
        </w:rPr>
        <w:t xml:space="preserve"> </w:t>
      </w:r>
      <w:r w:rsidRPr="006C1E51">
        <w:rPr>
          <w:rFonts w:ascii="Times New Roman" w:hAnsi="Times New Roman" w:cs="Times New Roman"/>
          <w:sz w:val="24"/>
          <w:szCs w:val="24"/>
        </w:rPr>
        <w:t>A woman from Big Woods sent a message asking if the model could help address heirs’ property issues there too.</w:t>
      </w:r>
      <w:r w:rsidR="00B97F99" w:rsidRPr="006C1E51">
        <w:rPr>
          <w:rFonts w:ascii="Times New Roman" w:hAnsi="Times New Roman" w:cs="Times New Roman"/>
          <w:sz w:val="24"/>
          <w:szCs w:val="24"/>
        </w:rPr>
        <w:t xml:space="preserve"> </w:t>
      </w:r>
      <w:r w:rsidRPr="006C1E51">
        <w:rPr>
          <w:rFonts w:ascii="Times New Roman" w:hAnsi="Times New Roman" w:cs="Times New Roman"/>
          <w:sz w:val="24"/>
          <w:szCs w:val="24"/>
        </w:rPr>
        <w:t>It was working. Not in a dramatic, headline-making way—but in a slow, steady ripple.</w:t>
      </w:r>
    </w:p>
    <w:p w14:paraId="0000025C"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On a quiet evening, a few years later, Henrietta sat with a newspaper open on her porch. The water tower glowed against the dusk sky. Kids were riding bikes, their laughter echoing down the road. The scent of someone’s grill drifted in.</w:t>
      </w:r>
    </w:p>
    <w:p w14:paraId="0000025E" w14:textId="11C7C45F" w:rsidR="0006233B" w:rsidRPr="006C1E51" w:rsidRDefault="00C5531F" w:rsidP="00B97F99">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She smiled as she looked at the front page with Ms. Lillian and the couple that purchased her home. The couple had two new additions to their family. The article spoke about how reinvestment in their community through the Butlertown Fund, gave them the confidence and trust to start a family, where they grew up.</w:t>
      </w:r>
      <w:r w:rsidR="00B97F99" w:rsidRPr="006C1E51">
        <w:rPr>
          <w:rFonts w:ascii="Times New Roman" w:hAnsi="Times New Roman" w:cs="Times New Roman"/>
          <w:sz w:val="24"/>
          <w:szCs w:val="24"/>
        </w:rPr>
        <w:t xml:space="preserve"> </w:t>
      </w:r>
      <w:r w:rsidRPr="006C1E51">
        <w:rPr>
          <w:rFonts w:ascii="Times New Roman" w:hAnsi="Times New Roman" w:cs="Times New Roman"/>
          <w:sz w:val="24"/>
          <w:szCs w:val="24"/>
        </w:rPr>
        <w:t>Trust in each other. Trust in memory. Trust in the idea that they could shape their own future, just as their ancestors had shaped the land before them.</w:t>
      </w:r>
    </w:p>
    <w:p w14:paraId="00000260" w14:textId="0BE9E4CA" w:rsidR="0006233B" w:rsidRPr="006C1E51" w:rsidRDefault="00C5531F" w:rsidP="00B97F99">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The CHC principles are lived. Lived in the stories. Lived in the repairs. Lived in the shared meals, the meetings, the agreements, the arguments, the reconciliations, and the steady belief that community is something you build, not something you inherit untouched.</w:t>
      </w:r>
      <w:r w:rsidR="00B97F99" w:rsidRPr="006C1E51">
        <w:rPr>
          <w:rFonts w:ascii="Times New Roman" w:hAnsi="Times New Roman" w:cs="Times New Roman"/>
          <w:sz w:val="24"/>
          <w:szCs w:val="24"/>
        </w:rPr>
        <w:t xml:space="preserve"> </w:t>
      </w:r>
      <w:r w:rsidRPr="006C1E51">
        <w:rPr>
          <w:rFonts w:ascii="Times New Roman" w:hAnsi="Times New Roman" w:cs="Times New Roman"/>
          <w:sz w:val="24"/>
          <w:szCs w:val="24"/>
        </w:rPr>
        <w:t>Butlertown wasn’t saved</w:t>
      </w:r>
      <w:r w:rsidR="00A42942" w:rsidRPr="006C1E51">
        <w:rPr>
          <w:rFonts w:ascii="Times New Roman" w:hAnsi="Times New Roman" w:cs="Times New Roman"/>
          <w:sz w:val="24"/>
          <w:szCs w:val="24"/>
        </w:rPr>
        <w:t>, but it</w:t>
      </w:r>
      <w:r w:rsidRPr="006C1E51">
        <w:rPr>
          <w:rFonts w:ascii="Times New Roman" w:hAnsi="Times New Roman" w:cs="Times New Roman"/>
          <w:sz w:val="24"/>
          <w:szCs w:val="24"/>
        </w:rPr>
        <w:t xml:space="preserve"> was steering itself again. And that was enough for a beginning.</w:t>
      </w:r>
    </w:p>
    <w:p w14:paraId="00000261" w14:textId="12BA07D3" w:rsidR="0006233B" w:rsidRPr="006C1E51" w:rsidRDefault="009E7825" w:rsidP="00B97F99">
      <w:pPr>
        <w:pStyle w:val="Heading1"/>
      </w:pPr>
      <w:bookmarkStart w:id="239" w:name="_4sk82d2vgxm" w:colFirst="0" w:colLast="0"/>
      <w:bookmarkStart w:id="240" w:name="_Toc220011148"/>
      <w:bookmarkEnd w:id="239"/>
      <w:r w:rsidRPr="006C1E51">
        <w:lastRenderedPageBreak/>
        <w:t>Conclusion</w:t>
      </w:r>
      <w:bookmarkEnd w:id="240"/>
    </w:p>
    <w:p w14:paraId="00000262" w14:textId="5F4AD9CD" w:rsidR="0006233B" w:rsidRPr="006C1E51" w:rsidRDefault="00C5531F" w:rsidP="00775270">
      <w:pPr>
        <w:spacing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 xml:space="preserve">The CHC framework began as a question rooted in personal experience, family memory, and the realities of rural Black life on Maryland’s Eastern Shore. Over the course of this </w:t>
      </w:r>
      <w:r w:rsidR="00A67976" w:rsidRPr="006C1E51">
        <w:rPr>
          <w:rFonts w:ascii="Times New Roman" w:hAnsi="Times New Roman" w:cs="Times New Roman"/>
          <w:sz w:val="24"/>
          <w:szCs w:val="24"/>
        </w:rPr>
        <w:t>study</w:t>
      </w:r>
      <w:r w:rsidRPr="006C1E51">
        <w:rPr>
          <w:rFonts w:ascii="Times New Roman" w:hAnsi="Times New Roman" w:cs="Times New Roman"/>
          <w:sz w:val="24"/>
          <w:szCs w:val="24"/>
        </w:rPr>
        <w:t>, that question evolved into a structured approach for understanding how communities can sustain themselves through cooperative principles grounded in heritage, belonging, and place.</w:t>
      </w:r>
    </w:p>
    <w:p w14:paraId="00000263" w14:textId="77777777" w:rsidR="0006233B" w:rsidRPr="006C1E51" w:rsidRDefault="00C5531F" w:rsidP="00775270">
      <w:pPr>
        <w:spacing w:before="240" w:after="240" w:line="480" w:lineRule="auto"/>
        <w:ind w:firstLine="720"/>
        <w:rPr>
          <w:rFonts w:ascii="Times New Roman" w:hAnsi="Times New Roman" w:cs="Times New Roman"/>
          <w:sz w:val="24"/>
          <w:szCs w:val="24"/>
        </w:rPr>
      </w:pPr>
      <w:r w:rsidRPr="006C1E51">
        <w:rPr>
          <w:rFonts w:ascii="Times New Roman" w:hAnsi="Times New Roman" w:cs="Times New Roman"/>
          <w:sz w:val="24"/>
          <w:szCs w:val="24"/>
        </w:rPr>
        <w:t>This final chapter brought the CHC model into motion. Through a scenario set in Butlertown—a community that reflects the dynamics of many rural Black settlements—the narrative demonstrated how cooperative heritage work can address the intertwined challenges of land loss, homeownership, shifting demographics, cultural erasure, and uneven access to preservation tools. Using characters and conditions drawn from lived experience and archival evidence, the chapter illustrated not an idealized vision, but a realistic one: communities navigating decline and transformation while still holding deep reservoirs of knowledge, capacity, and memory.</w:t>
      </w:r>
    </w:p>
    <w:p w14:paraId="00000264" w14:textId="77777777"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Across the scenario, each CHC principle became visible not as theory but as practice:</w:t>
      </w:r>
    </w:p>
    <w:p w14:paraId="00000265" w14:textId="77777777" w:rsidR="0006233B" w:rsidRPr="006C1E51" w:rsidRDefault="00C5531F" w:rsidP="00775270">
      <w:pPr>
        <w:numPr>
          <w:ilvl w:val="0"/>
          <w:numId w:val="10"/>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rPr>
        <w:t>Shared experience provided the cultural grounding for trust.</w:t>
      </w:r>
    </w:p>
    <w:p w14:paraId="00000266" w14:textId="77777777" w:rsidR="0006233B" w:rsidRPr="006C1E51" w:rsidRDefault="00C5531F" w:rsidP="00775270">
      <w:pPr>
        <w:numPr>
          <w:ilvl w:val="0"/>
          <w:numId w:val="10"/>
        </w:numPr>
        <w:spacing w:line="480" w:lineRule="auto"/>
        <w:rPr>
          <w:rFonts w:ascii="Times New Roman" w:hAnsi="Times New Roman" w:cs="Times New Roman"/>
          <w:sz w:val="24"/>
          <w:szCs w:val="24"/>
        </w:rPr>
      </w:pPr>
      <w:r w:rsidRPr="006C1E51">
        <w:rPr>
          <w:rFonts w:ascii="Times New Roman" w:hAnsi="Times New Roman" w:cs="Times New Roman"/>
          <w:sz w:val="24"/>
          <w:szCs w:val="24"/>
        </w:rPr>
        <w:t>Collective ownership resurfaced through personal and archival memory.</w:t>
      </w:r>
    </w:p>
    <w:p w14:paraId="00000267" w14:textId="77777777" w:rsidR="0006233B" w:rsidRPr="006C1E51" w:rsidRDefault="00C5531F" w:rsidP="00775270">
      <w:pPr>
        <w:numPr>
          <w:ilvl w:val="0"/>
          <w:numId w:val="10"/>
        </w:numPr>
        <w:spacing w:line="480" w:lineRule="auto"/>
        <w:rPr>
          <w:rFonts w:ascii="Times New Roman" w:hAnsi="Times New Roman" w:cs="Times New Roman"/>
          <w:sz w:val="24"/>
          <w:szCs w:val="24"/>
        </w:rPr>
      </w:pPr>
      <w:r w:rsidRPr="006C1E51">
        <w:rPr>
          <w:rFonts w:ascii="Times New Roman" w:hAnsi="Times New Roman" w:cs="Times New Roman"/>
          <w:sz w:val="24"/>
          <w:szCs w:val="24"/>
        </w:rPr>
        <w:t>Democratic governance emerged through familiar institutions such as churches and porches rather than formalized boards.</w:t>
      </w:r>
    </w:p>
    <w:p w14:paraId="00000268" w14:textId="77777777" w:rsidR="0006233B" w:rsidRPr="006C1E51" w:rsidRDefault="00C5531F" w:rsidP="00775270">
      <w:pPr>
        <w:numPr>
          <w:ilvl w:val="0"/>
          <w:numId w:val="10"/>
        </w:numPr>
        <w:spacing w:line="480" w:lineRule="auto"/>
        <w:rPr>
          <w:rFonts w:ascii="Times New Roman" w:hAnsi="Times New Roman" w:cs="Times New Roman"/>
          <w:sz w:val="24"/>
          <w:szCs w:val="24"/>
        </w:rPr>
      </w:pPr>
      <w:r w:rsidRPr="006C1E51">
        <w:rPr>
          <w:rFonts w:ascii="Times New Roman" w:hAnsi="Times New Roman" w:cs="Times New Roman"/>
          <w:sz w:val="24"/>
          <w:szCs w:val="24"/>
        </w:rPr>
        <w:t>Community resource building turned memory, labor, and small contributions into a functional tool: the Butlertown Fund.</w:t>
      </w:r>
    </w:p>
    <w:p w14:paraId="00000269" w14:textId="67A8D8AA" w:rsidR="0006233B" w:rsidRPr="006C1E51" w:rsidRDefault="00C5531F" w:rsidP="00775270">
      <w:pPr>
        <w:numPr>
          <w:ilvl w:val="0"/>
          <w:numId w:val="10"/>
        </w:numPr>
        <w:spacing w:line="480" w:lineRule="auto"/>
        <w:rPr>
          <w:rFonts w:ascii="Times New Roman" w:hAnsi="Times New Roman" w:cs="Times New Roman"/>
          <w:sz w:val="24"/>
          <w:szCs w:val="24"/>
        </w:rPr>
      </w:pPr>
      <w:r w:rsidRPr="006C1E51">
        <w:rPr>
          <w:rFonts w:ascii="Times New Roman" w:hAnsi="Times New Roman" w:cs="Times New Roman"/>
          <w:sz w:val="24"/>
          <w:szCs w:val="24"/>
        </w:rPr>
        <w:t xml:space="preserve">Equity and justice orientation guided responses to </w:t>
      </w:r>
      <w:r w:rsidR="00DA4DD5" w:rsidRPr="006C1E51">
        <w:rPr>
          <w:rFonts w:ascii="Times New Roman" w:hAnsi="Times New Roman" w:cs="Times New Roman"/>
          <w:sz w:val="24"/>
          <w:szCs w:val="24"/>
        </w:rPr>
        <w:t>heirs’</w:t>
      </w:r>
      <w:r w:rsidRPr="006C1E51">
        <w:rPr>
          <w:rFonts w:ascii="Times New Roman" w:hAnsi="Times New Roman" w:cs="Times New Roman"/>
          <w:sz w:val="24"/>
          <w:szCs w:val="24"/>
        </w:rPr>
        <w:t xml:space="preserve"> property, displacement pressures, and legacies of exclusion.</w:t>
      </w:r>
    </w:p>
    <w:p w14:paraId="0000026A" w14:textId="77777777" w:rsidR="0006233B" w:rsidRPr="006C1E51" w:rsidRDefault="00C5531F" w:rsidP="00775270">
      <w:pPr>
        <w:numPr>
          <w:ilvl w:val="0"/>
          <w:numId w:val="10"/>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lastRenderedPageBreak/>
        <w:t>Shared language and trust allowed the community to articulate its own expectations—leading to a community-sanctioned historic district rooted in identity, not bureaucracy.</w:t>
      </w:r>
    </w:p>
    <w:p w14:paraId="0000026B" w14:textId="77777777"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 xml:space="preserve">The test case of Miss Lillian’s home was the clearest illustration of CHC principles converging. The Butlertown Fund stabilized a family legacy, prevented land loss, created a new homeowner, and transferred wealth and responsibility from one generation to the next. Through community agreement, the home sale incorporated first right of refusal and cooperative down-payment assistance that either recirculated into the fund or was forgiven over time. This action protected cultural continuity and placed decision-making power firmly in community hands. </w:t>
      </w:r>
    </w:p>
    <w:p w14:paraId="0000026C" w14:textId="60D4FFEB"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 xml:space="preserve">Of course, such actions are more complex and nuanced than I’ve articulated in this chapter. Heirs’ property, affordable housing, and community development in general takes a tremendous </w:t>
      </w:r>
      <w:r w:rsidR="00DA4DD5" w:rsidRPr="006C1E51">
        <w:rPr>
          <w:rFonts w:ascii="Times New Roman" w:hAnsi="Times New Roman" w:cs="Times New Roman"/>
          <w:sz w:val="24"/>
          <w:szCs w:val="24"/>
        </w:rPr>
        <w:t>number</w:t>
      </w:r>
      <w:r w:rsidRPr="006C1E51">
        <w:rPr>
          <w:rFonts w:ascii="Times New Roman" w:hAnsi="Times New Roman" w:cs="Times New Roman"/>
          <w:sz w:val="24"/>
          <w:szCs w:val="24"/>
        </w:rPr>
        <w:t xml:space="preserve"> of resources to address; however, this is an inspiration and demonstration chapter—-not a prescription for doing the work step-by-step.</w:t>
      </w:r>
    </w:p>
    <w:p w14:paraId="0000026D" w14:textId="65B56718" w:rsidR="0006233B" w:rsidRPr="006C1E51" w:rsidRDefault="00A42942"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This</w:t>
      </w:r>
      <w:r w:rsidR="00C5531F" w:rsidRPr="006C1E51">
        <w:rPr>
          <w:rFonts w:ascii="Times New Roman" w:hAnsi="Times New Roman" w:cs="Times New Roman"/>
          <w:sz w:val="24"/>
          <w:szCs w:val="24"/>
        </w:rPr>
        <w:t xml:space="preserve"> </w:t>
      </w:r>
      <w:r w:rsidR="00A67976" w:rsidRPr="006C1E51">
        <w:rPr>
          <w:rFonts w:ascii="Times New Roman" w:hAnsi="Times New Roman" w:cs="Times New Roman"/>
          <w:sz w:val="24"/>
          <w:szCs w:val="24"/>
        </w:rPr>
        <w:t>study</w:t>
      </w:r>
      <w:r w:rsidR="00C5531F" w:rsidRPr="006C1E51">
        <w:rPr>
          <w:rFonts w:ascii="Times New Roman" w:hAnsi="Times New Roman" w:cs="Times New Roman"/>
          <w:sz w:val="24"/>
          <w:szCs w:val="24"/>
        </w:rPr>
        <w:t xml:space="preserve"> argues that heritage work must move beyond symbolic interpretation toward building the material conditions that allow communities to remain in place. In rural Black communities, where land, memory, and belonging are deeply intertwined, preservation cannot be separated from housing, economic development, cooperative economics, or community governance. The CHC framework positions heritage as an engine of resilience, going beyond telling stories, and becoming a core component of community investment strategies. </w:t>
      </w:r>
    </w:p>
    <w:p w14:paraId="0000026E" w14:textId="747A1EFE"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 xml:space="preserve">This </w:t>
      </w:r>
      <w:r w:rsidR="00A42942" w:rsidRPr="006C1E51">
        <w:rPr>
          <w:rFonts w:ascii="Times New Roman" w:hAnsi="Times New Roman" w:cs="Times New Roman"/>
          <w:sz w:val="24"/>
          <w:szCs w:val="24"/>
        </w:rPr>
        <w:t>study</w:t>
      </w:r>
      <w:r w:rsidRPr="006C1E51">
        <w:rPr>
          <w:rFonts w:ascii="Times New Roman" w:hAnsi="Times New Roman" w:cs="Times New Roman"/>
          <w:sz w:val="24"/>
          <w:szCs w:val="24"/>
        </w:rPr>
        <w:t xml:space="preserve"> also makes a broader contribution to the field of historic preservation. It expands existing approaches by offering:</w:t>
      </w:r>
    </w:p>
    <w:p w14:paraId="0EA69578" w14:textId="298E04A3" w:rsidR="00DA4DD5" w:rsidRPr="006C1E51" w:rsidRDefault="00C5531F" w:rsidP="00775270">
      <w:pPr>
        <w:numPr>
          <w:ilvl w:val="0"/>
          <w:numId w:val="9"/>
        </w:numPr>
        <w:spacing w:before="240" w:line="480" w:lineRule="auto"/>
        <w:rPr>
          <w:rFonts w:ascii="Times New Roman" w:hAnsi="Times New Roman" w:cs="Times New Roman"/>
          <w:sz w:val="24"/>
          <w:szCs w:val="24"/>
        </w:rPr>
      </w:pPr>
      <w:r w:rsidRPr="006C1E51">
        <w:rPr>
          <w:rFonts w:ascii="Times New Roman" w:hAnsi="Times New Roman" w:cs="Times New Roman"/>
          <w:sz w:val="24"/>
          <w:szCs w:val="24"/>
        </w:rPr>
        <w:lastRenderedPageBreak/>
        <w:t>A model for integrating vernacular knowledge, mutual aid history, and cultural landscape traditions into formal planning</w:t>
      </w:r>
      <w:r w:rsidR="00DA4DD5" w:rsidRPr="006C1E51">
        <w:rPr>
          <w:rFonts w:ascii="Times New Roman" w:hAnsi="Times New Roman" w:cs="Times New Roman"/>
          <w:sz w:val="24"/>
          <w:szCs w:val="24"/>
        </w:rPr>
        <w:t>.</w:t>
      </w:r>
    </w:p>
    <w:p w14:paraId="0000026F" w14:textId="73799233" w:rsidR="0006233B" w:rsidRPr="006C1E51" w:rsidRDefault="00C5531F" w:rsidP="00DA4DD5">
      <w:pPr>
        <w:numPr>
          <w:ilvl w:val="0"/>
          <w:numId w:val="9"/>
        </w:numPr>
        <w:spacing w:line="480" w:lineRule="auto"/>
        <w:rPr>
          <w:rFonts w:ascii="Times New Roman" w:hAnsi="Times New Roman" w:cs="Times New Roman"/>
          <w:sz w:val="24"/>
          <w:szCs w:val="24"/>
        </w:rPr>
      </w:pPr>
      <w:r w:rsidRPr="006C1E51">
        <w:rPr>
          <w:rFonts w:ascii="Times New Roman" w:hAnsi="Times New Roman" w:cs="Times New Roman"/>
          <w:sz w:val="24"/>
          <w:szCs w:val="24"/>
        </w:rPr>
        <w:t>A method for combining narrative scenario-building with community-based inquiry</w:t>
      </w:r>
      <w:r w:rsidR="00DA4DD5" w:rsidRPr="006C1E51">
        <w:rPr>
          <w:rFonts w:ascii="Times New Roman" w:hAnsi="Times New Roman" w:cs="Times New Roman"/>
          <w:sz w:val="24"/>
          <w:szCs w:val="24"/>
        </w:rPr>
        <w:t>.</w:t>
      </w:r>
    </w:p>
    <w:p w14:paraId="00000270" w14:textId="572A9C8D" w:rsidR="0006233B" w:rsidRPr="006C1E51" w:rsidRDefault="00C5531F" w:rsidP="00775270">
      <w:pPr>
        <w:numPr>
          <w:ilvl w:val="0"/>
          <w:numId w:val="9"/>
        </w:numPr>
        <w:spacing w:line="480" w:lineRule="auto"/>
        <w:rPr>
          <w:rFonts w:ascii="Times New Roman" w:hAnsi="Times New Roman" w:cs="Times New Roman"/>
          <w:sz w:val="24"/>
          <w:szCs w:val="24"/>
        </w:rPr>
      </w:pPr>
      <w:r w:rsidRPr="006C1E51">
        <w:rPr>
          <w:rFonts w:ascii="Times New Roman" w:hAnsi="Times New Roman" w:cs="Times New Roman"/>
          <w:sz w:val="24"/>
          <w:szCs w:val="24"/>
        </w:rPr>
        <w:t>A preservation strategy that values everyday cultural life as much as architectural fabric</w:t>
      </w:r>
      <w:r w:rsidR="00DA4DD5" w:rsidRPr="006C1E51">
        <w:rPr>
          <w:rFonts w:ascii="Times New Roman" w:hAnsi="Times New Roman" w:cs="Times New Roman"/>
          <w:sz w:val="24"/>
          <w:szCs w:val="24"/>
        </w:rPr>
        <w:t>.</w:t>
      </w:r>
    </w:p>
    <w:p w14:paraId="00000271" w14:textId="77777777" w:rsidR="0006233B" w:rsidRPr="006C1E51" w:rsidRDefault="00C5531F" w:rsidP="00775270">
      <w:pPr>
        <w:numPr>
          <w:ilvl w:val="0"/>
          <w:numId w:val="9"/>
        </w:numPr>
        <w:spacing w:after="240" w:line="480" w:lineRule="auto"/>
        <w:rPr>
          <w:rFonts w:ascii="Times New Roman" w:hAnsi="Times New Roman" w:cs="Times New Roman"/>
          <w:sz w:val="24"/>
          <w:szCs w:val="24"/>
        </w:rPr>
      </w:pPr>
      <w:r w:rsidRPr="006C1E51">
        <w:rPr>
          <w:rFonts w:ascii="Times New Roman" w:hAnsi="Times New Roman" w:cs="Times New Roman"/>
          <w:sz w:val="24"/>
          <w:szCs w:val="24"/>
        </w:rPr>
        <w:t>A cooperative economic framework that keeps family land and cultural heritage intertwined, rather than siloed.</w:t>
      </w:r>
    </w:p>
    <w:p w14:paraId="00000272" w14:textId="77777777"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In many ways, the CHC framework is both old and new. It draws on long-standing traditions: fraternal orders, building societies, church auxiliaries, mutual aid networks, and collective labor practices that sustained Black communities for generations. But it reinterprets these forms for contemporary challenges and formalizes them into a structure that communities can adapt and make their own.</w:t>
      </w:r>
    </w:p>
    <w:p w14:paraId="00000273" w14:textId="77777777"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The Butlertown scenario offers one way of imagining how CHCs might work; every community will have its own version, leaders, language, and cultural assets. The workbook prompts throughout this chapter are designed to help practitioners, residents, and collaborators map those possibilities in their own places.</w:t>
      </w:r>
    </w:p>
    <w:p w14:paraId="00000274" w14:textId="77777777"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The CHC framework is meant to be lived, used, and reshaped by the very communities it serves. The work ahead will involve experimentation, refinement, and iteration. But if communities can draw on their shared experiences, mobilize their memory, structure their cooperation, and build trust into tangible tools, they can shift not only how heritage is interpreted, but how it sustains the people who embody it.</w:t>
      </w:r>
    </w:p>
    <w:p w14:paraId="00000275" w14:textId="77777777" w:rsidR="0006233B" w:rsidRPr="006C1E51" w:rsidRDefault="00C5531F" w:rsidP="00775270">
      <w:pPr>
        <w:spacing w:before="240" w:after="240" w:line="480" w:lineRule="auto"/>
        <w:ind w:firstLine="360"/>
        <w:rPr>
          <w:rFonts w:ascii="Times New Roman" w:hAnsi="Times New Roman" w:cs="Times New Roman"/>
          <w:sz w:val="24"/>
          <w:szCs w:val="24"/>
        </w:rPr>
      </w:pPr>
      <w:r w:rsidRPr="006C1E51">
        <w:rPr>
          <w:rFonts w:ascii="Times New Roman" w:hAnsi="Times New Roman" w:cs="Times New Roman"/>
          <w:sz w:val="24"/>
          <w:szCs w:val="24"/>
        </w:rPr>
        <w:t xml:space="preserve">In that sense, the CHC framework becomes a bridge between cultural preservation and community futures. It offers a pathway for rural Black communities, and others like them, to </w:t>
      </w:r>
      <w:r w:rsidRPr="006C1E51">
        <w:rPr>
          <w:rFonts w:ascii="Times New Roman" w:hAnsi="Times New Roman" w:cs="Times New Roman"/>
          <w:sz w:val="24"/>
          <w:szCs w:val="24"/>
        </w:rPr>
        <w:lastRenderedPageBreak/>
        <w:t>remain rooted, empowered, and connected, carrying forward the legacies that shaped them while building new ones for generations to come.</w:t>
      </w:r>
    </w:p>
    <w:p w14:paraId="3016D014" w14:textId="26FAC9B7" w:rsidR="00030576" w:rsidRPr="006C1E51" w:rsidRDefault="00030576" w:rsidP="00775270">
      <w:pPr>
        <w:spacing w:line="480" w:lineRule="auto"/>
        <w:rPr>
          <w:rFonts w:ascii="Times New Roman" w:hAnsi="Times New Roman" w:cs="Times New Roman"/>
          <w:sz w:val="24"/>
          <w:szCs w:val="24"/>
        </w:rPr>
      </w:pPr>
    </w:p>
    <w:sectPr w:rsidR="00030576" w:rsidRPr="006C1E51" w:rsidSect="00045AE1">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C99B7F" w14:textId="77777777" w:rsidR="00A810E3" w:rsidRDefault="00A810E3">
      <w:pPr>
        <w:spacing w:line="240" w:lineRule="auto"/>
      </w:pPr>
      <w:r>
        <w:separator/>
      </w:r>
    </w:p>
  </w:endnote>
  <w:endnote w:type="continuationSeparator" w:id="0">
    <w:p w14:paraId="58405703" w14:textId="77777777" w:rsidR="00A810E3" w:rsidRDefault="00A810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51551FDD-465F-CB42-9E86-A10468381109}"/>
    <w:embedBold r:id="rId2" w:fontKey="{F330779E-E702-0646-83B5-A55F23C2D681}"/>
    <w:embedItalic r:id="rId3" w:fontKey="{4D8DADB9-9500-B545-BF54-47FEB1C81E53}"/>
    <w:embedBoldItalic r:id="rId4" w:fontKey="{91E26E90-B2F4-614E-949D-B472BAFF9B38}"/>
  </w:font>
  <w:font w:name="Arial">
    <w:panose1 w:val="020B0604020202020204"/>
    <w:charset w:val="00"/>
    <w:family w:val="swiss"/>
    <w:pitch w:val="variable"/>
    <w:sig w:usb0="E0002EFF" w:usb1="C000785B" w:usb2="00000009" w:usb3="00000000" w:csb0="000001FF" w:csb1="00000000"/>
    <w:embedRegular r:id="rId5" w:fontKey="{20C905A8-E744-444C-AC0D-2729B83245BE}"/>
    <w:embedBold r:id="rId6" w:fontKey="{DAC825BD-05BD-C24B-938A-E9F8AC1FC7A4}"/>
    <w:embedItalic r:id="rId7" w:fontKey="{723C1C09-8DCE-6B4C-B660-411707EB7936}"/>
    <w:embedBoldItalic r:id="rId8" w:fontKey="{0FFB42D4-AD98-554D-97F0-427B31385A4B}"/>
  </w:font>
  <w:font w:name="Calibri">
    <w:panose1 w:val="020F0502020204030204"/>
    <w:charset w:val="00"/>
    <w:family w:val="swiss"/>
    <w:pitch w:val="variable"/>
    <w:sig w:usb0="E4002EFF" w:usb1="C200247B" w:usb2="00000009" w:usb3="00000000" w:csb0="000001FF" w:csb1="00000000"/>
    <w:embedRegular r:id="rId9" w:fontKey="{1C15D094-13C4-CE46-9283-81B5588843BA}"/>
    <w:embedBold r:id="rId10" w:fontKey="{127BD460-D94F-8C45-840A-3AD159CBC147}"/>
  </w:font>
  <w:font w:name="Cambria">
    <w:panose1 w:val="02040503050406030204"/>
    <w:charset w:val="00"/>
    <w:family w:val="roman"/>
    <w:pitch w:val="variable"/>
    <w:sig w:usb0="E00006FF" w:usb1="420024FF" w:usb2="02000000" w:usb3="00000000" w:csb0="0000019F" w:csb1="00000000"/>
    <w:embedRegular r:id="rId11" w:fontKey="{B22BABE4-75A7-9947-A5A9-2978D495BD99}"/>
    <w:embedBold r:id="rId12" w:fontKey="{82297C56-83A3-924B-9ACF-466D25785F00}"/>
    <w:embedBoldItalic r:id="rId13" w:fontKey="{DE88A13E-F9E8-DA44-BF9C-D1D08C9F557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D5C71" w14:textId="77777777" w:rsidR="00EF46C8" w:rsidRDefault="00EF46C8" w:rsidP="00EF46C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A1F369" w14:textId="77777777" w:rsidR="00506024" w:rsidRDefault="00506024" w:rsidP="00EF46C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DFF7DD" w14:textId="77777777" w:rsidR="00A810E3" w:rsidRDefault="00A810E3">
      <w:pPr>
        <w:spacing w:line="240" w:lineRule="auto"/>
      </w:pPr>
      <w:r>
        <w:separator/>
      </w:r>
    </w:p>
  </w:footnote>
  <w:footnote w:type="continuationSeparator" w:id="0">
    <w:p w14:paraId="5B912D47" w14:textId="77777777" w:rsidR="00A810E3" w:rsidRDefault="00A810E3">
      <w:pPr>
        <w:spacing w:line="240" w:lineRule="auto"/>
      </w:pPr>
      <w:r>
        <w:continuationSeparator/>
      </w:r>
    </w:p>
  </w:footnote>
  <w:footnote w:id="1">
    <w:p w14:paraId="000002B6" w14:textId="090BA769" w:rsidR="0006233B" w:rsidRPr="00394E1F" w:rsidRDefault="00C5531F" w:rsidP="008B4B3E">
      <w:pPr>
        <w:pStyle w:val="FootnoteText"/>
      </w:pPr>
      <w:r w:rsidRPr="00394E1F">
        <w:rPr>
          <w:vertAlign w:val="superscript"/>
        </w:rPr>
        <w:footnoteRef/>
      </w:r>
      <w:r w:rsidRPr="00394E1F">
        <w:t xml:space="preserve"> </w:t>
      </w:r>
      <w:r w:rsidR="00B33D2F" w:rsidRPr="00394E1F">
        <w:t xml:space="preserve">Maryland Historical Trust. “Drayton Manor (K-414).” Medusa: Maryland Historic Properties Inventory. Accessed December 9, 2025. </w:t>
      </w:r>
      <w:hyperlink r:id="rId1" w:history="1">
        <w:r w:rsidR="00B33D2F" w:rsidRPr="00394E1F">
          <w:rPr>
            <w:rStyle w:val="Hyperlink"/>
          </w:rPr>
          <w:t>https://apps.mht.maryland.gov/medusa/PDF/Kent/K-414.pdf</w:t>
        </w:r>
      </w:hyperlink>
      <w:r w:rsidR="00B33D2F" w:rsidRPr="00394E1F">
        <w:t xml:space="preserve"> Drayton Manor was originally a 1667 land grant to Charles James in Kent County, Maryland. The first dwelling on the property was constructed around 1670, and the present mansion dates to 1937.</w:t>
      </w:r>
      <w:r w:rsidRPr="00394E1F">
        <w:t xml:space="preserve"> </w:t>
      </w:r>
    </w:p>
  </w:footnote>
  <w:footnote w:id="2">
    <w:p w14:paraId="2ACD821C" w14:textId="4E50FB3D" w:rsidR="006E4D77" w:rsidRPr="00394E1F" w:rsidRDefault="006E4D77" w:rsidP="008B4B3E">
      <w:pPr>
        <w:pStyle w:val="FootnoteText"/>
        <w:rPr>
          <w:lang w:val="en-US"/>
        </w:rPr>
      </w:pPr>
      <w:r w:rsidRPr="00394E1F">
        <w:rPr>
          <w:rStyle w:val="FootnoteReference"/>
        </w:rPr>
        <w:footnoteRef/>
      </w:r>
      <w:r w:rsidRPr="00394E1F">
        <w:t xml:space="preserve"> </w:t>
      </w:r>
      <w:r w:rsidRPr="00394E1F">
        <w:rPr>
          <w:lang w:val="en-US"/>
        </w:rPr>
        <w:t>Conversation between the author and his father. Date unknown.</w:t>
      </w:r>
    </w:p>
  </w:footnote>
  <w:footnote w:id="3">
    <w:p w14:paraId="7A64176E" w14:textId="2749E535" w:rsidR="00B33D2F" w:rsidRPr="00394E1F" w:rsidRDefault="00B33D2F" w:rsidP="008B4B3E">
      <w:pPr>
        <w:pStyle w:val="FootnoteText"/>
        <w:rPr>
          <w:i/>
          <w:iCs/>
          <w:lang w:val="en-US"/>
        </w:rPr>
      </w:pPr>
      <w:r w:rsidRPr="00394E1F">
        <w:rPr>
          <w:rStyle w:val="FootnoteReference"/>
        </w:rPr>
        <w:footnoteRef/>
      </w:r>
      <w:r w:rsidRPr="00394E1F">
        <w:t xml:space="preserve"> </w:t>
      </w:r>
      <w:r w:rsidRPr="00394E1F">
        <w:rPr>
          <w:rStyle w:val="Strong"/>
          <w:b w:val="0"/>
          <w:bCs w:val="0"/>
        </w:rPr>
        <w:t>Featured Collections: Kent County and the Upper Eastern Shore Obituary Gallery</w:t>
      </w:r>
      <w:r w:rsidRPr="00394E1F">
        <w:rPr>
          <w:rStyle w:val="Strong"/>
        </w:rPr>
        <w:t>,”</w:t>
      </w:r>
      <w:r w:rsidRPr="00394E1F">
        <w:t xml:space="preserve"> </w:t>
      </w:r>
      <w:r w:rsidRPr="00394E1F">
        <w:rPr>
          <w:rStyle w:val="Emphasis"/>
        </w:rPr>
        <w:t>Chesapeake Heartland Digital Archive</w:t>
      </w:r>
      <w:r w:rsidRPr="00394E1F">
        <w:t xml:space="preserve">, accessed December 9, 2025, </w:t>
      </w:r>
      <w:hyperlink r:id="rId2" w:tgtFrame="_new" w:history="1">
        <w:r w:rsidRPr="00394E1F">
          <w:rPr>
            <w:rStyle w:val="Hyperlink"/>
          </w:rPr>
          <w:t>https://archive.chesapeakeheartland.org/Gallery/367</w:t>
        </w:r>
      </w:hyperlink>
      <w:r w:rsidRPr="00394E1F">
        <w:t>. T</w:t>
      </w:r>
      <w:r w:rsidRPr="00394E1F">
        <w:rPr>
          <w:rStyle w:val="Emphasis"/>
          <w:i w:val="0"/>
          <w:iCs w:val="0"/>
        </w:rPr>
        <w:t>his gallery includes more than 200 obituaries of local Black community members from Kent County and the broader Upper Eastern Shore.</w:t>
      </w:r>
    </w:p>
  </w:footnote>
  <w:footnote w:id="4">
    <w:p w14:paraId="1F68B354" w14:textId="17222267" w:rsidR="00332AEB" w:rsidRPr="00394E1F" w:rsidRDefault="00332AEB" w:rsidP="008B4B3E">
      <w:pPr>
        <w:pStyle w:val="FootnoteText"/>
        <w:rPr>
          <w:lang w:val="en-US"/>
        </w:rPr>
      </w:pPr>
      <w:r w:rsidRPr="00394E1F">
        <w:rPr>
          <w:rStyle w:val="FootnoteReference"/>
        </w:rPr>
        <w:footnoteRef/>
      </w:r>
      <w:r w:rsidRPr="00394E1F">
        <w:t xml:space="preserve"> Caitlin DeSilvey, “Postpreservation: Looking Past Loss,” </w:t>
      </w:r>
      <w:r w:rsidRPr="00394E1F">
        <w:rPr>
          <w:rStyle w:val="Emphasis"/>
        </w:rPr>
        <w:t>Open Research Exeter</w:t>
      </w:r>
      <w:r w:rsidRPr="00394E1F">
        <w:t xml:space="preserve">, April 1, 2017, </w:t>
      </w:r>
      <w:hyperlink r:id="rId3" w:tgtFrame="_new" w:history="1">
        <w:r w:rsidRPr="00394E1F">
          <w:rPr>
            <w:rStyle w:val="Hyperlink"/>
          </w:rPr>
          <w:t>https://ore.exeter.ac.uk/articles/chapter/Postpreservation_looking_past_loss/29838455</w:t>
        </w:r>
      </w:hyperlink>
    </w:p>
  </w:footnote>
  <w:footnote w:id="5">
    <w:p w14:paraId="3EA020CF" w14:textId="0C91A83F" w:rsidR="00332AEB" w:rsidRPr="00394E1F" w:rsidRDefault="00332AEB" w:rsidP="008B4B3E">
      <w:pPr>
        <w:pStyle w:val="FootnoteText"/>
        <w:rPr>
          <w:lang w:val="en-US"/>
        </w:rPr>
      </w:pPr>
      <w:r w:rsidRPr="00394E1F">
        <w:rPr>
          <w:rStyle w:val="FootnoteReference"/>
        </w:rPr>
        <w:footnoteRef/>
      </w:r>
      <w:r w:rsidRPr="00394E1F">
        <w:t xml:space="preserve"> </w:t>
      </w:r>
      <w:r w:rsidR="00836252" w:rsidRPr="00394E1F">
        <w:rPr>
          <w:lang w:val="en-US"/>
        </w:rPr>
        <w:t>Email from William Leary to the author, August 7, 2025, regarding Kent County’s 2025 Legacy Day theme, “Historic Black Communities.” Leary provided historical population figures for Black communities in Kent County; the comparison to the current population of fewer than 2,800 Black residents (2023) is the author’s analysis.</w:t>
      </w:r>
    </w:p>
  </w:footnote>
  <w:footnote w:id="6">
    <w:p w14:paraId="7FA7B71A" w14:textId="0C08CF6D" w:rsidR="00836252" w:rsidRPr="00394E1F" w:rsidRDefault="00836252" w:rsidP="008B4B3E">
      <w:pPr>
        <w:pStyle w:val="FootnoteText"/>
        <w:rPr>
          <w:lang w:val="en-US"/>
        </w:rPr>
      </w:pPr>
      <w:r w:rsidRPr="00394E1F">
        <w:rPr>
          <w:rStyle w:val="FootnoteReference"/>
        </w:rPr>
        <w:footnoteRef/>
      </w:r>
      <w:r w:rsidRPr="00394E1F">
        <w:t xml:space="preserve"> “About,” Chesapeake Heartland: An African American Humanities Project, accessed December 9</w:t>
      </w:r>
      <w:r w:rsidR="00DA4DD5" w:rsidRPr="00394E1F">
        <w:t>, 2025</w:t>
      </w:r>
      <w:r w:rsidRPr="00394E1F">
        <w:t>, https://chesapeakeheartland.org/about-chesapeake-heartland</w:t>
      </w:r>
    </w:p>
  </w:footnote>
  <w:footnote w:id="7">
    <w:p w14:paraId="4FE3E9E5" w14:textId="467C7E0D" w:rsidR="00836252" w:rsidRPr="00394E1F" w:rsidRDefault="00836252" w:rsidP="008B4B3E">
      <w:pPr>
        <w:pStyle w:val="FootnoteText"/>
        <w:rPr>
          <w:lang w:val="en-US"/>
        </w:rPr>
      </w:pPr>
      <w:r w:rsidRPr="00394E1F">
        <w:rPr>
          <w:rStyle w:val="FootnoteReference"/>
        </w:rPr>
        <w:footnoteRef/>
      </w:r>
      <w:r w:rsidRPr="00394E1F">
        <w:t xml:space="preserve"> </w:t>
      </w:r>
      <w:r w:rsidRPr="00394E1F">
        <w:rPr>
          <w:rStyle w:val="Strong"/>
        </w:rPr>
        <w:t>“</w:t>
      </w:r>
      <w:r w:rsidRPr="00394E1F">
        <w:rPr>
          <w:rStyle w:val="Strong"/>
          <w:b w:val="0"/>
          <w:bCs w:val="0"/>
        </w:rPr>
        <w:t>Featured Collections: Oral History Interviews,”</w:t>
      </w:r>
      <w:r w:rsidRPr="00394E1F">
        <w:t xml:space="preserve"> </w:t>
      </w:r>
      <w:r w:rsidRPr="00394E1F">
        <w:rPr>
          <w:rStyle w:val="Emphasis"/>
        </w:rPr>
        <w:t>Chesapeake Heartland Digital Archive</w:t>
      </w:r>
      <w:r w:rsidRPr="00394E1F">
        <w:t xml:space="preserve">, accessed December 9, 2025, </w:t>
      </w:r>
      <w:hyperlink r:id="rId4" w:tgtFrame="_new" w:history="1">
        <w:r w:rsidRPr="00394E1F">
          <w:rPr>
            <w:rStyle w:val="Hyperlink"/>
          </w:rPr>
          <w:t>https://archive.chesapeakeheartland.org/Gallery/356</w:t>
        </w:r>
      </w:hyperlink>
      <w:r w:rsidRPr="00394E1F">
        <w:t>. The observations here synthesize themes that recur across numerous interviews in the collection and are informed as well by the author’s father’s reflections on how the previous generation’s out-migration—to the military or nearby metro areas—drew away the families, labor, and leadership that once sustained local Black communities.</w:t>
      </w:r>
    </w:p>
  </w:footnote>
  <w:footnote w:id="8">
    <w:p w14:paraId="49D8CCBB" w14:textId="6EDCF918" w:rsidR="00216BA1" w:rsidRPr="00394E1F" w:rsidRDefault="00216BA1" w:rsidP="008B4B3E">
      <w:pPr>
        <w:pStyle w:val="FootnoteText"/>
        <w:rPr>
          <w:lang w:val="en-US"/>
        </w:rPr>
      </w:pPr>
      <w:r w:rsidRPr="00394E1F">
        <w:rPr>
          <w:rStyle w:val="FootnoteReference"/>
        </w:rPr>
        <w:footnoteRef/>
      </w:r>
      <w:r w:rsidRPr="00394E1F">
        <w:t xml:space="preserve"> </w:t>
      </w:r>
      <w:r w:rsidRPr="00394E1F">
        <w:rPr>
          <w:lang w:val="en-US"/>
        </w:rPr>
        <w:t xml:space="preserve"> </w:t>
      </w:r>
      <w:r w:rsidR="00D93FFB" w:rsidRPr="00394E1F">
        <w:rPr>
          <w:lang w:val="en-US"/>
        </w:rPr>
        <w:t xml:space="preserve">Brian Sullivan, </w:t>
      </w:r>
      <w:r w:rsidRPr="00394E1F">
        <w:rPr>
          <w:rStyle w:val="Emphasis"/>
        </w:rPr>
        <w:t>Coping with Poverty and Prejudice: How Rural Blacks Adapt Environmentally to the Constraints of Society</w:t>
      </w:r>
      <w:r w:rsidRPr="00394E1F">
        <w:t xml:space="preserve"> (M.Arch thesis, Massachusetts Institute of Technology, 1978), 73–77, </w:t>
      </w:r>
      <w:hyperlink r:id="rId5" w:tgtFrame="_new" w:history="1">
        <w:r w:rsidRPr="00394E1F">
          <w:rPr>
            <w:rStyle w:val="Hyperlink"/>
          </w:rPr>
          <w:t>https://dspace.mit.edu/handle/1721.1/77847</w:t>
        </w:r>
      </w:hyperlink>
      <w:r w:rsidRPr="00394E1F">
        <w:t>. These pages document the vernacular building practices of Black rural homeowners, noting their reliance on inexpensive materials, pier foundations of stone or brick, minimal insulation, additive construction over time, and owner-built repairs. The thesis describes how families often “built as the money comes,” resulting in houses that combined older, weathered sections with newer materials, reflecting both economic constraint and ongoing adaptation</w:t>
      </w:r>
    </w:p>
  </w:footnote>
  <w:footnote w:id="9">
    <w:p w14:paraId="3F69B3EA" w14:textId="2756B855" w:rsidR="00D93FFB" w:rsidRPr="00394E1F" w:rsidRDefault="00D93FFB" w:rsidP="008B4B3E">
      <w:pPr>
        <w:pStyle w:val="FootnoteText"/>
        <w:rPr>
          <w:lang w:val="en-US"/>
        </w:rPr>
      </w:pPr>
      <w:r w:rsidRPr="00394E1F">
        <w:rPr>
          <w:rStyle w:val="FootnoteReference"/>
        </w:rPr>
        <w:footnoteRef/>
      </w:r>
      <w:r w:rsidRPr="00394E1F">
        <w:t xml:space="preserve"> Field notes from the author’s research visit to the Kent County Courthouse, Chestertown, Maryland, April 28, 2025. Articles of Incorporation records consulted during this visit detailed the formation, governance, and funding of Black-led organizations such as mutual-aid societies, fraternal orders, civic associations, and churches. Viewed together, these records illustrate Reconstruction-era patterns of community rebuilding, including institutions focused on housing access, education, and public health. This historical foundation informs the author’s interest in revitalizing similar cooperative structures through the CHC framework.</w:t>
      </w:r>
    </w:p>
  </w:footnote>
  <w:footnote w:id="10">
    <w:p w14:paraId="13E9EFAE" w14:textId="7A856EF0" w:rsidR="00D93FFB" w:rsidRPr="00394E1F" w:rsidRDefault="00D93FFB" w:rsidP="008B4B3E">
      <w:pPr>
        <w:pStyle w:val="FootnoteText"/>
        <w:rPr>
          <w:lang w:val="en-US"/>
        </w:rPr>
      </w:pPr>
      <w:r w:rsidRPr="00394E1F">
        <w:rPr>
          <w:rStyle w:val="FootnoteReference"/>
        </w:rPr>
        <w:footnoteRef/>
      </w:r>
      <w:r w:rsidRPr="00394E1F">
        <w:t xml:space="preserve"> This interpretation builds on the author’s forthcoming historic context essay, </w:t>
      </w:r>
      <w:r w:rsidRPr="00394E1F">
        <w:rPr>
          <w:rStyle w:val="Emphasis"/>
        </w:rPr>
        <w:t>“African American Countryside Influence on Chestertown’s Built Environment,”</w:t>
      </w:r>
      <w:r w:rsidRPr="00394E1F">
        <w:t xml:space="preserve"> prepared for the National Register of Historic Places update for Chestertown, Maryland, through the National Park Service’s Underrepresented Communities Grant Program. Preliminary findings were publicly summarized the author’s, LinkedIn post, April 28, 2025, </w:t>
      </w:r>
      <w:hyperlink r:id="rId6" w:tgtFrame="_new" w:history="1">
        <w:r w:rsidRPr="00394E1F">
          <w:rPr>
            <w:rStyle w:val="Hyperlink"/>
          </w:rPr>
          <w:t>https://www.linkedin.com/feed/update/urn:li:activity:7402721343114412033/</w:t>
        </w:r>
      </w:hyperlink>
      <w:r w:rsidRPr="00394E1F">
        <w:t xml:space="preserve">. </w:t>
      </w:r>
    </w:p>
  </w:footnote>
  <w:footnote w:id="11">
    <w:p w14:paraId="6CDC5E62" w14:textId="0A3B6C37" w:rsidR="00B15006" w:rsidRPr="00394E1F" w:rsidRDefault="00B15006" w:rsidP="008B4B3E">
      <w:pPr>
        <w:pStyle w:val="FootnoteText"/>
        <w:rPr>
          <w:lang w:val="en-US"/>
        </w:rPr>
      </w:pPr>
      <w:r w:rsidRPr="00394E1F">
        <w:rPr>
          <w:rStyle w:val="FootnoteReference"/>
        </w:rPr>
        <w:footnoteRef/>
      </w:r>
      <w:r w:rsidRPr="00394E1F">
        <w:t xml:space="preserve"> </w:t>
      </w:r>
      <w:r w:rsidR="00C63ED1">
        <w:t xml:space="preserve">The author’s </w:t>
      </w:r>
      <w:r w:rsidRPr="00394E1F">
        <w:t>professional experience spans affordable housing (Kent Attainable Housing), land conservation (Eastern Shore Land Conservancy), public history and cultural strategy (Chesapeake Heartland: An African American Humanities Project), historic preservation (graduate training and multiple grant-funded projects), and heritage tourism (Stories of the Chesapeake Heritage Area) work across Maryland’s Eastern Shore. His work in his family’s concrete business afforded him with the opportunity for extensive travel through rural towns and backroads, informing his practical ability to read landscapes, understand development pressures, and interpret the built environment.</w:t>
      </w:r>
    </w:p>
  </w:footnote>
  <w:footnote w:id="12">
    <w:p w14:paraId="7C2B44EE" w14:textId="2AF49601" w:rsidR="00B15006" w:rsidRPr="00394E1F" w:rsidRDefault="00B15006" w:rsidP="008B4B3E">
      <w:pPr>
        <w:pStyle w:val="FootnoteText"/>
        <w:rPr>
          <w:lang w:val="en-US"/>
        </w:rPr>
      </w:pPr>
      <w:r w:rsidRPr="00394E1F">
        <w:rPr>
          <w:rStyle w:val="FootnoteReference"/>
        </w:rPr>
        <w:footnoteRef/>
      </w:r>
      <w:r w:rsidRPr="00394E1F">
        <w:t xml:space="preserve"> Maryland Department of Housing and Community Development, Division of Just Communities, </w:t>
      </w:r>
      <w:r w:rsidRPr="00394E1F">
        <w:rPr>
          <w:rStyle w:val="Emphasis"/>
        </w:rPr>
        <w:t>Separate and Unequal Neighborhoods: A Baseline Report for the Maryland Department of Housing and Community Development Division of Just Communities</w:t>
      </w:r>
      <w:r w:rsidRPr="00394E1F">
        <w:t xml:space="preserve"> (Lanham, MD: Maryland Department of Housing and Community Development, n.d.), 11–13. The report’s discussion of “Rural and Suburban Development: An Uneven Geography of Opportunity” illustrates how Black rural communities experience chronic underinvestment, limited infrastructure, fewer institutional supports, and reduced access to essential services</w:t>
      </w:r>
      <w:r w:rsidR="009E7825">
        <w:t xml:space="preserve"> </w:t>
      </w:r>
      <w:r w:rsidRPr="00394E1F">
        <w:t>shape the Eastern Shore</w:t>
      </w:r>
      <w:r w:rsidR="009E7825">
        <w:t>.</w:t>
      </w:r>
    </w:p>
  </w:footnote>
  <w:footnote w:id="13">
    <w:p w14:paraId="48375AC7" w14:textId="29C080E0" w:rsidR="00E36027" w:rsidRPr="00394E1F" w:rsidRDefault="00E36027" w:rsidP="008B4B3E">
      <w:pPr>
        <w:pStyle w:val="FootnoteText"/>
        <w:rPr>
          <w:lang w:val="en-US"/>
        </w:rPr>
      </w:pPr>
      <w:r w:rsidRPr="00394E1F">
        <w:rPr>
          <w:rStyle w:val="FootnoteReference"/>
        </w:rPr>
        <w:footnoteRef/>
      </w:r>
      <w:r w:rsidRPr="00394E1F">
        <w:t xml:space="preserve"> </w:t>
      </w:r>
      <w:r w:rsidRPr="00394E1F">
        <w:rPr>
          <w:lang w:val="en-US"/>
        </w:rPr>
        <w:t>See Chapter Two: The External Forces Shaping African American Heritage Preservation: Economic.</w:t>
      </w:r>
    </w:p>
  </w:footnote>
  <w:footnote w:id="14">
    <w:p w14:paraId="33EB6F03" w14:textId="13810043" w:rsidR="00E36027" w:rsidRPr="00394E1F" w:rsidRDefault="00E36027" w:rsidP="008B4B3E">
      <w:pPr>
        <w:pStyle w:val="FootnoteText"/>
        <w:rPr>
          <w:lang w:val="en-US"/>
        </w:rPr>
      </w:pPr>
      <w:r w:rsidRPr="00394E1F">
        <w:rPr>
          <w:rStyle w:val="FootnoteReference"/>
        </w:rPr>
        <w:footnoteRef/>
      </w:r>
      <w:r w:rsidRPr="00394E1F">
        <w:t xml:space="preserve"> Stories of the Chesapeake Heritage Area, </w:t>
      </w:r>
      <w:r w:rsidRPr="00394E1F">
        <w:rPr>
          <w:rStyle w:val="Emphasis"/>
        </w:rPr>
        <w:t>Final Management Plan</w:t>
      </w:r>
      <w:r w:rsidRPr="00394E1F">
        <w:t xml:space="preserve"> (Fall 2005)</w:t>
      </w:r>
      <w:r w:rsidR="00E65F7C" w:rsidRPr="00394E1F">
        <w:t>;</w:t>
      </w:r>
      <w:r w:rsidRPr="00394E1F">
        <w:t xml:space="preserve"> </w:t>
      </w:r>
      <w:r w:rsidRPr="00394E1F">
        <w:rPr>
          <w:rStyle w:val="Emphasis"/>
        </w:rPr>
        <w:t xml:space="preserve">Bay Plain and Piedmont: A Landscape History of the Chesapeake Heartland from 1.3 </w:t>
      </w:r>
      <w:r w:rsidR="00DA4DD5" w:rsidRPr="00394E1F">
        <w:rPr>
          <w:rStyle w:val="Emphasis"/>
        </w:rPr>
        <w:t>billion</w:t>
      </w:r>
      <w:r w:rsidRPr="00394E1F">
        <w:rPr>
          <w:rStyle w:val="Emphasis"/>
        </w:rPr>
        <w:t xml:space="preserve"> Years Ago to 2000</w:t>
      </w:r>
      <w:r w:rsidRPr="00394E1F">
        <w:t xml:space="preserve"> (Chesapeake Bay Heritage Context Project, September 2000). </w:t>
      </w:r>
      <w:r w:rsidR="00986ACE">
        <w:t>These</w:t>
      </w:r>
      <w:r w:rsidRPr="00394E1F">
        <w:t xml:space="preserve"> studies interpret the Chesapeake region as a cultural and environmental landscape shaped by settlement, water networks, agricultural traditions, and interwoven Black histories. </w:t>
      </w:r>
    </w:p>
  </w:footnote>
  <w:footnote w:id="15">
    <w:p w14:paraId="12C0E711" w14:textId="652062FB" w:rsidR="00E65F7C" w:rsidRPr="00394E1F" w:rsidRDefault="00E65F7C" w:rsidP="008B4B3E">
      <w:pPr>
        <w:pStyle w:val="FootnoteText"/>
        <w:rPr>
          <w:lang w:val="en-US"/>
        </w:rPr>
      </w:pPr>
      <w:r w:rsidRPr="00394E1F">
        <w:rPr>
          <w:rStyle w:val="FootnoteReference"/>
        </w:rPr>
        <w:footnoteRef/>
      </w:r>
      <w:r w:rsidRPr="00394E1F">
        <w:t xml:space="preserve"> McIntosh et al., </w:t>
      </w:r>
      <w:r w:rsidRPr="00394E1F">
        <w:rPr>
          <w:rStyle w:val="Emphasis"/>
        </w:rPr>
        <w:t>Bay Plain and Piedmont</w:t>
      </w:r>
      <w:r w:rsidRPr="00394E1F">
        <w:t xml:space="preserve"> (2000). The report emphasizes the Chesapeake’s river systems, marshlands, and shoreline transportation networks as fundamental to regional settlement and labor patterns</w:t>
      </w:r>
      <w:r w:rsidR="00986ACE">
        <w:t xml:space="preserve"> that </w:t>
      </w:r>
      <w:r w:rsidRPr="00394E1F">
        <w:t>structured the lives of enslaved and free African Americans</w:t>
      </w:r>
      <w:r w:rsidR="00986ACE">
        <w:t>.</w:t>
      </w:r>
    </w:p>
  </w:footnote>
  <w:footnote w:id="16">
    <w:p w14:paraId="431FD247" w14:textId="269D26F5" w:rsidR="00E41BA2" w:rsidRPr="00394E1F" w:rsidRDefault="00E41BA2" w:rsidP="008B4B3E">
      <w:pPr>
        <w:pStyle w:val="FootnoteText"/>
        <w:rPr>
          <w:lang w:val="en-US"/>
        </w:rPr>
      </w:pPr>
      <w:r w:rsidRPr="00394E1F">
        <w:rPr>
          <w:rStyle w:val="FootnoteReference"/>
        </w:rPr>
        <w:footnoteRef/>
      </w:r>
      <w:r w:rsidRPr="00394E1F">
        <w:t xml:space="preserve"> Map of the Chesapeake Bay watershed overlaid</w:t>
      </w:r>
      <w:r w:rsidR="009E7825">
        <w:t xml:space="preserve"> </w:t>
      </w:r>
      <w:r w:rsidRPr="00394E1F">
        <w:t>with African American historical figures to convey the cultural, historical, and geographic significance of African American life</w:t>
      </w:r>
      <w:r w:rsidR="009E7825">
        <w:t xml:space="preserve"> </w:t>
      </w:r>
      <w:r w:rsidRPr="00394E1F">
        <w:t>across the region.</w:t>
      </w:r>
    </w:p>
  </w:footnote>
  <w:footnote w:id="17">
    <w:p w14:paraId="1A3AD9B5" w14:textId="63A04FF6" w:rsidR="00E65F7C" w:rsidRPr="00394E1F" w:rsidRDefault="00E65F7C" w:rsidP="008B4B3E">
      <w:pPr>
        <w:pStyle w:val="FootnoteText"/>
        <w:rPr>
          <w:lang w:val="en-US"/>
        </w:rPr>
      </w:pPr>
      <w:r w:rsidRPr="00394E1F">
        <w:rPr>
          <w:rStyle w:val="FootnoteReference"/>
        </w:rPr>
        <w:footnoteRef/>
      </w:r>
      <w:r w:rsidRPr="00394E1F">
        <w:t xml:space="preserve"> “Nothing About Me, Without Me: Making Shared Heritage Interpretations a Reality,” Stories of the Chesapeake Heritage Area, virtual workshop series, January–February 2022. Darius Johnson served as moderator for the February 8 session, </w:t>
      </w:r>
      <w:r w:rsidRPr="00394E1F">
        <w:rPr>
          <w:rStyle w:val="Emphasis"/>
        </w:rPr>
        <w:t>Building on Success: Emerging Projects</w:t>
      </w:r>
      <w:r w:rsidRPr="00394E1F">
        <w:t xml:space="preserve">, featuring Frederick Douglass Park on the Tuckahoe, Harriet’s Footprints at Mt. Pleasant Acres Farms, and The Shantytowns of Kent Narrows. Event details available at Attraction Magazine, “Nothing About Me, Without Me: Making Shared Heritage Interpretations a Reality,” January 25, 2022, </w:t>
      </w:r>
      <w:hyperlink r:id="rId7" w:tgtFrame="_new" w:history="1">
        <w:r w:rsidRPr="00394E1F">
          <w:rPr>
            <w:rStyle w:val="Hyperlink"/>
          </w:rPr>
          <w:t>https://attractionmag.com/events/nothing-about-me-without-me-making-shared-heritage-interpretations-a-realty/</w:t>
        </w:r>
      </w:hyperlink>
      <w:r w:rsidR="00E41BA2" w:rsidRPr="00394E1F">
        <w:t xml:space="preserve">. Recordings of workshops are located on the </w:t>
      </w:r>
      <w:hyperlink r:id="rId8" w:history="1">
        <w:r w:rsidR="00E41BA2" w:rsidRPr="00394E1F">
          <w:rPr>
            <w:rStyle w:val="Hyperlink"/>
          </w:rPr>
          <w:t>Stories of the Chesapeake Heritage Area YouTube</w:t>
        </w:r>
      </w:hyperlink>
      <w:r w:rsidR="00E41BA2" w:rsidRPr="00394E1F">
        <w:t xml:space="preserve"> page. </w:t>
      </w:r>
    </w:p>
  </w:footnote>
  <w:footnote w:id="18">
    <w:p w14:paraId="1EB478D9" w14:textId="4F6AE17F" w:rsidR="000469BE" w:rsidRPr="00394E1F" w:rsidRDefault="000469BE" w:rsidP="008B4B3E">
      <w:pPr>
        <w:pStyle w:val="FootnoteText"/>
        <w:rPr>
          <w:lang w:val="en-US"/>
        </w:rPr>
      </w:pPr>
      <w:r w:rsidRPr="00394E1F">
        <w:rPr>
          <w:rStyle w:val="FootnoteReference"/>
        </w:rPr>
        <w:footnoteRef/>
      </w:r>
      <w:r w:rsidRPr="00394E1F">
        <w:t xml:space="preserve"> </w:t>
      </w:r>
      <w:r w:rsidRPr="00394E1F">
        <w:rPr>
          <w:lang w:val="en-US"/>
        </w:rPr>
        <w:t xml:space="preserve">Email correspondence from the stakeholders to Jaelon T. Moaney, Vice Chair of the Maryland Commission on African American History Culture and Darius Johnson (author; via his role on Maryland Historical Trust). The organization reach out for help with advocacy to the </w:t>
      </w:r>
      <w:r w:rsidR="00E41BA2" w:rsidRPr="00394E1F">
        <w:rPr>
          <w:lang w:val="en-US"/>
        </w:rPr>
        <w:t>State of Maryland for intervention</w:t>
      </w:r>
      <w:r w:rsidRPr="00394E1F">
        <w:rPr>
          <w:lang w:val="en-US"/>
        </w:rPr>
        <w:t>.</w:t>
      </w:r>
    </w:p>
  </w:footnote>
  <w:footnote w:id="19">
    <w:p w14:paraId="052342C1" w14:textId="3F2AD54E" w:rsidR="004F7384" w:rsidRPr="00394E1F" w:rsidRDefault="004F7384" w:rsidP="008B4B3E">
      <w:pPr>
        <w:pStyle w:val="FootnoteText"/>
        <w:rPr>
          <w:lang w:val="en-US"/>
        </w:rPr>
      </w:pPr>
      <w:r w:rsidRPr="00394E1F">
        <w:rPr>
          <w:rStyle w:val="FootnoteReference"/>
        </w:rPr>
        <w:footnoteRef/>
      </w:r>
      <w:r w:rsidRPr="00394E1F">
        <w:t xml:space="preserve"> </w:t>
      </w:r>
      <w:r w:rsidR="00E41BA2" w:rsidRPr="00394E1F">
        <w:rPr>
          <w:lang w:val="en-US"/>
        </w:rPr>
        <w:t>Several</w:t>
      </w:r>
      <w:r w:rsidRPr="00394E1F">
        <w:rPr>
          <w:lang w:val="en-US"/>
        </w:rPr>
        <w:t xml:space="preserve"> of these issues and more are highlighted in</w:t>
      </w:r>
      <w:r w:rsidR="005F5F28" w:rsidRPr="00394E1F">
        <w:rPr>
          <w:lang w:val="en-US"/>
        </w:rPr>
        <w:t xml:space="preserve"> </w:t>
      </w:r>
      <w:r w:rsidR="005F5F28" w:rsidRPr="00394E1F">
        <w:t xml:space="preserve">National Trust for Historic Preservation, African American Cultural Heritage Action Fund, </w:t>
      </w:r>
      <w:r w:rsidR="005F5F28" w:rsidRPr="00394E1F">
        <w:rPr>
          <w:rStyle w:val="Emphasis"/>
        </w:rPr>
        <w:t>Preserving Places: Growing Preservation’s Potential as a Path for Equity</w:t>
      </w:r>
      <w:r w:rsidR="005F5F28" w:rsidRPr="00394E1F">
        <w:t xml:space="preserve"> (Washington, DC: National Trust for Historic Preservation, October 2020), </w:t>
      </w:r>
      <w:hyperlink r:id="rId9" w:tgtFrame="_new" w:history="1">
        <w:r w:rsidR="005F5F28" w:rsidRPr="00394E1F">
          <w:rPr>
            <w:rStyle w:val="Hyperlink"/>
          </w:rPr>
          <w:t>https://cdn.savingplaces.org/2023/08/10/13/57/18/226/AACHAF_EquityStudyReport_lo-res.pdf</w:t>
        </w:r>
      </w:hyperlink>
    </w:p>
  </w:footnote>
  <w:footnote w:id="20">
    <w:p w14:paraId="362BC1F9" w14:textId="5AE4EC20" w:rsidR="005F5F28" w:rsidRPr="00394E1F" w:rsidRDefault="005F5F28" w:rsidP="008B4B3E">
      <w:pPr>
        <w:pStyle w:val="FootnoteText"/>
        <w:rPr>
          <w:lang w:val="en-US"/>
        </w:rPr>
      </w:pPr>
      <w:r w:rsidRPr="00394E1F">
        <w:rPr>
          <w:rStyle w:val="FootnoteReference"/>
        </w:rPr>
        <w:footnoteRef/>
      </w:r>
      <w:r w:rsidRPr="00394E1F">
        <w:t xml:space="preserve"> </w:t>
      </w:r>
      <w:r w:rsidRPr="00394E1F">
        <w:rPr>
          <w:lang w:val="en-US"/>
        </w:rPr>
        <w:t>Ibid, 44.</w:t>
      </w:r>
    </w:p>
  </w:footnote>
  <w:footnote w:id="21">
    <w:p w14:paraId="0566083B" w14:textId="757E0566" w:rsidR="005F5F28" w:rsidRPr="00394E1F" w:rsidRDefault="005F5F28" w:rsidP="008B4B3E">
      <w:pPr>
        <w:pStyle w:val="FootnoteText"/>
        <w:rPr>
          <w:lang w:val="en-US"/>
        </w:rPr>
      </w:pPr>
      <w:r w:rsidRPr="00394E1F">
        <w:rPr>
          <w:rStyle w:val="FootnoteReference"/>
        </w:rPr>
        <w:footnoteRef/>
      </w:r>
      <w:r w:rsidRPr="00394E1F">
        <w:t xml:space="preserve"> </w:t>
      </w:r>
      <w:r w:rsidRPr="00394E1F">
        <w:rPr>
          <w:lang w:val="en-US"/>
        </w:rPr>
        <w:t>Practices or phenomenon that have developed within Black communities out of a need to survive within and outside of a system that has oppressed, excluded, and overlooked the nuances of the Black experience.</w:t>
      </w:r>
    </w:p>
  </w:footnote>
  <w:footnote w:id="22">
    <w:p w14:paraId="284130E8" w14:textId="498D6BC1" w:rsidR="005F5F28" w:rsidRPr="00394E1F" w:rsidRDefault="005F5F28" w:rsidP="008B4B3E">
      <w:pPr>
        <w:pStyle w:val="FootnoteText"/>
        <w:rPr>
          <w:lang w:val="en-US"/>
        </w:rPr>
      </w:pPr>
      <w:r w:rsidRPr="00394E1F">
        <w:rPr>
          <w:rStyle w:val="FootnoteReference"/>
        </w:rPr>
        <w:footnoteRef/>
      </w:r>
      <w:r w:rsidRPr="00394E1F">
        <w:t xml:space="preserve"> </w:t>
      </w:r>
      <w:r w:rsidRPr="00394E1F">
        <w:rPr>
          <w:lang w:val="en-US"/>
        </w:rPr>
        <w:t>See chapter two for context on the revenue generation of heritage tourism versus the lived experience and struggles of communities within heritage areas.</w:t>
      </w:r>
    </w:p>
  </w:footnote>
  <w:footnote w:id="23">
    <w:p w14:paraId="7E423A2A" w14:textId="03B8276B" w:rsidR="00010B03" w:rsidRPr="00394E1F" w:rsidRDefault="00010B03" w:rsidP="008B4B3E">
      <w:pPr>
        <w:pStyle w:val="FootnoteText"/>
        <w:rPr>
          <w:lang w:val="en-US"/>
        </w:rPr>
      </w:pPr>
      <w:r w:rsidRPr="00394E1F">
        <w:rPr>
          <w:rStyle w:val="FootnoteReference"/>
        </w:rPr>
        <w:footnoteRef/>
      </w:r>
      <w:r w:rsidRPr="00394E1F">
        <w:t xml:space="preserve"> Mutual aid societies during Reconstruction and Jim Crow filled the gap left by exclusionary state structures. </w:t>
      </w:r>
      <w:r w:rsidR="00AF5336" w:rsidRPr="00394E1F">
        <w:t xml:space="preserve">Scholars such as David T. Beito contend that the decline of many African American cooperative institutions—including fraternal societies, mutual-aid lodges, and community-run medical systems—stemmed from the expanding reach of government programs and the growing dominance of private commercial services. Mound Bayou, Mississippi. Joe Trippi, “Fraternal Societies as Alternate Welfare Institutions,” </w:t>
      </w:r>
      <w:r w:rsidR="00AF5336" w:rsidRPr="00394E1F">
        <w:rPr>
          <w:rStyle w:val="Emphasis"/>
        </w:rPr>
        <w:t>The Circulation of Elites</w:t>
      </w:r>
      <w:r w:rsidR="00AF5336" w:rsidRPr="00394E1F">
        <w:t xml:space="preserve"> (Substack), August 23, 2023, </w:t>
      </w:r>
      <w:hyperlink r:id="rId10" w:tgtFrame="_new" w:history="1">
        <w:r w:rsidR="00AF5336" w:rsidRPr="00394E1F">
          <w:rPr>
            <w:rStyle w:val="Hyperlink"/>
          </w:rPr>
          <w:t>https://thecirculationofelites.substack.com/p/fraternal-societies-as-alternate</w:t>
        </w:r>
      </w:hyperlink>
      <w:r w:rsidR="00AF5336" w:rsidRPr="00394E1F">
        <w:t xml:space="preserve"> </w:t>
      </w:r>
    </w:p>
  </w:footnote>
  <w:footnote w:id="24">
    <w:p w14:paraId="1A7CB703" w14:textId="6D732771" w:rsidR="00AF5336" w:rsidRPr="00394E1F" w:rsidRDefault="00AF5336" w:rsidP="008B4B3E">
      <w:pPr>
        <w:pStyle w:val="FootnoteText"/>
        <w:rPr>
          <w:lang w:val="en-US"/>
        </w:rPr>
      </w:pPr>
      <w:r w:rsidRPr="00394E1F">
        <w:rPr>
          <w:rStyle w:val="FootnoteReference"/>
        </w:rPr>
        <w:footnoteRef/>
      </w:r>
      <w:r w:rsidRPr="00394E1F">
        <w:t xml:space="preserve"> </w:t>
      </w:r>
      <w:r w:rsidR="00C5531F" w:rsidRPr="00394E1F">
        <w:t>The principles outlined here are the author’s distillation of ideas that consistently appear across the histories and theories that inform the CHC framework. They were not explicitly defined as “principles” by earlier movements but are instead drawn from the author’s interpretation of patterns that recur throughout those traditions.</w:t>
      </w:r>
    </w:p>
  </w:footnote>
  <w:footnote w:id="25">
    <w:p w14:paraId="65FDC814" w14:textId="6AABFD75" w:rsidR="00C5531F" w:rsidRPr="00394E1F" w:rsidRDefault="00C5531F" w:rsidP="008B4B3E">
      <w:pPr>
        <w:pStyle w:val="FootnoteText"/>
        <w:rPr>
          <w:lang w:val="en-US"/>
        </w:rPr>
      </w:pPr>
      <w:r w:rsidRPr="00394E1F">
        <w:rPr>
          <w:rStyle w:val="FootnoteReference"/>
        </w:rPr>
        <w:footnoteRef/>
      </w:r>
      <w:r w:rsidRPr="00394E1F">
        <w:t xml:space="preserve"> See Jessica Gordon Nembhard, </w:t>
      </w:r>
      <w:r w:rsidRPr="00394E1F">
        <w:rPr>
          <w:rStyle w:val="Emphasis"/>
        </w:rPr>
        <w:t>Collective Courage: A History of African American Cooperative Economic Thought and Practice</w:t>
      </w:r>
      <w:r w:rsidRPr="00394E1F">
        <w:t xml:space="preserve"> (University Park: Pennsylvania State University Press, 2014); and Monica M. White, </w:t>
      </w:r>
      <w:r w:rsidRPr="00394E1F">
        <w:rPr>
          <w:rStyle w:val="Emphasis"/>
        </w:rPr>
        <w:t>Freedom Farmers: Agricultural Resistance and the Black Freedom Movement</w:t>
      </w:r>
      <w:r w:rsidRPr="00394E1F">
        <w:t xml:space="preserve"> (Chapel Hill: University of North Carolina Press, 2019).</w:t>
      </w:r>
    </w:p>
  </w:footnote>
  <w:footnote w:id="26">
    <w:p w14:paraId="44C86D29" w14:textId="4A344CFE" w:rsidR="00E41BA2" w:rsidRPr="00394E1F" w:rsidRDefault="00E41BA2" w:rsidP="008B4B3E">
      <w:pPr>
        <w:pStyle w:val="FootnoteText"/>
        <w:rPr>
          <w:lang w:val="en-US"/>
        </w:rPr>
      </w:pPr>
      <w:r w:rsidRPr="00394E1F">
        <w:rPr>
          <w:rStyle w:val="FootnoteReference"/>
        </w:rPr>
        <w:footnoteRef/>
      </w:r>
      <w:r w:rsidRPr="00394E1F">
        <w:t xml:space="preserve"> </w:t>
      </w:r>
      <w:r w:rsidRPr="00394E1F">
        <w:rPr>
          <w:lang w:val="en-US"/>
        </w:rPr>
        <w:t xml:space="preserve">Scholars Betsy Bradley and Jacky Shin have contextualized </w:t>
      </w:r>
      <w:r w:rsidRPr="00394E1F">
        <w:rPr>
          <w:i/>
          <w:iCs/>
          <w:lang w:val="en-US"/>
        </w:rPr>
        <w:t>Heritage Communities of Practic</w:t>
      </w:r>
      <w:r w:rsidRPr="00394E1F">
        <w:rPr>
          <w:lang w:val="en-US"/>
        </w:rPr>
        <w:t>e in various works.</w:t>
      </w:r>
    </w:p>
  </w:footnote>
  <w:footnote w:id="27">
    <w:p w14:paraId="7E832EE1" w14:textId="4D2E856D" w:rsidR="00E41BA2" w:rsidRPr="009E7825" w:rsidRDefault="00E41BA2" w:rsidP="008B4B3E">
      <w:pPr>
        <w:pStyle w:val="FootnoteText"/>
        <w:rPr>
          <w:rFonts w:cs="Times New Roman"/>
        </w:rPr>
      </w:pPr>
      <w:r w:rsidRPr="009E7825">
        <w:rPr>
          <w:rStyle w:val="FootnoteReference"/>
          <w:rFonts w:cs="Times New Roman"/>
        </w:rPr>
        <w:footnoteRef/>
      </w:r>
      <w:r w:rsidRPr="009E7825">
        <w:rPr>
          <w:rFonts w:cs="Times New Roman"/>
        </w:rPr>
        <w:t xml:space="preserve"> Bradley, Betsy. “First Thoughts on a Community of Practice Approach in Heritage Work.” Draft manuscript, October 2024.</w:t>
      </w:r>
    </w:p>
  </w:footnote>
  <w:footnote w:id="28">
    <w:p w14:paraId="3332C4D9" w14:textId="5CF71A55" w:rsidR="00E41BA2" w:rsidRPr="00394E1F" w:rsidRDefault="00E41BA2" w:rsidP="008B4B3E">
      <w:pPr>
        <w:pStyle w:val="FootnoteText"/>
        <w:rPr>
          <w:lang w:val="en-US"/>
        </w:rPr>
      </w:pPr>
      <w:r w:rsidRPr="00394E1F">
        <w:rPr>
          <w:rStyle w:val="FootnoteReference"/>
        </w:rPr>
        <w:footnoteRef/>
      </w:r>
      <w:r w:rsidRPr="00394E1F">
        <w:t xml:space="preserve"> Jacqueline Shin, </w:t>
      </w:r>
      <w:r w:rsidRPr="00394E1F">
        <w:rPr>
          <w:rStyle w:val="Emphasis"/>
        </w:rPr>
        <w:t>The Right to Privacy: A Call for a More Inclusive Heritage Practice</w:t>
      </w:r>
      <w:r w:rsidRPr="00394E1F">
        <w:t xml:space="preserve"> (master’s thesis, Goucher College, Welch Center for Graduate and Professional Studies, 2024), </w:t>
      </w:r>
      <w:hyperlink r:id="rId11" w:tgtFrame="_new" w:history="1">
        <w:r w:rsidRPr="00394E1F">
          <w:rPr>
            <w:rStyle w:val="Hyperlink"/>
          </w:rPr>
          <w:t>https://mdsoar.org/items/064d277e-985d-49da-862a-c37d1291f1ef</w:t>
        </w:r>
      </w:hyperlink>
    </w:p>
  </w:footnote>
  <w:footnote w:id="29">
    <w:p w14:paraId="65663D59" w14:textId="38F5DD15" w:rsidR="00E41BA2" w:rsidRPr="00394E1F" w:rsidRDefault="00E41BA2" w:rsidP="008B4B3E">
      <w:pPr>
        <w:pStyle w:val="FootnoteText"/>
        <w:rPr>
          <w:lang w:val="en-US"/>
        </w:rPr>
      </w:pPr>
      <w:r w:rsidRPr="00394E1F">
        <w:rPr>
          <w:rStyle w:val="FootnoteReference"/>
        </w:rPr>
        <w:footnoteRef/>
      </w:r>
      <w:r w:rsidRPr="00394E1F">
        <w:t xml:space="preserve"> George Lipsitz, </w:t>
      </w:r>
      <w:r w:rsidRPr="00394E1F">
        <w:rPr>
          <w:rStyle w:val="Emphasis"/>
        </w:rPr>
        <w:t>How Racism Takes Place</w:t>
      </w:r>
      <w:r w:rsidRPr="00394E1F">
        <w:t xml:space="preserve"> (Philadelphia: Temple University Press, 2011), especially the discussion of white and Black spatial imaginaries. Lipsitz explains how the white spatial imaginary prioritizes privatized ownership, market-based value, and exclusion, while the Black spatial imaginary emphasizes social belonging, use-value, collective benefit, and shared stewardship. Preservation systems often reflect the former, whereas the Cooperative Heritage Community framework aligns more closely with the latter by centering descendant community needs and collective relationships to place.</w:t>
      </w:r>
    </w:p>
  </w:footnote>
  <w:footnote w:id="30">
    <w:p w14:paraId="24B060F5" w14:textId="285F7D9E" w:rsidR="00E41BA2" w:rsidRPr="00394E1F" w:rsidRDefault="00E41BA2" w:rsidP="008B4B3E">
      <w:pPr>
        <w:pStyle w:val="FootnoteText"/>
        <w:rPr>
          <w:lang w:val="en-US"/>
        </w:rPr>
      </w:pPr>
      <w:r w:rsidRPr="00394E1F">
        <w:rPr>
          <w:rStyle w:val="FootnoteReference"/>
        </w:rPr>
        <w:footnoteRef/>
      </w:r>
      <w:r w:rsidRPr="00394E1F">
        <w:t xml:space="preserve"> </w:t>
      </w:r>
      <w:r w:rsidRPr="00394E1F">
        <w:rPr>
          <w:color w:val="000000"/>
        </w:rPr>
        <w:t xml:space="preserve">Maarten Jacobs, Heritage contestation in matterscape, mindscape, and powerscape, May 8, 2023, </w:t>
      </w:r>
      <w:hyperlink r:id="rId12" w:history="1">
        <w:r w:rsidRPr="00394E1F">
          <w:rPr>
            <w:rStyle w:val="Hyperlink"/>
            <w:color w:val="1155CC"/>
          </w:rPr>
          <w:t>https://www.tandfonline.com/doi/full/10.1080/01426397.2023.2208058</w:t>
        </w:r>
      </w:hyperlink>
      <w:r w:rsidRPr="00394E1F">
        <w:rPr>
          <w:color w:val="000000"/>
        </w:rPr>
        <w:t>, 1041</w:t>
      </w:r>
    </w:p>
  </w:footnote>
  <w:footnote w:id="31">
    <w:p w14:paraId="6542343F" w14:textId="2C450C3C" w:rsidR="00951261" w:rsidRPr="00394E1F" w:rsidRDefault="00951261" w:rsidP="008B4B3E">
      <w:pPr>
        <w:pStyle w:val="FootnoteText"/>
        <w:rPr>
          <w:lang w:val="en-US"/>
        </w:rPr>
      </w:pPr>
      <w:r w:rsidRPr="00394E1F">
        <w:rPr>
          <w:rStyle w:val="FootnoteReference"/>
        </w:rPr>
        <w:footnoteRef/>
      </w:r>
      <w:r w:rsidRPr="00394E1F">
        <w:t xml:space="preserve"> </w:t>
      </w:r>
      <w:r w:rsidRPr="00394E1F">
        <w:rPr>
          <w:lang w:val="en-US"/>
        </w:rPr>
        <w:t xml:space="preserve">Scholars like Brenda Barrett and Betsy Bradley have explored the connections between heritage work and </w:t>
      </w:r>
      <w:r w:rsidR="0050798E" w:rsidRPr="00394E1F">
        <w:rPr>
          <w:lang w:val="en-US"/>
        </w:rPr>
        <w:t xml:space="preserve">communities that people “live-in” or “live-through” whereas practitioners must recognize the “living” elements of places. </w:t>
      </w:r>
    </w:p>
  </w:footnote>
  <w:footnote w:id="32">
    <w:p w14:paraId="00000276" w14:textId="06286977" w:rsidR="0006233B" w:rsidRPr="00394E1F" w:rsidRDefault="00C5531F" w:rsidP="008B4B3E">
      <w:pPr>
        <w:pStyle w:val="FootnoteText"/>
      </w:pPr>
      <w:r w:rsidRPr="00394E1F">
        <w:rPr>
          <w:vertAlign w:val="superscript"/>
        </w:rPr>
        <w:footnoteRef/>
      </w:r>
      <w:r w:rsidRPr="00394E1F">
        <w:t xml:space="preserve"> Nick Tabor,</w:t>
      </w:r>
      <w:r w:rsidR="00986ACE" w:rsidRPr="00986ACE">
        <w:rPr>
          <w:rFonts w:cs="Times New Roman"/>
          <w:noProof/>
          <w:sz w:val="24"/>
          <w:szCs w:val="24"/>
        </w:rPr>
        <w:t xml:space="preserve"> </w:t>
      </w:r>
      <w:r w:rsidRPr="00394E1F">
        <w:t xml:space="preserve">“Black Historic Landmarks Started with Two Brothers in a D.C. Basement,” The Washington Post, February 11, 2023, </w:t>
      </w:r>
      <w:r w:rsidR="00DA4DD5" w:rsidRPr="00394E1F">
        <w:t>https://www.washingtonpost.com/history/2023/02/11/black-historic-preservation-bicentennial-corportation/.</w:t>
      </w:r>
    </w:p>
  </w:footnote>
  <w:footnote w:id="33">
    <w:p w14:paraId="178EECE2" w14:textId="4638E2C1" w:rsidR="0050798E" w:rsidRPr="00394E1F" w:rsidRDefault="0050798E" w:rsidP="008B4B3E">
      <w:pPr>
        <w:pStyle w:val="FootnoteText"/>
        <w:rPr>
          <w:lang w:val="en-US"/>
        </w:rPr>
      </w:pPr>
      <w:r w:rsidRPr="00394E1F">
        <w:rPr>
          <w:rStyle w:val="FootnoteReference"/>
        </w:rPr>
        <w:footnoteRef/>
      </w:r>
      <w:r w:rsidRPr="00394E1F">
        <w:t xml:space="preserve"> Kaila Philo, “Exploring the Chesapeake Bay’s Unsung Black History,” </w:t>
      </w:r>
      <w:r w:rsidRPr="00394E1F">
        <w:rPr>
          <w:rStyle w:val="Emphasis"/>
        </w:rPr>
        <w:t>Saving Places</w:t>
      </w:r>
      <w:r w:rsidRPr="00394E1F">
        <w:t xml:space="preserve"> (National Trust for Historic Preservation), August 28, 2025, </w:t>
      </w:r>
      <w:hyperlink r:id="rId13" w:tgtFrame="_new" w:history="1">
        <w:r w:rsidRPr="00394E1F">
          <w:rPr>
            <w:rStyle w:val="Hyperlink"/>
          </w:rPr>
          <w:t>https://savingplaces.org/stories/chesapeake-black-history-elktonia</w:t>
        </w:r>
      </w:hyperlink>
      <w:r w:rsidR="009237B1" w:rsidRPr="00394E1F">
        <w:t xml:space="preserve">. </w:t>
      </w:r>
      <w:r w:rsidR="009237B1" w:rsidRPr="00394E1F">
        <w:rPr>
          <w:rStyle w:val="Strong"/>
          <w:b w:val="0"/>
          <w:bCs w:val="0"/>
        </w:rPr>
        <w:t>Vince Leggett (1953–2024)</w:t>
      </w:r>
      <w:r w:rsidR="009237B1" w:rsidRPr="00394E1F">
        <w:rPr>
          <w:b/>
          <w:bCs/>
        </w:rPr>
        <w:t xml:space="preserve"> </w:t>
      </w:r>
      <w:r w:rsidR="009237B1" w:rsidRPr="00394E1F">
        <w:t>was a historian and conservationist whose work exemplified the principles of Cooperative Heritage Communities through shared authority, coalition-building, and the integration of environmental and cultural stewardship.</w:t>
      </w:r>
    </w:p>
  </w:footnote>
  <w:footnote w:id="34">
    <w:p w14:paraId="669A0080" w14:textId="0BFD990D" w:rsidR="009237B1" w:rsidRPr="00394E1F" w:rsidRDefault="009237B1" w:rsidP="008B4B3E">
      <w:pPr>
        <w:pStyle w:val="FootnoteText"/>
        <w:rPr>
          <w:lang w:val="en-US"/>
        </w:rPr>
      </w:pPr>
      <w:r w:rsidRPr="00394E1F">
        <w:rPr>
          <w:rStyle w:val="FootnoteReference"/>
        </w:rPr>
        <w:footnoteRef/>
      </w:r>
      <w:r w:rsidRPr="00394E1F">
        <w:t xml:space="preserve"> Airlee Ringgold Johnson, </w:t>
      </w:r>
      <w:r w:rsidRPr="00394E1F">
        <w:rPr>
          <w:rStyle w:val="Emphasis"/>
        </w:rPr>
        <w:t>Ringgold Family Carr’s and Sparrow’s Beach Pamphlet</w:t>
      </w:r>
      <w:r w:rsidRPr="00394E1F">
        <w:t>, February 2, 2019, Starr Center for the Study of the American Experience at Washington College.</w:t>
      </w:r>
    </w:p>
  </w:footnote>
  <w:footnote w:id="35">
    <w:p w14:paraId="00000277" w14:textId="05DA0B71" w:rsidR="0006233B" w:rsidRPr="00394E1F" w:rsidRDefault="00C5531F" w:rsidP="008B4B3E">
      <w:pPr>
        <w:pStyle w:val="FootnoteText"/>
      </w:pPr>
      <w:r w:rsidRPr="00394E1F">
        <w:rPr>
          <w:vertAlign w:val="superscript"/>
        </w:rPr>
        <w:footnoteRef/>
      </w:r>
      <w:r w:rsidRPr="00394E1F">
        <w:t xml:space="preserve"> </w:t>
      </w:r>
      <w:r w:rsidR="006A04DD" w:rsidRPr="00394E1F">
        <w:t xml:space="preserve">Avrami, Erica, and Randall Mason. “Mapping the Issue of Values.” In </w:t>
      </w:r>
      <w:r w:rsidR="006A04DD" w:rsidRPr="00394E1F">
        <w:rPr>
          <w:rStyle w:val="Emphasis"/>
        </w:rPr>
        <w:t>Values in Heritage Management: Emerging Approaches and Research Directions</w:t>
      </w:r>
      <w:r w:rsidR="006A04DD" w:rsidRPr="00394E1F">
        <w:t>, edited by Erica Avrami, Susan Macdonald, Randall Mason, and David Myers. Los Angeles: Getty Conservation Institute, 2019. The core argument being that argument that conservation must move beyond a narrow focus on “heritage values” to engage wider societal shifts toward resilience, inclusion, and environmental responsibility, redefining its goals so that heritage practice directly advances social, economic, and ecological well-being</w:t>
      </w:r>
    </w:p>
  </w:footnote>
  <w:footnote w:id="36">
    <w:p w14:paraId="2F1492D6" w14:textId="51F80612" w:rsidR="006A04DD" w:rsidRPr="00394E1F" w:rsidRDefault="006A04DD" w:rsidP="008B4B3E">
      <w:pPr>
        <w:pStyle w:val="FootnoteText"/>
        <w:rPr>
          <w:lang w:val="en-US"/>
        </w:rPr>
      </w:pPr>
      <w:r w:rsidRPr="00394E1F">
        <w:rPr>
          <w:rStyle w:val="FootnoteReference"/>
        </w:rPr>
        <w:footnoteRef/>
      </w:r>
      <w:r w:rsidRPr="00394E1F">
        <w:t xml:space="preserve"> Chartered Institute of Personnel and Development, “PESTLE Analysis,” CIPD, </w:t>
      </w:r>
      <w:hyperlink r:id="rId14" w:tgtFrame="_blank" w:history="1">
        <w:r w:rsidRPr="00394E1F">
          <w:rPr>
            <w:rStyle w:val="text-box-trim-both"/>
            <w:color w:val="0000FF"/>
            <w:u w:val="single"/>
          </w:rPr>
          <w:t>https://www.cipd.org/en/knowledge/factsheets/pestle-analysis-factsheet/</w:t>
        </w:r>
      </w:hyperlink>
    </w:p>
  </w:footnote>
  <w:footnote w:id="37">
    <w:p w14:paraId="00000279" w14:textId="4BE64B1B" w:rsidR="0006233B" w:rsidRPr="00394E1F" w:rsidRDefault="00C5531F" w:rsidP="008B4B3E">
      <w:pPr>
        <w:pStyle w:val="FootnoteText"/>
      </w:pPr>
      <w:r w:rsidRPr="00394E1F">
        <w:rPr>
          <w:vertAlign w:val="superscript"/>
        </w:rPr>
        <w:footnoteRef/>
      </w:r>
      <w:r w:rsidRPr="00394E1F">
        <w:t xml:space="preserve"> </w:t>
      </w:r>
      <w:r w:rsidR="00CC5F36" w:rsidRPr="00394E1F">
        <w:t>U.S. Department of the Interior, Fiscal Year 2026 Budget in Brief: National Park Service (Washington, DC: U.S. Department of the Interior, 2025), https://www.doi.gov/sites/default/files/documents/2025-06/fy26bibnps508.pdf</w:t>
      </w:r>
    </w:p>
  </w:footnote>
  <w:footnote w:id="38">
    <w:p w14:paraId="0C87C4FE" w14:textId="6EAB4749" w:rsidR="00CC5F36" w:rsidRPr="00394E1F" w:rsidRDefault="00CC5F36" w:rsidP="008B4B3E">
      <w:pPr>
        <w:pStyle w:val="FootnoteText"/>
        <w:rPr>
          <w:lang w:val="en-US"/>
        </w:rPr>
      </w:pPr>
      <w:r w:rsidRPr="00394E1F">
        <w:rPr>
          <w:rStyle w:val="FootnoteReference"/>
        </w:rPr>
        <w:footnoteRef/>
      </w:r>
      <w:r w:rsidRPr="00394E1F">
        <w:t xml:space="preserve"> National Conference of State Historic Preservation Officers (NCSHPO), “No Sign of FY25 HPF Funds,” June 12, 2025, </w:t>
      </w:r>
      <w:hyperlink r:id="rId15" w:tgtFrame="_blank" w:history="1">
        <w:r w:rsidRPr="00394E1F">
          <w:rPr>
            <w:rStyle w:val="text-box-trim-both"/>
            <w:color w:val="0000FF"/>
            <w:u w:val="single"/>
          </w:rPr>
          <w:t>https://ncshpo.org/2025/06/12/no-sign-of-fy25-hpf-funds/</w:t>
        </w:r>
      </w:hyperlink>
      <w:r w:rsidRPr="00394E1F">
        <w:t>. This “call-to-action” describes how federal delays in releasing fiscal year 2025 Historic Preservation Fund (HPF) money created an escalating crisis for State Historic Preservation Offices (SHPOs). At the point of this letter’s publication, SHPOs were unable to access funds appropriated by Congress, forcing them to exhaust remaining FY24 balances, cut travel, divert grant funds to salaries, borrow emergency state money, and in some cases lay off significant portions of staff (as in Ohio). The text warns that continued delay would lead to widespread layoffs, halted revitalization projects, unmet federal obligations under the National Historic Preservation Act, and potentially permanent closure of some SHPO offices, undermining decades of federal investment in preservation just as the nation approaches the 2026 Semiquincentennial.</w:t>
      </w:r>
    </w:p>
  </w:footnote>
  <w:footnote w:id="39">
    <w:p w14:paraId="0B857679" w14:textId="069C670A" w:rsidR="00185FA1" w:rsidRPr="00394E1F" w:rsidRDefault="00CC5F36" w:rsidP="008B4B3E">
      <w:pPr>
        <w:pStyle w:val="FootnoteText"/>
      </w:pPr>
      <w:r w:rsidRPr="00394E1F">
        <w:rPr>
          <w:rStyle w:val="FootnoteReference"/>
        </w:rPr>
        <w:footnoteRef/>
      </w:r>
      <w:r w:rsidRPr="00394E1F">
        <w:t xml:space="preserve"> </w:t>
      </w:r>
      <w:r w:rsidR="00185FA1" w:rsidRPr="00394E1F">
        <w:t>Brenna Spray, “The Historic Preservation Fund: Quietly Powerful (and Why It Needs Our Voice),” Maryland Historical Trust Blog, September 9, 2025.</w:t>
      </w:r>
    </w:p>
    <w:p w14:paraId="6364ED9B" w14:textId="1A1EAE08" w:rsidR="00CC5F36" w:rsidRPr="00394E1F" w:rsidRDefault="00CC5F36" w:rsidP="008B4B3E">
      <w:pPr>
        <w:pStyle w:val="FootnoteText"/>
        <w:rPr>
          <w:lang w:val="en-US"/>
        </w:rPr>
      </w:pPr>
    </w:p>
  </w:footnote>
  <w:footnote w:id="40">
    <w:p w14:paraId="0000027B" w14:textId="5E3B663C" w:rsidR="0006233B" w:rsidRPr="00394E1F" w:rsidRDefault="00C5531F" w:rsidP="008B4B3E">
      <w:pPr>
        <w:pStyle w:val="FootnoteText"/>
      </w:pPr>
      <w:r w:rsidRPr="00394E1F">
        <w:rPr>
          <w:vertAlign w:val="superscript"/>
        </w:rPr>
        <w:footnoteRef/>
      </w:r>
      <w:r w:rsidR="00185FA1" w:rsidRPr="00394E1F">
        <w:t>Maryland Department of Housing and Community Development, Division of Just Communities, Separate and Unequal Neighborhoods: A Baseline Report for the Maryland Department of Housing and Community Development Division of Just Communities (Lanham, MD: Maryland Department of Housing and Community Development),</w:t>
      </w:r>
      <w:r w:rsidRPr="00394E1F">
        <w:t xml:space="preserve"> https://dhcd.maryland.gov/Just-Communities/Pages/default.aspx#report</w:t>
      </w:r>
      <w:r w:rsidR="00185FA1" w:rsidRPr="00394E1F">
        <w:t xml:space="preserve">  </w:t>
      </w:r>
    </w:p>
  </w:footnote>
  <w:footnote w:id="41">
    <w:p w14:paraId="5322F645" w14:textId="7091DF57" w:rsidR="00185FA1" w:rsidRPr="00394E1F" w:rsidRDefault="00185FA1" w:rsidP="008B4B3E">
      <w:pPr>
        <w:pStyle w:val="FootnoteText"/>
        <w:rPr>
          <w:lang w:val="en-US"/>
        </w:rPr>
      </w:pPr>
      <w:r w:rsidRPr="00394E1F">
        <w:rPr>
          <w:rStyle w:val="FootnoteReference"/>
        </w:rPr>
        <w:footnoteRef/>
      </w:r>
      <w:r w:rsidRPr="00394E1F">
        <w:t xml:space="preserve"> </w:t>
      </w:r>
      <w:r w:rsidRPr="00394E1F">
        <w:rPr>
          <w:lang w:val="en-US"/>
        </w:rPr>
        <w:t xml:space="preserve">Conversation with Just Communities team on December 15, </w:t>
      </w:r>
      <w:r w:rsidR="00DA4DD5" w:rsidRPr="00394E1F">
        <w:rPr>
          <w:lang w:val="en-US"/>
        </w:rPr>
        <w:t>2025,</w:t>
      </w:r>
      <w:r w:rsidRPr="00394E1F">
        <w:rPr>
          <w:lang w:val="en-US"/>
        </w:rPr>
        <w:t xml:space="preserve"> where they shared that 83% of Maryland’s municipalities have less than 2,000 people. These communities don’t meet the population requires for most state programs.</w:t>
      </w:r>
    </w:p>
  </w:footnote>
  <w:footnote w:id="42">
    <w:p w14:paraId="6E7AD0DF" w14:textId="6204C376" w:rsidR="00A93088" w:rsidRPr="00394E1F" w:rsidRDefault="00A93088" w:rsidP="008B4B3E">
      <w:pPr>
        <w:pStyle w:val="FootnoteText"/>
        <w:rPr>
          <w:lang w:val="en-US"/>
        </w:rPr>
      </w:pPr>
      <w:r w:rsidRPr="00394E1F">
        <w:rPr>
          <w:rStyle w:val="FootnoteReference"/>
        </w:rPr>
        <w:footnoteRef/>
      </w:r>
      <w:r w:rsidRPr="00394E1F">
        <w:t xml:space="preserve"> Darius L. Johnson, LinkedIn post, “Most historic districts in the United States…,” LinkedIn, August 7, 2023, </w:t>
      </w:r>
      <w:hyperlink r:id="rId16" w:tgtFrame="_new" w:history="1">
        <w:r w:rsidRPr="00394E1F">
          <w:rPr>
            <w:rStyle w:val="Hyperlink"/>
          </w:rPr>
          <w:t>https://www.linkedin.com/posts/dariusljohnson_most-historic-districts-in-the-united-states-activity-7402721343114412033-gjWA</w:t>
        </w:r>
      </w:hyperlink>
    </w:p>
  </w:footnote>
  <w:footnote w:id="43">
    <w:p w14:paraId="53C8AFFF" w14:textId="77777777" w:rsidR="00775270" w:rsidRPr="00394E1F" w:rsidRDefault="00775270" w:rsidP="008B4B3E">
      <w:pPr>
        <w:pStyle w:val="FootnoteText"/>
        <w:rPr>
          <w:lang w:val="en-US"/>
        </w:rPr>
      </w:pPr>
      <w:r w:rsidRPr="00394E1F">
        <w:rPr>
          <w:rStyle w:val="FootnoteReference"/>
        </w:rPr>
        <w:footnoteRef/>
      </w:r>
      <w:r w:rsidRPr="00394E1F">
        <w:t xml:space="preserve"> Baynard Woods, “How a Rapper Set Up ‘No Shoot Zones’ to Stop Baltimore’s Bloodshed,” </w:t>
      </w:r>
      <w:r w:rsidRPr="00394E1F">
        <w:rPr>
          <w:rStyle w:val="Emphasis"/>
        </w:rPr>
        <w:t>Al Jazeera</w:t>
      </w:r>
      <w:r w:rsidRPr="00394E1F">
        <w:t xml:space="preserve">, October 11, 2018, </w:t>
      </w:r>
      <w:hyperlink r:id="rId17" w:tgtFrame="_blank" w:history="1">
        <w:r w:rsidRPr="00394E1F">
          <w:rPr>
            <w:rStyle w:val="text-box-trim-both"/>
            <w:color w:val="0000FF"/>
            <w:u w:val="single"/>
          </w:rPr>
          <w:t>https://www.aljazeera.com/features/2018/10/11/how-a-rapper-set-up-no-shoot-zones-to-stop-baltimores-bloodshed</w:t>
        </w:r>
      </w:hyperlink>
    </w:p>
  </w:footnote>
  <w:footnote w:id="44">
    <w:p w14:paraId="5514ABCB" w14:textId="345FC7BA" w:rsidR="00775270" w:rsidRPr="00394E1F" w:rsidRDefault="00775270" w:rsidP="008B4B3E">
      <w:pPr>
        <w:pStyle w:val="FootnoteText"/>
        <w:rPr>
          <w:lang w:val="en-US"/>
        </w:rPr>
      </w:pPr>
      <w:r w:rsidRPr="00394E1F">
        <w:rPr>
          <w:rStyle w:val="FootnoteReference"/>
        </w:rPr>
        <w:footnoteRef/>
      </w:r>
      <w:r w:rsidRPr="00394E1F">
        <w:t xml:space="preserve"> </w:t>
      </w:r>
      <w:r w:rsidRPr="00394E1F">
        <w:rPr>
          <w:lang w:val="en-US"/>
        </w:rPr>
        <w:t xml:space="preserve">Ironically, and </w:t>
      </w:r>
      <w:r w:rsidR="00045AE1">
        <w:rPr>
          <w:lang w:val="en-US"/>
        </w:rPr>
        <w:t>tragically</w:t>
      </w:r>
      <w:r w:rsidRPr="00394E1F">
        <w:rPr>
          <w:lang w:val="en-US"/>
        </w:rPr>
        <w:t>, the founder of “No Shoot Zones” lost his life to the very cause he committed himself to. Sometimes policy, while well-meaning, can be undermined by the conditions that justified its development.</w:t>
      </w:r>
    </w:p>
  </w:footnote>
  <w:footnote w:id="45">
    <w:p w14:paraId="0000027F" w14:textId="77777777" w:rsidR="0006233B" w:rsidRPr="00394E1F" w:rsidRDefault="00C5531F" w:rsidP="008B4B3E">
      <w:pPr>
        <w:pStyle w:val="FootnoteText"/>
      </w:pPr>
      <w:r w:rsidRPr="00394E1F">
        <w:rPr>
          <w:vertAlign w:val="superscript"/>
        </w:rPr>
        <w:footnoteRef/>
      </w:r>
      <w:r w:rsidRPr="00394E1F">
        <w:t xml:space="preserve"> Most recently driven by trade policy: https://www.mutualofamerica.com/insights-and-tools/learning-center/emp/economic-perspective--august-2025</w:t>
      </w:r>
    </w:p>
  </w:footnote>
  <w:footnote w:id="46">
    <w:p w14:paraId="00000280" w14:textId="29094E46" w:rsidR="0006233B" w:rsidRPr="00394E1F" w:rsidRDefault="00C5531F" w:rsidP="008B4B3E">
      <w:pPr>
        <w:pStyle w:val="FootnoteText"/>
      </w:pPr>
      <w:r w:rsidRPr="00394E1F">
        <w:rPr>
          <w:vertAlign w:val="superscript"/>
        </w:rPr>
        <w:footnoteRef/>
      </w:r>
      <w:r w:rsidRPr="00394E1F">
        <w:t xml:space="preserve"> “Ongoing expenditures from the state’s general fund were expected to exceed ongoing revenues by nearly $3 billion in the coming fiscal year. This gap, known as the structural deficit, was projected to exceed $6 billion by 2030</w:t>
      </w:r>
      <w:r w:rsidR="00DA4DD5" w:rsidRPr="00394E1F">
        <w:t>.” https://mdeconomy.org/first-look-governor-combines-revenues-cuts-to-narrow-budget-gap/</w:t>
      </w:r>
    </w:p>
  </w:footnote>
  <w:footnote w:id="47">
    <w:p w14:paraId="0EE8B789" w14:textId="404C0CC1" w:rsidR="009C6E7C" w:rsidRPr="00394E1F" w:rsidRDefault="009C6E7C" w:rsidP="008B4B3E">
      <w:pPr>
        <w:pStyle w:val="FootnoteText"/>
        <w:rPr>
          <w:lang w:val="en-US"/>
        </w:rPr>
      </w:pPr>
      <w:r w:rsidRPr="00394E1F">
        <w:rPr>
          <w:rStyle w:val="FootnoteReference"/>
        </w:rPr>
        <w:footnoteRef/>
      </w:r>
      <w:r w:rsidRPr="00394E1F">
        <w:t xml:space="preserve"> </w:t>
      </w:r>
      <w:r w:rsidR="00394E1F" w:rsidRPr="00394E1F">
        <w:t xml:space="preserve">Chelsea L. Newhouse, </w:t>
      </w:r>
      <w:r w:rsidR="00394E1F" w:rsidRPr="00394E1F">
        <w:rPr>
          <w:rStyle w:val="Emphasis"/>
        </w:rPr>
        <w:t>Maryland Nonprofits by the Numbers: 2021</w:t>
      </w:r>
      <w:r w:rsidR="00394E1F" w:rsidRPr="00394E1F">
        <w:t xml:space="preserve"> (Baltimore: Johns Hopkins Center for Civil Society Studies, 2021), 4, </w:t>
      </w:r>
      <w:hyperlink r:id="rId18" w:tgtFrame="_blank" w:history="1">
        <w:r w:rsidR="00394E1F" w:rsidRPr="00394E1F">
          <w:rPr>
            <w:rStyle w:val="text-box-trim-both"/>
            <w:color w:val="0000FF"/>
            <w:u w:val="single"/>
          </w:rPr>
          <w:t>https://grants.maryland.gov/Documents/MD-Nonprofits-By-The-Numbers.pdf.</w:t>
        </w:r>
      </w:hyperlink>
      <w:r w:rsidR="00394E1F" w:rsidRPr="00394E1F">
        <w:t>​</w:t>
      </w:r>
    </w:p>
  </w:footnote>
  <w:footnote w:id="48">
    <w:p w14:paraId="00000282" w14:textId="4E4180EC" w:rsidR="0006233B" w:rsidRPr="00394E1F" w:rsidRDefault="00C5531F" w:rsidP="008B4B3E">
      <w:pPr>
        <w:pStyle w:val="FootnoteText"/>
      </w:pPr>
      <w:r w:rsidRPr="00394E1F">
        <w:rPr>
          <w:vertAlign w:val="superscript"/>
        </w:rPr>
        <w:footnoteRef/>
      </w:r>
      <w:r w:rsidRPr="00394E1F">
        <w:t xml:space="preserve"> </w:t>
      </w:r>
      <w:r w:rsidR="00394E1F" w:rsidRPr="00394E1F">
        <w:t xml:space="preserve">Donovan R. Rypkema, Caroline Cheong, and Randall F. Mason, </w:t>
      </w:r>
      <w:r w:rsidR="00394E1F" w:rsidRPr="00394E1F">
        <w:rPr>
          <w:rStyle w:val="Emphasis"/>
        </w:rPr>
        <w:t>Measuring Economic Impacts of Historic Preservation: A Report to the Advisory Council on Historic Preservation</w:t>
      </w:r>
      <w:r w:rsidR="00394E1F" w:rsidRPr="00394E1F">
        <w:t xml:space="preserve"> (Washington, DC: Advisory Council on Historic Preservation, September 2013), </w:t>
      </w:r>
      <w:hyperlink r:id="rId19" w:tgtFrame="_blank" w:history="1">
        <w:r w:rsidR="00394E1F" w:rsidRPr="00394E1F">
          <w:rPr>
            <w:rStyle w:val="text-box-trim-both"/>
            <w:color w:val="0000FF"/>
            <w:u w:val="single"/>
          </w:rPr>
          <w:t>https://www.achp.gov/sites/default/files/guidance/2018-06/Economic%20Impacts%20v5-FINAL.pdf.</w:t>
        </w:r>
      </w:hyperlink>
      <w:r w:rsidRPr="00394E1F">
        <w:t>;</w:t>
      </w:r>
    </w:p>
  </w:footnote>
  <w:footnote w:id="49">
    <w:p w14:paraId="57CAA84C" w14:textId="29AA802B" w:rsidR="00394E1F" w:rsidRPr="00394E1F" w:rsidRDefault="00394E1F" w:rsidP="008B4B3E">
      <w:pPr>
        <w:pStyle w:val="FootnoteText"/>
        <w:rPr>
          <w:lang w:val="en-US"/>
        </w:rPr>
      </w:pPr>
      <w:r w:rsidRPr="00394E1F">
        <w:rPr>
          <w:rStyle w:val="FootnoteReference"/>
        </w:rPr>
        <w:footnoteRef/>
      </w:r>
      <w:r w:rsidRPr="00394E1F">
        <w:t xml:space="preserve"> Campaign for Historic Trades, “The Campaign for Historic Trades Releases First-of-its-Kind Labor Study on the Status of Historic Trades in America,” Historic Trades, accessed December 17, 2025, </w:t>
      </w:r>
      <w:hyperlink r:id="rId20" w:tgtFrame="_blank" w:history="1">
        <w:r w:rsidRPr="00394E1F">
          <w:rPr>
            <w:rStyle w:val="text-box-trim-both"/>
            <w:color w:val="0000FF"/>
            <w:u w:val="single"/>
          </w:rPr>
          <w:t>https://historictrades.org/the-campaign-releases-first-of-its-kind-labor-study/</w:t>
        </w:r>
      </w:hyperlink>
      <w:r w:rsidRPr="00394E1F">
        <w:t>.</w:t>
      </w:r>
    </w:p>
  </w:footnote>
  <w:footnote w:id="50">
    <w:p w14:paraId="26349B09" w14:textId="0E70021A" w:rsidR="00394E1F" w:rsidRPr="00394E1F" w:rsidRDefault="00394E1F" w:rsidP="008B4B3E">
      <w:pPr>
        <w:pStyle w:val="FootnoteText"/>
        <w:rPr>
          <w:lang w:val="en-US"/>
        </w:rPr>
      </w:pPr>
      <w:r w:rsidRPr="00394E1F">
        <w:rPr>
          <w:rStyle w:val="FootnoteReference"/>
        </w:rPr>
        <w:footnoteRef/>
      </w:r>
      <w:r w:rsidRPr="00394E1F">
        <w:t xml:space="preserve"> Randall Mason and Erica Avrami, “Mapping the Issue of Values,” in </w:t>
      </w:r>
      <w:r w:rsidRPr="00394E1F">
        <w:rPr>
          <w:rStyle w:val="Emphasis"/>
        </w:rPr>
        <w:t>Values in Heritage Management: Emerging Approaches and Research Directions</w:t>
      </w:r>
      <w:r w:rsidRPr="00394E1F">
        <w:t>, ed. Erica Avrami et al. (Los Angeles: Getty Conservation Institute, 2019)</w:t>
      </w:r>
    </w:p>
  </w:footnote>
  <w:footnote w:id="51">
    <w:p w14:paraId="00000283" w14:textId="612A9202" w:rsidR="0006233B" w:rsidRPr="00394E1F" w:rsidRDefault="00C5531F" w:rsidP="008B4B3E">
      <w:pPr>
        <w:pStyle w:val="FootnoteText"/>
      </w:pPr>
      <w:r w:rsidRPr="00394E1F">
        <w:rPr>
          <w:vertAlign w:val="superscript"/>
        </w:rPr>
        <w:footnoteRef/>
      </w:r>
      <w:r w:rsidR="00394E1F" w:rsidRPr="00394E1F">
        <w:t xml:space="preserve"> National Trust for Historic Preservation, </w:t>
      </w:r>
      <w:r w:rsidR="00394E1F" w:rsidRPr="00394E1F">
        <w:rPr>
          <w:rStyle w:val="Emphasis"/>
        </w:rPr>
        <w:t>Equity Study Report</w:t>
      </w:r>
      <w:r w:rsidR="00394E1F" w:rsidRPr="00394E1F">
        <w:t xml:space="preserve"> (Washington, DC: National Trust for Historic Preservation, 2023), </w:t>
      </w:r>
      <w:hyperlink r:id="rId21" w:tgtFrame="_blank" w:history="1">
        <w:r w:rsidR="00394E1F" w:rsidRPr="00394E1F">
          <w:rPr>
            <w:rStyle w:val="text-box-trim-both"/>
            <w:color w:val="0000FF"/>
            <w:u w:val="single"/>
          </w:rPr>
          <w:t>https://cdn.savingplaces.org/2023/08/10/13/57/18/226/AACHAF_EquityStudyReport_lo-res.pdf</w:t>
        </w:r>
      </w:hyperlink>
      <w:r w:rsidR="00394E1F" w:rsidRPr="00394E1F">
        <w:t>: “In addition to the challenges of determining eligibility and completing Part 1 forms (National Register listing or eligibility), historic tax credit (HTC) projects often involve greater complexity and higher transaction costs than traditional developments.”</w:t>
      </w:r>
    </w:p>
  </w:footnote>
  <w:footnote w:id="52">
    <w:p w14:paraId="08659816" w14:textId="519323E5" w:rsidR="00A17A88" w:rsidRPr="00A17A88" w:rsidRDefault="00A17A88" w:rsidP="008B4B3E">
      <w:pPr>
        <w:pStyle w:val="FootnoteText"/>
        <w:rPr>
          <w:lang w:val="en-US"/>
        </w:rPr>
      </w:pPr>
      <w:r>
        <w:rPr>
          <w:rStyle w:val="FootnoteReference"/>
        </w:rPr>
        <w:footnoteRef/>
      </w:r>
      <w:r>
        <w:t xml:space="preserve"> </w:t>
      </w:r>
      <w:r>
        <w:rPr>
          <w:lang w:val="en-US"/>
        </w:rPr>
        <w:t>Ibid, 41.</w:t>
      </w:r>
    </w:p>
  </w:footnote>
  <w:footnote w:id="53">
    <w:p w14:paraId="00000286" w14:textId="218D7882" w:rsidR="0006233B" w:rsidRPr="00394E1F" w:rsidRDefault="00C5531F" w:rsidP="008B4B3E">
      <w:pPr>
        <w:pStyle w:val="FootnoteText"/>
      </w:pPr>
      <w:r w:rsidRPr="00394E1F">
        <w:rPr>
          <w:vertAlign w:val="superscript"/>
        </w:rPr>
        <w:footnoteRef/>
      </w:r>
      <w:r w:rsidRPr="00394E1F">
        <w:t xml:space="preserve"> </w:t>
      </w:r>
      <w:r w:rsidR="00045AE1">
        <w:t>Conversation between Stories of the Chesapeake Executive Director and author in 2023.</w:t>
      </w:r>
    </w:p>
  </w:footnote>
  <w:footnote w:id="54">
    <w:p w14:paraId="00000287" w14:textId="49A4103F" w:rsidR="0006233B" w:rsidRPr="00394E1F" w:rsidRDefault="00C5531F" w:rsidP="008B4B3E">
      <w:pPr>
        <w:pStyle w:val="FootnoteText"/>
      </w:pPr>
      <w:r w:rsidRPr="00394E1F">
        <w:rPr>
          <w:vertAlign w:val="superscript"/>
        </w:rPr>
        <w:footnoteRef/>
      </w:r>
      <w:r w:rsidRPr="00394E1F">
        <w:t xml:space="preserve"> </w:t>
      </w:r>
      <w:r w:rsidR="00A84466">
        <w:t xml:space="preserve">National Trust for Historic Preservation, </w:t>
      </w:r>
      <w:r w:rsidR="00A84466">
        <w:rPr>
          <w:rStyle w:val="Emphasis"/>
        </w:rPr>
        <w:t>Mildred Colodny Diversity Scholarship Application (rev. 2025)</w:t>
      </w:r>
      <w:r w:rsidR="00A84466">
        <w:t xml:space="preserve"> (Washington, DC: National Trust for Historic Preservation, 2025), </w:t>
      </w:r>
      <w:hyperlink r:id="rId22" w:tgtFrame="_blank" w:history="1">
        <w:r w:rsidR="00A84466">
          <w:rPr>
            <w:rStyle w:val="text-box-trim-both"/>
            <w:color w:val="0000FF"/>
            <w:u w:val="single"/>
          </w:rPr>
          <w:t>https://cdn.savingplaces.org/2025/02/07/10/48/24/1f6b55c5-49cf-4f8e-a4fc-22d83f0e0e22/Mildred%20Colodny%20Scholarship%20Application%20(rev%202025).pdf</w:t>
        </w:r>
      </w:hyperlink>
      <w:r w:rsidR="00A84466">
        <w:t xml:space="preserve">. </w:t>
      </w:r>
      <w:r w:rsidRPr="00394E1F">
        <w:t xml:space="preserve">2022 Internship with Leslie Canaan as </w:t>
      </w:r>
      <w:r w:rsidR="00432C87">
        <w:t>part of the author’s</w:t>
      </w:r>
      <w:r w:rsidRPr="00394E1F">
        <w:t xml:space="preserve"> Mildred Colodny Scholarship</w:t>
      </w:r>
      <w:r w:rsidR="00432C87">
        <w:t>. The Colodny Scholarship aims to diversify the field of historic preservation by supporting culturally diverse graduate students whose commitment to the discipline will grow through advanced study, National Trust internships and mentorship, and eventual leadership roles bringing fresh perspectives to the profession. Benefits include up to $15,000 in tuition support, a $5,000 summer internship stipend after the first year, and up to $2,000 for attending a National Preservation Conference.</w:t>
      </w:r>
    </w:p>
  </w:footnote>
  <w:footnote w:id="55">
    <w:p w14:paraId="562B9A9C" w14:textId="61ACC35C" w:rsidR="00E26255" w:rsidRPr="00E26255" w:rsidRDefault="00E26255" w:rsidP="008B4B3E">
      <w:pPr>
        <w:pStyle w:val="FootnoteText"/>
        <w:rPr>
          <w:lang w:val="en-US"/>
        </w:rPr>
      </w:pPr>
      <w:r>
        <w:rPr>
          <w:rStyle w:val="FootnoteReference"/>
        </w:rPr>
        <w:footnoteRef/>
      </w:r>
      <w:r>
        <w:t xml:space="preserve"> Coastal Community Foundation, “The 1772 Foundation, with Focus on Equity, Awards Its Largest-Ever Grant of $1M to Coastal Community Foundation,” March 9, 2022, </w:t>
      </w:r>
      <w:hyperlink r:id="rId23" w:tgtFrame="_blank" w:history="1">
        <w:r>
          <w:rPr>
            <w:rStyle w:val="text-box-trim-both"/>
            <w:color w:val="0000FF"/>
            <w:u w:val="single"/>
          </w:rPr>
          <w:t>https://coastalcommunityfoundation.org/the-1772-foundation-with-focus-on-equity-awards-its-largest-ever-grant-of-1m-to-coastal-community-foundation/</w:t>
        </w:r>
      </w:hyperlink>
    </w:p>
  </w:footnote>
  <w:footnote w:id="56">
    <w:p w14:paraId="72AEB6FE" w14:textId="07015440" w:rsidR="00E26255" w:rsidRPr="00E26255" w:rsidRDefault="00E26255" w:rsidP="008B4B3E">
      <w:pPr>
        <w:pStyle w:val="FootnoteText"/>
        <w:rPr>
          <w:lang w:val="en-US"/>
        </w:rPr>
      </w:pPr>
      <w:r>
        <w:rPr>
          <w:rStyle w:val="FootnoteReference"/>
        </w:rPr>
        <w:footnoteRef/>
      </w:r>
      <w:r>
        <w:t xml:space="preserve"> Kevin Sack, “Mother Emanuel,” NPR, June 14, 2025, </w:t>
      </w:r>
      <w:hyperlink r:id="rId24" w:tgtFrame="_blank" w:history="1">
        <w:r>
          <w:rPr>
            <w:rStyle w:val="text-box-trim-both"/>
            <w:color w:val="0000FF"/>
            <w:u w:val="single"/>
          </w:rPr>
          <w:t>https://www.npr.org/2025/06/14/nx-s1-5391851/kevin-sack-mother-emanuel</w:t>
        </w:r>
      </w:hyperlink>
    </w:p>
  </w:footnote>
  <w:footnote w:id="57">
    <w:p w14:paraId="34D42E91" w14:textId="1AFD86ED" w:rsidR="00EA5E95" w:rsidRPr="00EA5E95" w:rsidRDefault="00EA5E95" w:rsidP="008B4B3E">
      <w:pPr>
        <w:pStyle w:val="FootnoteText"/>
        <w:rPr>
          <w:lang w:val="en-US"/>
        </w:rPr>
      </w:pPr>
      <w:r>
        <w:rPr>
          <w:rStyle w:val="FootnoteReference"/>
        </w:rPr>
        <w:footnoteRef/>
      </w:r>
      <w:r>
        <w:t xml:space="preserve"> WCBD News 2, “Mother Emanuel Church History,” YouTube video, 3:13, July 14, 2023, </w:t>
      </w:r>
      <w:hyperlink r:id="rId25" w:tgtFrame="_blank" w:history="1">
        <w:r>
          <w:rPr>
            <w:rStyle w:val="text-box-trim-both"/>
            <w:color w:val="0000FF"/>
            <w:u w:val="single"/>
          </w:rPr>
          <w:t>https://www.youtube.com/watch?v=Kf-94nmSTNI.</w:t>
        </w:r>
      </w:hyperlink>
    </w:p>
  </w:footnote>
  <w:footnote w:id="58">
    <w:p w14:paraId="3706C06B" w14:textId="01DCB8EF" w:rsidR="00BE091B" w:rsidRPr="00BE091B" w:rsidRDefault="00BE091B" w:rsidP="008B4B3E">
      <w:pPr>
        <w:pStyle w:val="FootnoteText"/>
        <w:rPr>
          <w:lang w:val="en-US"/>
        </w:rPr>
      </w:pPr>
      <w:r>
        <w:rPr>
          <w:rStyle w:val="FootnoteReference"/>
        </w:rPr>
        <w:footnoteRef/>
      </w:r>
      <w:r>
        <w:t xml:space="preserve"> Laurajane Smith, </w:t>
      </w:r>
      <w:r>
        <w:rPr>
          <w:rStyle w:val="Emphasis"/>
        </w:rPr>
        <w:t>Uses of Heritage</w:t>
      </w:r>
      <w:r>
        <w:t xml:space="preserve"> (London: Routledge, 2006).</w:t>
      </w:r>
    </w:p>
  </w:footnote>
  <w:footnote w:id="59">
    <w:p w14:paraId="37110068" w14:textId="77777777" w:rsidR="00BE091B" w:rsidRPr="00045AE1" w:rsidRDefault="00BE091B" w:rsidP="008B4B3E">
      <w:pPr>
        <w:pStyle w:val="FootnoteText"/>
        <w:rPr>
          <w:rFonts w:cs="Times New Roman"/>
        </w:rPr>
      </w:pPr>
      <w:r w:rsidRPr="00045AE1">
        <w:rPr>
          <w:rStyle w:val="FootnoteReference"/>
          <w:rFonts w:cs="Times New Roman"/>
        </w:rPr>
        <w:footnoteRef/>
      </w:r>
      <w:r w:rsidRPr="00045AE1">
        <w:rPr>
          <w:rFonts w:cs="Times New Roman"/>
        </w:rPr>
        <w:t xml:space="preserve"> Audrey Lee, “Banana Republic Mines Its Archive to Inspire Modern Brand Love,” </w:t>
      </w:r>
      <w:r w:rsidRPr="00045AE1">
        <w:rPr>
          <w:rStyle w:val="Emphasis"/>
          <w:rFonts w:cs="Times New Roman"/>
        </w:rPr>
        <w:t>Adweek</w:t>
      </w:r>
      <w:r w:rsidRPr="00045AE1">
        <w:rPr>
          <w:rFonts w:cs="Times New Roman"/>
        </w:rPr>
        <w:t xml:space="preserve">, September 25, 2025, </w:t>
      </w:r>
      <w:hyperlink r:id="rId26" w:tgtFrame="_blank" w:history="1">
        <w:r w:rsidRPr="00045AE1">
          <w:rPr>
            <w:rStyle w:val="text-box-trim-both"/>
            <w:rFonts w:cs="Times New Roman"/>
            <w:color w:val="0000FF"/>
            <w:u w:val="single"/>
          </w:rPr>
          <w:t>https://www.adweek.com/brand-marketing/banana-republic-mines-its-archive-to-inspire-modern-brand-love/</w:t>
        </w:r>
      </w:hyperlink>
    </w:p>
    <w:p w14:paraId="1D833179" w14:textId="22495EFD" w:rsidR="00BE091B" w:rsidRPr="00BE091B" w:rsidRDefault="00BE091B" w:rsidP="008B4B3E">
      <w:pPr>
        <w:pStyle w:val="FootnoteText"/>
        <w:rPr>
          <w:lang w:val="en-US"/>
        </w:rPr>
      </w:pPr>
    </w:p>
  </w:footnote>
  <w:footnote w:id="60">
    <w:p w14:paraId="157A2F06" w14:textId="193EE9E9" w:rsidR="00BE091B" w:rsidRPr="00BE091B" w:rsidRDefault="00BE091B" w:rsidP="008B4B3E">
      <w:pPr>
        <w:pStyle w:val="FootnoteText"/>
        <w:rPr>
          <w:lang w:val="en-US"/>
        </w:rPr>
      </w:pPr>
      <w:r>
        <w:rPr>
          <w:rStyle w:val="FootnoteReference"/>
        </w:rPr>
        <w:footnoteRef/>
      </w:r>
      <w:r>
        <w:t xml:space="preserve"> McKinsey &amp; Company, "The State of Black Consumers: An Opportunity for Growth and Equity," 2021, </w:t>
      </w:r>
      <w:hyperlink r:id="rId27" w:tgtFrame="_blank" w:history="1">
        <w:r>
          <w:rPr>
            <w:rStyle w:val="text-box-trim-both"/>
            <w:color w:val="0000FF"/>
            <w:u w:val="single"/>
          </w:rPr>
          <w:t>https://www.mckinsey.com/institute-for-economic-mobility/our-insights/black-consumers-and-the-opportunity-for-growth-and-equity.</w:t>
        </w:r>
      </w:hyperlink>
    </w:p>
  </w:footnote>
  <w:footnote w:id="61">
    <w:p w14:paraId="538DBB01" w14:textId="39CC3D84" w:rsidR="00BE091B" w:rsidRPr="00BE091B" w:rsidRDefault="00BE091B" w:rsidP="008B4B3E">
      <w:pPr>
        <w:pStyle w:val="FootnoteText"/>
        <w:rPr>
          <w:lang w:val="en-US"/>
        </w:rPr>
      </w:pPr>
      <w:r>
        <w:rPr>
          <w:rStyle w:val="FootnoteReference"/>
        </w:rPr>
        <w:footnoteRef/>
      </w:r>
      <w:r>
        <w:t xml:space="preserve"> Maryland Heritage Areas Authority, "Economic Impact," Maryland Heritage Areas, </w:t>
      </w:r>
      <w:hyperlink r:id="rId28" w:tgtFrame="_blank" w:history="1">
        <w:r>
          <w:rPr>
            <w:rStyle w:val="text-box-trim-both"/>
            <w:color w:val="0000FF"/>
            <w:u w:val="single"/>
          </w:rPr>
          <w:t>https://www.marylandheritageareas.org/impact</w:t>
        </w:r>
      </w:hyperlink>
    </w:p>
  </w:footnote>
  <w:footnote w:id="62">
    <w:p w14:paraId="0000028B" w14:textId="7B719D0A" w:rsidR="0006233B" w:rsidRPr="00394E1F" w:rsidRDefault="00C5531F" w:rsidP="008B4B3E">
      <w:pPr>
        <w:pStyle w:val="FootnoteText"/>
      </w:pPr>
      <w:r w:rsidRPr="00394E1F">
        <w:rPr>
          <w:vertAlign w:val="superscript"/>
        </w:rPr>
        <w:footnoteRef/>
      </w:r>
      <w:r w:rsidR="00AA7AF7">
        <w:t xml:space="preserve"> </w:t>
      </w:r>
      <w:r w:rsidR="00AA7AF7">
        <w:t xml:space="preserve">“Post from St. Michael’s Community Conversations on Race,” Instagram reel, </w:t>
      </w:r>
      <w:r w:rsidR="00AA7AF7">
        <w:t>February 27, 2025</w:t>
      </w:r>
      <w:r w:rsidR="00AA7AF7">
        <w:t xml:space="preserve">, </w:t>
      </w:r>
      <w:hyperlink r:id="rId29" w:tgtFrame="_new" w:history="1">
        <w:r w:rsidR="00AA7AF7">
          <w:rPr>
            <w:rStyle w:val="Hyperlink"/>
          </w:rPr>
          <w:t>https://www.instagram.com/reel/DGLIhXhASwg/</w:t>
        </w:r>
      </w:hyperlink>
      <w:r w:rsidR="00AA7AF7">
        <w:t>.</w:t>
      </w:r>
    </w:p>
  </w:footnote>
  <w:footnote w:id="63">
    <w:p w14:paraId="14C95961" w14:textId="1AD19BCA" w:rsidR="00BE091B" w:rsidRPr="00BE091B" w:rsidRDefault="00BE091B" w:rsidP="008B4B3E">
      <w:pPr>
        <w:pStyle w:val="FootnoteText"/>
        <w:rPr>
          <w:lang w:val="en-US"/>
        </w:rPr>
      </w:pPr>
      <w:r>
        <w:rPr>
          <w:rStyle w:val="FootnoteReference"/>
        </w:rPr>
        <w:footnoteRef/>
      </w:r>
      <w:r>
        <w:t xml:space="preserve"> John H. Morris Jr. and Charles G. Tildon, eds., </w:t>
      </w:r>
      <w:r>
        <w:rPr>
          <w:rStyle w:val="Emphasis"/>
        </w:rPr>
        <w:t>Clairvoyance: Reweaving the Fabric of Community for Black Folk</w:t>
      </w:r>
      <w:r>
        <w:t xml:space="preserve"> (Baltimore: Associated Black Charities / New Thinking Publications, 1998)</w:t>
      </w:r>
    </w:p>
  </w:footnote>
  <w:footnote w:id="64">
    <w:p w14:paraId="0000028C" w14:textId="77777777" w:rsidR="0006233B" w:rsidRPr="00394E1F" w:rsidRDefault="00C5531F" w:rsidP="008B4B3E">
      <w:pPr>
        <w:pStyle w:val="FootnoteText"/>
      </w:pPr>
      <w:r w:rsidRPr="00394E1F">
        <w:rPr>
          <w:vertAlign w:val="superscript"/>
        </w:rPr>
        <w:footnoteRef/>
      </w:r>
      <w:r w:rsidRPr="00394E1F">
        <w:t xml:space="preserve"> Jessica Gordon Nembhard, </w:t>
      </w:r>
      <w:r w:rsidRPr="00394E1F">
        <w:rPr>
          <w:i/>
          <w:iCs/>
        </w:rPr>
        <w:t>Collective Courage: A History of African American Cooperative Economic Thought and Practice</w:t>
      </w:r>
      <w:r w:rsidRPr="00394E1F">
        <w:t xml:space="preserve"> (2014). This is the definitive work on Black cooperative practices from Reconstruction through the 20th century.</w:t>
      </w:r>
    </w:p>
  </w:footnote>
  <w:footnote w:id="65">
    <w:p w14:paraId="23A7820D" w14:textId="381286C7" w:rsidR="005104F7" w:rsidRPr="005104F7" w:rsidRDefault="005104F7" w:rsidP="008B4B3E">
      <w:pPr>
        <w:pStyle w:val="FootnoteText"/>
        <w:rPr>
          <w:lang w:val="en-US"/>
        </w:rPr>
      </w:pPr>
      <w:r>
        <w:rPr>
          <w:rStyle w:val="FootnoteReference"/>
        </w:rPr>
        <w:footnoteRef/>
      </w:r>
      <w:r>
        <w:t xml:space="preserve"> Roberts, Andrea R. “Performance as Place Preservation: The Role of Storytelling in the Formation of Shankleville Community’s Black Counterpublics.” </w:t>
      </w:r>
      <w:r>
        <w:rPr>
          <w:rStyle w:val="Emphasis"/>
        </w:rPr>
        <w:t>Journal of Community Archaeology &amp; Heritage</w:t>
      </w:r>
      <w:r>
        <w:t xml:space="preserve"> 5, no. 3 (2018): 146–65. doi:10.1080/20518196.2018.1480002. See also Andrea Roberts, “The Texas Freedom Colonies Project,” The Texas Freedom Colonies Project, </w:t>
      </w:r>
      <w:hyperlink r:id="rId30" w:tgtFrame="_blank" w:history="1">
        <w:r>
          <w:rPr>
            <w:rStyle w:val="text-box-trim-both"/>
            <w:color w:val="0000FF"/>
            <w:u w:val="single"/>
          </w:rPr>
          <w:t>https://www.thetexasfreedomcoloniesproject.com</w:t>
        </w:r>
      </w:hyperlink>
    </w:p>
  </w:footnote>
  <w:footnote w:id="66">
    <w:p w14:paraId="0000028E" w14:textId="139BCAF9" w:rsidR="0006233B" w:rsidRPr="004771D7" w:rsidRDefault="00C5531F" w:rsidP="008B4B3E">
      <w:pPr>
        <w:pStyle w:val="FootnoteText"/>
      </w:pPr>
      <w:r w:rsidRPr="004771D7">
        <w:rPr>
          <w:vertAlign w:val="superscript"/>
        </w:rPr>
        <w:footnoteRef/>
      </w:r>
      <w:r w:rsidRPr="004771D7">
        <w:t xml:space="preserve"> </w:t>
      </w:r>
      <w:r w:rsidR="004771D7" w:rsidRPr="004771D7">
        <w:t xml:space="preserve">CommunityForce, “Challenges in Grant Management: Overcoming Problems and Avoiding Red Flags,” </w:t>
      </w:r>
      <w:r w:rsidR="004771D7" w:rsidRPr="004771D7">
        <w:rPr>
          <w:rStyle w:val="Emphasis"/>
        </w:rPr>
        <w:t>CommunityForce</w:t>
      </w:r>
      <w:r w:rsidR="004771D7" w:rsidRPr="004771D7">
        <w:t xml:space="preserve">, February 5, 2025, </w:t>
      </w:r>
      <w:hyperlink r:id="rId31" w:tgtFrame="_blank" w:history="1">
        <w:r w:rsidR="004771D7" w:rsidRPr="004771D7">
          <w:rPr>
            <w:rStyle w:val="text-box-trim-both"/>
            <w:color w:val="0000FF"/>
            <w:u w:val="single"/>
          </w:rPr>
          <w:t>https://www.communityforce.com/challenges-in-grant-management-overcoming-problems-and-avoiding-red-flags/</w:t>
        </w:r>
      </w:hyperlink>
      <w:r w:rsidR="004771D7" w:rsidRPr="004771D7">
        <w:t xml:space="preserve">; Urban Design Lab, “World Heritage Day 2025: Celebrating the Digital Revolution in Heritage Preservation,” </w:t>
      </w:r>
      <w:r w:rsidR="004771D7" w:rsidRPr="004771D7">
        <w:rPr>
          <w:rStyle w:val="Emphasis"/>
        </w:rPr>
        <w:t>Urban Design Lab</w:t>
      </w:r>
      <w:r w:rsidR="004771D7" w:rsidRPr="004771D7">
        <w:t xml:space="preserve">, April 17, 2025, </w:t>
      </w:r>
      <w:hyperlink r:id="rId32" w:tgtFrame="_blank" w:history="1">
        <w:r w:rsidR="004771D7" w:rsidRPr="004771D7">
          <w:rPr>
            <w:rStyle w:val="text-box-trim-both"/>
            <w:color w:val="0000FF"/>
            <w:u w:val="single"/>
          </w:rPr>
          <w:t>https://urbandesignlab.in/world-heritage-day-2025-celebrating-the-digital-revolution-in-heritage-preservation/</w:t>
        </w:r>
      </w:hyperlink>
      <w:r w:rsidR="004771D7" w:rsidRPr="004771D7">
        <w:t xml:space="preserve">; Direct Dimensions, “Washington College,” </w:t>
      </w:r>
      <w:r w:rsidR="004771D7" w:rsidRPr="004771D7">
        <w:rPr>
          <w:rStyle w:val="Emphasis"/>
        </w:rPr>
        <w:t>Direct Dimensions Portfolio</w:t>
      </w:r>
      <w:r w:rsidR="004771D7" w:rsidRPr="004771D7">
        <w:t xml:space="preserve">, April 29, 2025, </w:t>
      </w:r>
      <w:hyperlink r:id="rId33" w:tgtFrame="_blank" w:history="1">
        <w:r w:rsidR="004771D7" w:rsidRPr="004771D7">
          <w:rPr>
            <w:rStyle w:val="text-box-trim-both"/>
            <w:color w:val="0000FF"/>
            <w:u w:val="single"/>
          </w:rPr>
          <w:t>https://dirdim.com/portfolio/washington-college-1/</w:t>
        </w:r>
      </w:hyperlink>
    </w:p>
  </w:footnote>
  <w:footnote w:id="67">
    <w:p w14:paraId="0000028F" w14:textId="5042985D" w:rsidR="0006233B" w:rsidRPr="004771D7" w:rsidRDefault="00C5531F" w:rsidP="008B4B3E">
      <w:pPr>
        <w:pStyle w:val="FootnoteText"/>
        <w:rPr>
          <w:lang w:val="en-US"/>
        </w:rPr>
      </w:pPr>
      <w:r w:rsidRPr="00394E1F">
        <w:rPr>
          <w:vertAlign w:val="superscript"/>
        </w:rPr>
        <w:footnoteRef/>
      </w:r>
      <w:r w:rsidRPr="00394E1F">
        <w:t xml:space="preserve"> </w:t>
      </w:r>
      <w:r w:rsidR="004771D7" w:rsidRPr="00394E1F">
        <w:t xml:space="preserve">Jacqueline Shin, </w:t>
      </w:r>
      <w:r w:rsidR="004771D7" w:rsidRPr="00394E1F">
        <w:rPr>
          <w:rStyle w:val="Emphasis"/>
        </w:rPr>
        <w:t>The Right to Privacy: A Call for a More Inclusive Heritage Practice</w:t>
      </w:r>
      <w:r w:rsidR="004771D7" w:rsidRPr="00394E1F">
        <w:t xml:space="preserve"> (master’s thesis, Goucher College, Welch Center for Graduate and Professional Studies, 2024), </w:t>
      </w:r>
      <w:hyperlink r:id="rId34" w:tgtFrame="_new" w:history="1">
        <w:r w:rsidR="004771D7" w:rsidRPr="00394E1F">
          <w:rPr>
            <w:rStyle w:val="Hyperlink"/>
          </w:rPr>
          <w:t>https://mdsoar.org/items/064d277e-985d-49da-862a-c37d1291f1ef</w:t>
        </w:r>
      </w:hyperlink>
    </w:p>
  </w:footnote>
  <w:footnote w:id="68">
    <w:p w14:paraId="00000290" w14:textId="73BA19A9" w:rsidR="0006233B" w:rsidRPr="00394E1F" w:rsidRDefault="00C5531F" w:rsidP="008B4B3E">
      <w:pPr>
        <w:pStyle w:val="FootnoteText"/>
      </w:pPr>
      <w:r w:rsidRPr="00394E1F">
        <w:rPr>
          <w:vertAlign w:val="superscript"/>
        </w:rPr>
        <w:footnoteRef/>
      </w:r>
      <w:r w:rsidRPr="00394E1F">
        <w:t xml:space="preserve"> </w:t>
      </w:r>
      <w:r w:rsidR="00E36BF8">
        <w:t xml:space="preserve">Kate Livie, “The Heart of the Eastern Shore: Chesapeake Heartland Project Puts Kent County Black History on the Map,” </w:t>
      </w:r>
      <w:r w:rsidR="00E36BF8">
        <w:rPr>
          <w:rStyle w:val="Emphasis"/>
        </w:rPr>
        <w:t>Chesapeake Bay Magazine</w:t>
      </w:r>
      <w:r w:rsidR="00E36BF8">
        <w:t xml:space="preserve">, January 25, 2022, </w:t>
      </w:r>
      <w:r w:rsidR="00E36BF8">
        <w:rPr>
          <w:rStyle w:val="text-box-trim-both"/>
          <w:color w:val="0000FF"/>
          <w:u w:val="single"/>
        </w:rPr>
        <w:t>https://www.chesapeakebaymagazine.com/the-heart-of-the-eastern-shore/.</w:t>
      </w:r>
    </w:p>
  </w:footnote>
  <w:footnote w:id="69">
    <w:p w14:paraId="06C61F20" w14:textId="77777777" w:rsidR="004714CD" w:rsidRPr="00394E1F" w:rsidRDefault="004714CD" w:rsidP="008B4B3E">
      <w:pPr>
        <w:pStyle w:val="FootnoteText"/>
      </w:pPr>
      <w:r w:rsidRPr="00394E1F">
        <w:rPr>
          <w:vertAlign w:val="superscript"/>
        </w:rPr>
        <w:footnoteRef/>
      </w:r>
      <w:r w:rsidRPr="00394E1F">
        <w:t xml:space="preserve"> </w:t>
      </w:r>
      <w:r>
        <w:t xml:space="preserve">Julie Scharper, “Black Beyond Data,” </w:t>
      </w:r>
      <w:r>
        <w:rPr>
          <w:rStyle w:val="Emphasis"/>
        </w:rPr>
        <w:t>JHU Hub</w:t>
      </w:r>
      <w:r>
        <w:t xml:space="preserve"> (Johns Hopkins University), June 2, 2022, </w:t>
      </w:r>
      <w:hyperlink r:id="rId35" w:tgtFrame="_blank" w:history="1">
        <w:r>
          <w:rPr>
            <w:rStyle w:val="text-box-trim-both"/>
            <w:color w:val="0000FF"/>
            <w:u w:val="single"/>
          </w:rPr>
          <w:t>https://hub.jhu.edu/2022/06/02/black-beyond-data-jessica-marie-johnson/</w:t>
        </w:r>
      </w:hyperlink>
      <w:r w:rsidRPr="00394E1F">
        <w:t xml:space="preserve"> the connection between digital humanities and Black identity</w:t>
      </w:r>
    </w:p>
  </w:footnote>
  <w:footnote w:id="70">
    <w:p w14:paraId="00000292" w14:textId="4BA54676" w:rsidR="0006233B" w:rsidRPr="00394E1F" w:rsidRDefault="00C5531F" w:rsidP="008B4B3E">
      <w:pPr>
        <w:pStyle w:val="FootnoteText"/>
      </w:pPr>
      <w:r w:rsidRPr="00394E1F">
        <w:rPr>
          <w:vertAlign w:val="superscript"/>
        </w:rPr>
        <w:footnoteRef/>
      </w:r>
      <w:r w:rsidRPr="00394E1F">
        <w:t xml:space="preserve"> </w:t>
      </w:r>
      <w:r w:rsidR="00A561C4">
        <w:t xml:space="preserve">Marion F. Werkheiser, “Unpacking the Supreme Court’s Recent Decisions and Their Impact for Heritage Management,” </w:t>
      </w:r>
      <w:r w:rsidR="00A561C4">
        <w:rPr>
          <w:rStyle w:val="Emphasis"/>
        </w:rPr>
        <w:t>Cultural Heritage Partners</w:t>
      </w:r>
      <w:r w:rsidR="00A561C4">
        <w:t xml:space="preserve">, February 19, 2025, </w:t>
      </w:r>
      <w:hyperlink r:id="rId36" w:tgtFrame="_blank" w:history="1">
        <w:r w:rsidR="00A561C4">
          <w:rPr>
            <w:rStyle w:val="text-box-trim-both"/>
            <w:color w:val="0000FF"/>
            <w:u w:val="single"/>
          </w:rPr>
          <w:t>https://www.culturalheritagepartners.com/unpacking-the-supreme-courts-recent-decisions-and-their-impact-for-heritage-management/</w:t>
        </w:r>
      </w:hyperlink>
      <w:r w:rsidR="00A561C4">
        <w:t xml:space="preserve">; Advisory Council on Historic Preservation, </w:t>
      </w:r>
      <w:r w:rsidR="00A561C4">
        <w:rPr>
          <w:rStyle w:val="Emphasis"/>
        </w:rPr>
        <w:t>Climate Change and Historic Preservation Policy Statement</w:t>
      </w:r>
      <w:r w:rsidR="00A561C4">
        <w:t xml:space="preserve"> (Washington, DC: ACHP, 2023); Kleinman Center for Energy Policy, </w:t>
      </w:r>
      <w:r w:rsidR="00A561C4">
        <w:rPr>
          <w:rStyle w:val="Emphasis"/>
        </w:rPr>
        <w:t>Aligning Historic Preservation and Energy Efficiency</w:t>
      </w:r>
      <w:r w:rsidR="00A561C4">
        <w:t xml:space="preserve"> (Philadelphia: University of Pennsylvania, 2021).</w:t>
      </w:r>
    </w:p>
  </w:footnote>
  <w:footnote w:id="71">
    <w:p w14:paraId="3CF7508B" w14:textId="480612F0" w:rsidR="00A561C4" w:rsidRPr="00A561C4" w:rsidRDefault="00A561C4" w:rsidP="008B4B3E">
      <w:pPr>
        <w:pStyle w:val="FootnoteText"/>
        <w:rPr>
          <w:lang w:val="en-US"/>
        </w:rPr>
      </w:pPr>
      <w:r>
        <w:rPr>
          <w:rStyle w:val="FootnoteReference"/>
        </w:rPr>
        <w:footnoteRef/>
      </w:r>
      <w:r>
        <w:t xml:space="preserve"> Sara C. Bronin, </w:t>
      </w:r>
      <w:r>
        <w:rPr>
          <w:rStyle w:val="Emphasis"/>
        </w:rPr>
        <w:t>Land Use Atlas</w:t>
      </w:r>
      <w:r>
        <w:t>, accessed December 20, 2025, https://www.landuseatlas.org</w:t>
      </w:r>
    </w:p>
  </w:footnote>
  <w:footnote w:id="72">
    <w:p w14:paraId="1647E233" w14:textId="69129F8F" w:rsidR="003A6E8F" w:rsidRPr="003A6E8F" w:rsidRDefault="003A6E8F" w:rsidP="008B4B3E">
      <w:pPr>
        <w:pStyle w:val="FootnoteText"/>
        <w:rPr>
          <w:lang w:val="en-US"/>
        </w:rPr>
      </w:pPr>
      <w:r>
        <w:rPr>
          <w:rStyle w:val="FootnoteReference"/>
        </w:rPr>
        <w:footnoteRef/>
      </w:r>
      <w:r>
        <w:t xml:space="preserve"> </w:t>
      </w:r>
      <w:r w:rsidRPr="003A6E8F">
        <w:t>John H. Sprinkle, “National Park System Advisory Board,” in Crafting Preservation Criteria: The National Register of Historic Places and American Historic Preservation (New York: Routledge, 2014), pp. 13-14.</w:t>
      </w:r>
    </w:p>
  </w:footnote>
  <w:footnote w:id="73">
    <w:p w14:paraId="6C156A41" w14:textId="5BA4815A" w:rsidR="0058191B" w:rsidRPr="0058191B" w:rsidRDefault="0058191B" w:rsidP="008B4B3E">
      <w:pPr>
        <w:pStyle w:val="FootnoteText"/>
      </w:pPr>
      <w:r>
        <w:rPr>
          <w:rStyle w:val="FootnoteReference"/>
        </w:rPr>
        <w:footnoteRef/>
      </w:r>
      <w:r>
        <w:t xml:space="preserve"> </w:t>
      </w:r>
      <w:r>
        <w:rPr>
          <w:rFonts w:ascii="Arial" w:hAnsi="Arial"/>
          <w:color w:val="000000"/>
        </w:rPr>
        <w:t xml:space="preserve">Sprinkle, </w:t>
      </w:r>
      <w:r>
        <w:rPr>
          <w:rFonts w:ascii="Arial" w:hAnsi="Arial"/>
          <w:i/>
          <w:iCs/>
          <w:color w:val="000000"/>
        </w:rPr>
        <w:t>Crafting Preservation Criteria</w:t>
      </w:r>
      <w:r>
        <w:rPr>
          <w:rFonts w:ascii="Arial" w:hAnsi="Arial"/>
          <w:color w:val="000000"/>
        </w:rPr>
        <w:t>, pp. 14-15, 29-30.</w:t>
      </w:r>
    </w:p>
  </w:footnote>
  <w:footnote w:id="74">
    <w:p w14:paraId="6F893DC4" w14:textId="0B9350D0" w:rsidR="003A6E8F" w:rsidRPr="003A6E8F" w:rsidRDefault="003A6E8F" w:rsidP="008B4B3E">
      <w:pPr>
        <w:pStyle w:val="FootnoteText"/>
        <w:rPr>
          <w:lang w:val="en-US"/>
        </w:rPr>
      </w:pPr>
      <w:r>
        <w:rPr>
          <w:rStyle w:val="FootnoteReference"/>
        </w:rPr>
        <w:footnoteRef/>
      </w:r>
      <w:r>
        <w:t xml:space="preserve"> C</w:t>
      </w:r>
      <w:r w:rsidRPr="003A6E8F">
        <w:t>asey Cep, “The Fight to Preserve African-American History,” The New Yorker (The New Yorker, January 27, 2020), https://www.newyorker.com/magazine/2020/02/03/the-fight-to-preserve-african-american-history.</w:t>
      </w:r>
    </w:p>
  </w:footnote>
  <w:footnote w:id="75">
    <w:p w14:paraId="43C93DF2" w14:textId="550FCAAC" w:rsidR="0058191B" w:rsidRPr="0058191B" w:rsidRDefault="0058191B" w:rsidP="008B4B3E">
      <w:pPr>
        <w:pStyle w:val="FootnoteText"/>
        <w:rPr>
          <w:lang w:val="en-US"/>
        </w:rPr>
      </w:pPr>
      <w:r>
        <w:rPr>
          <w:rStyle w:val="FootnoteReference"/>
        </w:rPr>
        <w:footnoteRef/>
      </w:r>
      <w:r>
        <w:t xml:space="preserve"> </w:t>
      </w:r>
      <w:r>
        <w:rPr>
          <w:color w:val="000000"/>
        </w:rPr>
        <w:t xml:space="preserve">“Mount Zion and Female Union Band Cemeteries (U.S. National Park Service),” National Parks Service (U.S. Department of the Interior), </w:t>
      </w:r>
      <w:hyperlink r:id="rId37" w:history="1">
        <w:r w:rsidR="002014E2" w:rsidRPr="008C205D">
          <w:rPr>
            <w:rStyle w:val="Hyperlink"/>
          </w:rPr>
          <w:t>https://www.nps.gov/places/mount-zion-and-female-union-band-cemeteries.htm</w:t>
        </w:r>
      </w:hyperlink>
      <w:r>
        <w:rPr>
          <w:color w:val="000000"/>
        </w:rPr>
        <w:t>.</w:t>
      </w:r>
      <w:r w:rsidR="002014E2">
        <w:rPr>
          <w:color w:val="000000"/>
        </w:rPr>
        <w:t xml:space="preserve"> </w:t>
      </w:r>
    </w:p>
  </w:footnote>
  <w:footnote w:id="76">
    <w:p w14:paraId="00000296" w14:textId="57620ABE" w:rsidR="0006233B" w:rsidRPr="00394E1F" w:rsidRDefault="00C5531F" w:rsidP="008B4B3E">
      <w:pPr>
        <w:pStyle w:val="FootnoteText"/>
      </w:pPr>
      <w:r w:rsidRPr="00394E1F">
        <w:rPr>
          <w:vertAlign w:val="superscript"/>
        </w:rPr>
        <w:footnoteRef/>
      </w:r>
      <w:r w:rsidRPr="00394E1F">
        <w:t xml:space="preserve"> </w:t>
      </w:r>
      <w:r w:rsidR="0058191B" w:rsidRPr="0058191B">
        <w:t xml:space="preserve">Center for Constitutional Rights. “The Descendants Project v. St. John the Baptist Parish.” Updated April 2, 2025. </w:t>
      </w:r>
      <w:hyperlink r:id="rId38" w:history="1">
        <w:r w:rsidR="002014E2" w:rsidRPr="008C205D">
          <w:rPr>
            <w:rStyle w:val="Hyperlink"/>
          </w:rPr>
          <w:t>https://ccrjustice.org/home/what-we-do/our-cases/descendants-project-v-st-john-baptist-parish-1</w:t>
        </w:r>
      </w:hyperlink>
      <w:r w:rsidR="0058191B" w:rsidRPr="0058191B">
        <w:t>.</w:t>
      </w:r>
      <w:r w:rsidR="002014E2">
        <w:t xml:space="preserve"> </w:t>
      </w:r>
    </w:p>
  </w:footnote>
  <w:footnote w:id="77">
    <w:p w14:paraId="00000297" w14:textId="43A81EBC" w:rsidR="0006233B" w:rsidRPr="00394E1F" w:rsidRDefault="00C5531F" w:rsidP="008B4B3E">
      <w:pPr>
        <w:pStyle w:val="FootnoteText"/>
      </w:pPr>
      <w:r w:rsidRPr="00394E1F">
        <w:rPr>
          <w:vertAlign w:val="superscript"/>
        </w:rPr>
        <w:footnoteRef/>
      </w:r>
      <w:r w:rsidRPr="00394E1F">
        <w:t xml:space="preserve"> </w:t>
      </w:r>
      <w:r w:rsidR="002014E2">
        <w:t>D</w:t>
      </w:r>
      <w:r w:rsidR="002014E2" w:rsidRPr="002014E2">
        <w:t xml:space="preserve">elaney Dryfoos, “Great River Road Dropped from Consideration as a National Historic Landmark, for Now,” The Lens (New Orleans), February 21, 2025, </w:t>
      </w:r>
      <w:hyperlink r:id="rId39" w:history="1">
        <w:r w:rsidR="002014E2" w:rsidRPr="008C205D">
          <w:rPr>
            <w:rStyle w:val="Hyperlink"/>
          </w:rPr>
          <w:t>https://thelensnola.org/2025/02/21/great-river-road-dropped-from-consideration-as-a-national-historic-landmark-for-now/</w:t>
        </w:r>
      </w:hyperlink>
      <w:r w:rsidR="002014E2">
        <w:t xml:space="preserve"> </w:t>
      </w:r>
    </w:p>
  </w:footnote>
  <w:footnote w:id="78">
    <w:p w14:paraId="63FCE71F" w14:textId="63732ED6" w:rsidR="00072118" w:rsidRPr="00072118" w:rsidRDefault="00072118" w:rsidP="008B4B3E">
      <w:pPr>
        <w:pStyle w:val="FootnoteText"/>
        <w:rPr>
          <w:lang w:val="en-US"/>
        </w:rPr>
      </w:pPr>
      <w:r>
        <w:rPr>
          <w:rStyle w:val="FootnoteReference"/>
        </w:rPr>
        <w:footnoteRef/>
      </w:r>
      <w:r>
        <w:t xml:space="preserve"> Sumner Hall,” </w:t>
      </w:r>
      <w:r>
        <w:rPr>
          <w:rStyle w:val="Emphasis"/>
        </w:rPr>
        <w:t xml:space="preserve">Sumner </w:t>
      </w:r>
      <w:r w:rsidR="00FD6498">
        <w:rPr>
          <w:rStyle w:val="Emphasis"/>
        </w:rPr>
        <w:t>Hall</w:t>
      </w:r>
      <w:r w:rsidR="00FD6498">
        <w:t>,</w:t>
      </w:r>
      <w:r>
        <w:t xml:space="preserve"> </w:t>
      </w:r>
      <w:hyperlink r:id="rId40" w:tgtFrame="_blank" w:history="1">
        <w:r>
          <w:rPr>
            <w:rStyle w:val="text-box-trim-both"/>
            <w:color w:val="0000FF"/>
            <w:u w:val="single"/>
          </w:rPr>
          <w:t>https://www.sumnerhall.org/</w:t>
        </w:r>
      </w:hyperlink>
    </w:p>
  </w:footnote>
  <w:footnote w:id="79">
    <w:p w14:paraId="00000298" w14:textId="77777777" w:rsidR="0006233B" w:rsidRPr="00394E1F" w:rsidRDefault="00C5531F" w:rsidP="008B4B3E">
      <w:pPr>
        <w:pStyle w:val="FootnoteText"/>
      </w:pPr>
      <w:r w:rsidRPr="00394E1F">
        <w:rPr>
          <w:vertAlign w:val="superscript"/>
        </w:rPr>
        <w:footnoteRef/>
      </w:r>
      <w:r w:rsidRPr="00394E1F">
        <w:t xml:space="preserve"> Brent Leggs, Preserving African American historic sites, </w:t>
      </w:r>
      <w:hyperlink r:id="rId41">
        <w:r w:rsidRPr="00394E1F">
          <w:rPr>
            <w:color w:val="1155CC"/>
            <w:u w:val="single"/>
          </w:rPr>
          <w:t>https://cdn.savingplaces.org/2023/06/01/09/17/37/884/PB_AfricanAmericanSites.pdf</w:t>
        </w:r>
      </w:hyperlink>
      <w:r w:rsidRPr="00394E1F">
        <w:t>, 2.</w:t>
      </w:r>
    </w:p>
  </w:footnote>
  <w:footnote w:id="80">
    <w:p w14:paraId="00000299" w14:textId="08B3F2EC" w:rsidR="0006233B" w:rsidRPr="00394E1F" w:rsidRDefault="00C5531F" w:rsidP="008B4B3E">
      <w:pPr>
        <w:pStyle w:val="FootnoteText"/>
      </w:pPr>
      <w:r w:rsidRPr="00394E1F">
        <w:rPr>
          <w:vertAlign w:val="superscript"/>
        </w:rPr>
        <w:footnoteRef/>
      </w:r>
      <w:r w:rsidRPr="00394E1F">
        <w:t xml:space="preserve"> </w:t>
      </w:r>
      <w:r w:rsidR="006A2CD6" w:rsidRPr="006A2CD6">
        <w:t xml:space="preserve">U.S. Global Change Research Program. Fifth National Climate Assessment, Chapter 2: Climate Trends. Washington, DC: U.S. Global Change Research Program, 2023. </w:t>
      </w:r>
      <w:hyperlink r:id="rId42" w:history="1">
        <w:r w:rsidR="006A2CD6" w:rsidRPr="008C205D">
          <w:rPr>
            <w:rStyle w:val="Hyperlink"/>
          </w:rPr>
          <w:t>https://toolkit.climate.gov/sites/default/files/2025-07/NCA5_Ch2_Climate-Trends.pdf</w:t>
        </w:r>
      </w:hyperlink>
      <w:r w:rsidR="006A2CD6">
        <w:t xml:space="preserve"> </w:t>
      </w:r>
    </w:p>
  </w:footnote>
  <w:footnote w:id="81">
    <w:p w14:paraId="0000029A" w14:textId="14F71DA3" w:rsidR="0006233B" w:rsidRPr="00394E1F" w:rsidRDefault="00C5531F" w:rsidP="008B4B3E">
      <w:pPr>
        <w:pStyle w:val="FootnoteText"/>
      </w:pPr>
      <w:r w:rsidRPr="00394E1F">
        <w:rPr>
          <w:vertAlign w:val="superscript"/>
        </w:rPr>
        <w:footnoteRef/>
      </w:r>
      <w:r w:rsidRPr="00394E1F">
        <w:t xml:space="preserve"> </w:t>
      </w:r>
      <w:r w:rsidR="006A2CD6" w:rsidRPr="006A2CD6">
        <w:t xml:space="preserve">Nish Amarnath, “Study: Retrofitting Old Buildings Has Lower Total Carbon Footprint Than New Construction,” Planetizen, September 11, 2024, </w:t>
      </w:r>
      <w:hyperlink r:id="rId43" w:history="1">
        <w:r w:rsidR="006A2CD6" w:rsidRPr="008C205D">
          <w:rPr>
            <w:rStyle w:val="Hyperlink"/>
          </w:rPr>
          <w:t>https://www.planetizen.com/news/2024/09/131750-study-retrofitting-old-buildings-has-lower-total-carbon-footprint-new</w:t>
        </w:r>
      </w:hyperlink>
      <w:r w:rsidR="006A2CD6" w:rsidRPr="006A2CD6">
        <w:t>.</w:t>
      </w:r>
      <w:r w:rsidR="006A2CD6">
        <w:t xml:space="preserve"> </w:t>
      </w:r>
    </w:p>
  </w:footnote>
  <w:footnote w:id="82">
    <w:p w14:paraId="0000029B" w14:textId="199B4EDB" w:rsidR="0006233B" w:rsidRPr="00394E1F" w:rsidRDefault="00C5531F" w:rsidP="008B4B3E">
      <w:pPr>
        <w:pStyle w:val="FootnoteText"/>
      </w:pPr>
      <w:r w:rsidRPr="00394E1F">
        <w:rPr>
          <w:vertAlign w:val="superscript"/>
        </w:rPr>
        <w:footnoteRef/>
      </w:r>
      <w:r w:rsidRPr="00394E1F">
        <w:t xml:space="preserve">  Zoë Johnson, “Maryland At Risk: Sea-Level Rise Adaptation &amp; Response” (Office for a Sustainable Future Maryland Department of Natural Resources, September 2008), </w:t>
      </w:r>
      <w:hyperlink r:id="rId44" w:history="1">
        <w:r w:rsidR="006A2CD6" w:rsidRPr="008C205D">
          <w:rPr>
            <w:rStyle w:val="Hyperlink"/>
          </w:rPr>
          <w:t>https://mde.maryland.gov/programs/Air/ClimateChange/MCCC/Publications/IAN1991.pdf</w:t>
        </w:r>
      </w:hyperlink>
      <w:r w:rsidRPr="00394E1F">
        <w:t>.</w:t>
      </w:r>
    </w:p>
  </w:footnote>
  <w:footnote w:id="83">
    <w:p w14:paraId="0000029C" w14:textId="77777777" w:rsidR="0006233B" w:rsidRPr="00394E1F" w:rsidRDefault="00C5531F" w:rsidP="008B4B3E">
      <w:pPr>
        <w:pStyle w:val="FootnoteText"/>
      </w:pPr>
      <w:r w:rsidRPr="00394E1F">
        <w:rPr>
          <w:vertAlign w:val="superscript"/>
        </w:rPr>
        <w:footnoteRef/>
      </w:r>
      <w:r w:rsidRPr="00394E1F">
        <w:t xml:space="preserve"> Maryland Historical Trust, “The Statewide Preservation Plan (2019-2023)” (Maryland Historical Trust, 2019), https://mht.maryland.gov/documents/PDF/plan/PreserveMaryland%20II_04-29-2020_small.pdf, 67.</w:t>
      </w:r>
    </w:p>
  </w:footnote>
  <w:footnote w:id="84">
    <w:p w14:paraId="6F24FC3F" w14:textId="1560A8A8" w:rsidR="006A2CD6" w:rsidRPr="006A2CD6" w:rsidRDefault="006A2CD6" w:rsidP="008B4B3E">
      <w:pPr>
        <w:pStyle w:val="FootnoteText"/>
        <w:rPr>
          <w:lang w:val="en-US"/>
        </w:rPr>
      </w:pPr>
      <w:r>
        <w:rPr>
          <w:rStyle w:val="FootnoteReference"/>
        </w:rPr>
        <w:footnoteRef/>
      </w:r>
      <w:r>
        <w:t xml:space="preserve"> </w:t>
      </w:r>
      <w:r w:rsidR="007F78AA">
        <w:t>Rob Etgen, Founding Executive Director and President, Eastern Shore Land Conservancy, email correspondence with the author, March 23, 2023. Etgen discusses earlier efforts to integrate historic preservation and conservation easements in Maryland</w:t>
      </w:r>
      <w:r w:rsidR="002B58CB">
        <w:t>.</w:t>
      </w:r>
      <w:r w:rsidR="007F78AA">
        <w:t xml:space="preserve"> See Maryland State Archives, </w:t>
      </w:r>
      <w:r w:rsidR="007F78AA">
        <w:rPr>
          <w:rStyle w:val="Emphasis"/>
        </w:rPr>
        <w:t>Rural Historic Village Protection Program Records</w:t>
      </w:r>
      <w:r w:rsidR="007F78AA">
        <w:t xml:space="preserve">, Series T3625, </w:t>
      </w:r>
      <w:hyperlink r:id="rId45" w:tgtFrame="_new" w:history="1">
        <w:r w:rsidR="007F78AA">
          <w:rPr>
            <w:rStyle w:val="Hyperlink"/>
          </w:rPr>
          <w:t>https://guide.msa.maryland.gov/pages/series.aspx?id=T3625</w:t>
        </w:r>
      </w:hyperlink>
    </w:p>
  </w:footnote>
  <w:footnote w:id="85">
    <w:p w14:paraId="0000029F" w14:textId="4F9D19AB" w:rsidR="0006233B" w:rsidRPr="00394E1F" w:rsidRDefault="00C5531F" w:rsidP="008B4B3E">
      <w:pPr>
        <w:pStyle w:val="FootnoteText"/>
      </w:pPr>
      <w:r w:rsidRPr="00394E1F">
        <w:rPr>
          <w:vertAlign w:val="superscript"/>
        </w:rPr>
        <w:footnoteRef/>
      </w:r>
      <w:r w:rsidRPr="00394E1F">
        <w:t xml:space="preserve"> </w:t>
      </w:r>
      <w:r w:rsidR="00C801AF" w:rsidRPr="00C801AF">
        <w:t xml:space="preserve">Robin Kemp, “Heirs’ Property: One Man’s Journey to Recover Black Wealth in Coastal Georgia,” WABE, August 14, 2025, </w:t>
      </w:r>
      <w:hyperlink r:id="rId46" w:history="1">
        <w:r w:rsidR="00C801AF" w:rsidRPr="008C205D">
          <w:rPr>
            <w:rStyle w:val="Hyperlink"/>
          </w:rPr>
          <w:t>https://www.wabe.org/heirs-property-one-mans-journey-to-recover-black-wealth-in-coastal-georgia/</w:t>
        </w:r>
      </w:hyperlink>
      <w:r w:rsidR="00C801AF">
        <w:t xml:space="preserve"> </w:t>
      </w:r>
    </w:p>
  </w:footnote>
  <w:footnote w:id="86">
    <w:p w14:paraId="000002A0" w14:textId="3D738D3B" w:rsidR="0006233B" w:rsidRPr="00394E1F" w:rsidRDefault="00C5531F" w:rsidP="008B4B3E">
      <w:pPr>
        <w:pStyle w:val="FootnoteText"/>
      </w:pPr>
      <w:r w:rsidRPr="00394E1F">
        <w:rPr>
          <w:vertAlign w:val="superscript"/>
        </w:rPr>
        <w:footnoteRef/>
      </w:r>
      <w:r w:rsidR="00C801AF">
        <w:t xml:space="preserve"> </w:t>
      </w:r>
      <w:r w:rsidR="00C801AF" w:rsidRPr="00C801AF">
        <w:t xml:space="preserve">Glenda Simmons Jenkins, “The Gullah/Geechee People Hold Their Ground,” National Wildlife (Summer 2023), </w:t>
      </w:r>
      <w:hyperlink r:id="rId47" w:history="1">
        <w:r w:rsidR="00C801AF" w:rsidRPr="008C205D">
          <w:rPr>
            <w:rStyle w:val="Hyperlink"/>
          </w:rPr>
          <w:t>https://www.nwf.org/Magazines/National-Wildlife/2023/Summer/Conservation/Gullah-Geechee-Climate-Change-Development</w:t>
        </w:r>
      </w:hyperlink>
      <w:r w:rsidR="00C801AF" w:rsidRPr="00C801AF">
        <w:t>.</w:t>
      </w:r>
      <w:r w:rsidR="00C801AF">
        <w:t xml:space="preserve"> </w:t>
      </w:r>
    </w:p>
  </w:footnote>
  <w:footnote w:id="87">
    <w:p w14:paraId="000002A1" w14:textId="29B559A6" w:rsidR="0006233B" w:rsidRPr="00394E1F" w:rsidRDefault="00C5531F" w:rsidP="008B4B3E">
      <w:pPr>
        <w:pStyle w:val="FootnoteText"/>
      </w:pPr>
      <w:r w:rsidRPr="00394E1F">
        <w:rPr>
          <w:vertAlign w:val="superscript"/>
        </w:rPr>
        <w:footnoteRef/>
      </w:r>
      <w:r w:rsidRPr="00394E1F">
        <w:t xml:space="preserve"> </w:t>
      </w:r>
      <w:r w:rsidR="00A7192C">
        <w:t xml:space="preserve">Kelly Anderson, “‘We’re Building for Ourselves’: Black Church Food Security Network Helps Black Communities Grow Their Own Food,” </w:t>
      </w:r>
      <w:r w:rsidR="00A7192C">
        <w:rPr>
          <w:rStyle w:val="Emphasis"/>
        </w:rPr>
        <w:t>WMAR-2 News</w:t>
      </w:r>
      <w:r w:rsidR="00A7192C">
        <w:t xml:space="preserve">, April 18, 2024, </w:t>
      </w:r>
      <w:hyperlink r:id="rId48" w:tgtFrame="_blank" w:history="1">
        <w:r w:rsidR="00A7192C">
          <w:rPr>
            <w:rStyle w:val="text-box-trim-both"/>
            <w:color w:val="0000FF"/>
            <w:u w:val="single"/>
          </w:rPr>
          <w:t>https://www.wmar2news.com/bridgingthegap/were-building-for-ourselves-black-church-food-security-network-helps-black-communities-grow-their-own-food.</w:t>
        </w:r>
      </w:hyperlink>
    </w:p>
  </w:footnote>
  <w:footnote w:id="88">
    <w:p w14:paraId="000002A2" w14:textId="6F337573" w:rsidR="0006233B" w:rsidRPr="00394E1F" w:rsidRDefault="00C5531F" w:rsidP="008B4B3E">
      <w:pPr>
        <w:pStyle w:val="FootnoteText"/>
      </w:pPr>
      <w:r w:rsidRPr="00394E1F">
        <w:rPr>
          <w:vertAlign w:val="superscript"/>
        </w:rPr>
        <w:footnoteRef/>
      </w:r>
      <w:r w:rsidRPr="00394E1F">
        <w:t xml:space="preserve"> </w:t>
      </w:r>
      <w:r w:rsidR="0045317F">
        <w:t xml:space="preserve">Dick Gregory: Advice to Young African Americans.” YouTube video, 5:20. April 27, 2018. </w:t>
      </w:r>
      <w:hyperlink r:id="rId49" w:tgtFrame="_blank" w:history="1">
        <w:r w:rsidR="0045317F">
          <w:rPr>
            <w:rStyle w:val="text-box-trim-both"/>
            <w:color w:val="0000FF"/>
            <w:u w:val="single"/>
          </w:rPr>
          <w:t>https://youtu.be/p0obdh1wvG</w:t>
        </w:r>
        <w:r w:rsidR="0045317F">
          <w:rPr>
            <w:rStyle w:val="text-box-trim-both"/>
            <w:color w:val="0000FF"/>
            <w:u w:val="single"/>
          </w:rPr>
          <w:t>s</w:t>
        </w:r>
      </w:hyperlink>
    </w:p>
  </w:footnote>
  <w:footnote w:id="89">
    <w:p w14:paraId="5A35CA63" w14:textId="50130AB9" w:rsidR="0076446A" w:rsidRPr="0076446A" w:rsidRDefault="0076446A" w:rsidP="008B4B3E">
      <w:pPr>
        <w:pStyle w:val="FootnoteText"/>
        <w:rPr>
          <w:lang w:val="en-US"/>
        </w:rPr>
      </w:pPr>
      <w:r>
        <w:rPr>
          <w:rStyle w:val="FootnoteReference"/>
        </w:rPr>
        <w:footnoteRef/>
      </w:r>
      <w:r>
        <w:t xml:space="preserve"> </w:t>
      </w:r>
      <w:r>
        <w:rPr>
          <w:lang w:val="en-US"/>
        </w:rPr>
        <w:t>See Laurajane Smith, Chapter 1.</w:t>
      </w:r>
      <w:r w:rsidR="00075DF8">
        <w:rPr>
          <w:lang w:val="en-US"/>
        </w:rPr>
        <w:t xml:space="preserve"> </w:t>
      </w:r>
      <w:r w:rsidR="00075DF8">
        <w:t xml:space="preserve">Building on </w:t>
      </w:r>
      <w:r w:rsidR="00075DF8" w:rsidRPr="00075DF8">
        <w:rPr>
          <w:rStyle w:val="whitespace-normal"/>
        </w:rPr>
        <w:t>Smith</w:t>
      </w:r>
      <w:r w:rsidR="00075DF8" w:rsidRPr="00075DF8">
        <w:t xml:space="preserve">’s </w:t>
      </w:r>
      <w:r w:rsidR="00075DF8">
        <w:t>conception of heritage process rather than a fixed product, this analysis draws on real-life, community-based examples to show how heritage manifests through process of land stewardship, institutional continuity, youth education, and collective economic capacity in practice.</w:t>
      </w:r>
    </w:p>
  </w:footnote>
  <w:footnote w:id="90">
    <w:p w14:paraId="5351EB75" w14:textId="6217EA96" w:rsidR="00075DF8" w:rsidRPr="00075DF8" w:rsidRDefault="00075DF8" w:rsidP="008B4B3E">
      <w:pPr>
        <w:pStyle w:val="FootnoteText"/>
        <w:rPr>
          <w:lang w:val="en-US"/>
        </w:rPr>
      </w:pPr>
      <w:r>
        <w:rPr>
          <w:rStyle w:val="FootnoteReference"/>
        </w:rPr>
        <w:footnoteRef/>
      </w:r>
      <w:r>
        <w:t xml:space="preserve"> N</w:t>
      </w:r>
      <w:r w:rsidRPr="00075DF8">
        <w:t>ational Trust for Historic Preservation, National Trust African American History Initiative: 1772 Foundation Annual Report 2010 (Newport, RI: 1772 Foundation, 2010), 7.</w:t>
      </w:r>
    </w:p>
  </w:footnote>
  <w:footnote w:id="91">
    <w:p w14:paraId="67AB95E8" w14:textId="4D4FDC63" w:rsidR="00723240" w:rsidRPr="00723240" w:rsidRDefault="00723240" w:rsidP="008B4B3E">
      <w:pPr>
        <w:pStyle w:val="FootnoteText"/>
        <w:rPr>
          <w:lang w:val="en-US"/>
        </w:rPr>
      </w:pPr>
      <w:r>
        <w:rPr>
          <w:rStyle w:val="FootnoteReference"/>
        </w:rPr>
        <w:footnoteRef/>
      </w:r>
      <w:r>
        <w:t xml:space="preserve"> </w:t>
      </w:r>
      <w:r w:rsidRPr="00394E1F">
        <w:rPr>
          <w:lang w:val="en-US"/>
        </w:rPr>
        <w:t xml:space="preserve">Brian Sullivan, </w:t>
      </w:r>
      <w:r w:rsidRPr="00394E1F">
        <w:rPr>
          <w:rStyle w:val="Emphasis"/>
        </w:rPr>
        <w:t>Coping with Poverty and Prejudice: How Rural Blacks Adapt Environmentally to the Constraints of Society</w:t>
      </w:r>
      <w:r w:rsidRPr="00394E1F">
        <w:t xml:space="preserve"> (M.Arch thesis, Massachusetts Institute of Technology, 1978), </w:t>
      </w:r>
      <w:r w:rsidR="003947EE">
        <w:t>38</w:t>
      </w:r>
      <w:r w:rsidRPr="00394E1F">
        <w:t>–</w:t>
      </w:r>
      <w:r w:rsidR="003947EE">
        <w:t>42</w:t>
      </w:r>
      <w:r w:rsidRPr="00394E1F">
        <w:t xml:space="preserve">, </w:t>
      </w:r>
      <w:hyperlink r:id="rId50" w:tgtFrame="_new" w:history="1">
        <w:r w:rsidRPr="00394E1F">
          <w:rPr>
            <w:rStyle w:val="Hyperlink"/>
          </w:rPr>
          <w:t>https://dspace.mit.edu/handle/1721.1/77847</w:t>
        </w:r>
      </w:hyperlink>
      <w:r w:rsidRPr="00394E1F">
        <w:t>.</w:t>
      </w:r>
    </w:p>
  </w:footnote>
  <w:footnote w:id="92">
    <w:p w14:paraId="5FCC630E" w14:textId="33A5A956" w:rsidR="003947EE" w:rsidRPr="003947EE" w:rsidRDefault="003947EE" w:rsidP="008B4B3E">
      <w:pPr>
        <w:pStyle w:val="FootnoteText"/>
        <w:rPr>
          <w:lang w:val="en-US"/>
        </w:rPr>
      </w:pPr>
      <w:r>
        <w:rPr>
          <w:rStyle w:val="FootnoteReference"/>
        </w:rPr>
        <w:footnoteRef/>
      </w:r>
      <w:r>
        <w:t xml:space="preserve"> </w:t>
      </w:r>
      <w:r w:rsidRPr="00394E1F">
        <w:rPr>
          <w:lang w:val="en-US"/>
        </w:rPr>
        <w:t xml:space="preserve">Brian Sullivan, </w:t>
      </w:r>
      <w:r w:rsidRPr="00394E1F">
        <w:rPr>
          <w:rStyle w:val="Emphasis"/>
        </w:rPr>
        <w:t>Coping with Poverty and Prejudice: How Rural Blacks Adapt Environmentally to the Constraints of Society</w:t>
      </w:r>
      <w:r w:rsidRPr="00394E1F">
        <w:t xml:space="preserve"> (</w:t>
      </w:r>
      <w:proofErr w:type="gramStart"/>
      <w:r w:rsidRPr="00394E1F">
        <w:t>M.Arch</w:t>
      </w:r>
      <w:proofErr w:type="gramEnd"/>
      <w:r w:rsidRPr="00394E1F">
        <w:t xml:space="preserve"> thesis, Massachusetts Institute of Technology,1978</w:t>
      </w:r>
      <w:r w:rsidR="002B58CB">
        <w:t>.</w:t>
      </w:r>
      <w:r w:rsidRPr="00394E1F">
        <w:t xml:space="preserve"> </w:t>
      </w:r>
      <w:hyperlink r:id="rId51" w:tgtFrame="_new" w:history="1">
        <w:r w:rsidRPr="00394E1F">
          <w:rPr>
            <w:rStyle w:val="Hyperlink"/>
          </w:rPr>
          <w:t>https://dspace.mit.edu/handle/1721.1/77847</w:t>
        </w:r>
      </w:hyperlink>
      <w:r w:rsidRPr="00394E1F">
        <w:t>.</w:t>
      </w:r>
    </w:p>
  </w:footnote>
  <w:footnote w:id="93">
    <w:p w14:paraId="610B80CC" w14:textId="755E0D79" w:rsidR="00433853" w:rsidRPr="00433853" w:rsidRDefault="00433853" w:rsidP="008B4B3E">
      <w:pPr>
        <w:pStyle w:val="FootnoteText"/>
        <w:rPr>
          <w:lang w:val="en-US"/>
        </w:rPr>
      </w:pPr>
      <w:r>
        <w:rPr>
          <w:rStyle w:val="FootnoteReference"/>
        </w:rPr>
        <w:footnoteRef/>
      </w:r>
      <w:r>
        <w:t xml:space="preserve"> This observation is informed by the author’s recent conversations with the Assistant Secretary of the Maryland Department of Housing and Community Development’s Division of Just Communities, whose current mapping framework does not capture many rural Black enclaves on the Eastern Shore. </w:t>
      </w:r>
    </w:p>
  </w:footnote>
  <w:footnote w:id="94">
    <w:p w14:paraId="5B32C1D8" w14:textId="6A23396F" w:rsidR="00744F7C" w:rsidRPr="00744F7C" w:rsidRDefault="00744F7C" w:rsidP="008B4B3E">
      <w:pPr>
        <w:pStyle w:val="FootnoteText"/>
        <w:rPr>
          <w:lang w:val="en-US"/>
        </w:rPr>
      </w:pPr>
      <w:r>
        <w:rPr>
          <w:rStyle w:val="FootnoteReference"/>
        </w:rPr>
        <w:footnoteRef/>
      </w:r>
      <w:r>
        <w:t xml:space="preserve"> </w:t>
      </w:r>
      <w:r w:rsidRPr="00744F7C">
        <w:t>On heritage tourism as an expression of a dominant white spatial imaginary organized around consumption, exclusivity, and property value, see George Lipsitz, How Racism Takes Place (Philadelphia: Temple University Press, 2011). Lipsitz contrasts this with Black spatial imaginaries grounded in survival, continuity, and collective obligation, where communities draw on extended family settlement, church-based networks, and shared property practices to remain in place under conditions of racism and economic precarity. This distinction helps frame Eastern Shore heritage marketing—inviting affluent newcomers to inhabit a curated “escape” landscape—against the ongoing struggles of Black and working-class residents to stay housed, hold onto inherited land, and maintain social worlds in the face of rising costs, disinvestment, and climate risk.</w:t>
      </w:r>
    </w:p>
  </w:footnote>
  <w:footnote w:id="95">
    <w:p w14:paraId="47A6DC85" w14:textId="68E695F2" w:rsidR="008657A6" w:rsidRPr="008657A6" w:rsidRDefault="008657A6" w:rsidP="008B4B3E">
      <w:pPr>
        <w:pStyle w:val="FootnoteText"/>
        <w:rPr>
          <w:lang w:val="en-US"/>
        </w:rPr>
      </w:pPr>
      <w:r>
        <w:rPr>
          <w:rStyle w:val="FootnoteReference"/>
        </w:rPr>
        <w:footnoteRef/>
      </w:r>
      <w:r>
        <w:t xml:space="preserve"> </w:t>
      </w:r>
      <w:r w:rsidRPr="008657A6">
        <w:t>Andreas Wesener, “‘This Place Feels Authentic’: Exploring Experiences of Authenticity of Place in Relation to the Urban Built Environment in the Jewellery Quarter, Birmingham,” Journal of Urban Design 21, no. 1 (2016): 67–83, https://doi.org/10.1080/13574809.2015.1106915.</w:t>
      </w:r>
    </w:p>
  </w:footnote>
  <w:footnote w:id="96">
    <w:p w14:paraId="5FEEE8C4" w14:textId="1CD1D309" w:rsidR="00D642FE" w:rsidRPr="00D642FE" w:rsidRDefault="00D642FE" w:rsidP="008B4B3E">
      <w:pPr>
        <w:pStyle w:val="FootnoteText"/>
        <w:rPr>
          <w:lang w:val="en-US"/>
        </w:rPr>
      </w:pPr>
      <w:r>
        <w:rPr>
          <w:rStyle w:val="FootnoteReference"/>
        </w:rPr>
        <w:footnoteRef/>
      </w:r>
      <w:r>
        <w:t xml:space="preserve"> </w:t>
      </w:r>
      <w:r w:rsidRPr="00D642FE">
        <w:t>Perri Meldon, “Tubman’s Blackwater: Wading Through Public History at a Wildlife Refuge,” The Public Historian 46, no. 3 (August 2024): 63–84, https://online.ucpress.edu/tph/article/46/3/63/202824/Tubman-s-BlackwaterWading-Through-Public-History</w:t>
      </w:r>
    </w:p>
  </w:footnote>
  <w:footnote w:id="97">
    <w:p w14:paraId="000002AB" w14:textId="0EE02351" w:rsidR="0006233B" w:rsidRPr="00394E1F" w:rsidRDefault="00C5531F" w:rsidP="008B4B3E">
      <w:pPr>
        <w:pStyle w:val="FootnoteText"/>
      </w:pPr>
      <w:r w:rsidRPr="00394E1F">
        <w:rPr>
          <w:vertAlign w:val="superscript"/>
        </w:rPr>
        <w:footnoteRef/>
      </w:r>
      <w:r w:rsidRPr="00394E1F">
        <w:t xml:space="preserve"> </w:t>
      </w:r>
      <w:r w:rsidR="008657A6">
        <w:t xml:space="preserve">Paul Groth and Todd W. Bressi, eds., </w:t>
      </w:r>
      <w:r w:rsidR="008657A6">
        <w:rPr>
          <w:rStyle w:val="Emphasis"/>
        </w:rPr>
        <w:t>Understanding Ordinary Landscapes</w:t>
      </w:r>
      <w:r w:rsidR="008657A6">
        <w:t xml:space="preserve"> (New Haven, CT: Yale University Press, 1997). Groth argues that “ordinary, everyday landscapes” embody “the interaction between people and place” through generations of small, repeated acts, revealing how identity and social relations are maintained in routine settings rather than monuments. This framework underscores that the “wisdom of elders,” the caretaking of churches and cemeteries, and the collective memory held in neighborhoods and schools all reside in these everyday practices—quiet performances of continuity whose neglect can erode the communal resilience they cultivate</w:t>
      </w:r>
    </w:p>
  </w:footnote>
  <w:footnote w:id="98">
    <w:p w14:paraId="000002AC" w14:textId="35D4D99E" w:rsidR="0006233B" w:rsidRPr="00394E1F" w:rsidRDefault="00C5531F" w:rsidP="008B4B3E">
      <w:pPr>
        <w:pStyle w:val="FootnoteText"/>
      </w:pPr>
      <w:r w:rsidRPr="00394E1F">
        <w:rPr>
          <w:vertAlign w:val="superscript"/>
        </w:rPr>
        <w:footnoteRef/>
      </w:r>
      <w:r w:rsidRPr="00394E1F">
        <w:t xml:space="preserve"> </w:t>
      </w:r>
      <w:r w:rsidR="00956475">
        <w:t xml:space="preserve">ASALH–NPS Collaboration: Black Public High Schools, 1870–1970,” Association for the Study of African American Life and History, last modified September 30, 2025, </w:t>
      </w:r>
      <w:hyperlink r:id="rId52" w:tgtFrame="_blank" w:history="1">
        <w:r w:rsidR="00956475">
          <w:rPr>
            <w:rStyle w:val="text-box-trim-both"/>
            <w:color w:val="0000FF"/>
            <w:u w:val="single"/>
          </w:rPr>
          <w:t>https://asalh.org/asalh-nps-collaboration-community-forum/</w:t>
        </w:r>
      </w:hyperlink>
      <w:r w:rsidR="00956475">
        <w:t xml:space="preserve">; “African American Churches in Virginia Multiple Property Documentation Form (MPD),” Virginia Department of Historic Resources, DHR File No. 500-0010, </w:t>
      </w:r>
      <w:hyperlink r:id="rId53" w:tgtFrame="_blank" w:history="1">
        <w:r w:rsidR="00956475">
          <w:rPr>
            <w:rStyle w:val="text-box-trim-both"/>
            <w:color w:val="0000FF"/>
            <w:u w:val="single"/>
          </w:rPr>
          <w:t>https://www.dhr.virginia.gov/historic-registers/500-0010/.</w:t>
        </w:r>
      </w:hyperlink>
      <w:hyperlink r:id="rId54" w:tgtFrame="_blank" w:history="1">
        <w:r w:rsidR="00956475">
          <w:rPr>
            <w:rStyle w:val="text-box-trim-both"/>
            <w:color w:val="0000FF"/>
            <w:u w:val="single"/>
          </w:rPr>
          <w:t>https://asalh.org/asalh-nps-collaboration-community-forum/</w:t>
        </w:r>
      </w:hyperlink>
    </w:p>
  </w:footnote>
  <w:footnote w:id="99">
    <w:p w14:paraId="000002AE" w14:textId="36A2470C" w:rsidR="0006233B" w:rsidRPr="00394E1F" w:rsidRDefault="00C5531F" w:rsidP="008B4B3E">
      <w:pPr>
        <w:pStyle w:val="FootnoteText"/>
      </w:pPr>
      <w:r w:rsidRPr="00394E1F">
        <w:rPr>
          <w:vertAlign w:val="superscript"/>
        </w:rPr>
        <w:footnoteRef/>
      </w:r>
      <w:r w:rsidRPr="00394E1F">
        <w:t xml:space="preserve"> </w:t>
      </w:r>
      <w:r w:rsidR="001C4BEF" w:rsidRPr="001C4BEF">
        <w:t>In his analysis and correspondence, Brian Sullivan reflects on how, as a white, college-aged researcher, he initially failed to recognize the assets embedded within Backwoods communities because he did not share the lived experiences that made those elements legible as value. Features such as the absence of yard boundaries or fencing, shared driveways, communal livestock pens, and stored brick or lumber for incremental home improvements were not immediately understood as intentional systems of cooperation and care. This underscores the need to think of community in the plural: different gazes shape what registers as value in a landscape, and even when people share geography or aspects of identity, they bring distinct perspectives that influence how place is seen, interpreted, and understood.</w:t>
      </w:r>
    </w:p>
  </w:footnote>
  <w:footnote w:id="100">
    <w:p w14:paraId="22A3B6DF" w14:textId="656E1783" w:rsidR="002E2A85" w:rsidRPr="002E2A85" w:rsidRDefault="002E2A85" w:rsidP="008B4B3E">
      <w:pPr>
        <w:pStyle w:val="FootnoteText"/>
        <w:rPr>
          <w:lang w:val="en-US"/>
        </w:rPr>
      </w:pPr>
      <w:r>
        <w:rPr>
          <w:rStyle w:val="FootnoteReference"/>
        </w:rPr>
        <w:footnoteRef/>
      </w:r>
      <w:r>
        <w:t xml:space="preserve"> Maarten Jacobs, “Heritage, Interpretation, and Contestation: A Framework for Understanding Heritage as Mindscape, Powerscape, and Matterscape,” which argues that heritage work must address meaning, values, and governance structures alongside material fabric. Jacobs defines </w:t>
      </w:r>
      <w:r>
        <w:rPr>
          <w:rStyle w:val="Emphasis"/>
        </w:rPr>
        <w:t>mindscape</w:t>
      </w:r>
      <w:r>
        <w:t xml:space="preserve"> as the realm of memory, perception, and identity through which communities interpret heritage; </w:t>
      </w:r>
      <w:r>
        <w:rPr>
          <w:rStyle w:val="Emphasis"/>
        </w:rPr>
        <w:t>powerscape</w:t>
      </w:r>
      <w:r>
        <w:t xml:space="preserve"> as the institutional and normative structures that shape authority, obligation, and decision-making; and </w:t>
      </w:r>
      <w:r>
        <w:rPr>
          <w:rStyle w:val="Emphasis"/>
        </w:rPr>
        <w:t>matterscape</w:t>
      </w:r>
      <w:r>
        <w:t xml:space="preserve"> as the physical environment itself. He contends that heritage contestation arises from tensions between mindscapes and powerscapes over what material places should mean and how they should be used, reinforcing the view that intangible assets form the mental and moral infrastructure required for communities to interpret, govern, and steward material heritage.</w:t>
      </w:r>
    </w:p>
  </w:footnote>
  <w:footnote w:id="101">
    <w:p w14:paraId="000002B1" w14:textId="7285153B" w:rsidR="0006233B" w:rsidRPr="00394E1F" w:rsidRDefault="00830B81" w:rsidP="008B4B3E">
      <w:pPr>
        <w:pStyle w:val="FootnoteText"/>
      </w:pPr>
      <w:r>
        <w:t xml:space="preserve">Michael Frisch, </w:t>
      </w:r>
      <w:r>
        <w:rPr>
          <w:rStyle w:val="Emphasis"/>
        </w:rPr>
        <w:t>A Shared Authority: Essays on the Craft and Meaning of Oral and Public History</w:t>
      </w:r>
      <w:r>
        <w:t xml:space="preserve"> (Albany: State University of New York Press, 1990)</w:t>
      </w:r>
    </w:p>
  </w:footnote>
  <w:footnote w:id="102">
    <w:p w14:paraId="4C6C5A06" w14:textId="045EEBEF" w:rsidR="009C65B6" w:rsidRPr="009C65B6" w:rsidRDefault="009C65B6" w:rsidP="008B4B3E">
      <w:pPr>
        <w:pStyle w:val="FootnoteText"/>
        <w:rPr>
          <w:lang w:val="en-US"/>
        </w:rPr>
      </w:pPr>
      <w:r>
        <w:rPr>
          <w:rStyle w:val="FootnoteReference"/>
        </w:rPr>
        <w:footnoteRef/>
      </w:r>
      <w:r>
        <w:t xml:space="preserve"> </w:t>
      </w:r>
      <w:r w:rsidRPr="009C65B6">
        <w:t>Julie Zauzmer Weil, “Descendants of enslaved man, plantation owner unearth past at Maryland cabin,” The Washington Post, September 14, 2025</w:t>
      </w:r>
    </w:p>
  </w:footnote>
  <w:footnote w:id="103">
    <w:p w14:paraId="000002B3" w14:textId="43457039" w:rsidR="0006233B" w:rsidRPr="00394E1F" w:rsidRDefault="00C5531F" w:rsidP="008B4B3E">
      <w:pPr>
        <w:pStyle w:val="FootnoteText"/>
      </w:pPr>
      <w:r w:rsidRPr="00394E1F">
        <w:rPr>
          <w:vertAlign w:val="superscript"/>
        </w:rPr>
        <w:footnoteRef/>
      </w:r>
      <w:r w:rsidRPr="00394E1F">
        <w:t xml:space="preserve"> </w:t>
      </w:r>
      <w:r w:rsidR="0053361C" w:rsidRPr="0053361C">
        <w:t>Alabama African American Civil Rights Heritage Sites Consortium. “Our Story.” Alabama African American Civil Rights Heritage Sites Consortium. https://aaacrhsc.org/our-story/.​</w:t>
      </w:r>
    </w:p>
  </w:footnote>
  <w:footnote w:id="104">
    <w:p w14:paraId="000002B4" w14:textId="77777777" w:rsidR="0006233B" w:rsidRPr="00394E1F" w:rsidRDefault="00C5531F" w:rsidP="008B4B3E">
      <w:pPr>
        <w:pStyle w:val="FootnoteText"/>
      </w:pPr>
      <w:r w:rsidRPr="00394E1F">
        <w:rPr>
          <w:vertAlign w:val="superscript"/>
        </w:rPr>
        <w:footnoteRef/>
      </w:r>
      <w:r w:rsidRPr="00394E1F">
        <w:t xml:space="preserve"> Cite October 2023 visit with 1772 Foundation (incl. image)</w:t>
      </w:r>
    </w:p>
  </w:footnote>
  <w:footnote w:id="105">
    <w:p w14:paraId="48EFA022" w14:textId="60B101F3" w:rsidR="00AF348A" w:rsidRPr="00AF348A" w:rsidRDefault="00AF348A" w:rsidP="008B4B3E">
      <w:pPr>
        <w:pStyle w:val="FootnoteText"/>
        <w:rPr>
          <w:lang w:val="en-US"/>
        </w:rPr>
      </w:pPr>
      <w:r>
        <w:rPr>
          <w:rStyle w:val="FootnoteReference"/>
        </w:rPr>
        <w:footnoteRef/>
      </w:r>
      <w:r>
        <w:t xml:space="preserve"> </w:t>
      </w:r>
      <w:r w:rsidRPr="00AF348A">
        <w:t xml:space="preserve">National Summit on Teaching Slavery. Engaging Communities in the Interpretation of Slavery at Museums and Historic </w:t>
      </w:r>
      <w:proofErr w:type="spellStart"/>
      <w:r w:rsidRPr="00AF348A">
        <w:t>SitesWashington</w:t>
      </w:r>
      <w:proofErr w:type="spellEnd"/>
      <w:r w:rsidRPr="00AF348A">
        <w:t>, DC: National Trust for Historic Preservation, African American Cultural Heritage Action Fund, 2018. https://dslue.org/wp-content/uploads/2025/02/Engaging-Descendant-Communities-at-Historic-Sites-Interpreting-Slavery-Rubric-Oct-30-2018.pdf.</w:t>
      </w:r>
    </w:p>
  </w:footnote>
  <w:footnote w:id="106">
    <w:p w14:paraId="78A6EB79" w14:textId="28F731D3" w:rsidR="001376DC" w:rsidRPr="001376DC" w:rsidRDefault="001376DC" w:rsidP="008B4B3E">
      <w:pPr>
        <w:pStyle w:val="FootnoteText"/>
        <w:rPr>
          <w:lang w:val="en-US"/>
        </w:rPr>
      </w:pPr>
      <w:r>
        <w:rPr>
          <w:rStyle w:val="FootnoteReference"/>
        </w:rPr>
        <w:footnoteRef/>
      </w:r>
      <w:r>
        <w:t xml:space="preserve"> </w:t>
      </w:r>
      <w:r w:rsidRPr="001376DC">
        <w:t xml:space="preserve">Cory J. France. “Cory J. France – Public Historian | Cultural Strategist – LinkedIn.” LinkedIn. </w:t>
      </w:r>
      <w:hyperlink r:id="rId55" w:history="1">
        <w:r w:rsidRPr="008C205D">
          <w:rPr>
            <w:rStyle w:val="Hyperlink"/>
          </w:rPr>
          <w:t>https://www.linkedin.com/in/coryjfrance/</w:t>
        </w:r>
      </w:hyperlink>
      <w:r>
        <w:t xml:space="preserve"> </w:t>
      </w:r>
    </w:p>
  </w:footnote>
  <w:footnote w:id="107">
    <w:p w14:paraId="48ADCEBC" w14:textId="2D43F791" w:rsidR="001376DC" w:rsidRPr="001376DC" w:rsidRDefault="001376DC" w:rsidP="008B4B3E">
      <w:pPr>
        <w:pStyle w:val="FootnoteText"/>
        <w:rPr>
          <w:lang w:val="en-US"/>
        </w:rPr>
      </w:pPr>
      <w:r>
        <w:rPr>
          <w:rStyle w:val="FootnoteReference"/>
        </w:rPr>
        <w:footnoteRef/>
      </w:r>
      <w:r>
        <w:t xml:space="preserve"> </w:t>
      </w:r>
      <w:r w:rsidRPr="001376DC">
        <w:t xml:space="preserve">Smithsonian National Museum of African American History and Culture. “HBCU History and Culture Access Consortium (HCAC).” National Museum of African American History and Culture. </w:t>
      </w:r>
      <w:hyperlink r:id="rId56" w:history="1">
        <w:r w:rsidRPr="008C205D">
          <w:rPr>
            <w:rStyle w:val="Hyperlink"/>
          </w:rPr>
          <w:t>https://nmaahc.si.edu/connect/strategic-partnerships/hbcu-history-and-culture-access-consortium</w:t>
        </w:r>
      </w:hyperlink>
      <w:r>
        <w:t xml:space="preserve"> </w:t>
      </w:r>
    </w:p>
  </w:footnote>
  <w:footnote w:id="108">
    <w:p w14:paraId="5FE076E6" w14:textId="4ABB4304" w:rsidR="001376DC" w:rsidRPr="001376DC" w:rsidRDefault="001376DC" w:rsidP="008B4B3E">
      <w:pPr>
        <w:pStyle w:val="FootnoteText"/>
        <w:rPr>
          <w:lang w:val="en-US"/>
        </w:rPr>
      </w:pPr>
      <w:r>
        <w:rPr>
          <w:rStyle w:val="FootnoteReference"/>
        </w:rPr>
        <w:footnoteRef/>
      </w:r>
      <w:r>
        <w:t xml:space="preserve"> </w:t>
      </w:r>
      <w:r w:rsidRPr="001376DC">
        <w:t xml:space="preserve">Higher Ground Society. “Culture Keeper Mutual Aid Fund.” Higher Ground Society. </w:t>
      </w:r>
      <w:hyperlink r:id="rId57" w:history="1">
        <w:r w:rsidRPr="008C205D">
          <w:rPr>
            <w:rStyle w:val="Hyperlink"/>
          </w:rPr>
          <w:t>https://www.highergroundsociety.org/culture-keeper-mutual-aid-fund</w:t>
        </w:r>
      </w:hyperlink>
      <w:r w:rsidRPr="001376DC">
        <w:t>.</w:t>
      </w:r>
      <w:r>
        <w:t xml:space="preserve"> </w:t>
      </w:r>
    </w:p>
  </w:footnote>
  <w:footnote w:id="109">
    <w:p w14:paraId="03118998" w14:textId="2045853E" w:rsidR="001376DC" w:rsidRPr="001376DC" w:rsidRDefault="001376DC" w:rsidP="008B4B3E">
      <w:pPr>
        <w:pStyle w:val="FootnoteText"/>
        <w:rPr>
          <w:lang w:val="en-US"/>
        </w:rPr>
      </w:pPr>
      <w:r>
        <w:rPr>
          <w:rStyle w:val="FootnoteReference"/>
        </w:rPr>
        <w:footnoteRef/>
      </w:r>
      <w:r>
        <w:t xml:space="preserve"> N</w:t>
      </w:r>
      <w:r w:rsidRPr="00075DF8">
        <w:t>ational Trust for Historic Preservation, National Trust African American History Initiative: 1772 Foundation Annual Report 2010 (Newport, RI: 1772 Foundation, 2010), 7.</w:t>
      </w:r>
      <w:r w:rsidR="00AC48EA">
        <w:t xml:space="preserve"> </w:t>
      </w:r>
      <w:hyperlink r:id="rId58" w:tgtFrame="_blank" w:history="1">
        <w:r w:rsidR="00AC48EA">
          <w:rPr>
            <w:rStyle w:val="text-box-trim-both"/>
            <w:color w:val="0000FF"/>
            <w:u w:val="single"/>
          </w:rPr>
          <w:t>static/66bf97ef8329da5c91b5a79d/t/66d08aff3da27912f02a6fbc/1724943108654/1772-annualreport-2010.pdf.</w:t>
        </w:r>
      </w:hyperlink>
    </w:p>
  </w:footnote>
  <w:footnote w:id="110">
    <w:p w14:paraId="26C786BF" w14:textId="1EA54325" w:rsidR="00C044FE" w:rsidRPr="00C044FE" w:rsidRDefault="00C044FE" w:rsidP="008B4B3E">
      <w:pPr>
        <w:pStyle w:val="FootnoteText"/>
        <w:rPr>
          <w:lang w:val="en-US"/>
        </w:rPr>
      </w:pPr>
      <w:r>
        <w:rPr>
          <w:rStyle w:val="FootnoteReference"/>
        </w:rPr>
        <w:footnoteRef/>
      </w:r>
      <w:r>
        <w:t xml:space="preserve"> </w:t>
      </w:r>
      <w:r w:rsidRPr="00C044FE">
        <w:t>Chesapeake Heartland: An African American Humanities Project. “Kent County Chattel Records – James Butler Purchases Freedom for $1 from Richard Spencer [CH_CA_2024_MSA_004_026].” Chesapeake Heartland Digital Archive. https://archive.chesapeakeheartland.org/Detail/objects/5815</w:t>
      </w:r>
    </w:p>
  </w:footnote>
  <w:footnote w:id="111">
    <w:p w14:paraId="000002B5" w14:textId="5C597240" w:rsidR="0006233B" w:rsidRPr="00394E1F" w:rsidRDefault="00C5531F" w:rsidP="008B4B3E">
      <w:pPr>
        <w:pStyle w:val="FootnoteText"/>
      </w:pPr>
      <w:r w:rsidRPr="00394E1F">
        <w:rPr>
          <w:vertAlign w:val="superscript"/>
        </w:rPr>
        <w:footnoteRef/>
      </w:r>
      <w:r w:rsidRPr="00394E1F">
        <w:t xml:space="preserve"> </w:t>
      </w:r>
      <w:r w:rsidR="0065382A" w:rsidRPr="0065382A">
        <w:t xml:space="preserve">Katherine Parker. “Community Archaeology at the Oddfellows Cemetery, Knoxville.” Tennessee Council for Professional Archaeology (blog), September 29, 2020. </w:t>
      </w:r>
      <w:hyperlink r:id="rId59" w:history="1">
        <w:r w:rsidR="0065382A" w:rsidRPr="008C205D">
          <w:rPr>
            <w:rStyle w:val="Hyperlink"/>
          </w:rPr>
          <w:t>https://tennesseearchaeologycouncil.wordpress.com/2020/09/29/community-archaeology-at-the-oddfellows-cemetery-knoxville/</w:t>
        </w:r>
      </w:hyperlink>
      <w:r w:rsidR="0065382A">
        <w:t xml:space="preserve"> </w:t>
      </w:r>
    </w:p>
  </w:footnote>
  <w:footnote w:id="112">
    <w:p w14:paraId="420C44F6" w14:textId="31316DCD" w:rsidR="007B4CB6" w:rsidRPr="007B4CB6" w:rsidRDefault="007B4CB6" w:rsidP="008B4B3E">
      <w:pPr>
        <w:pStyle w:val="FootnoteText"/>
        <w:rPr>
          <w:lang w:val="en-US"/>
        </w:rPr>
      </w:pPr>
      <w:r>
        <w:rPr>
          <w:rStyle w:val="FootnoteReference"/>
        </w:rPr>
        <w:footnoteRef/>
      </w:r>
      <w:r>
        <w:t xml:space="preserve"> </w:t>
      </w:r>
      <w:r w:rsidRPr="007B4CB6">
        <w:t xml:space="preserve">The Compass Group. “Meet the Group.” The Compass Group. </w:t>
      </w:r>
      <w:hyperlink r:id="rId60" w:history="1">
        <w:r w:rsidRPr="008C205D">
          <w:rPr>
            <w:rStyle w:val="Hyperlink"/>
          </w:rPr>
          <w:t>https://compassgroup.com/meet-the-group/</w:t>
        </w:r>
      </w:hyperlink>
      <w:r>
        <w:t xml:space="preserve"> </w:t>
      </w:r>
    </w:p>
  </w:footnote>
  <w:footnote w:id="113">
    <w:p w14:paraId="045ABC4A" w14:textId="44C6B444" w:rsidR="006F0F0E" w:rsidRPr="006F0F0E" w:rsidRDefault="006F0F0E">
      <w:pPr>
        <w:pStyle w:val="FootnoteText"/>
        <w:rPr>
          <w:lang w:val="en-US"/>
        </w:rPr>
      </w:pPr>
      <w:r>
        <w:rPr>
          <w:rStyle w:val="FootnoteReference"/>
        </w:rPr>
        <w:footnoteRef/>
      </w:r>
      <w:r>
        <w:t xml:space="preserve"> </w:t>
      </w:r>
      <w:r w:rsidRPr="00997D8B">
        <w:t xml:space="preserve">Kool Cal - Mad </w:t>
      </w:r>
      <w:proofErr w:type="spellStart"/>
      <w:r w:rsidRPr="00997D8B">
        <w:t>Mad</w:t>
      </w:r>
      <w:proofErr w:type="spellEnd"/>
      <w:r w:rsidRPr="00997D8B">
        <w:t xml:space="preserve"> Featuring Op Santiago,” YouTube, July 4, 2019, https://youtu.be/hF2s9M64K8o?si=Ol4dQMVGLITY_YKb. There is a local rap music scene among the locals who descend from community elders that would sing in the church choirs at Mount Olive AME. Route 298 is a symbolic gathering location for the music videos.</w:t>
      </w:r>
    </w:p>
  </w:footnote>
  <w:footnote w:id="114">
    <w:p w14:paraId="79B2B3EE" w14:textId="77777777" w:rsidR="002A7ACB" w:rsidRPr="00B97F99" w:rsidRDefault="002A7ACB" w:rsidP="002A7ACB">
      <w:pPr>
        <w:pStyle w:val="FootnoteText"/>
        <w:rPr>
          <w:lang w:val="en-US"/>
        </w:rPr>
      </w:pPr>
      <w:r>
        <w:rPr>
          <w:rStyle w:val="FootnoteReference"/>
        </w:rPr>
        <w:footnoteRef/>
      </w:r>
      <w:r>
        <w:t xml:space="preserve"> </w:t>
      </w:r>
      <w:r w:rsidRPr="00997D8B">
        <w:t xml:space="preserve">Mount Olive AME Church. “History.” Mount Olive AME Church (Butlertown, Maryland) </w:t>
      </w:r>
      <w:hyperlink r:id="rId61" w:history="1">
        <w:r w:rsidRPr="00997D8B">
          <w:rPr>
            <w:rStyle w:val="Hyperlink"/>
            <w:rFonts w:cs="Times New Roman"/>
            <w:sz w:val="24"/>
            <w:szCs w:val="24"/>
          </w:rPr>
          <w:t>https://www.mtoliveamecworton.org/about-us/history</w:t>
        </w:r>
      </w:hyperlink>
      <w:r w:rsidRPr="00997D8B">
        <w:t xml:space="preserve"> . A community member recollects “Yes, we were Moving across the road to our New Church From the old one. We had a lot of members. Seems like everyone came out in 1970,” describing the move to the new Mount Olive AME Church in Butlertown, Maryland.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86614315"/>
      <w:docPartObj>
        <w:docPartGallery w:val="Page Numbers (Top of Page)"/>
        <w:docPartUnique/>
      </w:docPartObj>
    </w:sdtPr>
    <w:sdtContent>
      <w:p w14:paraId="6D0B01DA" w14:textId="3C371CAB" w:rsidR="00506024" w:rsidRDefault="00506024" w:rsidP="00C7296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37DB6A65" w14:textId="77777777" w:rsidR="00506024" w:rsidRDefault="00506024" w:rsidP="00506024">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074115294"/>
      <w:docPartObj>
        <w:docPartGallery w:val="Page Numbers (Top of Page)"/>
        <w:docPartUnique/>
      </w:docPartObj>
    </w:sdtPr>
    <w:sdtContent>
      <w:p w14:paraId="6BE3425F" w14:textId="0C797567" w:rsidR="00506024" w:rsidRDefault="00506024" w:rsidP="00C7296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F7D0116" w14:textId="77777777" w:rsidR="00506024" w:rsidRDefault="00506024" w:rsidP="00506024">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B06804"/>
    <w:multiLevelType w:val="multilevel"/>
    <w:tmpl w:val="7430B2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CC015CE"/>
    <w:multiLevelType w:val="multilevel"/>
    <w:tmpl w:val="8A102B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58F0AFA"/>
    <w:multiLevelType w:val="multilevel"/>
    <w:tmpl w:val="8D627B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11A66A7"/>
    <w:multiLevelType w:val="multilevel"/>
    <w:tmpl w:val="D13A35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53D1D6F"/>
    <w:multiLevelType w:val="multilevel"/>
    <w:tmpl w:val="D1A088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AD67143"/>
    <w:multiLevelType w:val="multilevel"/>
    <w:tmpl w:val="D9147E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BBD4CDC"/>
    <w:multiLevelType w:val="multilevel"/>
    <w:tmpl w:val="C986A6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9E616DE"/>
    <w:multiLevelType w:val="multilevel"/>
    <w:tmpl w:val="D0862C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C6C597F"/>
    <w:multiLevelType w:val="multilevel"/>
    <w:tmpl w:val="28BE51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D490DDB"/>
    <w:multiLevelType w:val="multilevel"/>
    <w:tmpl w:val="710449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D733DB0"/>
    <w:multiLevelType w:val="multilevel"/>
    <w:tmpl w:val="AED0E7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748D267C"/>
    <w:multiLevelType w:val="multilevel"/>
    <w:tmpl w:val="4A46CA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7F32714A"/>
    <w:multiLevelType w:val="multilevel"/>
    <w:tmpl w:val="EF36A4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570656303">
    <w:abstractNumId w:val="9"/>
  </w:num>
  <w:num w:numId="2" w16cid:durableId="847914879">
    <w:abstractNumId w:val="3"/>
  </w:num>
  <w:num w:numId="3" w16cid:durableId="27263953">
    <w:abstractNumId w:val="11"/>
  </w:num>
  <w:num w:numId="4" w16cid:durableId="506679665">
    <w:abstractNumId w:val="8"/>
  </w:num>
  <w:num w:numId="5" w16cid:durableId="1018312139">
    <w:abstractNumId w:val="5"/>
  </w:num>
  <w:num w:numId="6" w16cid:durableId="659620161">
    <w:abstractNumId w:val="0"/>
  </w:num>
  <w:num w:numId="7" w16cid:durableId="1549756745">
    <w:abstractNumId w:val="1"/>
  </w:num>
  <w:num w:numId="8" w16cid:durableId="102458313">
    <w:abstractNumId w:val="10"/>
  </w:num>
  <w:num w:numId="9" w16cid:durableId="1488089670">
    <w:abstractNumId w:val="4"/>
  </w:num>
  <w:num w:numId="10" w16cid:durableId="1287275626">
    <w:abstractNumId w:val="12"/>
  </w:num>
  <w:num w:numId="11" w16cid:durableId="443573709">
    <w:abstractNumId w:val="2"/>
  </w:num>
  <w:num w:numId="12" w16cid:durableId="2074812215">
    <w:abstractNumId w:val="6"/>
  </w:num>
  <w:num w:numId="13" w16cid:durableId="8113653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TrueTypeFont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233B"/>
    <w:rsid w:val="00010B03"/>
    <w:rsid w:val="00030576"/>
    <w:rsid w:val="00045AE1"/>
    <w:rsid w:val="000469BE"/>
    <w:rsid w:val="0006233B"/>
    <w:rsid w:val="00072118"/>
    <w:rsid w:val="00075DF8"/>
    <w:rsid w:val="00086459"/>
    <w:rsid w:val="000923AE"/>
    <w:rsid w:val="000B594E"/>
    <w:rsid w:val="000B67C0"/>
    <w:rsid w:val="000F6B03"/>
    <w:rsid w:val="001024C1"/>
    <w:rsid w:val="00114EA6"/>
    <w:rsid w:val="001218B7"/>
    <w:rsid w:val="00131990"/>
    <w:rsid w:val="00137134"/>
    <w:rsid w:val="001376DC"/>
    <w:rsid w:val="00151D75"/>
    <w:rsid w:val="001730AE"/>
    <w:rsid w:val="00185FA1"/>
    <w:rsid w:val="00196C15"/>
    <w:rsid w:val="001C4BEF"/>
    <w:rsid w:val="001C7575"/>
    <w:rsid w:val="001D33A3"/>
    <w:rsid w:val="001D68FC"/>
    <w:rsid w:val="001F7E90"/>
    <w:rsid w:val="002014E2"/>
    <w:rsid w:val="0020572B"/>
    <w:rsid w:val="00216BA1"/>
    <w:rsid w:val="0023124B"/>
    <w:rsid w:val="00237029"/>
    <w:rsid w:val="00242E9B"/>
    <w:rsid w:val="0025578A"/>
    <w:rsid w:val="00277CB0"/>
    <w:rsid w:val="00296B18"/>
    <w:rsid w:val="002A7ACB"/>
    <w:rsid w:val="002B27FD"/>
    <w:rsid w:val="002B58CB"/>
    <w:rsid w:val="002E2A85"/>
    <w:rsid w:val="002F5625"/>
    <w:rsid w:val="003150B0"/>
    <w:rsid w:val="003261AD"/>
    <w:rsid w:val="00331AD0"/>
    <w:rsid w:val="00332AEB"/>
    <w:rsid w:val="003947EE"/>
    <w:rsid w:val="00394E1F"/>
    <w:rsid w:val="0039792D"/>
    <w:rsid w:val="003A6E8F"/>
    <w:rsid w:val="003E78C1"/>
    <w:rsid w:val="003F4CAA"/>
    <w:rsid w:val="003F6428"/>
    <w:rsid w:val="004252B0"/>
    <w:rsid w:val="00432C87"/>
    <w:rsid w:val="00433853"/>
    <w:rsid w:val="00447244"/>
    <w:rsid w:val="0044768F"/>
    <w:rsid w:val="0045300C"/>
    <w:rsid w:val="0045317F"/>
    <w:rsid w:val="00455B5B"/>
    <w:rsid w:val="0046164A"/>
    <w:rsid w:val="004714CD"/>
    <w:rsid w:val="00471A97"/>
    <w:rsid w:val="00473315"/>
    <w:rsid w:val="004771D7"/>
    <w:rsid w:val="00486520"/>
    <w:rsid w:val="004938E3"/>
    <w:rsid w:val="00496E36"/>
    <w:rsid w:val="004A1A93"/>
    <w:rsid w:val="004D787C"/>
    <w:rsid w:val="004F7384"/>
    <w:rsid w:val="00506024"/>
    <w:rsid w:val="0050798E"/>
    <w:rsid w:val="005104F7"/>
    <w:rsid w:val="00517FB9"/>
    <w:rsid w:val="00521C01"/>
    <w:rsid w:val="0053361C"/>
    <w:rsid w:val="00535D27"/>
    <w:rsid w:val="005402E3"/>
    <w:rsid w:val="0054386D"/>
    <w:rsid w:val="00543BB0"/>
    <w:rsid w:val="0056466B"/>
    <w:rsid w:val="0058191B"/>
    <w:rsid w:val="005915C7"/>
    <w:rsid w:val="00595FAC"/>
    <w:rsid w:val="005B25D7"/>
    <w:rsid w:val="005B52D9"/>
    <w:rsid w:val="005B7266"/>
    <w:rsid w:val="005C182C"/>
    <w:rsid w:val="005C5D29"/>
    <w:rsid w:val="005D72D0"/>
    <w:rsid w:val="005F4FB3"/>
    <w:rsid w:val="005F5F28"/>
    <w:rsid w:val="006255B0"/>
    <w:rsid w:val="00630AD3"/>
    <w:rsid w:val="0065382A"/>
    <w:rsid w:val="00664594"/>
    <w:rsid w:val="006753B9"/>
    <w:rsid w:val="006810D2"/>
    <w:rsid w:val="00693EC7"/>
    <w:rsid w:val="006A04DD"/>
    <w:rsid w:val="006A1737"/>
    <w:rsid w:val="006A2CD6"/>
    <w:rsid w:val="006C1E51"/>
    <w:rsid w:val="006D0EBF"/>
    <w:rsid w:val="006D48C0"/>
    <w:rsid w:val="006E2CF8"/>
    <w:rsid w:val="006E4D77"/>
    <w:rsid w:val="006F0F0E"/>
    <w:rsid w:val="006F1F52"/>
    <w:rsid w:val="006F3152"/>
    <w:rsid w:val="006F6771"/>
    <w:rsid w:val="00723240"/>
    <w:rsid w:val="00744F7C"/>
    <w:rsid w:val="00755EF6"/>
    <w:rsid w:val="0076446A"/>
    <w:rsid w:val="00775270"/>
    <w:rsid w:val="00781A6F"/>
    <w:rsid w:val="007B4CB6"/>
    <w:rsid w:val="007C5799"/>
    <w:rsid w:val="007E5955"/>
    <w:rsid w:val="007F78AA"/>
    <w:rsid w:val="00803962"/>
    <w:rsid w:val="0081309F"/>
    <w:rsid w:val="00825505"/>
    <w:rsid w:val="00830B81"/>
    <w:rsid w:val="00835AB5"/>
    <w:rsid w:val="00836252"/>
    <w:rsid w:val="00836412"/>
    <w:rsid w:val="00847ECE"/>
    <w:rsid w:val="008657A6"/>
    <w:rsid w:val="008B4B3E"/>
    <w:rsid w:val="008C7FA4"/>
    <w:rsid w:val="008D5504"/>
    <w:rsid w:val="009237B1"/>
    <w:rsid w:val="009429D1"/>
    <w:rsid w:val="00951261"/>
    <w:rsid w:val="00956475"/>
    <w:rsid w:val="00962300"/>
    <w:rsid w:val="00971EA7"/>
    <w:rsid w:val="0098408D"/>
    <w:rsid w:val="00986ACE"/>
    <w:rsid w:val="00997D8B"/>
    <w:rsid w:val="009C65B6"/>
    <w:rsid w:val="009C6E7C"/>
    <w:rsid w:val="009E5727"/>
    <w:rsid w:val="009E7825"/>
    <w:rsid w:val="00A17A88"/>
    <w:rsid w:val="00A42942"/>
    <w:rsid w:val="00A561C4"/>
    <w:rsid w:val="00A67976"/>
    <w:rsid w:val="00A7192C"/>
    <w:rsid w:val="00A71B5B"/>
    <w:rsid w:val="00A73016"/>
    <w:rsid w:val="00A810E3"/>
    <w:rsid w:val="00A83385"/>
    <w:rsid w:val="00A84466"/>
    <w:rsid w:val="00A85996"/>
    <w:rsid w:val="00A93088"/>
    <w:rsid w:val="00AA425A"/>
    <w:rsid w:val="00AA7AF7"/>
    <w:rsid w:val="00AB3F1D"/>
    <w:rsid w:val="00AC48EA"/>
    <w:rsid w:val="00AF348A"/>
    <w:rsid w:val="00AF5336"/>
    <w:rsid w:val="00B15006"/>
    <w:rsid w:val="00B17F7C"/>
    <w:rsid w:val="00B25B09"/>
    <w:rsid w:val="00B33D2F"/>
    <w:rsid w:val="00B62E4A"/>
    <w:rsid w:val="00B65AAC"/>
    <w:rsid w:val="00B72D18"/>
    <w:rsid w:val="00B82858"/>
    <w:rsid w:val="00B97F99"/>
    <w:rsid w:val="00BE091B"/>
    <w:rsid w:val="00BF5600"/>
    <w:rsid w:val="00C044FE"/>
    <w:rsid w:val="00C0632D"/>
    <w:rsid w:val="00C14A09"/>
    <w:rsid w:val="00C15877"/>
    <w:rsid w:val="00C349EF"/>
    <w:rsid w:val="00C5531F"/>
    <w:rsid w:val="00C571B7"/>
    <w:rsid w:val="00C63ED1"/>
    <w:rsid w:val="00C72967"/>
    <w:rsid w:val="00C801AF"/>
    <w:rsid w:val="00C8725C"/>
    <w:rsid w:val="00CB1423"/>
    <w:rsid w:val="00CC5F36"/>
    <w:rsid w:val="00D04094"/>
    <w:rsid w:val="00D11CD6"/>
    <w:rsid w:val="00D16C8F"/>
    <w:rsid w:val="00D404F2"/>
    <w:rsid w:val="00D53494"/>
    <w:rsid w:val="00D642FE"/>
    <w:rsid w:val="00D83599"/>
    <w:rsid w:val="00D93FFB"/>
    <w:rsid w:val="00DA4DD5"/>
    <w:rsid w:val="00DC6304"/>
    <w:rsid w:val="00E17499"/>
    <w:rsid w:val="00E26255"/>
    <w:rsid w:val="00E36027"/>
    <w:rsid w:val="00E36BF8"/>
    <w:rsid w:val="00E41BA2"/>
    <w:rsid w:val="00E65F7C"/>
    <w:rsid w:val="00EA5E95"/>
    <w:rsid w:val="00EA6DA2"/>
    <w:rsid w:val="00EB7D71"/>
    <w:rsid w:val="00EF46C8"/>
    <w:rsid w:val="00F0441C"/>
    <w:rsid w:val="00F50E4B"/>
    <w:rsid w:val="00F540AA"/>
    <w:rsid w:val="00F545B1"/>
    <w:rsid w:val="00F60E8C"/>
    <w:rsid w:val="00FA59C2"/>
    <w:rsid w:val="00FB11AC"/>
    <w:rsid w:val="00FB3E51"/>
    <w:rsid w:val="00FD6498"/>
    <w:rsid w:val="00FE100D"/>
    <w:rsid w:val="00FE75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434579"/>
  <w15:docId w15:val="{7182AF14-A4C3-4548-B56B-83F4B804D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autoRedefine/>
    <w:uiPriority w:val="9"/>
    <w:qFormat/>
    <w:rsid w:val="00B97F99"/>
    <w:pPr>
      <w:pageBreakBefore/>
      <w:spacing w:after="240" w:line="480" w:lineRule="auto"/>
      <w:jc w:val="center"/>
      <w:outlineLvl w:val="0"/>
    </w:pPr>
    <w:rPr>
      <w:rFonts w:ascii="Times New Roman" w:hAnsi="Times New Roman" w:cs="Times New Roman"/>
      <w:b/>
      <w:bCs/>
      <w:sz w:val="24"/>
      <w:szCs w:val="24"/>
    </w:rPr>
  </w:style>
  <w:style w:type="paragraph" w:styleId="Heading2">
    <w:name w:val="heading 2"/>
    <w:basedOn w:val="Normal"/>
    <w:next w:val="Normal"/>
    <w:uiPriority w:val="9"/>
    <w:unhideWhenUsed/>
    <w:qFormat/>
    <w:pPr>
      <w:keepNext/>
      <w:keepLines/>
      <w:spacing w:before="360" w:after="80"/>
      <w:outlineLvl w:val="1"/>
    </w:pPr>
    <w:rPr>
      <w:b/>
      <w:bCs/>
      <w:sz w:val="24"/>
      <w:szCs w:val="24"/>
      <w:u w:val="single"/>
    </w:rPr>
  </w:style>
  <w:style w:type="paragraph" w:styleId="Heading3">
    <w:name w:val="heading 3"/>
    <w:basedOn w:val="Normal"/>
    <w:next w:val="Normal"/>
    <w:uiPriority w:val="9"/>
    <w:unhideWhenUsed/>
    <w:qFormat/>
    <w:rsid w:val="005B7266"/>
    <w:pPr>
      <w:keepNext/>
      <w:keepLines/>
      <w:spacing w:before="240" w:line="480" w:lineRule="auto"/>
      <w:outlineLvl w:val="2"/>
    </w:pPr>
    <w:rPr>
      <w:rFonts w:ascii="Times New Roman" w:hAnsi="Times New Roman" w:cs="Times New Roman"/>
      <w:i/>
      <w:iCs/>
      <w:sz w:val="24"/>
      <w:szCs w:val="24"/>
    </w:rPr>
  </w:style>
  <w:style w:type="paragraph" w:styleId="Heading4">
    <w:name w:val="heading 4"/>
    <w:basedOn w:val="Normal"/>
    <w:next w:val="Normal"/>
    <w:uiPriority w:val="9"/>
    <w:unhideWhenUsed/>
    <w:qFormat/>
    <w:rsid w:val="00AF348A"/>
    <w:pPr>
      <w:keepNext/>
      <w:keepLines/>
      <w:spacing w:after="80"/>
      <w:outlineLvl w:val="3"/>
    </w:pPr>
    <w:rPr>
      <w:rFonts w:ascii="Times New Roman" w:hAnsi="Times New Roman" w:cs="Times New Roman"/>
      <w:color w:val="000000" w:themeColor="text1"/>
      <w:sz w:val="24"/>
      <w:szCs w:val="24"/>
      <w:u w:val="single"/>
    </w:rPr>
  </w:style>
  <w:style w:type="paragraph" w:styleId="Heading5">
    <w:name w:val="heading 5"/>
    <w:basedOn w:val="Normal"/>
    <w:next w:val="Normal"/>
    <w:uiPriority w:val="9"/>
    <w:unhideWhenUsed/>
    <w:qFormat/>
    <w:rsid w:val="00C63ED1"/>
    <w:pPr>
      <w:keepNext/>
      <w:keepLines/>
      <w:spacing w:before="240" w:after="80"/>
      <w:outlineLvl w:val="4"/>
    </w:pPr>
    <w:rPr>
      <w:color w:val="000000" w:themeColor="text1"/>
    </w:rPr>
  </w:style>
  <w:style w:type="paragraph" w:styleId="Heading6">
    <w:name w:val="heading 6"/>
    <w:basedOn w:val="Normal"/>
    <w:next w:val="Normal"/>
    <w:uiPriority w:val="9"/>
    <w:semiHidden/>
    <w:unhideWhenUsed/>
    <w:qFormat/>
    <w:rsid w:val="00C63ED1"/>
    <w:pPr>
      <w:keepNext/>
      <w:keepLines/>
      <w:spacing w:before="240" w:after="80"/>
      <w:outlineLvl w:val="5"/>
    </w:pPr>
    <w:rPr>
      <w:i/>
      <w:iCs/>
      <w:color w:val="000000" w:themeColor="tex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80"/>
      <w:jc w:val="center"/>
    </w:pPr>
    <w:rPr>
      <w:b/>
      <w:bCs/>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Footer">
    <w:name w:val="footer"/>
    <w:basedOn w:val="Normal"/>
    <w:link w:val="FooterChar"/>
    <w:uiPriority w:val="99"/>
    <w:unhideWhenUsed/>
    <w:rsid w:val="00EF46C8"/>
    <w:pPr>
      <w:tabs>
        <w:tab w:val="center" w:pos="4680"/>
        <w:tab w:val="right" w:pos="9360"/>
      </w:tabs>
      <w:spacing w:line="240" w:lineRule="auto"/>
    </w:pPr>
  </w:style>
  <w:style w:type="character" w:customStyle="1" w:styleId="FooterChar">
    <w:name w:val="Footer Char"/>
    <w:basedOn w:val="DefaultParagraphFont"/>
    <w:link w:val="Footer"/>
    <w:uiPriority w:val="99"/>
    <w:rsid w:val="00EF46C8"/>
  </w:style>
  <w:style w:type="character" w:styleId="PageNumber">
    <w:name w:val="page number"/>
    <w:basedOn w:val="DefaultParagraphFont"/>
    <w:uiPriority w:val="99"/>
    <w:semiHidden/>
    <w:unhideWhenUsed/>
    <w:rsid w:val="00EF46C8"/>
  </w:style>
  <w:style w:type="paragraph" w:styleId="Header">
    <w:name w:val="header"/>
    <w:basedOn w:val="Normal"/>
    <w:link w:val="HeaderChar"/>
    <w:uiPriority w:val="99"/>
    <w:unhideWhenUsed/>
    <w:rsid w:val="00EF46C8"/>
    <w:pPr>
      <w:tabs>
        <w:tab w:val="center" w:pos="4680"/>
        <w:tab w:val="right" w:pos="9360"/>
      </w:tabs>
      <w:spacing w:line="240" w:lineRule="auto"/>
    </w:pPr>
  </w:style>
  <w:style w:type="character" w:customStyle="1" w:styleId="HeaderChar">
    <w:name w:val="Header Char"/>
    <w:basedOn w:val="DefaultParagraphFont"/>
    <w:link w:val="Header"/>
    <w:uiPriority w:val="99"/>
    <w:rsid w:val="00EF46C8"/>
  </w:style>
  <w:style w:type="paragraph" w:styleId="FootnoteText">
    <w:name w:val="footnote text"/>
    <w:basedOn w:val="Normal"/>
    <w:link w:val="FootnoteTextChar"/>
    <w:autoRedefine/>
    <w:uiPriority w:val="99"/>
    <w:unhideWhenUsed/>
    <w:rsid w:val="008B4B3E"/>
    <w:pPr>
      <w:spacing w:line="240" w:lineRule="auto"/>
    </w:pPr>
    <w:rPr>
      <w:rFonts w:ascii="Times New Roman" w:hAnsi="Times New Roman"/>
      <w:sz w:val="20"/>
      <w:szCs w:val="20"/>
    </w:rPr>
  </w:style>
  <w:style w:type="character" w:customStyle="1" w:styleId="FootnoteTextChar">
    <w:name w:val="Footnote Text Char"/>
    <w:basedOn w:val="DefaultParagraphFont"/>
    <w:link w:val="FootnoteText"/>
    <w:uiPriority w:val="99"/>
    <w:rsid w:val="008B4B3E"/>
    <w:rPr>
      <w:rFonts w:ascii="Times New Roman" w:hAnsi="Times New Roman"/>
      <w:sz w:val="20"/>
      <w:szCs w:val="20"/>
    </w:rPr>
  </w:style>
  <w:style w:type="character" w:styleId="FootnoteReference">
    <w:name w:val="footnote reference"/>
    <w:basedOn w:val="DefaultParagraphFont"/>
    <w:uiPriority w:val="99"/>
    <w:semiHidden/>
    <w:unhideWhenUsed/>
    <w:rsid w:val="006E4D77"/>
    <w:rPr>
      <w:vertAlign w:val="superscript"/>
    </w:rPr>
  </w:style>
  <w:style w:type="character" w:styleId="Hyperlink">
    <w:name w:val="Hyperlink"/>
    <w:basedOn w:val="DefaultParagraphFont"/>
    <w:uiPriority w:val="99"/>
    <w:unhideWhenUsed/>
    <w:rsid w:val="00B33D2F"/>
    <w:rPr>
      <w:color w:val="0000FF" w:themeColor="hyperlink"/>
      <w:u w:val="single"/>
    </w:rPr>
  </w:style>
  <w:style w:type="character" w:styleId="UnresolvedMention">
    <w:name w:val="Unresolved Mention"/>
    <w:basedOn w:val="DefaultParagraphFont"/>
    <w:uiPriority w:val="99"/>
    <w:semiHidden/>
    <w:unhideWhenUsed/>
    <w:rsid w:val="00B33D2F"/>
    <w:rPr>
      <w:color w:val="605E5C"/>
      <w:shd w:val="clear" w:color="auto" w:fill="E1DFDD"/>
    </w:rPr>
  </w:style>
  <w:style w:type="character" w:styleId="Strong">
    <w:name w:val="Strong"/>
    <w:basedOn w:val="DefaultParagraphFont"/>
    <w:uiPriority w:val="22"/>
    <w:qFormat/>
    <w:rsid w:val="00B33D2F"/>
    <w:rPr>
      <w:b/>
      <w:bCs/>
    </w:rPr>
  </w:style>
  <w:style w:type="character" w:styleId="Emphasis">
    <w:name w:val="Emphasis"/>
    <w:basedOn w:val="DefaultParagraphFont"/>
    <w:uiPriority w:val="20"/>
    <w:qFormat/>
    <w:rsid w:val="00B33D2F"/>
    <w:rPr>
      <w:i/>
      <w:iCs/>
    </w:rPr>
  </w:style>
  <w:style w:type="paragraph" w:styleId="CommentSubject">
    <w:name w:val="annotation subject"/>
    <w:basedOn w:val="CommentText"/>
    <w:next w:val="CommentText"/>
    <w:link w:val="CommentSubjectChar"/>
    <w:uiPriority w:val="99"/>
    <w:semiHidden/>
    <w:unhideWhenUsed/>
    <w:rsid w:val="00B33D2F"/>
    <w:rPr>
      <w:b/>
      <w:bCs/>
    </w:rPr>
  </w:style>
  <w:style w:type="character" w:customStyle="1" w:styleId="CommentSubjectChar">
    <w:name w:val="Comment Subject Char"/>
    <w:basedOn w:val="CommentTextChar"/>
    <w:link w:val="CommentSubject"/>
    <w:uiPriority w:val="99"/>
    <w:semiHidden/>
    <w:rsid w:val="00B33D2F"/>
    <w:rPr>
      <w:b/>
      <w:bCs/>
      <w:sz w:val="20"/>
      <w:szCs w:val="20"/>
    </w:rPr>
  </w:style>
  <w:style w:type="paragraph" w:styleId="Caption">
    <w:name w:val="caption"/>
    <w:basedOn w:val="Normal"/>
    <w:next w:val="Normal"/>
    <w:uiPriority w:val="35"/>
    <w:unhideWhenUsed/>
    <w:qFormat/>
    <w:rsid w:val="00F50E4B"/>
    <w:pPr>
      <w:spacing w:after="200" w:line="480" w:lineRule="auto"/>
    </w:pPr>
    <w:rPr>
      <w:rFonts w:ascii="Times New Roman" w:hAnsi="Times New Roman" w:cs="Times New Roman"/>
      <w:iCs/>
      <w:color w:val="000000" w:themeColor="text1"/>
      <w:sz w:val="24"/>
      <w:szCs w:val="24"/>
    </w:rPr>
  </w:style>
  <w:style w:type="paragraph" w:styleId="NormalWeb">
    <w:name w:val="Normal (Web)"/>
    <w:basedOn w:val="Normal"/>
    <w:uiPriority w:val="99"/>
    <w:unhideWhenUsed/>
    <w:rsid w:val="00E41BA2"/>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ext-box-trim-both">
    <w:name w:val="text-box-trim-both"/>
    <w:basedOn w:val="DefaultParagraphFont"/>
    <w:rsid w:val="006A04DD"/>
  </w:style>
  <w:style w:type="paragraph" w:customStyle="1" w:styleId="my-2">
    <w:name w:val="my-2"/>
    <w:basedOn w:val="Normal"/>
    <w:rsid w:val="00BE091B"/>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whitespace-normal">
    <w:name w:val="whitespace-normal"/>
    <w:basedOn w:val="DefaultParagraphFont"/>
    <w:rsid w:val="00075DF8"/>
  </w:style>
  <w:style w:type="character" w:customStyle="1" w:styleId="inline-flex">
    <w:name w:val="inline-flex"/>
    <w:basedOn w:val="DefaultParagraphFont"/>
    <w:rsid w:val="00956475"/>
  </w:style>
  <w:style w:type="character" w:styleId="FollowedHyperlink">
    <w:name w:val="FollowedHyperlink"/>
    <w:basedOn w:val="DefaultParagraphFont"/>
    <w:uiPriority w:val="99"/>
    <w:semiHidden/>
    <w:unhideWhenUsed/>
    <w:rsid w:val="00447244"/>
    <w:rPr>
      <w:color w:val="800080" w:themeColor="followedHyperlink"/>
      <w:u w:val="single"/>
    </w:rPr>
  </w:style>
  <w:style w:type="paragraph" w:styleId="TOCHeading">
    <w:name w:val="TOC Heading"/>
    <w:basedOn w:val="Heading1"/>
    <w:next w:val="Normal"/>
    <w:uiPriority w:val="39"/>
    <w:unhideWhenUsed/>
    <w:qFormat/>
    <w:rsid w:val="007C5799"/>
    <w:pPr>
      <w:spacing w:before="480" w:after="0" w:line="276" w:lineRule="auto"/>
      <w:jc w:val="left"/>
      <w:outlineLvl w:val="9"/>
    </w:pPr>
    <w:rPr>
      <w:rFonts w:asciiTheme="majorHAnsi" w:eastAsiaTheme="majorEastAsia" w:hAnsiTheme="majorHAnsi" w:cstheme="majorBidi"/>
      <w:color w:val="365F91" w:themeColor="accent1" w:themeShade="BF"/>
      <w:lang w:val="en-US"/>
    </w:rPr>
  </w:style>
  <w:style w:type="paragraph" w:styleId="TOC2">
    <w:name w:val="toc 2"/>
    <w:basedOn w:val="Normal"/>
    <w:next w:val="Normal"/>
    <w:autoRedefine/>
    <w:uiPriority w:val="39"/>
    <w:unhideWhenUsed/>
    <w:rsid w:val="007C5799"/>
    <w:pPr>
      <w:spacing w:before="120"/>
      <w:ind w:left="220"/>
    </w:pPr>
    <w:rPr>
      <w:rFonts w:asciiTheme="minorHAnsi" w:hAnsiTheme="minorHAnsi"/>
      <w:b/>
      <w:bCs/>
    </w:rPr>
  </w:style>
  <w:style w:type="paragraph" w:styleId="TOC1">
    <w:name w:val="toc 1"/>
    <w:basedOn w:val="Normal"/>
    <w:next w:val="Normal"/>
    <w:autoRedefine/>
    <w:uiPriority w:val="39"/>
    <w:unhideWhenUsed/>
    <w:rsid w:val="00775270"/>
    <w:pPr>
      <w:tabs>
        <w:tab w:val="right" w:leader="dot" w:pos="9350"/>
      </w:tabs>
      <w:spacing w:before="120"/>
    </w:pPr>
    <w:rPr>
      <w:rFonts w:asciiTheme="minorHAnsi" w:hAnsiTheme="minorHAnsi"/>
      <w:b/>
      <w:bCs/>
      <w:i/>
      <w:iCs/>
      <w:sz w:val="24"/>
      <w:szCs w:val="24"/>
    </w:rPr>
  </w:style>
  <w:style w:type="paragraph" w:styleId="TOC3">
    <w:name w:val="toc 3"/>
    <w:basedOn w:val="Normal"/>
    <w:next w:val="Normal"/>
    <w:autoRedefine/>
    <w:uiPriority w:val="39"/>
    <w:unhideWhenUsed/>
    <w:rsid w:val="007C5799"/>
    <w:pPr>
      <w:ind w:left="440"/>
    </w:pPr>
    <w:rPr>
      <w:rFonts w:asciiTheme="minorHAnsi" w:hAnsiTheme="minorHAnsi"/>
      <w:sz w:val="20"/>
      <w:szCs w:val="20"/>
    </w:rPr>
  </w:style>
  <w:style w:type="paragraph" w:styleId="TOC4">
    <w:name w:val="toc 4"/>
    <w:basedOn w:val="Normal"/>
    <w:next w:val="Normal"/>
    <w:autoRedefine/>
    <w:uiPriority w:val="39"/>
    <w:semiHidden/>
    <w:unhideWhenUsed/>
    <w:rsid w:val="007C5799"/>
    <w:pPr>
      <w:ind w:left="660"/>
    </w:pPr>
    <w:rPr>
      <w:rFonts w:asciiTheme="minorHAnsi" w:hAnsiTheme="minorHAnsi"/>
      <w:sz w:val="20"/>
      <w:szCs w:val="20"/>
    </w:rPr>
  </w:style>
  <w:style w:type="paragraph" w:styleId="TOC5">
    <w:name w:val="toc 5"/>
    <w:basedOn w:val="Normal"/>
    <w:next w:val="Normal"/>
    <w:autoRedefine/>
    <w:uiPriority w:val="39"/>
    <w:semiHidden/>
    <w:unhideWhenUsed/>
    <w:rsid w:val="007C5799"/>
    <w:pPr>
      <w:ind w:left="880"/>
    </w:pPr>
    <w:rPr>
      <w:rFonts w:asciiTheme="minorHAnsi" w:hAnsiTheme="minorHAnsi"/>
      <w:sz w:val="20"/>
      <w:szCs w:val="20"/>
    </w:rPr>
  </w:style>
  <w:style w:type="paragraph" w:styleId="TOC6">
    <w:name w:val="toc 6"/>
    <w:basedOn w:val="Normal"/>
    <w:next w:val="Normal"/>
    <w:autoRedefine/>
    <w:uiPriority w:val="39"/>
    <w:semiHidden/>
    <w:unhideWhenUsed/>
    <w:rsid w:val="007C5799"/>
    <w:pPr>
      <w:ind w:left="1100"/>
    </w:pPr>
    <w:rPr>
      <w:rFonts w:asciiTheme="minorHAnsi" w:hAnsiTheme="minorHAnsi"/>
      <w:sz w:val="20"/>
      <w:szCs w:val="20"/>
    </w:rPr>
  </w:style>
  <w:style w:type="paragraph" w:styleId="TOC7">
    <w:name w:val="toc 7"/>
    <w:basedOn w:val="Normal"/>
    <w:next w:val="Normal"/>
    <w:autoRedefine/>
    <w:uiPriority w:val="39"/>
    <w:semiHidden/>
    <w:unhideWhenUsed/>
    <w:rsid w:val="007C5799"/>
    <w:pPr>
      <w:ind w:left="1320"/>
    </w:pPr>
    <w:rPr>
      <w:rFonts w:asciiTheme="minorHAnsi" w:hAnsiTheme="minorHAnsi"/>
      <w:sz w:val="20"/>
      <w:szCs w:val="20"/>
    </w:rPr>
  </w:style>
  <w:style w:type="paragraph" w:styleId="TOC8">
    <w:name w:val="toc 8"/>
    <w:basedOn w:val="Normal"/>
    <w:next w:val="Normal"/>
    <w:autoRedefine/>
    <w:uiPriority w:val="39"/>
    <w:semiHidden/>
    <w:unhideWhenUsed/>
    <w:rsid w:val="007C5799"/>
    <w:pPr>
      <w:ind w:left="1540"/>
    </w:pPr>
    <w:rPr>
      <w:rFonts w:asciiTheme="minorHAnsi" w:hAnsiTheme="minorHAnsi"/>
      <w:sz w:val="20"/>
      <w:szCs w:val="20"/>
    </w:rPr>
  </w:style>
  <w:style w:type="paragraph" w:styleId="TOC9">
    <w:name w:val="toc 9"/>
    <w:basedOn w:val="Normal"/>
    <w:next w:val="Normal"/>
    <w:autoRedefine/>
    <w:uiPriority w:val="39"/>
    <w:semiHidden/>
    <w:unhideWhenUsed/>
    <w:rsid w:val="007C5799"/>
    <w:pPr>
      <w:ind w:left="1760"/>
    </w:pPr>
    <w:rPr>
      <w:rFonts w:asciiTheme="minorHAnsi" w:hAnsiTheme="minorHAnsi"/>
      <w:sz w:val="20"/>
      <w:szCs w:val="20"/>
    </w:rPr>
  </w:style>
  <w:style w:type="paragraph" w:styleId="TableofFigures">
    <w:name w:val="table of figures"/>
    <w:basedOn w:val="Normal"/>
    <w:next w:val="Normal"/>
    <w:uiPriority w:val="99"/>
    <w:unhideWhenUsed/>
    <w:rsid w:val="00030576"/>
    <w:pPr>
      <w:spacing w:line="480" w:lineRule="auto"/>
    </w:pPr>
    <w:rPr>
      <w:sz w:val="24"/>
    </w:rPr>
  </w:style>
  <w:style w:type="paragraph" w:styleId="ListParagraph">
    <w:name w:val="List Paragraph"/>
    <w:basedOn w:val="Normal"/>
    <w:uiPriority w:val="34"/>
    <w:qFormat/>
    <w:rsid w:val="00D11C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920086">
      <w:marLeft w:val="0"/>
      <w:marRight w:val="0"/>
      <w:marTop w:val="0"/>
      <w:marBottom w:val="0"/>
      <w:divBdr>
        <w:top w:val="none" w:sz="0" w:space="0" w:color="auto"/>
        <w:left w:val="none" w:sz="0" w:space="0" w:color="auto"/>
        <w:bottom w:val="none" w:sz="0" w:space="0" w:color="auto"/>
        <w:right w:val="none" w:sz="0" w:space="0" w:color="auto"/>
      </w:divBdr>
    </w:div>
    <w:div w:id="355886470">
      <w:bodyDiv w:val="1"/>
      <w:marLeft w:val="0"/>
      <w:marRight w:val="0"/>
      <w:marTop w:val="0"/>
      <w:marBottom w:val="0"/>
      <w:divBdr>
        <w:top w:val="none" w:sz="0" w:space="0" w:color="auto"/>
        <w:left w:val="none" w:sz="0" w:space="0" w:color="auto"/>
        <w:bottom w:val="none" w:sz="0" w:space="0" w:color="auto"/>
        <w:right w:val="none" w:sz="0" w:space="0" w:color="auto"/>
      </w:divBdr>
      <w:divsChild>
        <w:div w:id="1562983449">
          <w:marLeft w:val="0"/>
          <w:marRight w:val="0"/>
          <w:marTop w:val="0"/>
          <w:marBottom w:val="0"/>
          <w:divBdr>
            <w:top w:val="none" w:sz="0" w:space="0" w:color="auto"/>
            <w:left w:val="none" w:sz="0" w:space="0" w:color="auto"/>
            <w:bottom w:val="none" w:sz="0" w:space="0" w:color="auto"/>
            <w:right w:val="none" w:sz="0" w:space="0" w:color="auto"/>
          </w:divBdr>
        </w:div>
      </w:divsChild>
    </w:div>
    <w:div w:id="405415699">
      <w:marLeft w:val="0"/>
      <w:marRight w:val="0"/>
      <w:marTop w:val="0"/>
      <w:marBottom w:val="0"/>
      <w:divBdr>
        <w:top w:val="none" w:sz="0" w:space="0" w:color="auto"/>
        <w:left w:val="none" w:sz="0" w:space="0" w:color="auto"/>
        <w:bottom w:val="none" w:sz="0" w:space="0" w:color="auto"/>
        <w:right w:val="none" w:sz="0" w:space="0" w:color="auto"/>
      </w:divBdr>
    </w:div>
    <w:div w:id="813722195">
      <w:bodyDiv w:val="1"/>
      <w:marLeft w:val="0"/>
      <w:marRight w:val="0"/>
      <w:marTop w:val="0"/>
      <w:marBottom w:val="0"/>
      <w:divBdr>
        <w:top w:val="none" w:sz="0" w:space="0" w:color="auto"/>
        <w:left w:val="none" w:sz="0" w:space="0" w:color="auto"/>
        <w:bottom w:val="none" w:sz="0" w:space="0" w:color="auto"/>
        <w:right w:val="none" w:sz="0" w:space="0" w:color="auto"/>
      </w:divBdr>
      <w:divsChild>
        <w:div w:id="1259483424">
          <w:marLeft w:val="0"/>
          <w:marRight w:val="0"/>
          <w:marTop w:val="0"/>
          <w:marBottom w:val="0"/>
          <w:divBdr>
            <w:top w:val="none" w:sz="0" w:space="0" w:color="auto"/>
            <w:left w:val="none" w:sz="0" w:space="0" w:color="auto"/>
            <w:bottom w:val="none" w:sz="0" w:space="0" w:color="auto"/>
            <w:right w:val="none" w:sz="0" w:space="0" w:color="auto"/>
          </w:divBdr>
        </w:div>
      </w:divsChild>
    </w:div>
    <w:div w:id="1203178103">
      <w:marLeft w:val="0"/>
      <w:marRight w:val="0"/>
      <w:marTop w:val="0"/>
      <w:marBottom w:val="0"/>
      <w:divBdr>
        <w:top w:val="none" w:sz="0" w:space="0" w:color="auto"/>
        <w:left w:val="none" w:sz="0" w:space="0" w:color="auto"/>
        <w:bottom w:val="none" w:sz="0" w:space="0" w:color="auto"/>
        <w:right w:val="none" w:sz="0" w:space="0" w:color="auto"/>
      </w:divBdr>
    </w:div>
    <w:div w:id="1229422534">
      <w:marLeft w:val="0"/>
      <w:marRight w:val="0"/>
      <w:marTop w:val="0"/>
      <w:marBottom w:val="0"/>
      <w:divBdr>
        <w:top w:val="none" w:sz="0" w:space="0" w:color="auto"/>
        <w:left w:val="none" w:sz="0" w:space="0" w:color="auto"/>
        <w:bottom w:val="none" w:sz="0" w:space="0" w:color="auto"/>
        <w:right w:val="none" w:sz="0" w:space="0" w:color="auto"/>
      </w:divBdr>
    </w:div>
    <w:div w:id="1238594283">
      <w:marLeft w:val="0"/>
      <w:marRight w:val="0"/>
      <w:marTop w:val="0"/>
      <w:marBottom w:val="0"/>
      <w:divBdr>
        <w:top w:val="none" w:sz="0" w:space="0" w:color="auto"/>
        <w:left w:val="none" w:sz="0" w:space="0" w:color="auto"/>
        <w:bottom w:val="none" w:sz="0" w:space="0" w:color="auto"/>
        <w:right w:val="none" w:sz="0" w:space="0" w:color="auto"/>
      </w:divBdr>
    </w:div>
    <w:div w:id="1339040425">
      <w:marLeft w:val="0"/>
      <w:marRight w:val="0"/>
      <w:marTop w:val="0"/>
      <w:marBottom w:val="0"/>
      <w:divBdr>
        <w:top w:val="none" w:sz="0" w:space="0" w:color="auto"/>
        <w:left w:val="none" w:sz="0" w:space="0" w:color="auto"/>
        <w:bottom w:val="none" w:sz="0" w:space="0" w:color="auto"/>
        <w:right w:val="none" w:sz="0" w:space="0" w:color="auto"/>
      </w:divBdr>
    </w:div>
    <w:div w:id="1924680063">
      <w:bodyDiv w:val="1"/>
      <w:marLeft w:val="0"/>
      <w:marRight w:val="0"/>
      <w:marTop w:val="0"/>
      <w:marBottom w:val="0"/>
      <w:divBdr>
        <w:top w:val="none" w:sz="0" w:space="0" w:color="auto"/>
        <w:left w:val="none" w:sz="0" w:space="0" w:color="auto"/>
        <w:bottom w:val="none" w:sz="0" w:space="0" w:color="auto"/>
        <w:right w:val="none" w:sz="0" w:space="0" w:color="auto"/>
      </w:divBdr>
      <w:divsChild>
        <w:div w:id="116385634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usgs.gov/media/images/chesapeake-bay-watershed-boundary-usa" TargetMode="External"/><Relationship Id="rId18" Type="http://schemas.openxmlformats.org/officeDocument/2006/relationships/image" Target="media/image8.jpeg"/><Relationship Id="rId26" Type="http://schemas.openxmlformats.org/officeDocument/2006/relationships/image" Target="media/image15.png"/><Relationship Id="rId39" Type="http://schemas.openxmlformats.org/officeDocument/2006/relationships/fontTable" Target="fontTable.xml"/><Relationship Id="rId21" Type="http://schemas.openxmlformats.org/officeDocument/2006/relationships/image" Target="media/image11.png"/><Relationship Id="rId34" Type="http://schemas.openxmlformats.org/officeDocument/2006/relationships/image" Target="media/image21.jpe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image" Target="media/image20.jpeg"/><Relationship Id="rId38" Type="http://schemas.openxmlformats.org/officeDocument/2006/relationships/image" Target="media/image25.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jpe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jpeg"/><Relationship Id="rId28" Type="http://schemas.openxmlformats.org/officeDocument/2006/relationships/footer" Target="footer2.xml"/><Relationship Id="rId36" Type="http://schemas.openxmlformats.org/officeDocument/2006/relationships/image" Target="media/image23.jpeg"/><Relationship Id="rId10" Type="http://schemas.openxmlformats.org/officeDocument/2006/relationships/image" Target="media/image1.png"/><Relationship Id="rId19" Type="http://schemas.openxmlformats.org/officeDocument/2006/relationships/image" Target="media/image9.jpeg"/><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emf"/><Relationship Id="rId22" Type="http://schemas.openxmlformats.org/officeDocument/2006/relationships/hyperlink" Target="https://www.historypin.org/en/" TargetMode="External"/><Relationship Id="rId27" Type="http://schemas.openxmlformats.org/officeDocument/2006/relationships/header" Target="header2.xml"/><Relationship Id="rId30" Type="http://schemas.openxmlformats.org/officeDocument/2006/relationships/image" Target="media/image17.png"/><Relationship Id="rId35" Type="http://schemas.openxmlformats.org/officeDocument/2006/relationships/image" Target="media/image22.jpeg"/><Relationship Id="rId8" Type="http://schemas.openxmlformats.org/officeDocument/2006/relationships/header" Target="header1.xml"/><Relationship Id="rId3"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notes.xml.rels><?xml version="1.0" encoding="UTF-8" standalone="yes"?>
<Relationships xmlns="http://schemas.openxmlformats.org/package/2006/relationships"><Relationship Id="rId13" Type="http://schemas.openxmlformats.org/officeDocument/2006/relationships/hyperlink" Target="https://savingplaces.org/stories/chesapeake-black-history-elktonia?utm_source=chatgpt.com" TargetMode="External"/><Relationship Id="rId18" Type="http://schemas.openxmlformats.org/officeDocument/2006/relationships/hyperlink" Target="https://grants.maryland.gov/Documents/MD-Nonprofits-By-The-Numbers.pdf." TargetMode="External"/><Relationship Id="rId26" Type="http://schemas.openxmlformats.org/officeDocument/2006/relationships/hyperlink" Target="https://www.adweek.com/brand-marketing/banana-republic-mines-its-archive-to-inspire-modern-brand-love/" TargetMode="External"/><Relationship Id="rId39" Type="http://schemas.openxmlformats.org/officeDocument/2006/relationships/hyperlink" Target="https://thelensnola.org/2025/02/21/great-river-road-dropped-from-consideration-as-a-national-historic-landmark-for-now/" TargetMode="External"/><Relationship Id="rId21" Type="http://schemas.openxmlformats.org/officeDocument/2006/relationships/hyperlink" Target="https://cdn.savingplaces.org/2023/08/10/13/57/18/226/AACHAF_EquityStudyReport_lo-res.pdf" TargetMode="External"/><Relationship Id="rId34" Type="http://schemas.openxmlformats.org/officeDocument/2006/relationships/hyperlink" Target="https://mdsoar.org/items/064d277e-985d-49da-862a-c37d1291f1ef" TargetMode="External"/><Relationship Id="rId42" Type="http://schemas.openxmlformats.org/officeDocument/2006/relationships/hyperlink" Target="https://toolkit.climate.gov/sites/default/files/2025-07/NCA5_Ch2_Climate-Trends.pdf" TargetMode="External"/><Relationship Id="rId47" Type="http://schemas.openxmlformats.org/officeDocument/2006/relationships/hyperlink" Target="https://www.nwf.org/Magazines/National-Wildlife/2023/Summer/Conservation/Gullah-Geechee-Climate-Change-Development" TargetMode="External"/><Relationship Id="rId50" Type="http://schemas.openxmlformats.org/officeDocument/2006/relationships/hyperlink" Target="https://dspace.mit.edu/handle/1721.1/77847" TargetMode="External"/><Relationship Id="rId55" Type="http://schemas.openxmlformats.org/officeDocument/2006/relationships/hyperlink" Target="https://www.linkedin.com/in/coryjfrance/" TargetMode="External"/><Relationship Id="rId7" Type="http://schemas.openxmlformats.org/officeDocument/2006/relationships/hyperlink" Target="https://attractionmag.com/events/nothing-about-me-without-me-making-shared-heritage-interpretations-a-realty/" TargetMode="External"/><Relationship Id="rId2" Type="http://schemas.openxmlformats.org/officeDocument/2006/relationships/hyperlink" Target="https://archive.chesapeakeheartland.org/Gallery/367" TargetMode="External"/><Relationship Id="rId16" Type="http://schemas.openxmlformats.org/officeDocument/2006/relationships/hyperlink" Target="https://www.linkedin.com/posts/dariusljohnson_most-historic-districts-in-the-united-states-activity-7402721343114412033-gjWA" TargetMode="External"/><Relationship Id="rId29" Type="http://schemas.openxmlformats.org/officeDocument/2006/relationships/hyperlink" Target="https://www.instagram.com/reel/DGLIhXhASwg/" TargetMode="External"/><Relationship Id="rId11" Type="http://schemas.openxmlformats.org/officeDocument/2006/relationships/hyperlink" Target="https://mdsoar.org/items/064d277e-985d-49da-862a-c37d1291f1ef" TargetMode="External"/><Relationship Id="rId24" Type="http://schemas.openxmlformats.org/officeDocument/2006/relationships/hyperlink" Target="https://www.npr.org/2025/06/14/nx-s1-5391851/kevin-sack-mother-emanuel" TargetMode="External"/><Relationship Id="rId32" Type="http://schemas.openxmlformats.org/officeDocument/2006/relationships/hyperlink" Target="https://urbandesignlab.in/world-heritage-day-2025-celebrating-the-digital-revolution-in-heritage-preservation/" TargetMode="External"/><Relationship Id="rId37" Type="http://schemas.openxmlformats.org/officeDocument/2006/relationships/hyperlink" Target="https://www.nps.gov/places/mount-zion-and-female-union-band-cemeteries.htm" TargetMode="External"/><Relationship Id="rId40" Type="http://schemas.openxmlformats.org/officeDocument/2006/relationships/hyperlink" Target="https://www.sumnerhall.org/" TargetMode="External"/><Relationship Id="rId45" Type="http://schemas.openxmlformats.org/officeDocument/2006/relationships/hyperlink" Target="https://guide.msa.maryland.gov/pages/series.aspx?id=T3625" TargetMode="External"/><Relationship Id="rId53" Type="http://schemas.openxmlformats.org/officeDocument/2006/relationships/hyperlink" Target="https://www.dhr.virginia.gov/historic-registers/500-0010/" TargetMode="External"/><Relationship Id="rId58" Type="http://schemas.openxmlformats.org/officeDocument/2006/relationships/hyperlink" Target="https://static1.squarespace.com/static/66bf97ef8329da5c91b5a79d/t/66d08aff3da27912f02a6fbc/1724943108654/1772-annualreport-2010.pdf." TargetMode="External"/><Relationship Id="rId5" Type="http://schemas.openxmlformats.org/officeDocument/2006/relationships/hyperlink" Target="https://dspace.mit.edu/handle/1721.1/77847" TargetMode="External"/><Relationship Id="rId61" Type="http://schemas.openxmlformats.org/officeDocument/2006/relationships/hyperlink" Target="https://www.mtoliveamecworton.org/about-us/history" TargetMode="External"/><Relationship Id="rId19" Type="http://schemas.openxmlformats.org/officeDocument/2006/relationships/hyperlink" Target="https://www.achp.gov/sites/default/files/guidance/2018-06/Economic%20Impacts%20v5-FINAL.pdf." TargetMode="External"/><Relationship Id="rId14" Type="http://schemas.openxmlformats.org/officeDocument/2006/relationships/hyperlink" Target="https://www.cipd.org/en/knowledge/factsheets/pestle-analysis-factsheet/" TargetMode="External"/><Relationship Id="rId22" Type="http://schemas.openxmlformats.org/officeDocument/2006/relationships/hyperlink" Target="https://cdn.savingplaces.org/2025/02/07/10/48/24/1f6b55c5-49cf-4f8e-a4fc-22d83f0e0e22/Mildred%20Colodny%20Scholarship%20Application%20(rev%202025).pdf" TargetMode="External"/><Relationship Id="rId27" Type="http://schemas.openxmlformats.org/officeDocument/2006/relationships/hyperlink" Target="https://www.mckinsey.com/institute-for-economic-mobility/our-insights/black-consumers-and-the-opportunity-for-growth-and-equity." TargetMode="External"/><Relationship Id="rId30" Type="http://schemas.openxmlformats.org/officeDocument/2006/relationships/hyperlink" Target="https://www.thetexasfreedomcoloniesproject.com." TargetMode="External"/><Relationship Id="rId35" Type="http://schemas.openxmlformats.org/officeDocument/2006/relationships/hyperlink" Target="https://hub.jhu.edu/2022/06/02/black-beyond-data-jessica-marie-johnson/" TargetMode="External"/><Relationship Id="rId43" Type="http://schemas.openxmlformats.org/officeDocument/2006/relationships/hyperlink" Target="https://www.planetizen.com/news/2024/09/131750-study-retrofitting-old-buildings-has-lower-total-carbon-footprint-new" TargetMode="External"/><Relationship Id="rId48" Type="http://schemas.openxmlformats.org/officeDocument/2006/relationships/hyperlink" Target="https://www.wmar2news.com/bridgingthegap/were-building-for-ourselves-black-church-food-security-network-helps-black-communities-grow-their-own-food." TargetMode="External"/><Relationship Id="rId56" Type="http://schemas.openxmlformats.org/officeDocument/2006/relationships/hyperlink" Target="https://nmaahc.si.edu/connect/strategic-partnerships/hbcu-history-and-culture-access-consortium" TargetMode="External"/><Relationship Id="rId8" Type="http://schemas.openxmlformats.org/officeDocument/2006/relationships/hyperlink" Target="https://www.youtube.com/channel/UCKyVQBmnUnMP34CmVyQV28A" TargetMode="External"/><Relationship Id="rId51" Type="http://schemas.openxmlformats.org/officeDocument/2006/relationships/hyperlink" Target="https://dspace.mit.edu/handle/1721.1/77847" TargetMode="External"/><Relationship Id="rId3" Type="http://schemas.openxmlformats.org/officeDocument/2006/relationships/hyperlink" Target="https://ore.exeter.ac.uk/articles/chapter/Postpreservation_looking_past_loss/29838455?utm_source=chatgpt.com" TargetMode="External"/><Relationship Id="rId12" Type="http://schemas.openxmlformats.org/officeDocument/2006/relationships/hyperlink" Target="https://www.tandfonline.com/doi/full/10.1080/01426397.2023.2208058" TargetMode="External"/><Relationship Id="rId17" Type="http://schemas.openxmlformats.org/officeDocument/2006/relationships/hyperlink" Target="https://www.aljazeera.com/features/2018/10/11/how-a-rapper-set-up-no-shoot-zones-to-stop-baltimores-bloodshed" TargetMode="External"/><Relationship Id="rId25" Type="http://schemas.openxmlformats.org/officeDocument/2006/relationships/hyperlink" Target="https://www.youtube.com/watch?v=Kf-94nmSTNI." TargetMode="External"/><Relationship Id="rId33" Type="http://schemas.openxmlformats.org/officeDocument/2006/relationships/hyperlink" Target="https://dirdim.com/portfolio/washington-college-1/" TargetMode="External"/><Relationship Id="rId38" Type="http://schemas.openxmlformats.org/officeDocument/2006/relationships/hyperlink" Target="https://ccrjustice.org/home/what-we-do/our-cases/descendants-project-v-st-john-baptist-parish-1" TargetMode="External"/><Relationship Id="rId46" Type="http://schemas.openxmlformats.org/officeDocument/2006/relationships/hyperlink" Target="https://www.wabe.org/heirs-property-one-mans-journey-to-recover-black-wealth-in-coastal-georgia/" TargetMode="External"/><Relationship Id="rId59" Type="http://schemas.openxmlformats.org/officeDocument/2006/relationships/hyperlink" Target="https://tennesseearchaeologycouncil.wordpress.com/2020/09/29/community-archaeology-at-the-oddfellows-cemetery-knoxville/" TargetMode="External"/><Relationship Id="rId20" Type="http://schemas.openxmlformats.org/officeDocument/2006/relationships/hyperlink" Target="https://historictrades.org/the-campaign-releases-first-of-its-kind-labor-study/" TargetMode="External"/><Relationship Id="rId41" Type="http://schemas.openxmlformats.org/officeDocument/2006/relationships/hyperlink" Target="https://cdn.savingplaces.org/2023/06/01/09/17/37/884/PB_AfricanAmericanSites.pdf" TargetMode="External"/><Relationship Id="rId54" Type="http://schemas.openxmlformats.org/officeDocument/2006/relationships/hyperlink" Target="https://asalh.org/asalh-nps-collaboration-community-forum/" TargetMode="External"/><Relationship Id="rId1" Type="http://schemas.openxmlformats.org/officeDocument/2006/relationships/hyperlink" Target="https://apps.mht.maryland.gov/medusa/PDF/Kent/K-414.pdf" TargetMode="External"/><Relationship Id="rId6" Type="http://schemas.openxmlformats.org/officeDocument/2006/relationships/hyperlink" Target="https://www.linkedin.com/feed/update/urn:li:activity:7402721343114412033/" TargetMode="External"/><Relationship Id="rId15" Type="http://schemas.openxmlformats.org/officeDocument/2006/relationships/hyperlink" Target="https://ncshpo.org/2025/06/12/no-sign-of-fy25-hpf-funds/" TargetMode="External"/><Relationship Id="rId23" Type="http://schemas.openxmlformats.org/officeDocument/2006/relationships/hyperlink" Target="https://coastalcommunityfoundation.org/the-1772-foundation-with-focus-on-equity-awards-its-largest-ever-grant-of-1m-to-coastal-community-foundation/" TargetMode="External"/><Relationship Id="rId28" Type="http://schemas.openxmlformats.org/officeDocument/2006/relationships/hyperlink" Target="https://www.marylandheritageareas.org/impact." TargetMode="External"/><Relationship Id="rId36" Type="http://schemas.openxmlformats.org/officeDocument/2006/relationships/hyperlink" Target="https://www.culturalheritagepartners.com/unpacking-the-supreme-courts-recent-decisions-and-their-impact-for-heritage-management/" TargetMode="External"/><Relationship Id="rId49" Type="http://schemas.openxmlformats.org/officeDocument/2006/relationships/hyperlink" Target="https://youtu.be/p0obdh1wvGs." TargetMode="External"/><Relationship Id="rId57" Type="http://schemas.openxmlformats.org/officeDocument/2006/relationships/hyperlink" Target="https://www.highergroundsociety.org/culture-keeper-mutual-aid-fund" TargetMode="External"/><Relationship Id="rId10" Type="http://schemas.openxmlformats.org/officeDocument/2006/relationships/hyperlink" Target="https://thecirculationofelites.substack.com/p/fraternal-societies-as-alternate" TargetMode="External"/><Relationship Id="rId31" Type="http://schemas.openxmlformats.org/officeDocument/2006/relationships/hyperlink" Target="https://www.communityforce.com/challenges-in-grant-management-overcoming-problems-and-avoiding-red-flags/" TargetMode="External"/><Relationship Id="rId44" Type="http://schemas.openxmlformats.org/officeDocument/2006/relationships/hyperlink" Target="https://mde.maryland.gov/programs/Air/ClimateChange/MCCC/Publications/IAN1991.pdf" TargetMode="External"/><Relationship Id="rId52" Type="http://schemas.openxmlformats.org/officeDocument/2006/relationships/hyperlink" Target="https://asalh.org/asalh-nps-collaboration-community-forum/" TargetMode="External"/><Relationship Id="rId60" Type="http://schemas.openxmlformats.org/officeDocument/2006/relationships/hyperlink" Target="https://compassgroup.com/meet-the-group/" TargetMode="External"/><Relationship Id="rId4" Type="http://schemas.openxmlformats.org/officeDocument/2006/relationships/hyperlink" Target="https://archive.chesapeakeheartland.org/Gallery/356" TargetMode="External"/><Relationship Id="rId9" Type="http://schemas.openxmlformats.org/officeDocument/2006/relationships/hyperlink" Target="https://cdn.savingplaces.org/2023/08/10/13/57/18/226/AACHAF_EquityStudyReport_lo-r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77457CCF-438F-CB46-9360-5BCF81930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171</Pages>
  <Words>35812</Words>
  <Characters>214159</Characters>
  <Application>Microsoft Office Word</Application>
  <DocSecurity>0</DocSecurity>
  <Lines>3399</Lines>
  <Paragraphs>859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Darius L. Johnson</dc:creator>
  <cp:keywords/>
  <dc:description/>
  <cp:lastModifiedBy>Darius L. Johnson</cp:lastModifiedBy>
  <cp:revision>2</cp:revision>
  <dcterms:created xsi:type="dcterms:W3CDTF">2026-01-23T15:57:00Z</dcterms:created>
  <dcterms:modified xsi:type="dcterms:W3CDTF">2026-01-23T15:57:00Z</dcterms:modified>
</cp:coreProperties>
</file>