
<file path=[Content_Types].xml><?xml version="1.0" encoding="utf-8"?>
<Types xmlns="http://schemas.openxmlformats.org/package/2006/content-types">
  <Default Extension="png" ContentType="image/png"/>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6804F9" w14:textId="77777777" w:rsidR="009A670E" w:rsidRPr="00591954" w:rsidRDefault="009A670E" w:rsidP="007B5946">
      <w:pPr>
        <w:rPr>
          <w:sz w:val="36"/>
          <w:szCs w:val="36"/>
          <w:lang w:val="en-GB"/>
        </w:rPr>
      </w:pPr>
    </w:p>
    <w:p w14:paraId="7E98F93E" w14:textId="7C22E74E" w:rsidR="00D04BCF" w:rsidRPr="00591954" w:rsidRDefault="00BB2D2A" w:rsidP="00611D69">
      <w:pPr>
        <w:pStyle w:val="Heading1"/>
        <w:rPr>
          <w:lang w:val="en-GB"/>
        </w:rPr>
      </w:pPr>
      <w:r w:rsidRPr="00591954">
        <w:rPr>
          <w:lang w:val="en-GB"/>
        </w:rPr>
        <w:t xml:space="preserve">Supplementary </w:t>
      </w:r>
      <w:r w:rsidR="007B5946" w:rsidRPr="00591954">
        <w:rPr>
          <w:lang w:val="en-GB"/>
        </w:rPr>
        <w:t>Information</w:t>
      </w:r>
      <w:r w:rsidR="009743A9" w:rsidRPr="00591954">
        <w:rPr>
          <w:lang w:val="en-GB"/>
        </w:rPr>
        <w:t xml:space="preserve"> for</w:t>
      </w:r>
      <w:r w:rsidR="171CF2BF" w:rsidRPr="00591954">
        <w:rPr>
          <w:lang w:val="en-GB"/>
        </w:rPr>
        <w:t xml:space="preserve"> </w:t>
      </w:r>
    </w:p>
    <w:p w14:paraId="4D9EB16A" w14:textId="77777777" w:rsidR="005001AC" w:rsidRPr="00591954" w:rsidRDefault="005001AC" w:rsidP="007B5946">
      <w:pPr>
        <w:rPr>
          <w:lang w:val="en-GB"/>
        </w:rPr>
      </w:pPr>
    </w:p>
    <w:p w14:paraId="5C090CF1" w14:textId="77777777" w:rsidR="00D04AD3" w:rsidRPr="00591954" w:rsidRDefault="00D04AD3" w:rsidP="007B5946">
      <w:pPr>
        <w:rPr>
          <w:sz w:val="32"/>
          <w:szCs w:val="32"/>
          <w:lang w:val="en-GB"/>
        </w:rPr>
      </w:pPr>
      <w:r w:rsidRPr="00591954">
        <w:rPr>
          <w:sz w:val="32"/>
          <w:szCs w:val="32"/>
          <w:lang w:val="en-GB"/>
        </w:rPr>
        <w:t>A systems-level analysis highlights microglial activation as a modifying factor in common epileps</w:t>
      </w:r>
      <w:r w:rsidR="002A2D80" w:rsidRPr="00591954">
        <w:rPr>
          <w:sz w:val="32"/>
          <w:szCs w:val="32"/>
          <w:lang w:val="en-GB"/>
        </w:rPr>
        <w:t>ies</w:t>
      </w:r>
    </w:p>
    <w:p w14:paraId="624266CB" w14:textId="77777777" w:rsidR="00D04AD3" w:rsidRPr="00591954" w:rsidRDefault="00D04AD3" w:rsidP="007B5946">
      <w:pPr>
        <w:rPr>
          <w:sz w:val="28"/>
          <w:szCs w:val="28"/>
          <w:lang w:val="en-GB"/>
        </w:rPr>
      </w:pPr>
    </w:p>
    <w:p w14:paraId="286E7382" w14:textId="1EFFCAED" w:rsidR="00D04AD3" w:rsidRPr="00591954" w:rsidRDefault="00D04AD3" w:rsidP="7B450C00">
      <w:pPr>
        <w:rPr>
          <w:lang w:val="en-GB"/>
        </w:rPr>
      </w:pPr>
      <w:r w:rsidRPr="00591954">
        <w:rPr>
          <w:lang w:val="en-GB"/>
        </w:rPr>
        <w:t>Andre Altmann</w:t>
      </w:r>
      <w:r w:rsidR="00293711" w:rsidRPr="00591954">
        <w:rPr>
          <w:lang w:val="en-GB"/>
        </w:rPr>
        <w:t>†</w:t>
      </w:r>
      <w:r w:rsidRPr="00591954">
        <w:rPr>
          <w:lang w:val="en-GB"/>
        </w:rPr>
        <w:t xml:space="preserve">, Mina </w:t>
      </w:r>
      <w:proofErr w:type="spellStart"/>
      <w:r w:rsidRPr="00591954">
        <w:rPr>
          <w:lang w:val="en-GB"/>
        </w:rPr>
        <w:t>Ryten</w:t>
      </w:r>
      <w:proofErr w:type="spellEnd"/>
      <w:r w:rsidR="00293711" w:rsidRPr="00591954">
        <w:rPr>
          <w:lang w:val="en-GB"/>
        </w:rPr>
        <w:t>†</w:t>
      </w:r>
      <w:r w:rsidRPr="00591954">
        <w:rPr>
          <w:lang w:val="en-GB"/>
        </w:rPr>
        <w:t>, Martina Di Nunzio</w:t>
      </w:r>
      <w:r w:rsidR="7AD1F9FD" w:rsidRPr="00591954">
        <w:rPr>
          <w:lang w:val="en-GB"/>
        </w:rPr>
        <w:t>†,</w:t>
      </w:r>
      <w:r w:rsidRPr="00591954">
        <w:rPr>
          <w:lang w:val="en-GB"/>
        </w:rPr>
        <w:t xml:space="preserve"> Teresa </w:t>
      </w:r>
      <w:proofErr w:type="spellStart"/>
      <w:r w:rsidRPr="00591954">
        <w:rPr>
          <w:lang w:val="en-GB"/>
        </w:rPr>
        <w:t>Ravizza</w:t>
      </w:r>
      <w:proofErr w:type="spellEnd"/>
      <w:r w:rsidRPr="00591954">
        <w:rPr>
          <w:lang w:val="en-GB"/>
        </w:rPr>
        <w:t xml:space="preserve">, Daniele </w:t>
      </w:r>
      <w:proofErr w:type="spellStart"/>
      <w:r w:rsidRPr="00591954">
        <w:rPr>
          <w:lang w:val="en-GB"/>
        </w:rPr>
        <w:t>Tolomeo</w:t>
      </w:r>
      <w:proofErr w:type="spellEnd"/>
      <w:r w:rsidRPr="00591954">
        <w:rPr>
          <w:lang w:val="en-GB"/>
        </w:rPr>
        <w:t xml:space="preserve">, Regina H Reynolds, </w:t>
      </w:r>
      <w:proofErr w:type="spellStart"/>
      <w:r w:rsidRPr="00591954">
        <w:rPr>
          <w:lang w:val="en-GB"/>
        </w:rPr>
        <w:t>Alyma</w:t>
      </w:r>
      <w:proofErr w:type="spellEnd"/>
      <w:r w:rsidRPr="00591954">
        <w:rPr>
          <w:lang w:val="en-GB"/>
        </w:rPr>
        <w:t xml:space="preserve"> </w:t>
      </w:r>
      <w:proofErr w:type="spellStart"/>
      <w:r w:rsidRPr="00591954">
        <w:rPr>
          <w:lang w:val="en-GB"/>
        </w:rPr>
        <w:t>Somani</w:t>
      </w:r>
      <w:proofErr w:type="spellEnd"/>
      <w:r w:rsidRPr="00591954">
        <w:rPr>
          <w:lang w:val="en-GB"/>
        </w:rPr>
        <w:t xml:space="preserve">, Marco </w:t>
      </w:r>
      <w:proofErr w:type="spellStart"/>
      <w:r w:rsidRPr="00591954">
        <w:rPr>
          <w:lang w:val="en-GB"/>
        </w:rPr>
        <w:t>Bacigaluppi</w:t>
      </w:r>
      <w:proofErr w:type="spellEnd"/>
      <w:r w:rsidRPr="00591954">
        <w:rPr>
          <w:lang w:val="en-GB"/>
        </w:rPr>
        <w:t xml:space="preserve">, Valentina </w:t>
      </w:r>
      <w:proofErr w:type="spellStart"/>
      <w:r w:rsidRPr="00591954">
        <w:rPr>
          <w:lang w:val="en-GB"/>
        </w:rPr>
        <w:t>Iori</w:t>
      </w:r>
      <w:proofErr w:type="spellEnd"/>
      <w:r w:rsidRPr="00591954">
        <w:rPr>
          <w:lang w:val="en-GB"/>
        </w:rPr>
        <w:t xml:space="preserve">, Edoardo </w:t>
      </w:r>
      <w:proofErr w:type="spellStart"/>
      <w:r w:rsidRPr="00591954">
        <w:rPr>
          <w:lang w:val="en-GB"/>
        </w:rPr>
        <w:t>Micotti</w:t>
      </w:r>
      <w:proofErr w:type="spellEnd"/>
      <w:r w:rsidRPr="00591954">
        <w:rPr>
          <w:lang w:val="en-GB"/>
        </w:rPr>
        <w:t xml:space="preserve">, </w:t>
      </w:r>
      <w:proofErr w:type="spellStart"/>
      <w:r w:rsidR="002F556F" w:rsidRPr="00591954">
        <w:rPr>
          <w:lang w:val="en-GB"/>
        </w:rPr>
        <w:t>Rossella</w:t>
      </w:r>
      <w:proofErr w:type="spellEnd"/>
      <w:r w:rsidR="002F556F" w:rsidRPr="00591954">
        <w:rPr>
          <w:lang w:val="en-GB"/>
        </w:rPr>
        <w:t xml:space="preserve"> Di </w:t>
      </w:r>
      <w:proofErr w:type="spellStart"/>
      <w:r w:rsidR="002F556F" w:rsidRPr="00591954">
        <w:rPr>
          <w:lang w:val="en-GB"/>
        </w:rPr>
        <w:t>Sapia</w:t>
      </w:r>
      <w:proofErr w:type="spellEnd"/>
      <w:r w:rsidR="002F556F" w:rsidRPr="00591954">
        <w:rPr>
          <w:lang w:val="en-GB"/>
        </w:rPr>
        <w:t xml:space="preserve">, </w:t>
      </w:r>
      <w:proofErr w:type="spellStart"/>
      <w:r w:rsidR="002F556F" w:rsidRPr="00591954">
        <w:rPr>
          <w:lang w:val="en-GB"/>
        </w:rPr>
        <w:t>Milica</w:t>
      </w:r>
      <w:proofErr w:type="spellEnd"/>
      <w:r w:rsidR="002F556F" w:rsidRPr="00591954">
        <w:rPr>
          <w:lang w:val="en-GB"/>
        </w:rPr>
        <w:t xml:space="preserve"> </w:t>
      </w:r>
      <w:proofErr w:type="spellStart"/>
      <w:r w:rsidR="002F556F" w:rsidRPr="00591954">
        <w:rPr>
          <w:lang w:val="en-GB"/>
        </w:rPr>
        <w:t>Cerovic</w:t>
      </w:r>
      <w:proofErr w:type="spellEnd"/>
      <w:r w:rsidR="002F556F" w:rsidRPr="00591954">
        <w:rPr>
          <w:lang w:val="en-GB"/>
        </w:rPr>
        <w:t xml:space="preserve">, Eleonora Palma, Gabriele </w:t>
      </w:r>
      <w:proofErr w:type="spellStart"/>
      <w:r w:rsidR="002F556F" w:rsidRPr="00591954">
        <w:rPr>
          <w:lang w:val="en-GB"/>
        </w:rPr>
        <w:t>Ruffolo</w:t>
      </w:r>
      <w:proofErr w:type="spellEnd"/>
      <w:r w:rsidR="002F556F" w:rsidRPr="00591954">
        <w:rPr>
          <w:lang w:val="en-GB"/>
        </w:rPr>
        <w:t xml:space="preserve">, </w:t>
      </w:r>
      <w:r w:rsidRPr="00591954">
        <w:rPr>
          <w:lang w:val="en-GB"/>
        </w:rPr>
        <w:t xml:space="preserve">Juan A. </w:t>
      </w:r>
      <w:proofErr w:type="spellStart"/>
      <w:r w:rsidRPr="00591954">
        <w:rPr>
          <w:lang w:val="en-GB"/>
        </w:rPr>
        <w:t>Botía</w:t>
      </w:r>
      <w:proofErr w:type="spellEnd"/>
      <w:r w:rsidRPr="00591954">
        <w:rPr>
          <w:lang w:val="en-GB"/>
        </w:rPr>
        <w:t xml:space="preserve">, Julie </w:t>
      </w:r>
      <w:proofErr w:type="spellStart"/>
      <w:r w:rsidRPr="00591954">
        <w:rPr>
          <w:lang w:val="en-GB"/>
        </w:rPr>
        <w:t>Absil</w:t>
      </w:r>
      <w:proofErr w:type="spellEnd"/>
      <w:r w:rsidRPr="00591954">
        <w:rPr>
          <w:lang w:val="en-GB"/>
        </w:rPr>
        <w:t xml:space="preserve">, Saud </w:t>
      </w:r>
      <w:proofErr w:type="spellStart"/>
      <w:r w:rsidRPr="00591954">
        <w:rPr>
          <w:lang w:val="en-GB"/>
        </w:rPr>
        <w:t>Alhusaini</w:t>
      </w:r>
      <w:proofErr w:type="spellEnd"/>
      <w:r w:rsidRPr="00591954">
        <w:rPr>
          <w:lang w:val="en-GB"/>
        </w:rPr>
        <w:t xml:space="preserve">, Marina K. M. </w:t>
      </w:r>
      <w:proofErr w:type="spellStart"/>
      <w:r w:rsidRPr="00591954">
        <w:rPr>
          <w:lang w:val="en-GB"/>
        </w:rPr>
        <w:t>Alvim</w:t>
      </w:r>
      <w:proofErr w:type="spellEnd"/>
      <w:r w:rsidRPr="00591954">
        <w:rPr>
          <w:lang w:val="en-GB"/>
        </w:rPr>
        <w:t xml:space="preserve">, Pia </w:t>
      </w:r>
      <w:proofErr w:type="spellStart"/>
      <w:r w:rsidRPr="00591954">
        <w:rPr>
          <w:lang w:val="en-GB"/>
        </w:rPr>
        <w:t>Auvinen</w:t>
      </w:r>
      <w:proofErr w:type="spellEnd"/>
      <w:r w:rsidRPr="00591954">
        <w:rPr>
          <w:lang w:val="en-GB"/>
        </w:rPr>
        <w:t xml:space="preserve">, Nuria </w:t>
      </w:r>
      <w:proofErr w:type="spellStart"/>
      <w:r w:rsidRPr="00591954">
        <w:rPr>
          <w:lang w:val="en-GB"/>
        </w:rPr>
        <w:t>Bargallo</w:t>
      </w:r>
      <w:proofErr w:type="spellEnd"/>
      <w:r w:rsidRPr="00591954">
        <w:rPr>
          <w:lang w:val="en-GB"/>
        </w:rPr>
        <w:t xml:space="preserve">, Emanuele Bartolini, Benjamin Bender, Felipe P. G. </w:t>
      </w:r>
      <w:proofErr w:type="spellStart"/>
      <w:r w:rsidRPr="00591954">
        <w:rPr>
          <w:lang w:val="en-GB"/>
        </w:rPr>
        <w:t>Bergo</w:t>
      </w:r>
      <w:proofErr w:type="spellEnd"/>
      <w:r w:rsidRPr="00591954">
        <w:rPr>
          <w:lang w:val="en-GB"/>
        </w:rPr>
        <w:t xml:space="preserve">, </w:t>
      </w:r>
      <w:proofErr w:type="spellStart"/>
      <w:r w:rsidRPr="00591954">
        <w:rPr>
          <w:lang w:val="en-GB"/>
        </w:rPr>
        <w:t>Tauana</w:t>
      </w:r>
      <w:proofErr w:type="spellEnd"/>
      <w:r w:rsidRPr="00591954">
        <w:rPr>
          <w:lang w:val="en-GB"/>
        </w:rPr>
        <w:t xml:space="preserve"> </w:t>
      </w:r>
      <w:proofErr w:type="spellStart"/>
      <w:r w:rsidRPr="00591954">
        <w:rPr>
          <w:lang w:val="en-GB"/>
        </w:rPr>
        <w:t>Bernardes</w:t>
      </w:r>
      <w:proofErr w:type="spellEnd"/>
      <w:r w:rsidRPr="00591954">
        <w:rPr>
          <w:lang w:val="en-GB"/>
        </w:rPr>
        <w:t xml:space="preserve">, Andrea </w:t>
      </w:r>
      <w:proofErr w:type="spellStart"/>
      <w:r w:rsidRPr="00591954">
        <w:rPr>
          <w:lang w:val="en-GB"/>
        </w:rPr>
        <w:t>Bernasconi</w:t>
      </w:r>
      <w:proofErr w:type="spellEnd"/>
      <w:r w:rsidRPr="00591954">
        <w:rPr>
          <w:lang w:val="en-GB"/>
        </w:rPr>
        <w:t xml:space="preserve">, Neda </w:t>
      </w:r>
      <w:proofErr w:type="spellStart"/>
      <w:r w:rsidRPr="00591954">
        <w:rPr>
          <w:lang w:val="en-GB"/>
        </w:rPr>
        <w:t>Bernasconi</w:t>
      </w:r>
      <w:proofErr w:type="spellEnd"/>
      <w:r w:rsidRPr="00591954">
        <w:rPr>
          <w:lang w:val="en-GB"/>
        </w:rPr>
        <w:t xml:space="preserve">, Boris C. Bernhardt, Karen Blackmon, Barbara Braga, Maria Eugenia Caligiuri, Anna Calvo, Chad Carlson, Sarah J. Carr, </w:t>
      </w:r>
      <w:proofErr w:type="spellStart"/>
      <w:r w:rsidRPr="00591954">
        <w:rPr>
          <w:lang w:val="en-GB"/>
        </w:rPr>
        <w:t>Gianpiero</w:t>
      </w:r>
      <w:proofErr w:type="spellEnd"/>
      <w:r w:rsidRPr="00591954">
        <w:rPr>
          <w:lang w:val="en-GB"/>
        </w:rPr>
        <w:t xml:space="preserve"> L. </w:t>
      </w:r>
      <w:proofErr w:type="spellStart"/>
      <w:r w:rsidRPr="00591954">
        <w:rPr>
          <w:lang w:val="en-GB"/>
        </w:rPr>
        <w:t>Cavalleri</w:t>
      </w:r>
      <w:proofErr w:type="spellEnd"/>
      <w:r w:rsidRPr="00591954">
        <w:rPr>
          <w:lang w:val="en-GB"/>
        </w:rPr>
        <w:t xml:space="preserve">, Fernando </w:t>
      </w:r>
      <w:proofErr w:type="spellStart"/>
      <w:r w:rsidRPr="00591954">
        <w:rPr>
          <w:lang w:val="en-GB"/>
        </w:rPr>
        <w:t>Cendes</w:t>
      </w:r>
      <w:proofErr w:type="spellEnd"/>
      <w:r w:rsidRPr="00591954">
        <w:rPr>
          <w:lang w:val="en-GB"/>
        </w:rPr>
        <w:t xml:space="preserve">, Jian Chen, Shuai Chen, Andrea Cherubini, Luis Concha, Philippe David, Norman Delanty, Chantal Depondt, Orrin Devinsky, Colin P. Doherty, Martin </w:t>
      </w:r>
      <w:proofErr w:type="spellStart"/>
      <w:r w:rsidRPr="00591954">
        <w:rPr>
          <w:lang w:val="en-GB"/>
        </w:rPr>
        <w:t>Domin</w:t>
      </w:r>
      <w:proofErr w:type="spellEnd"/>
      <w:r w:rsidRPr="00591954">
        <w:rPr>
          <w:lang w:val="en-GB"/>
        </w:rPr>
        <w:t xml:space="preserve">, Niels K. </w:t>
      </w:r>
      <w:proofErr w:type="spellStart"/>
      <w:r w:rsidRPr="00591954">
        <w:rPr>
          <w:lang w:val="en-GB"/>
        </w:rPr>
        <w:t>Focke</w:t>
      </w:r>
      <w:proofErr w:type="spellEnd"/>
      <w:r w:rsidRPr="00591954">
        <w:rPr>
          <w:lang w:val="en-GB"/>
        </w:rPr>
        <w:t xml:space="preserve">, Sonya Foley, Wendy Franca, Antonio Gambardella, Renzo Guerrini, Khalid </w:t>
      </w:r>
      <w:proofErr w:type="spellStart"/>
      <w:r w:rsidRPr="00591954">
        <w:rPr>
          <w:lang w:val="en-GB"/>
        </w:rPr>
        <w:t>Hamandi</w:t>
      </w:r>
      <w:proofErr w:type="spellEnd"/>
      <w:r w:rsidRPr="00591954">
        <w:rPr>
          <w:lang w:val="en-GB"/>
        </w:rPr>
        <w:t xml:space="preserve">, Derrek P. </w:t>
      </w:r>
      <w:proofErr w:type="spellStart"/>
      <w:r w:rsidRPr="00591954">
        <w:rPr>
          <w:lang w:val="en-GB"/>
        </w:rPr>
        <w:t>Hibar</w:t>
      </w:r>
      <w:proofErr w:type="spellEnd"/>
      <w:r w:rsidRPr="00591954">
        <w:rPr>
          <w:lang w:val="en-GB"/>
        </w:rPr>
        <w:t xml:space="preserve">, Dmitry Isaev, Graeme D. Jackson, Neda </w:t>
      </w:r>
      <w:proofErr w:type="spellStart"/>
      <w:r w:rsidRPr="00591954">
        <w:rPr>
          <w:lang w:val="en-GB"/>
        </w:rPr>
        <w:t>Jahanshad</w:t>
      </w:r>
      <w:proofErr w:type="spellEnd"/>
      <w:r w:rsidRPr="00591954">
        <w:rPr>
          <w:lang w:val="en-GB"/>
        </w:rPr>
        <w:t xml:space="preserve">, </w:t>
      </w:r>
      <w:proofErr w:type="spellStart"/>
      <w:r w:rsidRPr="00591954">
        <w:rPr>
          <w:lang w:val="en-GB"/>
        </w:rPr>
        <w:t>Reetta</w:t>
      </w:r>
      <w:proofErr w:type="spellEnd"/>
      <w:r w:rsidRPr="00591954">
        <w:rPr>
          <w:lang w:val="en-GB"/>
        </w:rPr>
        <w:t xml:space="preserve"> </w:t>
      </w:r>
      <w:proofErr w:type="spellStart"/>
      <w:r w:rsidRPr="00591954">
        <w:rPr>
          <w:lang w:val="en-GB"/>
        </w:rPr>
        <w:t>Kalviainen</w:t>
      </w:r>
      <w:proofErr w:type="spellEnd"/>
      <w:r w:rsidRPr="00591954">
        <w:rPr>
          <w:lang w:val="en-GB"/>
        </w:rPr>
        <w:t xml:space="preserve">, Simon S. Keller, Peter </w:t>
      </w:r>
      <w:proofErr w:type="spellStart"/>
      <w:r w:rsidRPr="00591954">
        <w:rPr>
          <w:lang w:val="en-GB"/>
        </w:rPr>
        <w:t>Kochunov</w:t>
      </w:r>
      <w:proofErr w:type="spellEnd"/>
      <w:r w:rsidRPr="00591954">
        <w:rPr>
          <w:lang w:val="en-GB"/>
        </w:rPr>
        <w:t xml:space="preserve">, </w:t>
      </w:r>
      <w:proofErr w:type="spellStart"/>
      <w:r w:rsidRPr="00591954">
        <w:rPr>
          <w:lang w:val="en-GB"/>
        </w:rPr>
        <w:t>Raviteja</w:t>
      </w:r>
      <w:proofErr w:type="spellEnd"/>
      <w:r w:rsidRPr="00591954">
        <w:rPr>
          <w:lang w:val="en-GB"/>
        </w:rPr>
        <w:t xml:space="preserve"> </w:t>
      </w:r>
      <w:proofErr w:type="spellStart"/>
      <w:r w:rsidRPr="00591954">
        <w:rPr>
          <w:lang w:val="en-GB"/>
        </w:rPr>
        <w:t>Kotikalapudi</w:t>
      </w:r>
      <w:proofErr w:type="spellEnd"/>
      <w:r w:rsidRPr="00591954">
        <w:rPr>
          <w:lang w:val="en-GB"/>
        </w:rPr>
        <w:t xml:space="preserve">, Magdalena A. Kowalczyk, Ruben </w:t>
      </w:r>
      <w:proofErr w:type="spellStart"/>
      <w:r w:rsidRPr="00591954">
        <w:rPr>
          <w:lang w:val="en-GB"/>
        </w:rPr>
        <w:t>Kuzniecky</w:t>
      </w:r>
      <w:proofErr w:type="spellEnd"/>
      <w:r w:rsidRPr="00591954">
        <w:rPr>
          <w:lang w:val="en-GB"/>
        </w:rPr>
        <w:t xml:space="preserve">, Patrick Kwan, Angelo </w:t>
      </w:r>
      <w:proofErr w:type="spellStart"/>
      <w:r w:rsidRPr="00591954">
        <w:rPr>
          <w:lang w:val="en-GB"/>
        </w:rPr>
        <w:t>Labate</w:t>
      </w:r>
      <w:proofErr w:type="spellEnd"/>
      <w:r w:rsidRPr="00591954">
        <w:rPr>
          <w:lang w:val="en-GB"/>
        </w:rPr>
        <w:t xml:space="preserve">, </w:t>
      </w:r>
      <w:proofErr w:type="spellStart"/>
      <w:r w:rsidRPr="00591954">
        <w:rPr>
          <w:lang w:val="en-GB"/>
        </w:rPr>
        <w:t>Soenke</w:t>
      </w:r>
      <w:proofErr w:type="spellEnd"/>
      <w:r w:rsidRPr="00591954">
        <w:rPr>
          <w:lang w:val="en-GB"/>
        </w:rPr>
        <w:t xml:space="preserve"> </w:t>
      </w:r>
      <w:proofErr w:type="spellStart"/>
      <w:r w:rsidRPr="00591954">
        <w:rPr>
          <w:lang w:val="en-GB"/>
        </w:rPr>
        <w:t>Langner</w:t>
      </w:r>
      <w:proofErr w:type="spellEnd"/>
      <w:r w:rsidRPr="00591954">
        <w:rPr>
          <w:lang w:val="en-GB"/>
        </w:rPr>
        <w:t xml:space="preserve">, Matteo </w:t>
      </w:r>
      <w:proofErr w:type="spellStart"/>
      <w:r w:rsidRPr="00591954">
        <w:rPr>
          <w:lang w:val="en-GB"/>
        </w:rPr>
        <w:t>Lenge</w:t>
      </w:r>
      <w:proofErr w:type="spellEnd"/>
      <w:r w:rsidRPr="00591954">
        <w:rPr>
          <w:lang w:val="en-GB"/>
        </w:rPr>
        <w:t xml:space="preserve">, Min Liu, Pascal Martin, Mario </w:t>
      </w:r>
      <w:proofErr w:type="spellStart"/>
      <w:r w:rsidRPr="00591954">
        <w:rPr>
          <w:lang w:val="en-GB"/>
        </w:rPr>
        <w:t>Mascalchi</w:t>
      </w:r>
      <w:proofErr w:type="spellEnd"/>
      <w:r w:rsidRPr="00591954">
        <w:rPr>
          <w:lang w:val="en-GB"/>
        </w:rPr>
        <w:t xml:space="preserve">, Stefano </w:t>
      </w:r>
      <w:proofErr w:type="spellStart"/>
      <w:r w:rsidRPr="00591954">
        <w:rPr>
          <w:lang w:val="en-GB"/>
        </w:rPr>
        <w:t>Meletti</w:t>
      </w:r>
      <w:proofErr w:type="spellEnd"/>
      <w:r w:rsidRPr="00591954">
        <w:rPr>
          <w:lang w:val="en-GB"/>
        </w:rPr>
        <w:t>, Marcia E. Morita</w:t>
      </w:r>
      <w:r w:rsidR="005270F1" w:rsidRPr="00591954">
        <w:rPr>
          <w:lang w:val="en-GB"/>
        </w:rPr>
        <w:t>-Sherman</w:t>
      </w:r>
      <w:r w:rsidRPr="00591954">
        <w:rPr>
          <w:lang w:val="en-GB"/>
        </w:rPr>
        <w:t xml:space="preserve">, Terence J. O'Brien, Jose C. </w:t>
      </w:r>
      <w:proofErr w:type="spellStart"/>
      <w:r w:rsidRPr="00591954">
        <w:rPr>
          <w:lang w:val="en-GB"/>
        </w:rPr>
        <w:t>Pariente</w:t>
      </w:r>
      <w:proofErr w:type="spellEnd"/>
      <w:r w:rsidRPr="00591954">
        <w:rPr>
          <w:lang w:val="en-GB"/>
        </w:rPr>
        <w:t xml:space="preserve">, Mark P. Richardson, Raul Rodriguez-Cruces, Christian </w:t>
      </w:r>
      <w:proofErr w:type="spellStart"/>
      <w:r w:rsidRPr="00591954">
        <w:rPr>
          <w:lang w:val="en-GB"/>
        </w:rPr>
        <w:t>Rummel</w:t>
      </w:r>
      <w:proofErr w:type="spellEnd"/>
      <w:r w:rsidRPr="00591954">
        <w:rPr>
          <w:lang w:val="en-GB"/>
        </w:rPr>
        <w:t xml:space="preserve">, </w:t>
      </w:r>
      <w:proofErr w:type="spellStart"/>
      <w:r w:rsidRPr="00591954">
        <w:rPr>
          <w:lang w:val="en-GB"/>
        </w:rPr>
        <w:t>Taavi</w:t>
      </w:r>
      <w:proofErr w:type="spellEnd"/>
      <w:r w:rsidRPr="00591954">
        <w:rPr>
          <w:lang w:val="en-GB"/>
        </w:rPr>
        <w:t xml:space="preserve"> </w:t>
      </w:r>
      <w:proofErr w:type="spellStart"/>
      <w:r w:rsidRPr="00591954">
        <w:rPr>
          <w:lang w:val="en-GB"/>
        </w:rPr>
        <w:t>Saavalainen</w:t>
      </w:r>
      <w:proofErr w:type="spellEnd"/>
      <w:r w:rsidRPr="00591954">
        <w:rPr>
          <w:lang w:val="en-GB"/>
        </w:rPr>
        <w:t xml:space="preserve">, Mira K. </w:t>
      </w:r>
      <w:proofErr w:type="spellStart"/>
      <w:r w:rsidRPr="00591954">
        <w:rPr>
          <w:lang w:val="en-GB"/>
        </w:rPr>
        <w:t>Semmelroch</w:t>
      </w:r>
      <w:proofErr w:type="spellEnd"/>
      <w:r w:rsidRPr="00591954">
        <w:rPr>
          <w:lang w:val="en-GB"/>
        </w:rPr>
        <w:t xml:space="preserve">, </w:t>
      </w:r>
      <w:proofErr w:type="spellStart"/>
      <w:r w:rsidRPr="00591954">
        <w:rPr>
          <w:lang w:val="en-GB"/>
        </w:rPr>
        <w:t>Mariasavina</w:t>
      </w:r>
      <w:proofErr w:type="spellEnd"/>
      <w:r w:rsidRPr="00591954">
        <w:rPr>
          <w:lang w:val="en-GB"/>
        </w:rPr>
        <w:t xml:space="preserve"> Severino, Pasquale </w:t>
      </w:r>
      <w:proofErr w:type="spellStart"/>
      <w:r w:rsidRPr="00591954">
        <w:rPr>
          <w:lang w:val="en-GB"/>
        </w:rPr>
        <w:t>Striano</w:t>
      </w:r>
      <w:proofErr w:type="spellEnd"/>
      <w:r w:rsidRPr="00591954">
        <w:rPr>
          <w:lang w:val="en-GB"/>
        </w:rPr>
        <w:t xml:space="preserve">, Thomas </w:t>
      </w:r>
      <w:proofErr w:type="spellStart"/>
      <w:r w:rsidRPr="00591954">
        <w:rPr>
          <w:lang w:val="en-GB"/>
        </w:rPr>
        <w:t>Thesen</w:t>
      </w:r>
      <w:proofErr w:type="spellEnd"/>
      <w:r w:rsidRPr="00591954">
        <w:rPr>
          <w:lang w:val="en-GB"/>
        </w:rPr>
        <w:t xml:space="preserve">, Rhys H. Thomas, Manuela </w:t>
      </w:r>
      <w:proofErr w:type="spellStart"/>
      <w:r w:rsidRPr="00591954">
        <w:rPr>
          <w:lang w:val="en-GB"/>
        </w:rPr>
        <w:t>Tondelli</w:t>
      </w:r>
      <w:proofErr w:type="spellEnd"/>
      <w:r w:rsidRPr="00591954">
        <w:rPr>
          <w:lang w:val="en-GB"/>
        </w:rPr>
        <w:t xml:space="preserve">, Domenico Tortora, Anna Elisabetta </w:t>
      </w:r>
      <w:proofErr w:type="spellStart"/>
      <w:r w:rsidRPr="00591954">
        <w:rPr>
          <w:lang w:val="en-GB"/>
        </w:rPr>
        <w:t>Vaudano</w:t>
      </w:r>
      <w:proofErr w:type="spellEnd"/>
      <w:r w:rsidRPr="00591954">
        <w:rPr>
          <w:lang w:val="en-GB"/>
        </w:rPr>
        <w:t xml:space="preserve">, Lucy </w:t>
      </w:r>
      <w:proofErr w:type="spellStart"/>
      <w:r w:rsidRPr="00591954">
        <w:rPr>
          <w:lang w:val="en-GB"/>
        </w:rPr>
        <w:t>Vivash</w:t>
      </w:r>
      <w:proofErr w:type="spellEnd"/>
      <w:r w:rsidRPr="00591954">
        <w:rPr>
          <w:lang w:val="en-GB"/>
        </w:rPr>
        <w:t xml:space="preserve">, Felix von </w:t>
      </w:r>
      <w:proofErr w:type="spellStart"/>
      <w:r w:rsidRPr="00591954">
        <w:rPr>
          <w:lang w:val="en-GB"/>
        </w:rPr>
        <w:t>Podewils</w:t>
      </w:r>
      <w:proofErr w:type="spellEnd"/>
      <w:r w:rsidRPr="00591954">
        <w:rPr>
          <w:lang w:val="en-GB"/>
        </w:rPr>
        <w:t xml:space="preserve">, Jan Wagner, Bernd Weber, Roland Wiest, Clarissa L. Yasuda, Guohao Zhang, Junsong Zhang, ENIGMA-Epilepsy Working Group, Costin Leu, Andreja Avbersek, EpiPGX Consortium, Maria Thom, Christopher D Whelan, Paul Thompson, Carrie R McDonald, Annamaria </w:t>
      </w:r>
      <w:proofErr w:type="spellStart"/>
      <w:r w:rsidRPr="00591954">
        <w:rPr>
          <w:lang w:val="en-GB"/>
        </w:rPr>
        <w:t>Vezzani</w:t>
      </w:r>
      <w:proofErr w:type="spellEnd"/>
      <w:r w:rsidR="00293711" w:rsidRPr="00591954">
        <w:rPr>
          <w:lang w:val="en-GB"/>
        </w:rPr>
        <w:t>*</w:t>
      </w:r>
      <w:r w:rsidRPr="00591954">
        <w:rPr>
          <w:lang w:val="en-GB"/>
        </w:rPr>
        <w:t>, Sanjay M Sisodiya</w:t>
      </w:r>
      <w:r w:rsidR="00293711" w:rsidRPr="00591954">
        <w:rPr>
          <w:lang w:val="en-GB"/>
        </w:rPr>
        <w:t>*</w:t>
      </w:r>
    </w:p>
    <w:p w14:paraId="3051FC13" w14:textId="77777777" w:rsidR="000F0DCE" w:rsidRPr="00591954" w:rsidRDefault="000F0DCE" w:rsidP="007B5946">
      <w:pPr>
        <w:rPr>
          <w:szCs w:val="24"/>
          <w:lang w:val="en-GB"/>
        </w:rPr>
      </w:pPr>
    </w:p>
    <w:p w14:paraId="54402112" w14:textId="77777777" w:rsidR="00D04AD3" w:rsidRPr="00591954" w:rsidRDefault="00D04AD3" w:rsidP="007B5946">
      <w:pPr>
        <w:rPr>
          <w:szCs w:val="24"/>
          <w:lang w:val="en-GB"/>
        </w:rPr>
      </w:pPr>
    </w:p>
    <w:p w14:paraId="3B4183E9" w14:textId="77777777" w:rsidR="004779CB" w:rsidRPr="00591954" w:rsidRDefault="00D04AD3" w:rsidP="007B5946">
      <w:pPr>
        <w:rPr>
          <w:szCs w:val="24"/>
          <w:lang w:val="en-GB"/>
        </w:rPr>
      </w:pPr>
      <w:r w:rsidRPr="00591954">
        <w:rPr>
          <w:szCs w:val="24"/>
          <w:lang w:val="en-GB"/>
        </w:rPr>
        <w:t xml:space="preserve">Sanjay M Sisodiya </w:t>
      </w:r>
      <w:r w:rsidRPr="00591954">
        <w:rPr>
          <w:szCs w:val="24"/>
          <w:lang w:val="en-GB"/>
        </w:rPr>
        <w:br/>
      </w:r>
      <w:r w:rsidR="00943C3C" w:rsidRPr="00591954">
        <w:rPr>
          <w:szCs w:val="24"/>
          <w:lang w:val="en-GB"/>
        </w:rPr>
        <w:t xml:space="preserve">Email: </w:t>
      </w:r>
      <w:r w:rsidR="004779CB" w:rsidRPr="00591954">
        <w:rPr>
          <w:szCs w:val="24"/>
          <w:lang w:val="en-GB"/>
        </w:rPr>
        <w:t xml:space="preserve"> </w:t>
      </w:r>
      <w:r w:rsidRPr="00591954">
        <w:rPr>
          <w:szCs w:val="24"/>
          <w:lang w:val="en-GB"/>
        </w:rPr>
        <w:t>s.sisodiya@ucl.ac.uk</w:t>
      </w:r>
    </w:p>
    <w:p w14:paraId="5B6E4959" w14:textId="77777777" w:rsidR="002C030F" w:rsidRPr="00591954" w:rsidRDefault="002C030F">
      <w:pPr>
        <w:rPr>
          <w:lang w:val="en-GB"/>
        </w:rPr>
      </w:pPr>
    </w:p>
    <w:p w14:paraId="3100D504" w14:textId="77777777" w:rsidR="00D04AD3" w:rsidRPr="00591954" w:rsidRDefault="00D04AD3">
      <w:pPr>
        <w:rPr>
          <w:szCs w:val="24"/>
          <w:lang w:val="en-GB"/>
        </w:rPr>
      </w:pPr>
      <w:r w:rsidRPr="00591954">
        <w:rPr>
          <w:szCs w:val="24"/>
          <w:lang w:val="en-GB"/>
        </w:rPr>
        <w:t xml:space="preserve">Annamaria </w:t>
      </w:r>
      <w:proofErr w:type="spellStart"/>
      <w:r w:rsidRPr="00591954">
        <w:rPr>
          <w:szCs w:val="24"/>
          <w:lang w:val="en-GB"/>
        </w:rPr>
        <w:t>Vezzani</w:t>
      </w:r>
      <w:proofErr w:type="spellEnd"/>
    </w:p>
    <w:p w14:paraId="07F8D3B2" w14:textId="77777777" w:rsidR="00D04AD3" w:rsidRPr="00591954" w:rsidRDefault="00D04AD3">
      <w:pPr>
        <w:rPr>
          <w:szCs w:val="24"/>
          <w:lang w:val="en-GB"/>
        </w:rPr>
      </w:pPr>
      <w:r w:rsidRPr="00591954">
        <w:rPr>
          <w:szCs w:val="24"/>
          <w:lang w:val="en-GB"/>
        </w:rPr>
        <w:t>Email: annamaria.vezzani@marionegri.it</w:t>
      </w:r>
    </w:p>
    <w:p w14:paraId="6FDE13F3" w14:textId="77777777" w:rsidR="00D04AD3" w:rsidRPr="00591954" w:rsidRDefault="00D04AD3">
      <w:pPr>
        <w:rPr>
          <w:b/>
          <w:lang w:val="en-GB"/>
        </w:rPr>
      </w:pPr>
    </w:p>
    <w:p w14:paraId="35B04BA3" w14:textId="77777777" w:rsidR="00101A4E" w:rsidRPr="00591954" w:rsidRDefault="00101A4E">
      <w:pPr>
        <w:rPr>
          <w:b/>
          <w:lang w:val="en-GB"/>
        </w:rPr>
      </w:pPr>
      <w:r w:rsidRPr="00591954">
        <w:rPr>
          <w:b/>
          <w:lang w:val="en-GB"/>
        </w:rPr>
        <w:br w:type="page"/>
      </w:r>
    </w:p>
    <w:p w14:paraId="47527785" w14:textId="77777777" w:rsidR="002C030F" w:rsidRPr="00591954" w:rsidRDefault="009743A9">
      <w:pPr>
        <w:rPr>
          <w:b/>
          <w:lang w:val="en-GB"/>
        </w:rPr>
      </w:pPr>
      <w:r w:rsidRPr="00591954">
        <w:rPr>
          <w:b/>
          <w:lang w:val="en-GB"/>
        </w:rPr>
        <w:lastRenderedPageBreak/>
        <w:t xml:space="preserve">This PDF file </w:t>
      </w:r>
      <w:r w:rsidR="002C030F" w:rsidRPr="00591954">
        <w:rPr>
          <w:b/>
          <w:lang w:val="en-GB"/>
        </w:rPr>
        <w:t>includes:</w:t>
      </w:r>
    </w:p>
    <w:p w14:paraId="41BFF1D9" w14:textId="77777777" w:rsidR="002C030F" w:rsidRPr="00591954" w:rsidRDefault="002C030F">
      <w:pPr>
        <w:rPr>
          <w:lang w:val="en-GB"/>
        </w:rPr>
      </w:pPr>
    </w:p>
    <w:p w14:paraId="7BADE513" w14:textId="77777777" w:rsidR="002C030F" w:rsidRPr="00591954" w:rsidRDefault="00BB2D2A" w:rsidP="00262D72">
      <w:pPr>
        <w:ind w:left="720"/>
        <w:rPr>
          <w:lang w:val="en-GB"/>
        </w:rPr>
      </w:pPr>
      <w:r w:rsidRPr="00591954">
        <w:rPr>
          <w:lang w:val="en-GB"/>
        </w:rPr>
        <w:t>Supplementary</w:t>
      </w:r>
      <w:r w:rsidR="007B5946" w:rsidRPr="00591954">
        <w:rPr>
          <w:lang w:val="en-GB"/>
        </w:rPr>
        <w:t xml:space="preserve"> </w:t>
      </w:r>
      <w:r w:rsidR="00D346C2" w:rsidRPr="00591954">
        <w:rPr>
          <w:lang w:val="en-GB"/>
        </w:rPr>
        <w:t>t</w:t>
      </w:r>
      <w:r w:rsidR="002C030F" w:rsidRPr="00591954">
        <w:rPr>
          <w:lang w:val="en-GB"/>
        </w:rPr>
        <w:t>ext</w:t>
      </w:r>
    </w:p>
    <w:p w14:paraId="593A0289" w14:textId="3A97E6B8" w:rsidR="002C030F" w:rsidRPr="00591954" w:rsidRDefault="002C030F" w:rsidP="00262D72">
      <w:pPr>
        <w:ind w:left="720"/>
        <w:rPr>
          <w:lang w:val="en-GB"/>
        </w:rPr>
      </w:pPr>
      <w:r w:rsidRPr="00591954">
        <w:rPr>
          <w:lang w:val="en-GB"/>
        </w:rPr>
        <w:t>Fig</w:t>
      </w:r>
      <w:r w:rsidR="00A3403B" w:rsidRPr="00591954">
        <w:rPr>
          <w:lang w:val="en-GB"/>
        </w:rPr>
        <w:t xml:space="preserve">s. </w:t>
      </w:r>
      <w:r w:rsidRPr="00591954">
        <w:rPr>
          <w:lang w:val="en-GB"/>
        </w:rPr>
        <w:t>S1</w:t>
      </w:r>
      <w:r w:rsidR="00A3403B" w:rsidRPr="00591954">
        <w:rPr>
          <w:lang w:val="en-GB"/>
        </w:rPr>
        <w:t xml:space="preserve"> to </w:t>
      </w:r>
      <w:r w:rsidR="00A21EB1" w:rsidRPr="00591954">
        <w:rPr>
          <w:lang w:val="en-GB"/>
        </w:rPr>
        <w:t>S1</w:t>
      </w:r>
      <w:r w:rsidR="00077F55" w:rsidRPr="00591954">
        <w:rPr>
          <w:lang w:val="en-GB"/>
        </w:rPr>
        <w:t>5</w:t>
      </w:r>
    </w:p>
    <w:p w14:paraId="21802CB2" w14:textId="144A8D6F" w:rsidR="002C030F" w:rsidRPr="00591954" w:rsidRDefault="002C030F" w:rsidP="00262D72">
      <w:pPr>
        <w:ind w:left="720"/>
        <w:rPr>
          <w:lang w:val="en-GB"/>
        </w:rPr>
      </w:pPr>
      <w:r w:rsidRPr="00591954">
        <w:rPr>
          <w:lang w:val="en-GB"/>
        </w:rPr>
        <w:t>Tables S1</w:t>
      </w:r>
      <w:r w:rsidR="00A3403B" w:rsidRPr="00591954">
        <w:rPr>
          <w:lang w:val="en-GB"/>
        </w:rPr>
        <w:t xml:space="preserve"> to </w:t>
      </w:r>
      <w:r w:rsidR="005270F1" w:rsidRPr="00591954">
        <w:rPr>
          <w:lang w:val="en-GB"/>
        </w:rPr>
        <w:t>S</w:t>
      </w:r>
      <w:r w:rsidR="00995DFB" w:rsidRPr="00591954">
        <w:rPr>
          <w:lang w:val="en-GB"/>
        </w:rPr>
        <w:t>3</w:t>
      </w:r>
    </w:p>
    <w:p w14:paraId="4D3F63DB" w14:textId="38066D1F" w:rsidR="00F74F95" w:rsidRPr="00591954" w:rsidRDefault="00E06287" w:rsidP="00262D72">
      <w:pPr>
        <w:ind w:left="720"/>
        <w:rPr>
          <w:lang w:val="en-GB"/>
        </w:rPr>
      </w:pPr>
      <w:r w:rsidRPr="00591954">
        <w:rPr>
          <w:lang w:val="en-GB"/>
        </w:rPr>
        <w:t xml:space="preserve">Captions for </w:t>
      </w:r>
      <w:r w:rsidR="00E528B6" w:rsidRPr="00591954">
        <w:rPr>
          <w:lang w:val="en-GB"/>
        </w:rPr>
        <w:t>datasets</w:t>
      </w:r>
      <w:r w:rsidRPr="00591954">
        <w:rPr>
          <w:lang w:val="en-GB"/>
        </w:rPr>
        <w:t xml:space="preserve"> S1 to S</w:t>
      </w:r>
      <w:r w:rsidR="00B72EC2" w:rsidRPr="00591954">
        <w:rPr>
          <w:lang w:val="en-GB"/>
        </w:rPr>
        <w:t>6</w:t>
      </w:r>
    </w:p>
    <w:p w14:paraId="13E6B56F" w14:textId="77777777" w:rsidR="001C0520" w:rsidRPr="00591954" w:rsidRDefault="001C0520" w:rsidP="00262D72">
      <w:pPr>
        <w:ind w:left="720"/>
        <w:rPr>
          <w:lang w:val="en-GB"/>
        </w:rPr>
      </w:pPr>
      <w:r w:rsidRPr="00591954">
        <w:rPr>
          <w:lang w:val="en-GB"/>
        </w:rPr>
        <w:t>References for SI reference citations</w:t>
      </w:r>
    </w:p>
    <w:p w14:paraId="14CB13E1" w14:textId="77777777" w:rsidR="002C030F" w:rsidRPr="00591954" w:rsidRDefault="002C030F">
      <w:pPr>
        <w:rPr>
          <w:lang w:val="en-GB"/>
        </w:rPr>
      </w:pPr>
    </w:p>
    <w:p w14:paraId="4DC66D30" w14:textId="77777777" w:rsidR="00065EBD" w:rsidRPr="00591954" w:rsidRDefault="002C030F" w:rsidP="00015F74">
      <w:pPr>
        <w:rPr>
          <w:lang w:val="en-GB"/>
        </w:rPr>
      </w:pPr>
      <w:r w:rsidRPr="00591954">
        <w:rPr>
          <w:b/>
          <w:lang w:val="en-GB"/>
        </w:rPr>
        <w:t xml:space="preserve">Other </w:t>
      </w:r>
      <w:r w:rsidR="004B2F21" w:rsidRPr="00591954">
        <w:rPr>
          <w:b/>
          <w:lang w:val="en-GB"/>
        </w:rPr>
        <w:t>supplementary materials</w:t>
      </w:r>
      <w:r w:rsidRPr="00591954">
        <w:rPr>
          <w:b/>
          <w:lang w:val="en-GB"/>
        </w:rPr>
        <w:t xml:space="preserve"> </w:t>
      </w:r>
      <w:r w:rsidR="009743A9" w:rsidRPr="00591954">
        <w:rPr>
          <w:b/>
          <w:lang w:val="en-GB"/>
        </w:rPr>
        <w:t xml:space="preserve">for this manuscript </w:t>
      </w:r>
      <w:r w:rsidRPr="00591954">
        <w:rPr>
          <w:b/>
          <w:lang w:val="en-GB"/>
        </w:rPr>
        <w:t>include</w:t>
      </w:r>
      <w:r w:rsidR="00D346C2" w:rsidRPr="00591954">
        <w:rPr>
          <w:b/>
          <w:lang w:val="en-GB"/>
        </w:rPr>
        <w:t xml:space="preserve"> </w:t>
      </w:r>
      <w:r w:rsidRPr="00591954">
        <w:rPr>
          <w:b/>
          <w:lang w:val="en-GB"/>
        </w:rPr>
        <w:t>the following</w:t>
      </w:r>
      <w:r w:rsidR="00B57F00" w:rsidRPr="00591954">
        <w:rPr>
          <w:b/>
          <w:lang w:val="en-GB"/>
        </w:rPr>
        <w:t xml:space="preserve">: </w:t>
      </w:r>
    </w:p>
    <w:p w14:paraId="5057AB18" w14:textId="77777777" w:rsidR="002C030F" w:rsidRPr="00591954" w:rsidRDefault="002C030F">
      <w:pPr>
        <w:rPr>
          <w:lang w:val="en-GB"/>
        </w:rPr>
      </w:pPr>
    </w:p>
    <w:p w14:paraId="4E4B9DB2" w14:textId="6995224A" w:rsidR="00355362" w:rsidRPr="00591954" w:rsidRDefault="007B5946" w:rsidP="00C20D54">
      <w:pPr>
        <w:ind w:left="720"/>
        <w:rPr>
          <w:lang w:val="en-GB"/>
        </w:rPr>
      </w:pPr>
      <w:r w:rsidRPr="00591954">
        <w:rPr>
          <w:lang w:val="en-GB"/>
        </w:rPr>
        <w:t>Datasets S1 to S</w:t>
      </w:r>
      <w:bookmarkStart w:id="0" w:name="Tables"/>
      <w:bookmarkStart w:id="1" w:name="MaterialsMethods"/>
      <w:bookmarkEnd w:id="0"/>
      <w:bookmarkEnd w:id="1"/>
      <w:r w:rsidR="00B72EC2" w:rsidRPr="00591954">
        <w:rPr>
          <w:lang w:val="en-GB"/>
        </w:rPr>
        <w:t>6</w:t>
      </w:r>
    </w:p>
    <w:p w14:paraId="45ED97AC" w14:textId="77777777" w:rsidR="009A5287" w:rsidRPr="00591954" w:rsidRDefault="009A5287" w:rsidP="009A5287">
      <w:pPr>
        <w:pStyle w:val="SMText"/>
        <w:ind w:firstLine="0"/>
        <w:rPr>
          <w:lang w:val="en-GB"/>
        </w:rPr>
      </w:pPr>
    </w:p>
    <w:p w14:paraId="46E06B70" w14:textId="77777777" w:rsidR="00C20D54" w:rsidRPr="00591954" w:rsidRDefault="00C20D54" w:rsidP="00951646">
      <w:pPr>
        <w:pStyle w:val="SMHeading"/>
        <w:spacing w:before="0" w:after="0"/>
        <w:rPr>
          <w:lang w:val="en-GB"/>
        </w:rPr>
      </w:pPr>
    </w:p>
    <w:p w14:paraId="2A868C3E" w14:textId="77777777" w:rsidR="00015F74" w:rsidRPr="00591954" w:rsidRDefault="00BB2D2A" w:rsidP="00951646">
      <w:pPr>
        <w:pStyle w:val="SMHeading"/>
        <w:spacing w:before="0" w:after="0"/>
        <w:rPr>
          <w:lang w:val="en-GB"/>
        </w:rPr>
      </w:pPr>
      <w:r w:rsidRPr="00591954">
        <w:rPr>
          <w:lang w:val="en-GB"/>
        </w:rPr>
        <w:t>Supplementary</w:t>
      </w:r>
      <w:r w:rsidR="00015F74" w:rsidRPr="00591954">
        <w:rPr>
          <w:lang w:val="en-GB"/>
        </w:rPr>
        <w:t xml:space="preserve"> </w:t>
      </w:r>
      <w:r w:rsidR="001C0975" w:rsidRPr="00591954">
        <w:rPr>
          <w:lang w:val="en-GB"/>
        </w:rPr>
        <w:t>Information Text</w:t>
      </w:r>
    </w:p>
    <w:p w14:paraId="06BEF73A" w14:textId="77777777" w:rsidR="00951646" w:rsidRPr="00591954" w:rsidRDefault="00951646" w:rsidP="00951646">
      <w:pPr>
        <w:pStyle w:val="SMSubheading"/>
        <w:rPr>
          <w:b/>
          <w:u w:val="none"/>
          <w:lang w:val="en-GB"/>
        </w:rPr>
      </w:pPr>
    </w:p>
    <w:p w14:paraId="671F113C" w14:textId="77777777" w:rsidR="00951646" w:rsidRPr="00591954" w:rsidRDefault="00951646" w:rsidP="00611D69">
      <w:pPr>
        <w:pStyle w:val="Heading2"/>
        <w:rPr>
          <w:lang w:val="en-GB"/>
        </w:rPr>
      </w:pPr>
      <w:r w:rsidRPr="00591954">
        <w:rPr>
          <w:lang w:val="en-GB"/>
        </w:rPr>
        <w:t>Detailed Materials and Methods</w:t>
      </w:r>
    </w:p>
    <w:p w14:paraId="0CBB70A4" w14:textId="77777777" w:rsidR="00611D69" w:rsidRPr="00591954" w:rsidRDefault="00611D69" w:rsidP="00951646">
      <w:pPr>
        <w:pStyle w:val="SMHeading"/>
        <w:rPr>
          <w:sz w:val="26"/>
          <w:szCs w:val="26"/>
          <w:lang w:val="en-GB"/>
        </w:rPr>
      </w:pPr>
    </w:p>
    <w:p w14:paraId="6F8056F5" w14:textId="63981367" w:rsidR="00611D69" w:rsidRPr="00591954" w:rsidRDefault="00611D69" w:rsidP="00611D69">
      <w:pPr>
        <w:pStyle w:val="Heading3"/>
        <w:rPr>
          <w:lang w:val="en-GB"/>
        </w:rPr>
      </w:pPr>
      <w:r w:rsidRPr="00591954">
        <w:rPr>
          <w:lang w:val="en-GB"/>
        </w:rPr>
        <w:t xml:space="preserve">Section A: </w:t>
      </w:r>
      <w:r w:rsidRPr="00591954">
        <w:rPr>
          <w:i/>
          <w:iCs/>
          <w:lang w:val="en-GB"/>
        </w:rPr>
        <w:t>In silico</w:t>
      </w:r>
      <w:r w:rsidRPr="00591954">
        <w:rPr>
          <w:lang w:val="en-GB"/>
        </w:rPr>
        <w:t xml:space="preserve"> histology  </w:t>
      </w:r>
    </w:p>
    <w:p w14:paraId="2DE5083C" w14:textId="0DDCED17" w:rsidR="00951646" w:rsidRPr="00591954" w:rsidRDefault="00951646" w:rsidP="00951646">
      <w:pPr>
        <w:pStyle w:val="SMHeading"/>
        <w:rPr>
          <w:sz w:val="26"/>
          <w:szCs w:val="26"/>
          <w:lang w:val="en-GB"/>
        </w:rPr>
      </w:pPr>
      <w:r w:rsidRPr="00591954">
        <w:rPr>
          <w:sz w:val="26"/>
          <w:szCs w:val="26"/>
          <w:lang w:val="en-GB"/>
        </w:rPr>
        <w:t>Allen Institute for Brain Science brain-wide gene expression data</w:t>
      </w:r>
    </w:p>
    <w:p w14:paraId="4679ACAE" w14:textId="40C792D7" w:rsidR="00951646" w:rsidRPr="00591954" w:rsidRDefault="00951646" w:rsidP="00951646">
      <w:pPr>
        <w:rPr>
          <w:szCs w:val="24"/>
          <w:lang w:val="en-GB" w:eastAsia="de-DE"/>
        </w:rPr>
      </w:pPr>
      <w:r w:rsidRPr="00591954">
        <w:rPr>
          <w:szCs w:val="24"/>
          <w:lang w:val="en-GB"/>
        </w:rPr>
        <w:t xml:space="preserve">We used brain microarray gene expression data generated by the Allen Institute for Brain Science (downloaded from </w:t>
      </w:r>
      <w:hyperlink r:id="rId8" w:history="1">
        <w:r w:rsidRPr="00591954">
          <w:rPr>
            <w:rStyle w:val="Hyperlink"/>
            <w:color w:val="auto"/>
            <w:szCs w:val="24"/>
            <w:lang w:val="en-GB"/>
          </w:rPr>
          <w:t>http://human.brain-map.org/</w:t>
        </w:r>
      </w:hyperlink>
      <w:r w:rsidRPr="00591954">
        <w:rPr>
          <w:szCs w:val="24"/>
          <w:lang w:val="en-GB"/>
        </w:rPr>
        <w:t>)</w:t>
      </w:r>
      <w:r w:rsidR="00E569B7" w:rsidRPr="00591954">
        <w:rPr>
          <w:szCs w:val="24"/>
          <w:lang w:val="en-GB"/>
        </w:rPr>
        <w:t xml:space="preserve"> </w:t>
      </w:r>
      <w:r w:rsidR="008A7D75" w:rsidRPr="00591954">
        <w:rPr>
          <w:szCs w:val="24"/>
          <w:lang w:val="en-GB"/>
        </w:rPr>
        <w:t>referred</w:t>
      </w:r>
      <w:r w:rsidR="00E569B7" w:rsidRPr="00591954">
        <w:rPr>
          <w:szCs w:val="24"/>
          <w:lang w:val="en-GB"/>
        </w:rPr>
        <w:t xml:space="preserve"> to as Allen Human Brain Atlas (AHBA)</w:t>
      </w:r>
      <w:r w:rsidRPr="00591954">
        <w:rPr>
          <w:szCs w:val="24"/>
          <w:lang w:val="en-GB"/>
        </w:rPr>
        <w:t xml:space="preserve">. This included </w:t>
      </w:r>
      <w:r w:rsidRPr="00591954">
        <w:rPr>
          <w:szCs w:val="24"/>
          <w:lang w:val="en-GB" w:eastAsia="de-DE"/>
        </w:rPr>
        <w:t>a total of 3,702 samples from six post mortem donors (one female) covering the cortex, cerebellum and subcortical regions</w:t>
      </w:r>
      <w:r w:rsidR="00E569B7" w:rsidRPr="00591954">
        <w:rPr>
          <w:szCs w:val="24"/>
          <w:lang w:val="en-GB" w:eastAsia="de-DE"/>
        </w:rPr>
        <w:t xml:space="preserve"> </w:t>
      </w:r>
      <w:r w:rsidR="00E569B7" w:rsidRPr="00591954">
        <w:rPr>
          <w:szCs w:val="24"/>
          <w:lang w:val="en-GB" w:eastAsia="de-DE"/>
        </w:rPr>
        <w:fldChar w:fldCharType="begin" w:fldLock="1"/>
      </w:r>
      <w:r w:rsidR="004F23C5" w:rsidRPr="00591954">
        <w:rPr>
          <w:szCs w:val="24"/>
          <w:lang w:val="en-GB" w:eastAsia="de-DE"/>
        </w:rPr>
        <w:instrText xml:space="preserve">ADDIN CSL_CITATION {"citationItems":[{"id":"ITEM-1","itemData":{"DOI":"10.1038/nature11405","PMID":"22996553","abstract":"Neuroanatomically precise, genome-wide maps of transcript distributions are critical resources to complement genomic sequence data and to correlate functional and genetic brain architecture. Here we describe the generation and analysis of a transcriptional atlas of the adult human brain, comprising extensive histological analysis and comprehensive microarray profiling of </w:instrText>
      </w:r>
      <w:r w:rsidR="004F23C5" w:rsidRPr="00591954">
        <w:rPr>
          <w:rFonts w:ascii="Cambria Math" w:hAnsi="Cambria Math" w:cs="Cambria Math"/>
          <w:szCs w:val="24"/>
          <w:lang w:val="en-GB" w:eastAsia="de-DE"/>
        </w:rPr>
        <w:instrText>∼</w:instrText>
      </w:r>
      <w:r w:rsidR="004F23C5" w:rsidRPr="00591954">
        <w:rPr>
          <w:szCs w:val="24"/>
          <w:lang w:val="en-GB" w:eastAsia="de-DE"/>
        </w:rPr>
        <w:instrText>900 neuroanatomically precise subdivisions in two individuals. Transcriptional regulation varies enormously by anatomical location, with different regions and their constituent cell types displaying robust molecular signatures that are highly conserved between individuals. Analysis of differential gene expression and gene co-expression relationships demonstrates that brain-wide variation strongly reflects the distributions of major cell classes such as neurons, oligodendrocytes, astrocytes and microglia. Local neighbourhood relationships between fine anatomical subdivisions are associated with discrete neuronal subtypes and genes involved with synaptic transmission. The neocortex displays a relatively homogeneous transcriptional pattern, but with distinct features associated selectively with primary sensorimotor cortices and with enriched frontal lobe expression. Notably, the spatial topography of the neocortex is strongly reflected in its molecular topography-the closer two cortical regions, the more similar their transcriptomes. This freely accessible online data resource forms a high-resolution transcriptional baseline for neurogenetic studies of normal and abnormal human brain function.","author":[{"dropping-particle":"","family":"Hawrylycz","given":"Michael J","non-dropping-particle":"","parse-names":false,"suffix":""},{"dropping-particle":"","family":"Lein","given":"Ed S","non-dropping-particle":"","parse-names":false,"suffix":""},{"dropping-particle":"","family":"Guillozet-Bongaarts","given":"Angela L","non-dropping-particle":"","parse-names":false,"suffix":""},{"dropping-particle":"","family":"Shen","given":"Elaine H","non-dropping-particle":"","parse-names":false,"suffix":""},{"dropping-particle":"","family":"Ng","given":"Lydia","non-dropping-particle":"","parse-names":false,"suffix":""},{"dropping-particle":"","family":"Miller","given":"Jeremy A","non-dropping-particle":"","parse-names":false,"suffix":""},{"dropping-particle":"","family":"Lagemaat","given":"Louie N","non-dropping-particle":"van de","parse-names":false,"suffix":""},{"dropping-particle":"","family":"Smith","given":"Kimberly A","non-dropping-particle":"","parse-names":false,"suffix":""},{"dropping-particle":"","family":"Ebbert","given":"Amanda","non-dropping-particle":"","parse-names":false,"suffix":""},{"dropping-particle":"","family":"Riley","given":"Zackery L","non-dropping-particle":"","parse-names":false,"suffix":""},{"dropping-particle":"","family":"Abajian","given":"Chris","non-dropping-particle":"","parse-names":false,"suffix":""},{"dropping-particle":"","family":"Beckmann","given":"Christian F","non-dropping-particle":"","parse-names":false,"suffix":""},{"dropping-particle":"","family":"Bernard","given":"Amy","non-dropping-particle":"","parse-names":false,"suffix":""},{"dropping-particle":"","family":"Bertagnolli","given":"Darren","non-dropping-particle":"","parse-names":false,"suffix":""},{"dropping-particle":"","family":"Boe","given":"Andrew F","non-dropping-particle":"","parse-names":false,"suffix":""},{"dropping-particle":"","family":"Cartagena","given":"Preston M","non-dropping-particle":"","parse-names":false,"suffix":""},{"dropping-particle":"","family":"Chakravarty","given":"M Mallar","non-dropping-particle":"","parse-names":false,"suffix":""},{"dropping-particle":"","family":"Chapin","given":"Mike","non-dropping-particle":"","parse-names":false,"suffix":""},{"dropping-particle":"","family":"Chong","given":"Jimmy","non-dropping-particle":"","parse-names":false,"suffix":""},{"dropping-particle":"","family":"Dalley","given":"Rachel A","non-dropping-particle":"","parse-names":false,"suffix":""},{"dropping-particle":"","family":"Daly","given":"Barry David","non-dropping-particle":"","parse-names":false,"suffix":""},{"dropping-particle":"","family":"Dang","given":"Chinh","non-dropping-particle":"","parse-names":false,"suffix":""},{"dropping-particle":"","family":"Datta","given":"Suvro","non-dropping-particle":"","parse-names":false,"suffix":""},{"dropping-particle":"","family":"Dee","given":"Nick","non-dropping-particle":"","parse-names":false,"suffix":""},{"dropping-particle":"","family":"Dolbeare","given":"Tim A","non-dropping-particle":"","parse-names":false,"suffix":""},{"dropping-particle":"","family":"Faber","given":"Vance","non-dropping-particle":"","parse-names":false,"suffix":""},{"dropping-particle":"","family":"Feng","given":"David","non-dropping-particle":"","parse-names":false,"suffix":""},{"dropping-particle":"","family":"Fowler","given":"David R","non-dropping-particle":"","parse-names":false,"suffix":""},{"dropping-particle":"","family":"Goldy","given":"Jeff","non-dropping-particle":"","parse-names":false,"suffix":""},{"dropping-particle":"","family":"Gregor","given":"Benjamin W","non-dropping-particle":"","parse-names":false,"suffix":""},{"dropping-particle":"","family":"Haradon","given":"Zeb","non-dropping-particle":"","parse-names":false,"suffix":""},{"dropping-particle":"","family":"Haynor","given":"David R","non-dropping-particle":"","parse-names":false,"suffix":""},{"dropping-particle":"","family":"Hohmann","given":"John G","non-dropping-particle":"","parse-names":false,"suffix":""},{"dropping-particle":"","family":"Horvath","given":"Steve","non-dropping-particle":"","parse-names":false,"suffix":""},{"dropping-particle":"","family":"Howard","given":"Robert E","non-dropping-particle":"","parse-names":false,"suffix":""},{"dropping-particle":"","family":"Jeromin","given":"Andreas","non-dropping-particle":"","parse-names":false,"suffix":""},{"dropping-particle":"","family":"Jochim","given":"Jayson M","non-dropping-particle":"","parse-names":false,"suffix":""},{"dropping-particle":"","family":"Kinnunen","given":"Marty","non-dropping-particle":"","parse-names":false,"suffix":""},{"dropping-particle":"","family":"Lau","given":"Christopher","non-dropping-particle":"","parse-names":false,"suffix":""},{"dropping-particle":"","family":"Lazarz","given":"Evan T","non-dropping-particle":"","parse-names":false,"suffix":""},{"dropping-particle":"","family":"Lee","given":"Changkyu","non-dropping-particle":"","parse-names":false,"suffix":""},{"dropping-particle":"","family":"Lemon","given":"Tracy A","non-dropping-particle":"","parse-names":false,"suffix":""},{"dropping-particle":"","family":"Li","given":"Ling","non-dropping-particle":"","parse-names":false,"suffix":""},{"dropping-particle":"","family":"Li","given":"Yang","non-dropping-particle":"","parse-names":false,"suffix":""},{"dropping-particle":"","family":"Morris","given":"John A","non-dropping-particle":"","parse-names":false,"suffix":""},{"dropping-particle":"","family":"Overly","given":"Caroline C","non-dropping-particle":"","parse-names":false,"suffix":""},{"dropping-particle":"","family":"Parker","given":"Patrick D","non-dropping-particle":"","parse-names":false,"suffix":""},{"dropping-particle":"","family":"Parry","given":"Sheana E","non-dropping-particle":"","parse-names":false,"suffix":""},{"dropping-particle":"","family":"Reding","given":"Melissa","non-dropping-particle":"","parse-names":false,"suffix":""},{"dropping-particle":"","family":"Royall","given":"Joshua J","non-dropping-particle":"","parse-names":false,"suffix":""},{"dropping-particle":"","family":"Schulkin","given":"Jay","non-dropping-particle":"","parse-names":false,"suffix":""},{"dropping-particle":"","family":"Sequeira","given":"Pedro Adolfo","non-dropping-particle":"","parse-names":false,"suffix":""},{"dropping-particle":"","family":"Slaughterbeck","given":"Clifford R","non-dropping-particle":"","parse-names":false,"suffix":""},{"dropping-particle":"","family":"Smith","given":"Simon C","non-dropping-particle":"","parse-names":false,"suffix":""},{"dropping-particle":"","family":"Sodt","given":"Andy J","non-dropping-particle":"","parse-names":false,"suffix":""},{"dropping-particle":"","family":"Sunkin","given":"Susan M","non-dropping-particle":"","parse-names":false,"suffix":""},{"dropping-particle":"","family":"Swanson","given":"Beryl E","non-dropping-particle":"","parse-names":false,"suffix":""},{"dropping-particle":"","family":"Vawter","given":"Marquis P","non-dropping-particle":"","parse-names":false,"suffix":""},{"dropping-particle":"","family":"Williams","given":"Derric","non-dropping-particle":"","parse-names":false,"suffix":""},{"dropping-particle":"","family":"Wohnoutka","given":"Paul","non-dropping-particle":"","parse-names":false,"suffix":""},{"dropping-particle":"","family":"Zielke","given":"H Ronald","non-dropping-particle":"","parse-names":false,"suffix":""},{"dropping-particle":"","family":"Geschwind","given":"Daniel H","non-dropping-particle":"","parse-names":false,"suffix":""},{"dropping-particle":"","family":"Hof","given":"Patrick R","non-dropping-particle":"","parse-names":false,"suffix":""},{"dropping-particle":"","family":"Smith","given":"Stephen M","non-dropping-particle":"","parse-names":false,"suffix":""},{"dropping-particle":"","family":"Koch","given":"Christof","non-dropping-particle":"","parse-names":false,"suffix":""},{"dropping-particle":"","family":"Grant","given":"Seth G N","non-dropping-particle":"","parse-names":false,"suffix":""},{"dropping-particle":"","family":"Jones","given":"Allan R","non-dropping-particle":"","parse-names":false,"suffix":""}],"container-title":"Nature","id":"ITEM-1","issue":"7416","issued":{"date-parts":[["2012"]]},"language":"eng","page":"391-399","title":"An anatomically comprehensive atlas of the adult human brain transcriptome","type":"article-journal","volume":"489"},"uris":["http://www.mendeley.com/documents/?uuid=880c84b1-eb0a-4d1a-b34a-726a98440284"]},{"id":"ITEM-2","itemData":{"DOI":"10.1038/nn.4171","PMID":"26571460","abstract":"The structure and function of the human brain are highly stereotyped, implying a conserved molecular program responsible for its development, cellular structure and function. We applied a correlation-based metric called differential stability to assess reproducibility of gene expression patterning across 132 structures in six individual brains, revealing mesoscale genetic organization. The genes with the highest differential stability are highly biologically relevant, with enrichment for brain-related annotations, disease associations, drug targets and literature citations. Using genes with high differential stability, we identified 32 anatomically diverse and reproducible gene expression signatures, which represent distinct cell types, intracellular components and/or associations with neurodevelopmental and neurodegenerative disorders. Genes in neuron-associated compared to non-neuronal networks showed higher preservation between human and mouse; however, many diversely patterned genes displayed marked shifts in regulation between species. Finally, highly consistent transcriptional architecture in neocortex is correlated with resting state functional connectivity, suggesting a link between conserved gene expression and functionally relevant circuitry.","author":[{"dropping-particle":"","family":"Hawrylycz","given":"Michael","non-dropping-particle":"","parse-names":false,"suffix":""},{"dropping-particle":"","family":"Miller","given":"Jeremy A","non-dropping-particle":"","parse-names":false,"suffix":""},{"dropping-particle":"","family":"Menon","given":"Vilas","non-dropping-particle":"","parse-names":false,"suffix":""},{"dropping-particle":"","family":"Feng","given":"David","non-dropping-particle":"","parse-names":false,"suffix":""},{"dropping-particle":"","family":"Dolbeare","given":"Tim","non-dropping-particle":"","parse-names":false,"suffix":""},{"dropping-particle":"","family":"Guillozet-Bongaarts","given":"Angela L","non-dropping-particle":"","parse-names":false,"suffix":""},{"dropping-particle":"","family":"Jegga","given":"Anil G","non-dropping-particle":"","parse-names":false,"suffix":""},{"dropping-particle":"","family":"Aronow","given":"Bruce J","non-dropping-particle":"","parse-names":false,"suffix":""},{"dropping-particle":"","family":"Lee","given":"Chang-Kyu","non-dropping-particle":"","parse-names":false,"suffix":""},{"dropping-particle":"","family":"Bernard","given":"Amy","non-dropping-particle":"","parse-names":false,"suffix":""},{"dropping-particle":"","family":"Glasser","given":"Matthew F","non-dropping-particle":"","parse-names":false,"suffix":""},{"dropping-particle":"","family":"Dierker","given":"Donna L","non-dropping-particle":"","parse-names":false,"suffix":""},{"dropping-particle":"","family":"Menche","given":"Jörg","non-dropping-particle":"","parse-names":false,"suffix":""},{"dropping-particle":"","family":"Szafer","given":"Aaron","non-dropping-particle":"","parse-names":false,"suffix":""},{"dropping-particle":"","family":"Collman","given":"Forrest","non-dropping-particle":"","parse-names":false,"suffix":""},{"dropping-particle":"","family":"Grange","given":"Pascal","non-dropping-particle":"","parse-names":false,"suffix":""},{"dropping-particle":"","family":"Berman","given":"Kenneth A","non-dropping-particle":"","parse-names":false,"suffix":""},{"dropping-particle":"","family":"Mihalas","given":"Stefan","non-dropping-particle":"","parse-names":false,"suffix":""},{"dropping-particle":"","family":"Yao","given":"Zizhen","non-dropping-particle":"","parse-names":false,"suffix":""},{"dropping-particle":"","family":"Stewart","given":"Lance","non-dropping-particle":"","parse-names":false,"suffix":""},{"dropping-particle":"","family":"Barabási","given":"Albert-László","non-dropping-particle":"","parse-names":false,"suffix":""},{"dropping-particle":"","family":"Schulkin","given":"Jay","non-dropping-particle":"","parse-names":false,"suffix":""},{"dropping-particle":"","family":"Phillips","given":"John","non-dropping-particle":"","parse-names":false,"suffix":""},{"dropping-particle":"","family":"Ng","given":"Lydia","non-dropping-particle":"","parse-names":false,"suffix":""},{"dropping-particle":"","family":"Dang","given":"Chinh","non-dropping-particle":"","parse-names":false,"suffix":""},{"dropping-particle":"","family":"Haynor","given":"David R","non-dropping-particle":"","parse-names":false,"suffix":""},{"dropping-particle":"","family":"Jones","given":"Allan","non-dropping-particle":"","parse-names":false,"suffix":""},{"dropping-particle":"","family":"Essen","given":"David C","non-dropping-particle":"Van","parse-names":false,"suffix":""},{"dropping-particle":"","family":"Koch","given":"Christof","non-dropping-particle":"","parse-names":false,"suffix":""},{"dropping-particle":"","family":"Lein","given":"Ed","non-dropping-particle":"","parse-names":false,"suffix":""}],"container-title":"Nature neuroscience","id":"ITEM-2","issue":"12","issued":{"date-parts":[["2015"]]},"language":"ENG","page":"1832-1844","title":"Canonical genetic signatures of the adult human brain","type":"article-journal","volume":"18"},"uris":["http://www.mendeley.com/documents/?uuid=8bc4889a-5aff-4429-bd1b-94c9ea5a6a77"]}],"mendeley":{"formattedCitation":"[1,2]","plainTextFormattedCitation":"[1,2]","previouslyFormattedCitation":"(1,2)"},"properties":{"noteIndex":0},"schema":"https://github.com/citation-style-language/schema/raw/master/csl-citation.json"}</w:instrText>
      </w:r>
      <w:r w:rsidR="00E569B7" w:rsidRPr="00591954">
        <w:rPr>
          <w:szCs w:val="24"/>
          <w:lang w:val="en-GB" w:eastAsia="de-DE"/>
        </w:rPr>
        <w:fldChar w:fldCharType="separate"/>
      </w:r>
      <w:r w:rsidR="004F23C5" w:rsidRPr="00591954">
        <w:rPr>
          <w:noProof/>
          <w:szCs w:val="24"/>
          <w:lang w:val="en-GB" w:eastAsia="de-DE"/>
        </w:rPr>
        <w:t>[1,2]</w:t>
      </w:r>
      <w:r w:rsidR="00E569B7" w:rsidRPr="00591954">
        <w:rPr>
          <w:szCs w:val="24"/>
          <w:lang w:val="en-GB" w:eastAsia="de-DE"/>
        </w:rPr>
        <w:fldChar w:fldCharType="end"/>
      </w:r>
      <w:r w:rsidRPr="00591954">
        <w:rPr>
          <w:szCs w:val="24"/>
          <w:lang w:val="en-GB" w:eastAsia="de-DE"/>
        </w:rPr>
        <w:t xml:space="preserve">. Each sample comprises 58,692 gene probes and provides coordinates in </w:t>
      </w:r>
      <w:r w:rsidR="00E569B7" w:rsidRPr="00591954">
        <w:rPr>
          <w:szCs w:val="24"/>
          <w:lang w:val="en-GB"/>
        </w:rPr>
        <w:t xml:space="preserve">MNI </w:t>
      </w:r>
      <w:r w:rsidR="00E569B7" w:rsidRPr="00591954">
        <w:rPr>
          <w:szCs w:val="24"/>
          <w:shd w:val="clear" w:color="auto" w:fill="FFFFFF"/>
          <w:lang w:val="en-GB"/>
        </w:rPr>
        <w:t>(Montreal Neurological Institute)-152</w:t>
      </w:r>
      <w:r w:rsidRPr="00591954">
        <w:rPr>
          <w:szCs w:val="24"/>
          <w:lang w:val="en-GB" w:eastAsia="de-DE"/>
        </w:rPr>
        <w:t xml:space="preserve"> space. The gene expression data were normalized and corrected for batch effects by the Allen Institute </w:t>
      </w:r>
      <w:r w:rsidRPr="00591954">
        <w:rPr>
          <w:szCs w:val="24"/>
          <w:lang w:val="en-GB" w:eastAsia="de-DE"/>
        </w:rPr>
        <w:fldChar w:fldCharType="begin" w:fldLock="1"/>
      </w:r>
      <w:r w:rsidR="004F23C5" w:rsidRPr="00591954">
        <w:rPr>
          <w:szCs w:val="24"/>
          <w:lang w:val="en-GB" w:eastAsia="de-DE"/>
        </w:rPr>
        <w:instrText>ADDIN CSL_CITATION {"citationItems":[{"id":"ITEM-1","itemData":{"URL":"http://help.brain-map.org/download/attachments/2818165/Normalization_WhitePaper.pdf?version=1&amp;modificationDate=1361836502191&amp;api=v2","accessed":{"date-parts":[["2018","7","15"]]},"id":"ITEM-1","issued":{"date-parts":[["2013"]]},"title":"TECHNICAL WHITE PAPER: MICROARRAY DATA NORMALIZATION","type":"webpage"},"uris":["http://www.mendeley.com/documents/?uuid=67e17c0c-c62c-463c-ae56-9c65912a1ca0"]}],"mendeley":{"formattedCitation":"[3]","plainTextFormattedCitation":"[3]","previouslyFormattedCitation":"(3)"},"properties":{"noteIndex":0},"schema":"https://github.com/citation-style-language/schema/raw/master/csl-citation.json"}</w:instrText>
      </w:r>
      <w:r w:rsidRPr="00591954">
        <w:rPr>
          <w:szCs w:val="24"/>
          <w:lang w:val="en-GB" w:eastAsia="de-DE"/>
        </w:rPr>
        <w:fldChar w:fldCharType="separate"/>
      </w:r>
      <w:r w:rsidR="004F23C5" w:rsidRPr="00591954">
        <w:rPr>
          <w:noProof/>
          <w:szCs w:val="24"/>
          <w:lang w:val="en-GB" w:eastAsia="de-DE"/>
        </w:rPr>
        <w:t>[3]</w:t>
      </w:r>
      <w:r w:rsidRPr="00591954">
        <w:rPr>
          <w:szCs w:val="24"/>
          <w:lang w:val="en-GB" w:eastAsia="de-DE"/>
        </w:rPr>
        <w:fldChar w:fldCharType="end"/>
      </w:r>
      <w:r w:rsidRPr="00591954">
        <w:rPr>
          <w:szCs w:val="24"/>
          <w:lang w:val="en-GB" w:eastAsia="de-DE"/>
        </w:rPr>
        <w:t>. Due to markedly different gene expression profiles in cortex, cerebellum and subcortical regions, we restricted our analysis to cortical samples.</w:t>
      </w:r>
    </w:p>
    <w:p w14:paraId="44E2629B" w14:textId="645CE322" w:rsidR="00951646" w:rsidRPr="00591954" w:rsidRDefault="00951646" w:rsidP="00951646">
      <w:pPr>
        <w:pStyle w:val="SMHeading"/>
        <w:rPr>
          <w:sz w:val="26"/>
          <w:szCs w:val="26"/>
          <w:lang w:val="en-GB"/>
        </w:rPr>
      </w:pPr>
      <w:r w:rsidRPr="00591954">
        <w:rPr>
          <w:sz w:val="26"/>
          <w:szCs w:val="26"/>
          <w:lang w:val="en-GB"/>
        </w:rPr>
        <w:t xml:space="preserve">Mapping </w:t>
      </w:r>
      <w:r w:rsidR="00E569B7" w:rsidRPr="00591954">
        <w:rPr>
          <w:sz w:val="26"/>
          <w:szCs w:val="26"/>
          <w:lang w:val="en-GB"/>
        </w:rPr>
        <w:t xml:space="preserve">AHBA </w:t>
      </w:r>
      <w:r w:rsidRPr="00591954">
        <w:rPr>
          <w:sz w:val="26"/>
          <w:szCs w:val="26"/>
          <w:lang w:val="en-GB"/>
        </w:rPr>
        <w:t>samples onto the FreeSurfer parcellation from ENIGMA-Epilepsy</w:t>
      </w:r>
    </w:p>
    <w:p w14:paraId="3BEDB484" w14:textId="13BB8805" w:rsidR="00951646" w:rsidRPr="00591954" w:rsidRDefault="00951646" w:rsidP="00997C3D">
      <w:pPr>
        <w:pStyle w:val="Normal1"/>
        <w:spacing w:line="240" w:lineRule="auto"/>
        <w:rPr>
          <w:rFonts w:ascii="Times New Roman" w:hAnsi="Times New Roman" w:cs="Times New Roman"/>
          <w:color w:val="auto"/>
          <w:sz w:val="24"/>
          <w:szCs w:val="24"/>
          <w:lang w:val="en-GB"/>
        </w:rPr>
      </w:pPr>
      <w:r w:rsidRPr="00591954">
        <w:rPr>
          <w:rFonts w:ascii="Times New Roman" w:hAnsi="Times New Roman" w:cs="Times New Roman"/>
          <w:color w:val="auto"/>
          <w:sz w:val="24"/>
          <w:szCs w:val="24"/>
          <w:lang w:val="en-GB"/>
        </w:rPr>
        <w:t xml:space="preserve">The ENIGMA-Epilepsy results were reported for regions of interest (ROI) based on the Desikan-Killiany (DK) atlas </w:t>
      </w:r>
      <w:r w:rsidRPr="00591954">
        <w:rPr>
          <w:rFonts w:ascii="Times New Roman" w:hAnsi="Times New Roman" w:cs="Times New Roman"/>
          <w:color w:val="auto"/>
          <w:sz w:val="24"/>
          <w:szCs w:val="24"/>
          <w:lang w:val="en-GB"/>
        </w:rPr>
        <w:fldChar w:fldCharType="begin" w:fldLock="1"/>
      </w:r>
      <w:r w:rsidR="004F23C5" w:rsidRPr="00591954">
        <w:rPr>
          <w:rFonts w:ascii="Times New Roman" w:hAnsi="Times New Roman" w:cs="Times New Roman"/>
          <w:color w:val="auto"/>
          <w:sz w:val="24"/>
          <w:szCs w:val="24"/>
          <w:lang w:val="en-GB"/>
        </w:rPr>
        <w:instrText>ADDIN CSL_CITATION {"citationItems":[{"id":"ITEM-1","itemData":{"DOI":"10.1016/j.neuroimage.2006.01.021","ISBN":"1053-8119 (Print)\\r1053-8119 (Linking)","ISSN":"10538119","PMID":"16530430","abstract":"In this study, we have assessed the validity and reliability of an automated labeling system that we have developed for subdividing the human cerebral cortex on magnetic resonance images into gyral based regions of interest (ROIs). Using a dataset of 40 MRI scans we manually identified 34 cortical ROIs in each of the individual hemispheres. This information was then encoded in the form of an atlas that was utilized to automatically label ROIs. To examine the validity, as well as the intra- and inter-rater reliability of the automated system, we used both intraclass correlation coefficients (ICC), and a new method known as mean distance maps, to assess the degree of mismatch between the manual and the automated sets of ROIs. When compared with the manual ROIs, the automated ROIs were highly accurate, with an average ICC of 0.835 across all of the ROIs, and a mean distance error of less than 1 mm. Intra- and inter-rater comparisons yielded little to no difference between the sets of ROIs. These findings suggest that the automated method we have developed for subdividing the human cerebral cortex into standard gyral-based neuroanatomical regions is both anatomically valid and reliable. This method may be useful for both morphometric and functional studies of the cerebral cortex as well as for clinical investigations aimed at tracking the evolution of disease-induced changes over time, including clinical trials in which MRI-based measures are used to examine response to treatment. © 2006 Elsevier Inc. All rights reserved.","author":[{"dropping-particle":"","family":"Desikan","given":"Rahul S.","non-dropping-particle":"","parse-names":false,"suffix":""},{"dropping-particle":"","family":"Ségonne","given":"Florent","non-dropping-particle":"","parse-names":false,"suffix":""},{"dropping-particle":"","family":"Fischl","given":"Bruce","non-dropping-particle":"","parse-names":false,"suffix":""},{"dropping-particle":"","family":"Quinn","given":"Brian T.","non-dropping-particle":"","parse-names":false,"suffix":""},{"dropping-particle":"","family":"Dickerson","given":"Bradford C.","non-dropping-particle":"","parse-names":false,"suffix":""},{"dropping-particle":"","family":"Blacker","given":"Deborah","non-dropping-particle":"","parse-names":false,"suffix":""},{"dropping-particle":"","family":"Buckner","given":"Randy L.","non-dropping-particle":"","parse-names":false,"suffix":""},{"dropping-particle":"","family":"Dale","given":"Anders M.","non-dropping-particle":"","parse-names":false,"suffix":""},{"dropping-particle":"","family":"Maguire","given":"R. Paul","non-dropping-particle":"","parse-names":false,"suffix":""},{"dropping-particle":"","family":"Hyman","given":"Bradley T.","non-dropping-particle":"","parse-names":false,"suffix":""},{"dropping-particle":"","family":"Albert","given":"Marilyn S.","non-dropping-particle":"","parse-names":false,"suffix":""},{"dropping-particle":"","family":"Killiany","given":"Ronald J.","non-dropping-particle":"","parse-names":false,"suffix":""}],"container-title":"NeuroImage","id":"ITEM-1","issue":"3","issued":{"date-parts":[["2006"]]},"page":"968-980","title":"An automated labeling system for subdividing the human cerebral cortex on MRI scans into gyral based regions of interest","type":"article-journal","volume":"31"},"uris":["http://www.mendeley.com/documents/?uuid=687735ca-8f19-4859-a794-ecd243f29698"]}],"mendeley":{"formattedCitation":"[4]","plainTextFormattedCitation":"[4]","previouslyFormattedCitation":"(4)"},"properties":{"noteIndex":0},"schema":"https://github.com/citation-style-language/schema/raw/master/csl-citation.json"}</w:instrText>
      </w:r>
      <w:r w:rsidRPr="00591954">
        <w:rPr>
          <w:rFonts w:ascii="Times New Roman" w:hAnsi="Times New Roman" w:cs="Times New Roman"/>
          <w:color w:val="auto"/>
          <w:sz w:val="24"/>
          <w:szCs w:val="24"/>
          <w:lang w:val="en-GB"/>
        </w:rPr>
        <w:fldChar w:fldCharType="separate"/>
      </w:r>
      <w:r w:rsidR="004F23C5" w:rsidRPr="00591954">
        <w:rPr>
          <w:rFonts w:ascii="Times New Roman" w:hAnsi="Times New Roman" w:cs="Times New Roman"/>
          <w:noProof/>
          <w:color w:val="auto"/>
          <w:sz w:val="24"/>
          <w:szCs w:val="24"/>
          <w:lang w:val="en-GB"/>
        </w:rPr>
        <w:t>[4]</w:t>
      </w:r>
      <w:r w:rsidRPr="00591954">
        <w:rPr>
          <w:rFonts w:ascii="Times New Roman" w:hAnsi="Times New Roman" w:cs="Times New Roman"/>
          <w:color w:val="auto"/>
          <w:sz w:val="24"/>
          <w:szCs w:val="24"/>
          <w:lang w:val="en-GB"/>
        </w:rPr>
        <w:fldChar w:fldCharType="end"/>
      </w:r>
      <w:r w:rsidRPr="00591954">
        <w:rPr>
          <w:rFonts w:ascii="Times New Roman" w:hAnsi="Times New Roman" w:cs="Times New Roman"/>
          <w:color w:val="auto"/>
          <w:sz w:val="24"/>
          <w:szCs w:val="24"/>
          <w:lang w:val="en-GB"/>
        </w:rPr>
        <w:t>. In order to link DK ROIs to A</w:t>
      </w:r>
      <w:r w:rsidR="00E569B7" w:rsidRPr="00591954">
        <w:rPr>
          <w:rFonts w:ascii="Times New Roman" w:hAnsi="Times New Roman" w:cs="Times New Roman"/>
          <w:color w:val="auto"/>
          <w:sz w:val="24"/>
          <w:szCs w:val="24"/>
          <w:lang w:val="en-GB"/>
        </w:rPr>
        <w:t>HBA</w:t>
      </w:r>
      <w:r w:rsidRPr="00591954">
        <w:rPr>
          <w:rFonts w:ascii="Times New Roman" w:hAnsi="Times New Roman" w:cs="Times New Roman"/>
          <w:color w:val="auto"/>
          <w:sz w:val="24"/>
          <w:szCs w:val="24"/>
          <w:lang w:val="en-GB"/>
        </w:rPr>
        <w:t xml:space="preserve"> samples, we first registered the FreeSurfer average (FSA) subject to </w:t>
      </w:r>
      <w:r w:rsidR="00E569B7" w:rsidRPr="00591954">
        <w:rPr>
          <w:rFonts w:ascii="Times New Roman" w:hAnsi="Times New Roman" w:cs="Times New Roman"/>
          <w:color w:val="auto"/>
          <w:sz w:val="24"/>
          <w:szCs w:val="24"/>
          <w:lang w:val="en-GB"/>
        </w:rPr>
        <w:t>MNI</w:t>
      </w:r>
      <w:r w:rsidRPr="00591954">
        <w:rPr>
          <w:rFonts w:ascii="Times New Roman" w:hAnsi="Times New Roman" w:cs="Times New Roman"/>
          <w:color w:val="auto"/>
          <w:sz w:val="24"/>
          <w:szCs w:val="24"/>
          <w:lang w:val="en-GB"/>
        </w:rPr>
        <w:t xml:space="preserve">152 space using non-rigid registration based on fast free form deformation implemented in NiftyReg (version 10.4.15) </w:t>
      </w:r>
      <w:r w:rsidRPr="00591954">
        <w:rPr>
          <w:rFonts w:ascii="Times New Roman" w:hAnsi="Times New Roman" w:cs="Times New Roman"/>
          <w:color w:val="auto"/>
          <w:sz w:val="24"/>
          <w:szCs w:val="24"/>
          <w:lang w:val="en-GB"/>
        </w:rPr>
        <w:fldChar w:fldCharType="begin" w:fldLock="1"/>
      </w:r>
      <w:r w:rsidR="004F23C5" w:rsidRPr="00591954">
        <w:rPr>
          <w:rFonts w:ascii="Times New Roman" w:hAnsi="Times New Roman" w:cs="Times New Roman"/>
          <w:color w:val="auto"/>
          <w:sz w:val="24"/>
          <w:szCs w:val="24"/>
          <w:lang w:val="en-GB"/>
        </w:rPr>
        <w:instrText>ADDIN CSL_CITATION {"citationItems":[{"id":"ITEM-1","itemData":{"DOI":"10.1016/j.cmpb.2009.09.002","PMID":"19818524","abstract":"A large number of algorithms have been developed to perform non-rigid registration and it is a tool commonly used in medical image analysis. The free-form deformation algorithm is a well-established technique, but is extremely time consuming. In this paper we present a parallel-friendly formulation of the algorithm suitable for graphics processing unit execution. Using our approach we perform registration of T1-weighted MR images in less than 1 min and show the same level of accuracy as a classical serial implementation when performing segmentation propagation. This technology could be of significant utility in time-critical applications such as image-guided interventions, or in the processing of large data sets.","author":[{"dropping-particle":"","family":"Modat","given":"Marc","non-dropping-particle":"","parse-names":false,"suffix":""},{"dropping-particle":"","family":"Ridgway","given":"Gerard R","non-dropping-particle":"","parse-names":false,"suffix":""},{"dropping-particle":"","family":"Taylor","given":"Zeike A","non-dropping-particle":"","parse-names":false,"suffix":""},{"dropping-particle":"","family":"Lehmann","given":"Manja","non-dropping-particle":"","parse-names":false,"suffix":""},{"dropping-particle":"","family":"Barnes","given":"Josephine","non-dropping-particle":"","parse-names":false,"suffix":""},{"dropping-particle":"","family":"Hawkes","given":"David J","non-dropping-particle":"","parse-names":false,"suffix":""},{"dropping-particle":"","family":"Fox","given":"Nick C","non-dropping-particle":"","parse-names":false,"suffix":""},{"dropping-particle":"","family":"Ourselin","given":"Sébastien","non-dropping-particle":"","parse-names":false,"suffix":""}],"container-title":"Computer methods and programs in biomedicine","id":"ITEM-1","issue":"3","issued":{"date-parts":[["2010"]]},"language":"eng","page":"278-284","title":"Fast free-form deformation using graphics processing units","type":"article-journal","volume":"98"},"uris":["http://www.mendeley.com/documents/?uuid=30b4faf5-7fd6-4e32-a283-cd476387ca4b"]}],"mendeley":{"formattedCitation":"[5]","plainTextFormattedCitation":"[5]","previouslyFormattedCitation":"(5)"},"properties":{"noteIndex":0},"schema":"https://github.com/citation-style-language/schema/raw/master/csl-citation.json"}</w:instrText>
      </w:r>
      <w:r w:rsidRPr="00591954">
        <w:rPr>
          <w:rFonts w:ascii="Times New Roman" w:hAnsi="Times New Roman" w:cs="Times New Roman"/>
          <w:color w:val="auto"/>
          <w:sz w:val="24"/>
          <w:szCs w:val="24"/>
          <w:lang w:val="en-GB"/>
        </w:rPr>
        <w:fldChar w:fldCharType="separate"/>
      </w:r>
      <w:r w:rsidR="004F23C5" w:rsidRPr="00591954">
        <w:rPr>
          <w:rFonts w:ascii="Times New Roman" w:hAnsi="Times New Roman" w:cs="Times New Roman"/>
          <w:noProof/>
          <w:color w:val="auto"/>
          <w:sz w:val="24"/>
          <w:szCs w:val="24"/>
          <w:lang w:val="en-GB"/>
        </w:rPr>
        <w:t>[5]</w:t>
      </w:r>
      <w:r w:rsidRPr="00591954">
        <w:rPr>
          <w:rFonts w:ascii="Times New Roman" w:hAnsi="Times New Roman" w:cs="Times New Roman"/>
          <w:color w:val="auto"/>
          <w:sz w:val="24"/>
          <w:szCs w:val="24"/>
          <w:lang w:val="en-GB"/>
        </w:rPr>
        <w:fldChar w:fldCharType="end"/>
      </w:r>
      <w:r w:rsidRPr="00591954">
        <w:rPr>
          <w:rFonts w:ascii="Times New Roman" w:hAnsi="Times New Roman" w:cs="Times New Roman"/>
          <w:color w:val="auto"/>
          <w:sz w:val="24"/>
          <w:szCs w:val="24"/>
          <w:lang w:val="en-GB"/>
        </w:rPr>
        <w:t xml:space="preserve">. Next, the estimated transformation was applied to the cortical and subcortical parcellation of the FSA subject using nearest-neighbour interpolation to obtain the MNI coordinates for the parcellation. </w:t>
      </w:r>
      <w:r w:rsidR="001806E6" w:rsidRPr="00591954">
        <w:rPr>
          <w:rFonts w:ascii="Times New Roman" w:hAnsi="Times New Roman" w:cs="Times New Roman"/>
          <w:color w:val="auto"/>
          <w:sz w:val="24"/>
          <w:szCs w:val="24"/>
          <w:lang w:val="en-GB"/>
        </w:rPr>
        <w:t xml:space="preserve">AHBA </w:t>
      </w:r>
      <w:r w:rsidRPr="00591954">
        <w:rPr>
          <w:rFonts w:ascii="Times New Roman" w:hAnsi="Times New Roman" w:cs="Times New Roman"/>
          <w:color w:val="auto"/>
          <w:sz w:val="24"/>
          <w:szCs w:val="24"/>
          <w:lang w:val="en-GB"/>
        </w:rPr>
        <w:t>samples were mapped to the closest grey-matter FreeSurfer ROI</w:t>
      </w:r>
      <w:r w:rsidR="001806E6" w:rsidRPr="00591954">
        <w:rPr>
          <w:rFonts w:ascii="Times New Roman" w:hAnsi="Times New Roman" w:cs="Times New Roman"/>
          <w:color w:val="auto"/>
          <w:sz w:val="24"/>
          <w:szCs w:val="24"/>
          <w:lang w:val="en-GB"/>
        </w:rPr>
        <w:t>. To this end updated MNI coordinates for the AHBA samples</w:t>
      </w:r>
      <w:r w:rsidR="005C73B3" w:rsidRPr="00591954">
        <w:rPr>
          <w:rFonts w:ascii="Times New Roman" w:hAnsi="Times New Roman" w:cs="Times New Roman"/>
          <w:color w:val="auto"/>
          <w:sz w:val="24"/>
          <w:szCs w:val="24"/>
          <w:lang w:val="en-GB"/>
        </w:rPr>
        <w:t>,</w:t>
      </w:r>
      <w:r w:rsidR="001806E6" w:rsidRPr="00591954">
        <w:rPr>
          <w:rFonts w:ascii="Times New Roman" w:hAnsi="Times New Roman" w:cs="Times New Roman"/>
          <w:color w:val="auto"/>
          <w:sz w:val="24"/>
          <w:szCs w:val="24"/>
          <w:lang w:val="en-GB"/>
        </w:rPr>
        <w:t xml:space="preserve"> obtained from </w:t>
      </w:r>
      <w:hyperlink r:id="rId9" w:history="1">
        <w:r w:rsidR="00D853A8" w:rsidRPr="00591954">
          <w:rPr>
            <w:rStyle w:val="Hyperlink"/>
            <w:rFonts w:ascii="Times New Roman" w:eastAsia="Times New Roman" w:hAnsi="Times New Roman" w:cs="Times New Roman"/>
            <w:color w:val="auto"/>
            <w:sz w:val="24"/>
            <w:szCs w:val="24"/>
            <w:lang w:val="en-GB" w:eastAsia="en-US"/>
          </w:rPr>
          <w:t>https://github.com/chrisgorgo/alleninf/tree/master/alleninf/data</w:t>
        </w:r>
      </w:hyperlink>
      <w:r w:rsidR="005C73B3" w:rsidRPr="00591954">
        <w:rPr>
          <w:rFonts w:ascii="Times New Roman" w:hAnsi="Times New Roman" w:cs="Times New Roman"/>
          <w:color w:val="auto"/>
          <w:sz w:val="24"/>
          <w:szCs w:val="24"/>
          <w:lang w:val="en-GB"/>
        </w:rPr>
        <w:t xml:space="preserve">, </w:t>
      </w:r>
      <w:r w:rsidR="001806E6" w:rsidRPr="00591954">
        <w:rPr>
          <w:rFonts w:ascii="Times New Roman" w:hAnsi="Times New Roman" w:cs="Times New Roman"/>
          <w:color w:val="auto"/>
          <w:sz w:val="24"/>
          <w:szCs w:val="24"/>
          <w:lang w:val="en-GB"/>
        </w:rPr>
        <w:t xml:space="preserve">were used instead of the original </w:t>
      </w:r>
      <w:r w:rsidR="00D853A8" w:rsidRPr="00591954">
        <w:rPr>
          <w:rFonts w:ascii="Times New Roman" w:hAnsi="Times New Roman" w:cs="Times New Roman"/>
          <w:color w:val="auto"/>
          <w:sz w:val="24"/>
          <w:szCs w:val="24"/>
          <w:lang w:val="en-GB"/>
        </w:rPr>
        <w:t>coordinates</w:t>
      </w:r>
      <w:r w:rsidR="001806E6" w:rsidRPr="00591954">
        <w:rPr>
          <w:rFonts w:ascii="Times New Roman" w:hAnsi="Times New Roman" w:cs="Times New Roman"/>
          <w:color w:val="auto"/>
          <w:sz w:val="24"/>
          <w:szCs w:val="24"/>
          <w:lang w:val="en-GB"/>
        </w:rPr>
        <w:t xml:space="preserve"> provided by the Allen Institute. Samples were excluded if </w:t>
      </w:r>
      <w:r w:rsidR="00997C3D" w:rsidRPr="00591954">
        <w:rPr>
          <w:rFonts w:ascii="Times New Roman" w:hAnsi="Times New Roman" w:cs="Times New Roman"/>
          <w:color w:val="auto"/>
          <w:sz w:val="24"/>
          <w:szCs w:val="24"/>
          <w:lang w:val="en-GB"/>
        </w:rPr>
        <w:t>they</w:t>
      </w:r>
      <w:r w:rsidR="001806E6" w:rsidRPr="00591954">
        <w:rPr>
          <w:rFonts w:ascii="Times New Roman" w:hAnsi="Times New Roman" w:cs="Times New Roman"/>
          <w:color w:val="auto"/>
          <w:sz w:val="24"/>
          <w:szCs w:val="24"/>
          <w:lang w:val="en-GB"/>
        </w:rPr>
        <w:t xml:space="preserve"> were not a designated cortical sample (slab_type=’CX’; N=</w:t>
      </w:r>
      <w:r w:rsidR="001806E6" w:rsidRPr="00591954">
        <w:rPr>
          <w:color w:val="auto"/>
          <w:lang w:val="en-GB"/>
        </w:rPr>
        <w:t xml:space="preserve"> </w:t>
      </w:r>
      <w:r w:rsidR="001806E6" w:rsidRPr="00591954">
        <w:rPr>
          <w:rFonts w:ascii="Times New Roman" w:hAnsi="Times New Roman" w:cs="Times New Roman"/>
          <w:color w:val="auto"/>
          <w:sz w:val="24"/>
          <w:szCs w:val="24"/>
          <w:lang w:val="en-GB"/>
        </w:rPr>
        <w:t>954), if they were not mapped to a cortical FreeSurfer ROI (N=</w:t>
      </w:r>
      <w:r w:rsidR="001806E6" w:rsidRPr="00591954">
        <w:rPr>
          <w:color w:val="auto"/>
          <w:lang w:val="en-GB"/>
        </w:rPr>
        <w:t xml:space="preserve"> </w:t>
      </w:r>
      <w:r w:rsidR="001806E6" w:rsidRPr="00591954">
        <w:rPr>
          <w:rFonts w:ascii="Times New Roman" w:hAnsi="Times New Roman" w:cs="Times New Roman"/>
          <w:color w:val="auto"/>
          <w:sz w:val="24"/>
          <w:szCs w:val="24"/>
          <w:lang w:val="en-GB"/>
        </w:rPr>
        <w:t>931)</w:t>
      </w:r>
      <w:r w:rsidR="00997C3D" w:rsidRPr="00591954">
        <w:rPr>
          <w:rFonts w:ascii="Times New Roman" w:hAnsi="Times New Roman" w:cs="Times New Roman"/>
          <w:color w:val="auto"/>
          <w:sz w:val="24"/>
          <w:szCs w:val="24"/>
          <w:lang w:val="en-GB"/>
        </w:rPr>
        <w:t xml:space="preserve"> or if the closest ROI was </w:t>
      </w:r>
      <w:r w:rsidR="00997C3D" w:rsidRPr="00591954">
        <w:rPr>
          <w:rFonts w:ascii="Times New Roman" w:hAnsi="Times New Roman" w:cs="Times New Roman"/>
          <w:color w:val="auto"/>
          <w:sz w:val="24"/>
          <w:szCs w:val="24"/>
          <w:lang w:val="en-GB"/>
        </w:rPr>
        <w:lastRenderedPageBreak/>
        <w:t xml:space="preserve">more than 4 mm away (N=90), thus leaving 1727 expression samples. Next, samples with a </w:t>
      </w:r>
      <w:r w:rsidR="00C8469C" w:rsidRPr="00591954">
        <w:rPr>
          <w:rFonts w:ascii="Times New Roman" w:hAnsi="Times New Roman" w:cs="Times New Roman"/>
          <w:color w:val="auto"/>
          <w:sz w:val="24"/>
          <w:szCs w:val="24"/>
          <w:lang w:val="en-GB"/>
        </w:rPr>
        <w:t>regional</w:t>
      </w:r>
      <w:r w:rsidR="00997C3D" w:rsidRPr="00591954">
        <w:rPr>
          <w:rFonts w:ascii="Times New Roman" w:hAnsi="Times New Roman" w:cs="Times New Roman"/>
          <w:color w:val="auto"/>
          <w:sz w:val="24"/>
          <w:szCs w:val="24"/>
          <w:lang w:val="en-GB"/>
        </w:rPr>
        <w:t xml:space="preserve"> non-cortical label </w:t>
      </w:r>
      <w:r w:rsidR="002B481B" w:rsidRPr="00591954">
        <w:rPr>
          <w:rFonts w:ascii="Times New Roman" w:hAnsi="Times New Roman" w:cs="Times New Roman"/>
          <w:color w:val="auto"/>
          <w:sz w:val="24"/>
          <w:szCs w:val="24"/>
          <w:lang w:val="en-GB"/>
        </w:rPr>
        <w:t>(e.g., CA1</w:t>
      </w:r>
      <w:r w:rsidR="00B00FAB" w:rsidRPr="00591954">
        <w:rPr>
          <w:rFonts w:ascii="Times New Roman" w:hAnsi="Times New Roman" w:cs="Times New Roman"/>
          <w:color w:val="auto"/>
          <w:sz w:val="24"/>
          <w:szCs w:val="24"/>
          <w:lang w:val="en-GB"/>
        </w:rPr>
        <w:t xml:space="preserve"> field, CA2 field, …) </w:t>
      </w:r>
      <w:r w:rsidR="00997C3D" w:rsidRPr="00591954">
        <w:rPr>
          <w:rFonts w:ascii="Times New Roman" w:hAnsi="Times New Roman" w:cs="Times New Roman"/>
          <w:color w:val="auto"/>
          <w:sz w:val="24"/>
          <w:szCs w:val="24"/>
          <w:lang w:val="en-GB"/>
        </w:rPr>
        <w:t>as provided by the AHBA were excluded as well (N=99)</w:t>
      </w:r>
      <w:r w:rsidR="005C73B3" w:rsidRPr="00591954">
        <w:rPr>
          <w:rFonts w:ascii="Times New Roman" w:hAnsi="Times New Roman" w:cs="Times New Roman"/>
          <w:color w:val="auto"/>
          <w:sz w:val="24"/>
          <w:szCs w:val="24"/>
          <w:lang w:val="en-GB"/>
        </w:rPr>
        <w:t xml:space="preserve"> </w:t>
      </w:r>
      <w:r w:rsidR="006F3AA0" w:rsidRPr="00591954">
        <w:rPr>
          <w:rFonts w:ascii="Times New Roman" w:hAnsi="Times New Roman" w:cs="Times New Roman"/>
          <w:color w:val="auto"/>
          <w:sz w:val="24"/>
          <w:szCs w:val="24"/>
          <w:lang w:val="en-GB"/>
        </w:rPr>
        <w:t>leaving</w:t>
      </w:r>
      <w:r w:rsidR="005C73B3" w:rsidRPr="00591954">
        <w:rPr>
          <w:rFonts w:ascii="Times New Roman" w:hAnsi="Times New Roman" w:cs="Times New Roman"/>
          <w:color w:val="auto"/>
          <w:sz w:val="24"/>
          <w:szCs w:val="24"/>
          <w:lang w:val="en-GB"/>
        </w:rPr>
        <w:t xml:space="preserve"> a total</w:t>
      </w:r>
      <w:r w:rsidR="00997C3D" w:rsidRPr="00591954">
        <w:rPr>
          <w:rFonts w:ascii="Times New Roman" w:hAnsi="Times New Roman" w:cs="Times New Roman"/>
          <w:color w:val="auto"/>
          <w:sz w:val="24"/>
          <w:szCs w:val="24"/>
          <w:lang w:val="en-GB"/>
        </w:rPr>
        <w:t xml:space="preserve"> </w:t>
      </w:r>
      <w:r w:rsidR="005C73B3" w:rsidRPr="00591954">
        <w:rPr>
          <w:rFonts w:ascii="Times New Roman" w:hAnsi="Times New Roman" w:cs="Times New Roman"/>
          <w:color w:val="auto"/>
          <w:sz w:val="24"/>
          <w:szCs w:val="24"/>
          <w:lang w:val="en-GB"/>
        </w:rPr>
        <w:t>o</w:t>
      </w:r>
      <w:r w:rsidR="00997C3D" w:rsidRPr="00591954">
        <w:rPr>
          <w:rFonts w:ascii="Times New Roman" w:hAnsi="Times New Roman" w:cs="Times New Roman"/>
          <w:color w:val="auto"/>
          <w:sz w:val="24"/>
          <w:szCs w:val="24"/>
          <w:lang w:val="en-GB"/>
        </w:rPr>
        <w:t xml:space="preserve">f 1628 </w:t>
      </w:r>
      <w:r w:rsidR="00D853A8" w:rsidRPr="00591954">
        <w:rPr>
          <w:rFonts w:ascii="Times New Roman" w:hAnsi="Times New Roman" w:cs="Times New Roman"/>
          <w:color w:val="auto"/>
          <w:sz w:val="24"/>
          <w:szCs w:val="24"/>
          <w:lang w:val="en-GB"/>
        </w:rPr>
        <w:t>samples</w:t>
      </w:r>
      <w:r w:rsidR="005C73B3" w:rsidRPr="00591954">
        <w:rPr>
          <w:rFonts w:ascii="Times New Roman" w:hAnsi="Times New Roman" w:cs="Times New Roman"/>
          <w:color w:val="auto"/>
          <w:sz w:val="24"/>
          <w:szCs w:val="24"/>
          <w:lang w:val="en-GB"/>
        </w:rPr>
        <w:t>. For the main analysis</w:t>
      </w:r>
      <w:r w:rsidR="00D853A8" w:rsidRPr="00591954">
        <w:rPr>
          <w:rFonts w:ascii="Times New Roman" w:hAnsi="Times New Roman" w:cs="Times New Roman"/>
          <w:color w:val="auto"/>
          <w:sz w:val="24"/>
          <w:szCs w:val="24"/>
          <w:lang w:val="en-GB"/>
        </w:rPr>
        <w:t xml:space="preserve"> </w:t>
      </w:r>
      <w:r w:rsidR="00997C3D" w:rsidRPr="00591954">
        <w:rPr>
          <w:rFonts w:ascii="Times New Roman" w:hAnsi="Times New Roman" w:cs="Times New Roman"/>
          <w:color w:val="auto"/>
          <w:sz w:val="24"/>
          <w:szCs w:val="24"/>
          <w:lang w:val="en-GB"/>
        </w:rPr>
        <w:t>we retained only samples in the left hemisphere</w:t>
      </w:r>
      <w:r w:rsidR="005C73B3" w:rsidRPr="00591954">
        <w:rPr>
          <w:rFonts w:ascii="Times New Roman" w:hAnsi="Times New Roman" w:cs="Times New Roman"/>
          <w:color w:val="auto"/>
          <w:sz w:val="24"/>
          <w:szCs w:val="24"/>
          <w:lang w:val="en-GB"/>
        </w:rPr>
        <w:t xml:space="preserve"> as these were available in all six donors</w:t>
      </w:r>
      <w:r w:rsidR="00997C3D" w:rsidRPr="00591954">
        <w:rPr>
          <w:rFonts w:ascii="Times New Roman" w:hAnsi="Times New Roman" w:cs="Times New Roman"/>
          <w:color w:val="auto"/>
          <w:sz w:val="24"/>
          <w:szCs w:val="24"/>
          <w:lang w:val="en-GB"/>
        </w:rPr>
        <w:t xml:space="preserve">. Thus, </w:t>
      </w:r>
      <w:r w:rsidR="007C2643" w:rsidRPr="00591954">
        <w:rPr>
          <w:rFonts w:ascii="Times New Roman" w:hAnsi="Times New Roman" w:cs="Times New Roman"/>
          <w:color w:val="auto"/>
          <w:sz w:val="24"/>
          <w:szCs w:val="24"/>
          <w:lang w:val="en-GB"/>
        </w:rPr>
        <w:t>1227</w:t>
      </w:r>
      <w:r w:rsidR="00997C3D" w:rsidRPr="00591954">
        <w:rPr>
          <w:rFonts w:ascii="Times New Roman" w:hAnsi="Times New Roman" w:cs="Times New Roman"/>
          <w:color w:val="auto"/>
          <w:sz w:val="24"/>
          <w:szCs w:val="24"/>
          <w:lang w:val="en-GB"/>
        </w:rPr>
        <w:t xml:space="preserve"> samples were mapped to one of the 34 cortical </w:t>
      </w:r>
      <w:r w:rsidR="00252425" w:rsidRPr="00591954">
        <w:rPr>
          <w:rFonts w:ascii="Times New Roman" w:hAnsi="Times New Roman" w:cs="Times New Roman"/>
          <w:color w:val="auto"/>
          <w:sz w:val="24"/>
          <w:szCs w:val="24"/>
          <w:lang w:val="en-GB"/>
        </w:rPr>
        <w:t>grey</w:t>
      </w:r>
      <w:r w:rsidR="00997C3D" w:rsidRPr="00591954">
        <w:rPr>
          <w:rFonts w:ascii="Times New Roman" w:hAnsi="Times New Roman" w:cs="Times New Roman"/>
          <w:color w:val="auto"/>
          <w:sz w:val="24"/>
          <w:szCs w:val="24"/>
          <w:lang w:val="en-GB"/>
        </w:rPr>
        <w:t xml:space="preserve"> matter structures in the left hemisphere </w:t>
      </w:r>
      <w:r w:rsidRPr="00591954">
        <w:rPr>
          <w:rFonts w:ascii="Times New Roman" w:hAnsi="Times New Roman" w:cs="Times New Roman"/>
          <w:color w:val="auto"/>
          <w:sz w:val="24"/>
          <w:szCs w:val="24"/>
          <w:lang w:val="en-GB"/>
        </w:rPr>
        <w:t xml:space="preserve">of the DK atlas used in the cortical thickness imaging analysis conducted by ENIGMA-Epilepsy </w:t>
      </w:r>
      <w:r w:rsidRPr="00591954">
        <w:rPr>
          <w:rFonts w:ascii="Times New Roman" w:hAnsi="Times New Roman" w:cs="Times New Roman"/>
          <w:color w:val="auto"/>
          <w:sz w:val="24"/>
          <w:szCs w:val="24"/>
          <w:lang w:val="en-GB"/>
        </w:rPr>
        <w:fldChar w:fldCharType="begin" w:fldLock="1"/>
      </w:r>
      <w:r w:rsidR="004F23C5" w:rsidRPr="00591954">
        <w:rPr>
          <w:rFonts w:ascii="Times New Roman" w:hAnsi="Times New Roman" w:cs="Times New Roman"/>
          <w:color w:val="auto"/>
          <w:sz w:val="24"/>
          <w:szCs w:val="24"/>
          <w:lang w:val="en-GB"/>
        </w:rPr>
        <w:instrText>ADDIN CSL_CITATION {"citationItems":[{"id":"ITEM-1","itemData":{"DOI":"10.1093/brain/awx341","PMID":"29365066","abstract":"Progressive functional decline in the epilepsies is largely unexplained. We formed the ENIGMA-Epilepsy consortium to understand factors that influence brain measures in epilepsy, pooling data from 24 research centres in 14 countries across Europe, North and South America, Asia, and Australia. Structural brain measures were extracted from MRI brain scans across 2149 individuals with epilepsy, divided into four epilepsy subgroups including idiopathic generalized epilepsies (n =367), mesial temporal lobe epilepsies with hippocampal sclerosis (MTLE; left, n = 415; right, n = 339), and all other epilepsies in aggregate (n = 1026), and compared to 1727 matched healthy controls. We ranked brain structures in order of greatest differences between patients and controls, by meta-analysing effect sizes across 16 subcortical and 68 cortical brain regions. We also tested effects of duration of disease, age at onset, and age-by-diagnosis interactions on structural measures. We observed widespread patterns of altered subcortical volume and reduced cortical grey matter thickness. Compared to controls, all epilepsy groups showed lower volume in the right thalamus (Cohen's d = -0.24 to -0.73; P &lt; 1.49 × 10-4), and lower thickness in the precentral gyri bilaterally (d = -0.34 to -0.52; P &lt; 4.31 × 10-6). Both MTLE subgroups showed profound volume reduction in the ipsilateral hippocampus (d = -1.73 to -1.91, P &lt; 1.4 × 10-19), and lower thickness in extrahippocampal cortical regions, including the precentral and paracentral gyri, compared to controls (d = -0.36 to -0.52; P &lt; 1.49 × 10-4). Thickness differences of the ipsilateral temporopolar, parahippocampal, entorhinal, and fusiform gyri, contralateral pars triangularis, and bilateral precuneus, superior frontal and caudal middle frontal gyri were observed in left, but not right, MTLE (d = -0.29 to -0.54; P &lt; 1.49 × 10-4). Contrastingly, thickness differences of the ipsilateral pars opercularis, and contralateral transverse temporal gyrus, were observed in right, but not left, MTLE (d = -0.27 to -0.51; P &lt; 1.49 × 10-4). Lower subcortical volume and cortical thickness associated with a longer duration of epilepsy in the all-epilepsies, all-other-epilepsies, and right MTLE groups (beta, b &lt; -0.0018; P &lt; 1.49 × 10-4). In the largest neuroimaging study of epilepsy to date, we provide information on the common epilepsies that could not be realistically acquired in any other way. Our study provides a robust ranking of brain measu…","author":[{"dropping-particle":"","family":"Whelan","given":"Christopher D","non-dropping-particle":"","parse-names":false,"suffix":""},{"dropping-particle":"","family":"Altmann","given":"Andre","non-dropping-particle":"","parse-names":false,"suffix":""},{"dropping-particle":"","family":"Botía","given":"Juan A","non-dropping-particle":"","parse-names":false,"suffix":""},{"dropping-particle":"","family":"Jahanshad","given":"Neda","non-dropping-particle":"","parse-names":false,"suffix":""},{"dropping-particle":"","family":"Hibar","given":"Derrek P","non-dropping-particle":"","parse-names":false,"suffix":""},{"dropping-particle":"","family":"Absil","given":"Julie","non-dropping-particle":"","parse-names":false,"suffix":""},{"dropping-particle":"","family":"Alhusaini","given":"Saud","non-dropping-particle":"","parse-names":false,"suffix":""},{"dropping-particle":"","family":"Alvim","given":"Marina K M","non-dropping-particle":"","parse-names":false,"suffix":""},{"dropping-particle":"","family":"Auvinen","given":"Pia","non-dropping-particle":"","parse-names":false,"suffix":""},{"dropping-particle":"","family":"Bartolini","given":"Emanuele","non-dropping-particle":"","parse-names":false,"suffix":""},{"dropping-particle":"","family":"Bergo","given":"Felipe P G","non-dropping-particle":"","parse-names":false,"suffix":""},{"dropping-particle":"","family":"Bernardes","given":"Tauana","non-dropping-particle":"","parse-names":false,"suffix":""},{"dropping-particle":"","family":"Blackmon","given":"Karen","non-dropping-particle":"","parse-names":false,"suffix":""},{"dropping-particle":"","family":"Braga","given":"Barbara","non-dropping-particle":"","parse-names":false,"suffix":""},{"dropping-particle":"","family":"Caligiuri","given":"Maria Eugenia","non-dropping-particle":"","parse-names":false,"suffix":""},{"dropping-particle":"","family":"Calvo","given":"Anna","non-dropping-particle":"","parse-names":false,"suffix":""},{"dropping-particle":"","family":"Carr","given":"Sarah J","non-dropping-particle":"","parse-names":false,"suffix":""},{"dropping-particle":"","family":"Chen","given":"Jian","non-dropping-particle":"","parse-names":false,"suffix":""},{"dropping-particle":"","family":"Chen","given":"Shuai","non-dropping-particle":"","parse-names":false,"suffix":""},{"dropping-particle":"","family":"Cherubini","given":"Andrea","non-dropping-particle":"","parse-names":false,"suffix":""},{"dropping-particle":"","family":"David","given":"Philippe","non-dropping-particle":"","parse-names":false,"suffix":""},{"dropping-particle":"","family":"Domin","given":"Martin","non-dropping-particle":"","parse-names":false,"suffix":""},{"dropping-particle":"","family":"Foley","given":"Sonya","non-dropping-particle":"","parse-names":false,"suffix":""},{"dropping-particle":"","family":"França","given":"Wendy","non-dropping-particle":"","parse-names":false,"suffix":""},{"dropping-particle":"","family":"Haaker","given":"Gerrit","non-dropping-particle":"","parse-names":false,"suffix":""},{"dropping-particle":"","family":"Isaev","given":"Dmitry","non-dropping-particle":"","parse-names":false,"suffix":""},{"dropping-particle":"","family":"Keller","given":"Simon S","non-dropping-particle":"","parse-names":false,"suffix":""},{"dropping-particle":"","family":"Kotikalapudi","given":"Raviteja","non-dropping-particle":"","parse-names":false,"suffix":""},{"dropping-particle":"","family":"Kowalczyk","given":"Magdalena A","non-dropping-particle":"","parse-names":false,"suffix":""},{"dropping-particle":"","family":"Kuzniecky","given":"Ruben","non-dropping-particle":"","parse-names":false,"suffix":""},{"dropping-particle":"","family":"Langner","given":"Soenke","non-dropping-particle":"","parse-names":false,"suffix":""},{"dropping-particle":"","family":"Lenge","given":"Matteo","non-dropping-particle":"","parse-names":false,"suffix":""},{"dropping-particle":"","family":"Leyden","given":"Kelly M","non-dropping-particle":"","parse-names":false,"suffix":""},{"dropping-particle":"","family":"Liu","given":"Min","non-dropping-particle":"","parse-names":false,"suffix":""},{"dropping-particle":"","family":"Loi","given":"Richard Q","non-dropping-particle":"","parse-names":false,"suffix":""},{"dropping-particle":"","family":"Martin","given":"Pascal","non-dropping-particle":"","parse-names":false,"suffix":""},{"dropping-particle":"","family":"Mascalchi","given":"Mario","non-dropping-particle":"","parse-names":false,"suffix":""},{"dropping-particle":"","family":"Morita","given":"Marcia E","non-dropping-particle":"","parse-names":false,"suffix":""},{"dropping-particle":"","family":"Pariente","given":"Jose C","non-dropping-particle":"","parse-names":false,"suffix":""},{"dropping-particle":"","family":"Rodríguez-Cruces","given":"Raul","non-dropping-particle":"","parse-names":false,"suffix":""},{"dropping-particle":"","family":"Rummel","given":"Christian","non-dropping-particle":"","parse-names":false,"suffix":""},{"dropping-particle":"","family":"Saavalainen","given":"Taavi","non-dropping-particle":"","parse-names":false,"suffix":""},{"dropping-particle":"","family":"Semmelroch","given":"Mira K","non-dropping-particle":"","parse-names":false,"suffix":""},{"dropping-particle":"","family":"Severino","given":"Mariasavina","non-dropping-particle":"","parse-names":false,"suffix":""},{"dropping-particle":"","family":"Thomas","given":"Rhys H","non-dropping-particle":"","parse-names":false,"suffix":""},{"dropping-particle":"","family":"Tondelli","given":"Manuela","non-dropping-particle":"","parse-names":false,"suffix":""},{"dropping-particle":"","family":"Tortora","given":"Domenico","non-dropping-particle":"","parse-names":false,"suffix":""},{"dropping-particle":"","family":"Vaudano","given":"Anna Elisabetta","non-dropping-particle":"","parse-names":false,"suffix":""},{"dropping-particle":"","family":"Vivash","given":"Lucy","non-dropping-particle":"","parse-names":false,"suffix":""},{"dropping-particle":"","family":"Podewils","given":"Felix","non-dropping-particle":"von","parse-names":false,"suffix":""},{"dropping-particle":"","family":"Wagner","given":"Jan","non-dropping-particle":"","parse-names":false,"suffix":""},{"dropping-particle":"","family":"Weber","given":"Bernd","non-dropping-particle":"","parse-names":false,"suffix":""},{"dropping-particle":"","family":"Yao","given":"Yi","non-dropping-particle":"","parse-names":false,"suffix":""},{"dropping-particle":"","family":"Yasuda","given":"Clarissa L","non-dropping-particle":"","parse-names":false,"suffix":""},{"dropping-particle":"","family":"Zhang","given":"Guohao","non-dropping-particle":"","parse-names":false,"suffix":""},{"dropping-particle":"","family":"Bargalló","given":"Nuria","non-dropping-particle":"","parse-names":false,"suffix":""},{"dropping-particle":"","family":"Bender","given":"Benjamin","non-dropping-particle":"","parse-names":false,"suffix":""},{"dropping-particle":"","family":"Bernasconi","given":"Neda","non-dropping-particle":"","parse-names":false,"suffix":""},{"dropping-particle":"","family":"Bernasconi","given":"Andrea","non-dropping-particle":"","parse-names":false,"suffix":""},{"dropping-particle":"","family":"Bernhardt","given":"Boris C","non-dropping-particle":"","parse-names":false,"suffix":""},{"dropping-particle":"","family":"Blümcke","given":"Ingmar","non-dropping-particle":"","parse-names":false,"suffix":""},{"dropping-particle":"","family":"Carlson","given":"Chad","non-dropping-particle":"","parse-names":false,"suffix":""},{"dropping-particle":"","family":"Cavalleri","given":"Gianpiero L","non-dropping-particle":"","parse-names":false,"suffix":""},{"dropping-particle":"","family":"Cendes","given":"Fernando","non-dropping-particle":"","parse-names":false,"suffix":""},{"dropping-particle":"","family":"Concha","given":"Luis","non-dropping-particle":"","parse-names":false,"suffix":""},{"dropping-particle":"","family":"Delanty","given":"Norman","non-dropping-particle":"","parse-names":false,"suffix":""},{"dropping-particle":"","family":"Depondt","given":"Chantal","non-dropping-particle":"","parse-names":false,"suffix":""},{"dropping-particle":"","family":"Devinsky","given":"Orrin","non-dropping-particle":"","parse-names":false,"suffix":""},{"dropping-particle":"","family":"Doherty","given":"Colin P","non-dropping-particle":"","parse-names":false,"suffix":""},{"dropping-particle":"","family":"Focke","given":"Niels K","non-dropping-particle":"","parse-names":false,"suffix":""},{"dropping-particle":"","family":"Gambardella","given":"Antonio","non-dropping-particle":"","parse-names":false,"suffix":""},{"dropping-particle":"","family":"Guerrini","given":"Renzo","non-dropping-particle":"","parse-names":false,"suffix":""},{"dropping-particle":"","family":"Hamandi","given":"Khalid","non-dropping-particle":"","parse-names":false,"suffix":""},{"dropping-particle":"","family":"Jackson","given":"Graeme D","non-dropping-particle":"","parse-names":false,"suffix":""},{"dropping-particle":"","family":"Kälviäinen","given":"Reetta","non-dropping-particle":"","parse-names":false,"suffix":""},{"dropping-particle":"","family":"Kochunov","given":"Peter","non-dropping-particle":"","parse-names":false,"suffix":""},{"dropping-particle":"","family":"Kwan","given":"Patrick","non-dropping-particle":"","parse-names":false,"suffix":""},{"dropping-particle":"","family":"Labate","given":"Angelo","non-dropping-particle":"","parse-names":false,"suffix":""},{"dropping-particle":"","family":"McDonald","given":"Carrie R","non-dropping-particle":"","parse-names":false,"suffix":""},{"dropping-particle":"","family":"Meletti","given":"Stefano","non-dropping-particle":"","parse-names":false,"suffix":""},{"dropping-particle":"","family":"O&amp;apos;Brien","given":"Terence J","non-dropping-particle":"","parse-names":false,"suffix":""},{"dropping-particle":"","family":"Ourselin","given":"Sebastien","non-dropping-particle":"","parse-names":false,"suffix":""},{"dropping-particle":"","family":"Richardson","given":"Mark P","non-dropping-particle":"","parse-names":false,"suffix":""},{"dropping-particle":"","family":"Striano","given":"Pasquale","non-dropping-particle":"","parse-names":false,"suffix":""},{"dropping-particle":"","family":"Thesen","given":"Thomas","non-dropping-particle":"","parse-names":false,"suffix":""},{"dropping-particle":"","family":"Wiest","given":"Roland","non-dropping-particle":"","parse-names":false,"suffix":""},{"dropping-particle":"","family":"Zhang","given":"Junsong","non-dropping-particle":"","parse-names":false,"suffix":""},{"dropping-particle":"","family":"Vezzani","given":"Annamaria","non-dropping-particle":"","parse-names":false,"suffix":""},{"dropping-particle":"","family":"Ryten","given":"Mina","non-dropping-particle":"","parse-names":false,"suffix":""},{"dropping-particle":"","family":"Thompson","given":"Paul M","non-dropping-particle":"","parse-names":false,"suffix":""},{"dropping-particle":"","family":"Sisodiya","given":"Sanjay M","non-dropping-particle":"","parse-names":false,"suffix":""}],"container-title":"Brain : a journal of neurology","id":"ITEM-1","issue":"2","issued":{"date-parts":[["2018"]]},"language":"eng","page":"391-408","title":"Structural brain abnormalities in the common epilepsies assessed in a worldwide ENIGMA study","type":"article-journal","volume":"141"},"uris":["http://www.mendeley.com/documents/?uuid=d480dc9b-ff35-4f0c-869b-ffdbbc566e96"]}],"mendeley":{"formattedCitation":"[6]","plainTextFormattedCitation":"[6]","previouslyFormattedCitation":"(6)"},"properties":{"noteIndex":0},"schema":"https://github.com/citation-style-language/schema/raw/master/csl-citation.json"}</w:instrText>
      </w:r>
      <w:r w:rsidRPr="00591954">
        <w:rPr>
          <w:rFonts w:ascii="Times New Roman" w:hAnsi="Times New Roman" w:cs="Times New Roman"/>
          <w:color w:val="auto"/>
          <w:sz w:val="24"/>
          <w:szCs w:val="24"/>
          <w:lang w:val="en-GB"/>
        </w:rPr>
        <w:fldChar w:fldCharType="separate"/>
      </w:r>
      <w:r w:rsidR="004F23C5" w:rsidRPr="00591954">
        <w:rPr>
          <w:rFonts w:ascii="Times New Roman" w:hAnsi="Times New Roman" w:cs="Times New Roman"/>
          <w:noProof/>
          <w:color w:val="auto"/>
          <w:sz w:val="24"/>
          <w:szCs w:val="24"/>
          <w:lang w:val="en-GB"/>
        </w:rPr>
        <w:t>[6]</w:t>
      </w:r>
      <w:r w:rsidRPr="00591954">
        <w:rPr>
          <w:rFonts w:ascii="Times New Roman" w:hAnsi="Times New Roman" w:cs="Times New Roman"/>
          <w:color w:val="auto"/>
          <w:sz w:val="24"/>
          <w:szCs w:val="24"/>
          <w:lang w:val="en-GB"/>
        </w:rPr>
        <w:fldChar w:fldCharType="end"/>
      </w:r>
      <w:r w:rsidRPr="00591954">
        <w:rPr>
          <w:rFonts w:ascii="Times New Roman" w:hAnsi="Times New Roman" w:cs="Times New Roman"/>
          <w:color w:val="auto"/>
          <w:sz w:val="24"/>
          <w:szCs w:val="24"/>
          <w:lang w:val="en-GB"/>
        </w:rPr>
        <w:t>.</w:t>
      </w:r>
    </w:p>
    <w:p w14:paraId="29330E7C" w14:textId="52AA2681" w:rsidR="00951646" w:rsidRPr="00591954" w:rsidRDefault="007C2643" w:rsidP="00951646">
      <w:pPr>
        <w:pStyle w:val="SMHeading"/>
        <w:rPr>
          <w:sz w:val="26"/>
          <w:szCs w:val="26"/>
          <w:lang w:val="en-GB"/>
        </w:rPr>
      </w:pPr>
      <w:r w:rsidRPr="00591954">
        <w:rPr>
          <w:sz w:val="26"/>
          <w:szCs w:val="26"/>
          <w:lang w:val="en-GB"/>
        </w:rPr>
        <w:t xml:space="preserve">AHBA </w:t>
      </w:r>
      <w:r w:rsidR="00951646" w:rsidRPr="00591954">
        <w:rPr>
          <w:sz w:val="26"/>
          <w:szCs w:val="26"/>
          <w:lang w:val="en-GB"/>
        </w:rPr>
        <w:t>gene expression data preprocessing</w:t>
      </w:r>
    </w:p>
    <w:p w14:paraId="26BF7F6B" w14:textId="29987D1F" w:rsidR="001E5C64" w:rsidRPr="00591954" w:rsidRDefault="00951646" w:rsidP="00951646">
      <w:pPr>
        <w:pStyle w:val="Normal1"/>
        <w:spacing w:line="240" w:lineRule="auto"/>
        <w:rPr>
          <w:rFonts w:ascii="Times New Roman" w:hAnsi="Times New Roman" w:cs="Times New Roman"/>
          <w:color w:val="auto"/>
          <w:sz w:val="24"/>
          <w:szCs w:val="24"/>
          <w:lang w:val="en-GB" w:eastAsia="en-GB"/>
        </w:rPr>
      </w:pPr>
      <w:r w:rsidRPr="00591954">
        <w:rPr>
          <w:rFonts w:ascii="Times New Roman" w:hAnsi="Times New Roman" w:cs="Times New Roman"/>
          <w:color w:val="auto"/>
          <w:sz w:val="24"/>
          <w:szCs w:val="24"/>
          <w:lang w:val="en-GB" w:eastAsia="en-GB"/>
        </w:rPr>
        <w:t>Each of the 1</w:t>
      </w:r>
      <w:r w:rsidR="004A423C" w:rsidRPr="00591954">
        <w:rPr>
          <w:rFonts w:ascii="Times New Roman" w:hAnsi="Times New Roman" w:cs="Times New Roman"/>
          <w:color w:val="auto"/>
          <w:sz w:val="24"/>
          <w:szCs w:val="24"/>
          <w:lang w:val="en-GB" w:eastAsia="en-GB"/>
        </w:rPr>
        <w:t>,</w:t>
      </w:r>
      <w:r w:rsidR="007C2643" w:rsidRPr="00591954">
        <w:rPr>
          <w:rFonts w:ascii="Times New Roman" w:hAnsi="Times New Roman" w:cs="Times New Roman"/>
          <w:color w:val="auto"/>
          <w:sz w:val="24"/>
          <w:szCs w:val="24"/>
          <w:lang w:val="en-GB" w:eastAsia="en-GB"/>
        </w:rPr>
        <w:t xml:space="preserve">227 AHBA </w:t>
      </w:r>
      <w:r w:rsidRPr="00591954">
        <w:rPr>
          <w:rFonts w:ascii="Times New Roman" w:hAnsi="Times New Roman" w:cs="Times New Roman"/>
          <w:color w:val="auto"/>
          <w:sz w:val="24"/>
          <w:szCs w:val="24"/>
          <w:lang w:val="en-GB" w:eastAsia="en-GB"/>
        </w:rPr>
        <w:t xml:space="preserve">gene expression samples comprised 58,692 probe signals. As part of the internal quality control pipeline, the </w:t>
      </w:r>
      <w:r w:rsidR="007C2643" w:rsidRPr="00591954">
        <w:rPr>
          <w:rFonts w:ascii="Times New Roman" w:hAnsi="Times New Roman" w:cs="Times New Roman"/>
          <w:color w:val="auto"/>
          <w:sz w:val="24"/>
          <w:szCs w:val="24"/>
          <w:lang w:val="en-GB" w:eastAsia="en-GB"/>
        </w:rPr>
        <w:t xml:space="preserve">AHBA </w:t>
      </w:r>
      <w:r w:rsidRPr="00591954">
        <w:rPr>
          <w:rFonts w:ascii="Times New Roman" w:hAnsi="Times New Roman" w:cs="Times New Roman"/>
          <w:color w:val="auto"/>
          <w:sz w:val="24"/>
          <w:szCs w:val="24"/>
          <w:lang w:val="en-GB" w:eastAsia="en-GB"/>
        </w:rPr>
        <w:t xml:space="preserve">probes were re-annotated with recent gene information using ReAnnotator </w:t>
      </w:r>
      <w:r w:rsidRPr="00591954">
        <w:rPr>
          <w:rFonts w:ascii="Times New Roman" w:hAnsi="Times New Roman" w:cs="Times New Roman"/>
          <w:color w:val="auto"/>
          <w:sz w:val="24"/>
          <w:szCs w:val="24"/>
          <w:lang w:val="en-GB" w:eastAsia="en-GB"/>
        </w:rPr>
        <w:fldChar w:fldCharType="begin" w:fldLock="1"/>
      </w:r>
      <w:r w:rsidR="004F23C5" w:rsidRPr="00591954">
        <w:rPr>
          <w:rFonts w:ascii="Times New Roman" w:hAnsi="Times New Roman" w:cs="Times New Roman"/>
          <w:color w:val="auto"/>
          <w:sz w:val="24"/>
          <w:szCs w:val="24"/>
          <w:lang w:val="en-GB" w:eastAsia="en-GB"/>
        </w:rPr>
        <w:instrText>ADDIN CSL_CITATION {"citationItems":[{"id":"ITEM-1","itemData":{"DOI":"10.1371/journal.pone.0139516","PMID":"26426330","abstract":"Microarray technologies are established approaches for high throughput gene expression, methylation and genotyping analysis. An accurate mapping of the array probes is essential to generate reliable biological findings. However, manufacturers of the microarray platforms typically provide incomplete and outdated annotation tables, which often rely on older genome and transcriptome versions that differ substantially from up-to-date sequence databases. Here, we present the Re-Annotator, a re-annotation pipeline for microarray probe sequences. It is primarily designed for gene expression microarrays but can also be adapted to other types of microarrays. The Re-Annotator uses a custom-built mRNA reference database to identify the positions of gene expression array probe sequences. We applied Re-Annotator to the Illumina Human-HT12 v4 microarray platform and found that about one quarter (25%) of the probes differed from the manufacturer&amp;apos;s annotation. In further computational experiments on experimental gene expression data, we compared Re-Annotator to another probe re-annotation tool, ReMOAT, and found that Re-Annotator provided an improved re-annotation of microarray probes. A thorough re-annotation of probe information is crucial to any microarray analysis. The Re-Annotator pipeline is freely available at http://sourceforge.net/projects/reannotator along with re-annotated files for Illumina microarrays HumanHT-12 v3/v4 and MouseRef-8 v2.","author":[{"dropping-particle":"","family":"Arloth","given":"Janine","non-dropping-particle":"","parse-names":false,"suffix":""},{"dropping-particle":"","family":"Bader","given":"Daniel M","non-dropping-particle":"","parse-names":false,"suffix":""},{"dropping-particle":"","family":"Röh","given":"Simone","non-dropping-particle":"","parse-names":false,"suffix":""},{"dropping-particle":"","family":"Altmann","given":"Andre","non-dropping-particle":"","parse-names":false,"suffix":""}],"container-title":"PloS one","id":"ITEM-1","issue":"10","issued":{"date-parts":[["2015"]]},"language":"ENG","page":"e0139516","title":"Re-Annotator: Annotation Pipeline for Microarray Probe Sequences","type":"article-journal","volume":"10"},"uris":["http://www.mendeley.com/documents/?uuid=35ab32da-0ee6-4c3f-867e-a871a1c7d0ba"]}],"mendeley":{"formattedCitation":"[7]","plainTextFormattedCitation":"[7]","previouslyFormattedCitation":"(7)"},"properties":{"noteIndex":0},"schema":"https://github.com/citation-style-language/schema/raw/master/csl-citation.json"}</w:instrText>
      </w:r>
      <w:r w:rsidRPr="00591954">
        <w:rPr>
          <w:rFonts w:ascii="Times New Roman" w:hAnsi="Times New Roman" w:cs="Times New Roman"/>
          <w:color w:val="auto"/>
          <w:sz w:val="24"/>
          <w:szCs w:val="24"/>
          <w:lang w:val="en-GB" w:eastAsia="en-GB"/>
        </w:rPr>
        <w:fldChar w:fldCharType="separate"/>
      </w:r>
      <w:r w:rsidR="004F23C5" w:rsidRPr="00591954">
        <w:rPr>
          <w:rFonts w:ascii="Times New Roman" w:hAnsi="Times New Roman" w:cs="Times New Roman"/>
          <w:noProof/>
          <w:color w:val="auto"/>
          <w:sz w:val="24"/>
          <w:szCs w:val="24"/>
          <w:lang w:val="en-GB" w:eastAsia="en-GB"/>
        </w:rPr>
        <w:t>[7]</w:t>
      </w:r>
      <w:r w:rsidRPr="00591954">
        <w:rPr>
          <w:rFonts w:ascii="Times New Roman" w:hAnsi="Times New Roman" w:cs="Times New Roman"/>
          <w:color w:val="auto"/>
          <w:sz w:val="24"/>
          <w:szCs w:val="24"/>
          <w:lang w:val="en-GB" w:eastAsia="en-GB"/>
        </w:rPr>
        <w:fldChar w:fldCharType="end"/>
      </w:r>
      <w:r w:rsidRPr="00591954">
        <w:rPr>
          <w:rFonts w:ascii="Times New Roman" w:hAnsi="Times New Roman" w:cs="Times New Roman"/>
          <w:color w:val="auto"/>
          <w:sz w:val="24"/>
          <w:szCs w:val="24"/>
          <w:lang w:val="en-GB" w:eastAsia="en-GB"/>
        </w:rPr>
        <w:t xml:space="preserve">. Probes that were (i) not annotated using ReAnnotator, (ii) not mapped to any gene, (iii) mapped to intergenic regions or (iv) mapped to multiple genes, were excluded from further analysis. The reduced set comprised 49,113 probes, which each uniquely map to a single gene. </w:t>
      </w:r>
      <w:r w:rsidR="001E5C64" w:rsidRPr="00591954">
        <w:rPr>
          <w:rFonts w:ascii="Times New Roman" w:hAnsi="Times New Roman" w:cs="Times New Roman"/>
          <w:color w:val="auto"/>
          <w:sz w:val="24"/>
          <w:szCs w:val="24"/>
          <w:lang w:val="en-GB" w:eastAsia="en-GB"/>
        </w:rPr>
        <w:t xml:space="preserve">Next we followed the protocol described </w:t>
      </w:r>
      <w:r w:rsidR="00D853A8" w:rsidRPr="00591954">
        <w:rPr>
          <w:rFonts w:ascii="Times New Roman" w:hAnsi="Times New Roman" w:cs="Times New Roman"/>
          <w:color w:val="auto"/>
          <w:sz w:val="24"/>
          <w:szCs w:val="24"/>
          <w:lang w:val="en-GB" w:eastAsia="en-GB"/>
        </w:rPr>
        <w:t>by</w:t>
      </w:r>
      <w:r w:rsidR="001E5C64" w:rsidRPr="00591954">
        <w:rPr>
          <w:rFonts w:ascii="Times New Roman" w:hAnsi="Times New Roman" w:cs="Times New Roman"/>
          <w:color w:val="auto"/>
          <w:sz w:val="24"/>
          <w:szCs w:val="24"/>
          <w:lang w:val="en-GB" w:eastAsia="en-GB"/>
        </w:rPr>
        <w:t xml:space="preserve"> Miller </w:t>
      </w:r>
      <w:r w:rsidR="001E5C64" w:rsidRPr="00591954">
        <w:rPr>
          <w:rFonts w:ascii="Times New Roman" w:hAnsi="Times New Roman" w:cs="Times New Roman"/>
          <w:i/>
          <w:iCs/>
          <w:color w:val="auto"/>
          <w:sz w:val="24"/>
          <w:szCs w:val="24"/>
          <w:lang w:val="en-GB" w:eastAsia="en-GB"/>
        </w:rPr>
        <w:t xml:space="preserve">et </w:t>
      </w:r>
      <w:r w:rsidR="001E5C64" w:rsidRPr="00591954">
        <w:rPr>
          <w:rFonts w:ascii="Times New Roman" w:hAnsi="Times New Roman" w:cs="Times New Roman"/>
          <w:i/>
          <w:color w:val="auto"/>
          <w:sz w:val="24"/>
          <w:szCs w:val="24"/>
          <w:lang w:val="en-GB" w:eastAsia="en-GB"/>
        </w:rPr>
        <w:t>al.</w:t>
      </w:r>
      <w:r w:rsidR="001E5C64" w:rsidRPr="00591954">
        <w:rPr>
          <w:rFonts w:ascii="Times New Roman" w:hAnsi="Times New Roman" w:cs="Times New Roman"/>
          <w:color w:val="auto"/>
          <w:sz w:val="24"/>
          <w:szCs w:val="24"/>
          <w:lang w:val="en-GB" w:eastAsia="en-GB"/>
        </w:rPr>
        <w:t xml:space="preserve"> </w:t>
      </w:r>
      <w:r w:rsidR="001E5C64" w:rsidRPr="00591954">
        <w:rPr>
          <w:rFonts w:ascii="Times New Roman" w:hAnsi="Times New Roman" w:cs="Times New Roman"/>
          <w:color w:val="auto"/>
          <w:sz w:val="24"/>
          <w:szCs w:val="24"/>
          <w:lang w:val="en-GB" w:eastAsia="en-GB"/>
        </w:rPr>
        <w:fldChar w:fldCharType="begin" w:fldLock="1"/>
      </w:r>
      <w:r w:rsidR="004F23C5" w:rsidRPr="00591954">
        <w:rPr>
          <w:rFonts w:ascii="Times New Roman" w:hAnsi="Times New Roman" w:cs="Times New Roman"/>
          <w:color w:val="auto"/>
          <w:sz w:val="24"/>
          <w:szCs w:val="24"/>
          <w:lang w:val="en-GB" w:eastAsia="en-GB"/>
        </w:rPr>
        <w:instrText>ADDIN CSL_CITATION {"citationItems":[{"id":"ITEM-1","itemData":{"DOI":"10.1186/1471-2164-15-154","PMID":"24564186","abstract":"BACKGROUND: High-throughput sequencing is gradually replacing microarrays as the preferred method for studying mRNA expression levels, providing nucleotide resolution and accurately measuring absolute expression levels of almost any transcript, known or novel. However, existing microarray data from clinical, pharmaceutical, and academic settings represent valuable and often underappreciated resources, and methods for assessing and improving the quality of these data are lacking.RESULTS: To quantitatively assess the quality of microarray probes, we directly compare RNA-Seq to Agilent microarrays by processing 231 unique samples from the Allen Human Brain Atlas using RNA-Seq. Both techniques provide highly consistent, highly reproducible gene expression measurements in adult human brain, with RNA-Seq slightly outperforming microarray results overall. We show that RNA-Seq can be used as ground truth to assess the reliability of most microarray probes, remove probes with off-target effects, and scale probe intensities to match the expression levels identified by RNA-Seq. These sequencing scaled microarray intensities (SSMIs) provide more reliable, quantitative estimates of absolute expression levels for many genes when compared with unscaled intensities. Finally, we validate this result in two human cell lines, showing that linear scaling factors can be applied across experiments using the same microarray platform.CONCLUSIONS: Microarrays provide consistent, reproducible gene expression measurements, which are improved using RNA-Seq as ground truth. We expect that our strategy could be used to improve probe quality for many data sets from major existing repositories.","author":[{"dropping-particle":"","family":"Miller","given":"Jeremy A","non-dropping-particle":"","parse-names":false,"suffix":""},{"dropping-particle":"","family":"Menon","given":"Vilas","non-dropping-particle":"","parse-names":false,"suffix":""},{"dropping-particle":"","family":"Goldy","given":"Jeff","non-dropping-particle":"","parse-names":false,"suffix":""},{"dropping-particle":"","family":"Kaykas","given":"Ajamete","non-dropping-particle":"","parse-names":false,"suffix":""},{"dropping-particle":"","family":"Lee","given":"Chang-Kyu","non-dropping-particle":"","parse-names":false,"suffix":""},{"dropping-particle":"","family":"Smith","given":"Kimberly A","non-dropping-particle":"","parse-names":false,"suffix":""},{"dropping-particle":"","family":"Shen","given":"Elaine H","non-dropping-particle":"","parse-names":false,"suffix":""},{"dropping-particle":"","family":"Phillips","given":"John W","non-dropping-particle":"","parse-names":false,"suffix":""},{"dropping-particle":"","family":"Lein","given":"Ed S","non-dropping-particle":"","parse-names":false,"suffix":""},{"dropping-particle":"","family":"Hawrylycz","given":"Mike J","non-dropping-particle":"","parse-names":false,"suffix":""}],"container-title":"BMC genomics","id":"ITEM-1","issued":{"date-parts":[["2014"]]},"language":"eng","page":"154","title":"Improving reliability and absolute quantification of human brain microarray data by filtering and scaling probes using RNA-Seq","type":"article-journal","volume":"15"},"suppress-author":1,"uris":["http://www.mendeley.com/documents/?uuid=af3b1c8e-f19c-447e-b5d4-2857e160a6e2"]}],"mendeley":{"formattedCitation":"[8]","plainTextFormattedCitation":"[8]","previouslyFormattedCitation":"(8)"},"properties":{"noteIndex":0},"schema":"https://github.com/citation-style-language/schema/raw/master/csl-citation.json"}</w:instrText>
      </w:r>
      <w:r w:rsidR="001E5C64" w:rsidRPr="00591954">
        <w:rPr>
          <w:rFonts w:ascii="Times New Roman" w:hAnsi="Times New Roman" w:cs="Times New Roman"/>
          <w:color w:val="auto"/>
          <w:sz w:val="24"/>
          <w:szCs w:val="24"/>
          <w:lang w:val="en-GB" w:eastAsia="en-GB"/>
        </w:rPr>
        <w:fldChar w:fldCharType="separate"/>
      </w:r>
      <w:r w:rsidR="004F23C5" w:rsidRPr="00591954">
        <w:rPr>
          <w:rFonts w:ascii="Times New Roman" w:hAnsi="Times New Roman" w:cs="Times New Roman"/>
          <w:noProof/>
          <w:color w:val="auto"/>
          <w:sz w:val="24"/>
          <w:szCs w:val="24"/>
          <w:lang w:val="en-GB" w:eastAsia="en-GB"/>
        </w:rPr>
        <w:t>[8]</w:t>
      </w:r>
      <w:r w:rsidR="001E5C64" w:rsidRPr="00591954">
        <w:rPr>
          <w:rFonts w:ascii="Times New Roman" w:hAnsi="Times New Roman" w:cs="Times New Roman"/>
          <w:color w:val="auto"/>
          <w:sz w:val="24"/>
          <w:szCs w:val="24"/>
          <w:lang w:val="en-GB" w:eastAsia="en-GB"/>
        </w:rPr>
        <w:fldChar w:fldCharType="end"/>
      </w:r>
      <w:r w:rsidR="001E5C64" w:rsidRPr="00591954">
        <w:rPr>
          <w:rFonts w:ascii="Times New Roman" w:hAnsi="Times New Roman" w:cs="Times New Roman"/>
          <w:color w:val="auto"/>
          <w:sz w:val="24"/>
          <w:szCs w:val="24"/>
          <w:lang w:val="en-GB" w:eastAsia="en-GB"/>
        </w:rPr>
        <w:t xml:space="preserve"> to select one probe per gene using RNAseq data from a subset of the AHBA samples. Briefly, 45,147</w:t>
      </w:r>
      <w:r w:rsidR="001F0C78" w:rsidRPr="00591954">
        <w:rPr>
          <w:rFonts w:ascii="Times New Roman" w:hAnsi="Times New Roman" w:cs="Times New Roman"/>
          <w:color w:val="auto"/>
          <w:sz w:val="24"/>
          <w:szCs w:val="24"/>
          <w:lang w:val="en-GB" w:eastAsia="en-GB"/>
        </w:rPr>
        <w:t xml:space="preserve"> </w:t>
      </w:r>
      <w:r w:rsidR="001E5C64" w:rsidRPr="00591954">
        <w:rPr>
          <w:rFonts w:ascii="Times New Roman" w:hAnsi="Times New Roman" w:cs="Times New Roman"/>
          <w:color w:val="auto"/>
          <w:sz w:val="24"/>
          <w:szCs w:val="24"/>
          <w:lang w:val="en-GB" w:eastAsia="en-GB"/>
        </w:rPr>
        <w:t>probes could be linked to gene</w:t>
      </w:r>
      <w:r w:rsidR="001F0C78" w:rsidRPr="00591954">
        <w:rPr>
          <w:rFonts w:ascii="Times New Roman" w:hAnsi="Times New Roman" w:cs="Times New Roman"/>
          <w:color w:val="auto"/>
          <w:sz w:val="24"/>
          <w:szCs w:val="24"/>
          <w:lang w:val="en-GB" w:eastAsia="en-GB"/>
        </w:rPr>
        <w:t>s listed</w:t>
      </w:r>
      <w:r w:rsidR="001E5C64" w:rsidRPr="00591954">
        <w:rPr>
          <w:rFonts w:ascii="Times New Roman" w:hAnsi="Times New Roman" w:cs="Times New Roman"/>
          <w:color w:val="auto"/>
          <w:sz w:val="24"/>
          <w:szCs w:val="24"/>
          <w:lang w:val="en-GB" w:eastAsia="en-GB"/>
        </w:rPr>
        <w:t xml:space="preserve"> in the RNAseq dataset; 28,727 probes showed a sufficiently good correlation (Pearson’s </w:t>
      </w:r>
      <w:r w:rsidR="001E5C64" w:rsidRPr="00591954">
        <w:rPr>
          <w:rFonts w:ascii="Times New Roman" w:hAnsi="Times New Roman" w:cs="Times New Roman"/>
          <w:i/>
          <w:color w:val="auto"/>
          <w:sz w:val="24"/>
          <w:szCs w:val="24"/>
          <w:lang w:val="en-GB" w:eastAsia="en-GB"/>
        </w:rPr>
        <w:t>r</w:t>
      </w:r>
      <w:r w:rsidR="001E5C64" w:rsidRPr="00591954">
        <w:rPr>
          <w:rFonts w:ascii="Times New Roman" w:hAnsi="Times New Roman" w:cs="Times New Roman"/>
          <w:color w:val="auto"/>
          <w:sz w:val="24"/>
          <w:szCs w:val="24"/>
          <w:lang w:val="en-GB" w:eastAsia="en-GB"/>
        </w:rPr>
        <w:t xml:space="preserve"> &gt; 0 [i.e., positively correlated] and FDR-corrected p-value &lt; 0.1). Next, among multiple probes </w:t>
      </w:r>
      <w:r w:rsidR="001F0C78" w:rsidRPr="00591954">
        <w:rPr>
          <w:rFonts w:ascii="Times New Roman" w:hAnsi="Times New Roman" w:cs="Times New Roman"/>
          <w:color w:val="auto"/>
          <w:sz w:val="24"/>
          <w:szCs w:val="24"/>
          <w:lang w:val="en-GB" w:eastAsia="en-GB"/>
        </w:rPr>
        <w:t>capturing</w:t>
      </w:r>
      <w:r w:rsidR="001E5C64" w:rsidRPr="00591954">
        <w:rPr>
          <w:rFonts w:ascii="Times New Roman" w:hAnsi="Times New Roman" w:cs="Times New Roman"/>
          <w:color w:val="auto"/>
          <w:sz w:val="24"/>
          <w:szCs w:val="24"/>
          <w:lang w:val="en-GB" w:eastAsia="en-GB"/>
        </w:rPr>
        <w:t xml:space="preserve"> the same gene</w:t>
      </w:r>
      <w:r w:rsidR="003D6645" w:rsidRPr="00591954">
        <w:rPr>
          <w:rFonts w:ascii="Times New Roman" w:hAnsi="Times New Roman" w:cs="Times New Roman"/>
          <w:color w:val="auto"/>
          <w:sz w:val="24"/>
          <w:szCs w:val="24"/>
          <w:lang w:val="en-GB" w:eastAsia="en-GB"/>
        </w:rPr>
        <w:t>,</w:t>
      </w:r>
      <w:r w:rsidR="001E5C64" w:rsidRPr="00591954">
        <w:rPr>
          <w:rFonts w:ascii="Times New Roman" w:hAnsi="Times New Roman" w:cs="Times New Roman"/>
          <w:color w:val="auto"/>
          <w:sz w:val="24"/>
          <w:szCs w:val="24"/>
          <w:lang w:val="en-GB" w:eastAsia="en-GB"/>
        </w:rPr>
        <w:t xml:space="preserve"> the one with the strongest correlation to the RNAseq dataset was selected</w:t>
      </w:r>
      <w:r w:rsidR="001F0C78" w:rsidRPr="00591954">
        <w:rPr>
          <w:rFonts w:ascii="Times New Roman" w:hAnsi="Times New Roman" w:cs="Times New Roman"/>
          <w:color w:val="auto"/>
          <w:sz w:val="24"/>
          <w:szCs w:val="24"/>
          <w:lang w:val="en-GB" w:eastAsia="en-GB"/>
        </w:rPr>
        <w:t>,</w:t>
      </w:r>
      <w:r w:rsidR="001E5C64" w:rsidRPr="00591954">
        <w:rPr>
          <w:rFonts w:ascii="Times New Roman" w:hAnsi="Times New Roman" w:cs="Times New Roman"/>
          <w:color w:val="auto"/>
          <w:sz w:val="24"/>
          <w:szCs w:val="24"/>
          <w:lang w:val="en-GB" w:eastAsia="en-GB"/>
        </w:rPr>
        <w:t xml:space="preserve"> resulting in 14,138 probes uniquely representing one gene.</w:t>
      </w:r>
      <w:r w:rsidR="001F0C78" w:rsidRPr="00591954">
        <w:rPr>
          <w:rFonts w:ascii="Times New Roman" w:hAnsi="Times New Roman" w:cs="Times New Roman"/>
          <w:color w:val="auto"/>
          <w:sz w:val="24"/>
          <w:szCs w:val="24"/>
          <w:lang w:val="en-GB" w:eastAsia="en-GB"/>
        </w:rPr>
        <w:t xml:space="preserve"> </w:t>
      </w:r>
      <w:r w:rsidR="001E5C64" w:rsidRPr="00591954">
        <w:rPr>
          <w:rFonts w:ascii="Times New Roman" w:hAnsi="Times New Roman" w:cs="Times New Roman"/>
          <w:color w:val="auto"/>
          <w:sz w:val="24"/>
          <w:szCs w:val="24"/>
          <w:lang w:val="en-GB" w:eastAsia="en-GB"/>
        </w:rPr>
        <w:t>Finally, we used the re-scaling approach described in Miller</w:t>
      </w:r>
      <w:r w:rsidR="00B00FAB" w:rsidRPr="00591954">
        <w:rPr>
          <w:rFonts w:ascii="Times New Roman" w:hAnsi="Times New Roman" w:cs="Times New Roman"/>
          <w:color w:val="auto"/>
          <w:sz w:val="24"/>
          <w:szCs w:val="24"/>
          <w:lang w:val="en-GB" w:eastAsia="en-GB"/>
        </w:rPr>
        <w:t> </w:t>
      </w:r>
      <w:r w:rsidR="001E5C64" w:rsidRPr="00591954">
        <w:rPr>
          <w:rFonts w:ascii="Times New Roman" w:hAnsi="Times New Roman" w:cs="Times New Roman"/>
          <w:i/>
          <w:iCs/>
          <w:color w:val="auto"/>
          <w:sz w:val="24"/>
          <w:szCs w:val="24"/>
          <w:lang w:val="en-GB" w:eastAsia="en-GB"/>
        </w:rPr>
        <w:t>et</w:t>
      </w:r>
      <w:r w:rsidR="00B00FAB" w:rsidRPr="00591954">
        <w:rPr>
          <w:rFonts w:ascii="Times New Roman" w:hAnsi="Times New Roman" w:cs="Times New Roman"/>
          <w:color w:val="auto"/>
          <w:sz w:val="24"/>
          <w:szCs w:val="24"/>
          <w:lang w:val="en-GB" w:eastAsia="en-GB"/>
        </w:rPr>
        <w:t> </w:t>
      </w:r>
      <w:r w:rsidR="001E5C64" w:rsidRPr="00591954">
        <w:rPr>
          <w:rFonts w:ascii="Times New Roman" w:hAnsi="Times New Roman" w:cs="Times New Roman"/>
          <w:i/>
          <w:color w:val="auto"/>
          <w:sz w:val="24"/>
          <w:szCs w:val="24"/>
          <w:lang w:val="en-GB" w:eastAsia="en-GB"/>
        </w:rPr>
        <w:t>al.</w:t>
      </w:r>
      <w:r w:rsidR="00B00FAB" w:rsidRPr="00591954">
        <w:rPr>
          <w:rFonts w:ascii="Times New Roman" w:hAnsi="Times New Roman" w:cs="Times New Roman"/>
          <w:i/>
          <w:color w:val="auto"/>
          <w:sz w:val="24"/>
          <w:szCs w:val="24"/>
          <w:lang w:val="en-GB" w:eastAsia="en-GB"/>
        </w:rPr>
        <w:t> </w:t>
      </w:r>
      <w:r w:rsidR="001E5C64" w:rsidRPr="00591954">
        <w:rPr>
          <w:rFonts w:ascii="Times New Roman" w:hAnsi="Times New Roman" w:cs="Times New Roman"/>
          <w:color w:val="auto"/>
          <w:sz w:val="24"/>
          <w:szCs w:val="24"/>
          <w:lang w:val="en-GB" w:eastAsia="en-GB"/>
        </w:rPr>
        <w:fldChar w:fldCharType="begin" w:fldLock="1"/>
      </w:r>
      <w:r w:rsidR="004F23C5" w:rsidRPr="00591954">
        <w:rPr>
          <w:rFonts w:ascii="Times New Roman" w:hAnsi="Times New Roman" w:cs="Times New Roman"/>
          <w:color w:val="auto"/>
          <w:sz w:val="24"/>
          <w:szCs w:val="24"/>
          <w:lang w:val="en-GB" w:eastAsia="en-GB"/>
        </w:rPr>
        <w:instrText>ADDIN CSL_CITATION {"citationItems":[{"id":"ITEM-1","itemData":{"DOI":"10.1186/1471-2164-15-154","PMID":"24564186","abstract":"BACKGROUND: High-throughput sequencing is gradually replacing microarrays as the preferred method for studying mRNA expression levels, providing nucleotide resolution and accurately measuring absolute expression levels of almost any transcript, known or novel. However, existing microarray data from clinical, pharmaceutical, and academic settings represent valuable and often underappreciated resources, and methods for assessing and improving the quality of these data are lacking.RESULTS: To quantitatively assess the quality of microarray probes, we directly compare RNA-Seq to Agilent microarrays by processing 231 unique samples from the Allen Human Brain Atlas using RNA-Seq. Both techniques provide highly consistent, highly reproducible gene expression measurements in adult human brain, with RNA-Seq slightly outperforming microarray results overall. We show that RNA-Seq can be used as ground truth to assess the reliability of most microarray probes, remove probes with off-target effects, and scale probe intensities to match the expression levels identified by RNA-Seq. These sequencing scaled microarray intensities (SSMIs) provide more reliable, quantitative estimates of absolute expression levels for many genes when compared with unscaled intensities. Finally, we validate this result in two human cell lines, showing that linear scaling factors can be applied across experiments using the same microarray platform.CONCLUSIONS: Microarrays provide consistent, reproducible gene expression measurements, which are improved using RNA-Seq as ground truth. We expect that our strategy could be used to improve probe quality for many data sets from major existing repositories.","author":[{"dropping-particle":"","family":"Miller","given":"Jeremy A","non-dropping-particle":"","parse-names":false,"suffix":""},{"dropping-particle":"","family":"Menon","given":"Vilas","non-dropping-particle":"","parse-names":false,"suffix":""},{"dropping-particle":"","family":"Goldy","given":"Jeff","non-dropping-particle":"","parse-names":false,"suffix":""},{"dropping-particle":"","family":"Kaykas","given":"Ajamete","non-dropping-particle":"","parse-names":false,"suffix":""},{"dropping-particle":"","family":"Lee","given":"Chang-Kyu","non-dropping-particle":"","parse-names":false,"suffix":""},{"dropping-particle":"","family":"Smith","given":"Kimberly A","non-dropping-particle":"","parse-names":false,"suffix":""},{"dropping-particle":"","family":"Shen","given":"Elaine H","non-dropping-particle":"","parse-names":false,"suffix":""},{"dropping-particle":"","family":"Phillips","given":"John W","non-dropping-particle":"","parse-names":false,"suffix":""},{"dropping-particle":"","family":"Lein","given":"Ed S","non-dropping-particle":"","parse-names":false,"suffix":""},{"dropping-particle":"","family":"Hawrylycz","given":"Mike J","non-dropping-particle":"","parse-names":false,"suffix":""}],"container-title":"BMC genomics","id":"ITEM-1","issued":{"date-parts":[["2014"]]},"language":"eng","page":"154","title":"Improving reliability and absolute quantification of human brain microarray data by filtering and scaling probes using RNA-Seq","type":"article-journal","volume":"15"},"suppress-author":1,"uris":["http://www.mendeley.com/documents/?uuid=af3b1c8e-f19c-447e-b5d4-2857e160a6e2"]}],"mendeley":{"formattedCitation":"[8]","plainTextFormattedCitation":"[8]","previouslyFormattedCitation":"(8)"},"properties":{"noteIndex":0},"schema":"https://github.com/citation-style-language/schema/raw/master/csl-citation.json"}</w:instrText>
      </w:r>
      <w:r w:rsidR="001E5C64" w:rsidRPr="00591954">
        <w:rPr>
          <w:rFonts w:ascii="Times New Roman" w:hAnsi="Times New Roman" w:cs="Times New Roman"/>
          <w:color w:val="auto"/>
          <w:sz w:val="24"/>
          <w:szCs w:val="24"/>
          <w:lang w:val="en-GB" w:eastAsia="en-GB"/>
        </w:rPr>
        <w:fldChar w:fldCharType="separate"/>
      </w:r>
      <w:r w:rsidR="004F23C5" w:rsidRPr="00591954">
        <w:rPr>
          <w:rFonts w:ascii="Times New Roman" w:hAnsi="Times New Roman" w:cs="Times New Roman"/>
          <w:noProof/>
          <w:color w:val="auto"/>
          <w:sz w:val="24"/>
          <w:szCs w:val="24"/>
          <w:lang w:val="en-GB" w:eastAsia="en-GB"/>
        </w:rPr>
        <w:t>[8]</w:t>
      </w:r>
      <w:r w:rsidR="001E5C64" w:rsidRPr="00591954">
        <w:rPr>
          <w:rFonts w:ascii="Times New Roman" w:hAnsi="Times New Roman" w:cs="Times New Roman"/>
          <w:color w:val="auto"/>
          <w:sz w:val="24"/>
          <w:szCs w:val="24"/>
          <w:lang w:val="en-GB" w:eastAsia="en-GB"/>
        </w:rPr>
        <w:fldChar w:fldCharType="end"/>
      </w:r>
      <w:r w:rsidR="001E5C64" w:rsidRPr="00591954">
        <w:rPr>
          <w:rFonts w:ascii="Times New Roman" w:hAnsi="Times New Roman" w:cs="Times New Roman"/>
          <w:color w:val="auto"/>
          <w:sz w:val="24"/>
          <w:szCs w:val="24"/>
          <w:lang w:val="en-GB" w:eastAsia="en-GB"/>
        </w:rPr>
        <w:t xml:space="preserve"> to convert microarray intensities into</w:t>
      </w:r>
      <w:r w:rsidR="001F0C78" w:rsidRPr="00591954">
        <w:rPr>
          <w:rFonts w:ascii="Times New Roman" w:hAnsi="Times New Roman" w:cs="Times New Roman"/>
          <w:color w:val="auto"/>
          <w:sz w:val="24"/>
          <w:szCs w:val="24"/>
          <w:lang w:val="en-GB" w:eastAsia="en-GB"/>
        </w:rPr>
        <w:t xml:space="preserve"> Sequencing Scaled Microarray Intensities</w:t>
      </w:r>
      <w:r w:rsidR="001E5C64" w:rsidRPr="00591954">
        <w:rPr>
          <w:rFonts w:ascii="Times New Roman" w:hAnsi="Times New Roman" w:cs="Times New Roman"/>
          <w:color w:val="auto"/>
          <w:sz w:val="24"/>
          <w:szCs w:val="24"/>
          <w:lang w:val="en-GB" w:eastAsia="en-GB"/>
        </w:rPr>
        <w:t xml:space="preserve"> </w:t>
      </w:r>
      <w:r w:rsidR="001F0C78" w:rsidRPr="00591954">
        <w:rPr>
          <w:rFonts w:ascii="Times New Roman" w:hAnsi="Times New Roman" w:cs="Times New Roman"/>
          <w:color w:val="auto"/>
          <w:sz w:val="24"/>
          <w:szCs w:val="24"/>
          <w:lang w:val="en-GB" w:eastAsia="en-GB"/>
        </w:rPr>
        <w:t>(</w:t>
      </w:r>
      <w:r w:rsidR="001E5C64" w:rsidRPr="00591954">
        <w:rPr>
          <w:rFonts w:ascii="Times New Roman" w:hAnsi="Times New Roman" w:cs="Times New Roman"/>
          <w:color w:val="auto"/>
          <w:sz w:val="24"/>
          <w:szCs w:val="24"/>
          <w:lang w:val="en-GB" w:eastAsia="en-GB"/>
        </w:rPr>
        <w:t>SSMIs</w:t>
      </w:r>
      <w:r w:rsidR="001F0C78" w:rsidRPr="00591954">
        <w:rPr>
          <w:rFonts w:ascii="Times New Roman" w:hAnsi="Times New Roman" w:cs="Times New Roman"/>
          <w:color w:val="auto"/>
          <w:sz w:val="24"/>
          <w:szCs w:val="24"/>
          <w:lang w:val="en-GB" w:eastAsia="en-GB"/>
        </w:rPr>
        <w:t>)</w:t>
      </w:r>
      <w:r w:rsidR="001E5C64" w:rsidRPr="00591954">
        <w:rPr>
          <w:rFonts w:ascii="Times New Roman" w:hAnsi="Times New Roman" w:cs="Times New Roman"/>
          <w:color w:val="auto"/>
          <w:sz w:val="24"/>
          <w:szCs w:val="24"/>
          <w:lang w:val="en-GB" w:eastAsia="en-GB"/>
        </w:rPr>
        <w:t xml:space="preserve"> that </w:t>
      </w:r>
      <w:r w:rsidR="001F0C78" w:rsidRPr="00591954">
        <w:rPr>
          <w:rFonts w:ascii="Times New Roman" w:hAnsi="Times New Roman" w:cs="Times New Roman"/>
          <w:color w:val="auto"/>
          <w:sz w:val="24"/>
          <w:szCs w:val="24"/>
          <w:lang w:val="en-GB" w:eastAsia="en-GB"/>
        </w:rPr>
        <w:t>are better suited as input for the deconvolution method.</w:t>
      </w:r>
    </w:p>
    <w:p w14:paraId="1B87F394" w14:textId="77777777" w:rsidR="001F0C78" w:rsidRPr="00591954" w:rsidRDefault="001F0C78" w:rsidP="00951646">
      <w:pPr>
        <w:pStyle w:val="Normal1"/>
        <w:spacing w:line="240" w:lineRule="auto"/>
        <w:rPr>
          <w:rFonts w:ascii="Times New Roman" w:hAnsi="Times New Roman" w:cs="Times New Roman"/>
          <w:color w:val="auto"/>
          <w:sz w:val="24"/>
          <w:szCs w:val="24"/>
          <w:lang w:val="en-GB" w:eastAsia="en-GB"/>
        </w:rPr>
      </w:pPr>
    </w:p>
    <w:p w14:paraId="49984816" w14:textId="77777777" w:rsidR="001F0C78" w:rsidRPr="00591954" w:rsidRDefault="001F0C78" w:rsidP="00D853A8">
      <w:pPr>
        <w:pStyle w:val="SMHeading"/>
        <w:rPr>
          <w:sz w:val="26"/>
          <w:szCs w:val="26"/>
          <w:lang w:val="en-GB"/>
        </w:rPr>
      </w:pPr>
      <w:r w:rsidRPr="00591954">
        <w:rPr>
          <w:sz w:val="26"/>
          <w:szCs w:val="26"/>
          <w:lang w:val="en-GB"/>
        </w:rPr>
        <w:t>Deconvolution of AHBA gene expression data into brain cell-types</w:t>
      </w:r>
    </w:p>
    <w:p w14:paraId="72124D3B" w14:textId="0D21A835" w:rsidR="001E5C64" w:rsidRPr="00591954" w:rsidRDefault="001F0C78" w:rsidP="00951646">
      <w:pPr>
        <w:pStyle w:val="Normal1"/>
        <w:spacing w:line="240" w:lineRule="auto"/>
        <w:rPr>
          <w:rFonts w:ascii="Times New Roman" w:hAnsi="Times New Roman" w:cs="Times New Roman"/>
          <w:color w:val="auto"/>
          <w:sz w:val="24"/>
          <w:szCs w:val="24"/>
          <w:lang w:val="en-GB" w:eastAsia="en-GB"/>
        </w:rPr>
      </w:pPr>
      <w:r w:rsidRPr="00591954">
        <w:rPr>
          <w:rFonts w:ascii="Times New Roman" w:hAnsi="Times New Roman" w:cs="Times New Roman"/>
          <w:color w:val="auto"/>
          <w:sz w:val="24"/>
          <w:szCs w:val="24"/>
          <w:lang w:val="en-GB" w:eastAsia="en-GB"/>
        </w:rPr>
        <w:t xml:space="preserve">We employed </w:t>
      </w:r>
      <w:r w:rsidR="004A423C" w:rsidRPr="00591954">
        <w:rPr>
          <w:rFonts w:ascii="Times New Roman" w:hAnsi="Times New Roman" w:cs="Times New Roman"/>
          <w:color w:val="auto"/>
          <w:sz w:val="24"/>
          <w:szCs w:val="24"/>
          <w:lang w:val="en-GB" w:eastAsia="en-GB"/>
        </w:rPr>
        <w:t>S</w:t>
      </w:r>
      <w:r w:rsidRPr="00591954">
        <w:rPr>
          <w:rFonts w:ascii="Times New Roman" w:hAnsi="Times New Roman" w:cs="Times New Roman"/>
          <w:color w:val="auto"/>
          <w:sz w:val="24"/>
          <w:szCs w:val="24"/>
          <w:lang w:val="en-GB" w:eastAsia="en-GB"/>
        </w:rPr>
        <w:t xml:space="preserve">caden </w:t>
      </w:r>
      <w:r w:rsidRPr="00591954">
        <w:rPr>
          <w:rFonts w:ascii="Times New Roman" w:hAnsi="Times New Roman" w:cs="Times New Roman"/>
          <w:color w:val="auto"/>
          <w:sz w:val="24"/>
          <w:szCs w:val="24"/>
          <w:lang w:val="en-GB" w:eastAsia="en-GB"/>
        </w:rPr>
        <w:fldChar w:fldCharType="begin" w:fldLock="1"/>
      </w:r>
      <w:r w:rsidR="004F23C5" w:rsidRPr="00591954">
        <w:rPr>
          <w:rFonts w:ascii="Times New Roman" w:hAnsi="Times New Roman" w:cs="Times New Roman"/>
          <w:color w:val="auto"/>
          <w:sz w:val="24"/>
          <w:szCs w:val="24"/>
          <w:lang w:val="en-GB" w:eastAsia="en-GB"/>
        </w:rPr>
        <w:instrText>ADDIN CSL_CITATION {"citationItems":[{"id":"ITEM-1","itemData":{"author":[{"dropping-particle":"","family":"Menden","given":"Kevin","non-dropping-particle":"","parse-names":false,"suffix":""},{"dropping-particle":"","family":"Marouf","given":"Mohamed","non-dropping-particle":"","parse-names":false,"suffix":""},{"dropping-particle":"","family":"Oller","given":"Sergio","non-dropping-particle":"","parse-names":false,"suffix":""},{"dropping-particle":"","family":"Dalmia","given":"Anupriya","non-dropping-particle":"","parse-names":false,"suffix":""},{"dropping-particle":"","family":"Magruder","given":"Daniel Sumner","non-dropping-particle":"","parse-names":false,"suffix":""},{"dropping-particle":"","family":"Kloiber","given":"Karin","non-dropping-particle":"","parse-names":false,"suffix":""},{"dropping-particle":"","family":"Heutink","given":"Peter","non-dropping-particle":"","parse-names":false,"suffix":""},{"dropping-particle":"","family":"Bonn","given":"Stefan","non-dropping-particle":"","parse-names":false,"suffix":""}],"container-title":"Science Advances","id":"ITEM-1","issue":"30","issued":{"date-parts":[["2020"]]},"page":"eaba2619","publisher":"American Association for the Advancement of Science","title":"Deep learning--based cell composition analysis from tissue expression profiles","type":"article-journal","volume":"6"},"uris":["http://www.mendeley.com/documents/?uuid=b2beae9a-d23d-484b-a247-3cc6d965303f"]}],"mendeley":{"formattedCitation":"[9]","plainTextFormattedCitation":"[9]","previouslyFormattedCitation":"(9)"},"properties":{"noteIndex":0},"schema":"https://github.com/citation-style-language/schema/raw/master/csl-citation.json"}</w:instrText>
      </w:r>
      <w:r w:rsidRPr="00591954">
        <w:rPr>
          <w:rFonts w:ascii="Times New Roman" w:hAnsi="Times New Roman" w:cs="Times New Roman"/>
          <w:color w:val="auto"/>
          <w:sz w:val="24"/>
          <w:szCs w:val="24"/>
          <w:lang w:val="en-GB" w:eastAsia="en-GB"/>
        </w:rPr>
        <w:fldChar w:fldCharType="separate"/>
      </w:r>
      <w:r w:rsidR="004F23C5" w:rsidRPr="00591954">
        <w:rPr>
          <w:rFonts w:ascii="Times New Roman" w:hAnsi="Times New Roman" w:cs="Times New Roman"/>
          <w:noProof/>
          <w:color w:val="auto"/>
          <w:sz w:val="24"/>
          <w:szCs w:val="24"/>
          <w:lang w:val="en-GB" w:eastAsia="en-GB"/>
        </w:rPr>
        <w:t>[9]</w:t>
      </w:r>
      <w:r w:rsidRPr="00591954">
        <w:rPr>
          <w:rFonts w:ascii="Times New Roman" w:hAnsi="Times New Roman" w:cs="Times New Roman"/>
          <w:color w:val="auto"/>
          <w:sz w:val="24"/>
          <w:szCs w:val="24"/>
          <w:lang w:val="en-GB" w:eastAsia="en-GB"/>
        </w:rPr>
        <w:fldChar w:fldCharType="end"/>
      </w:r>
      <w:r w:rsidRPr="00591954">
        <w:rPr>
          <w:rFonts w:ascii="Times New Roman" w:hAnsi="Times New Roman" w:cs="Times New Roman"/>
          <w:color w:val="auto"/>
          <w:sz w:val="24"/>
          <w:szCs w:val="24"/>
          <w:lang w:val="en-GB" w:eastAsia="en-GB"/>
        </w:rPr>
        <w:t>, a recently developed method based on deep learning, to deconvolve the microarray gene expression data into brain cell</w:t>
      </w:r>
      <w:r w:rsidR="00D853A8" w:rsidRPr="00591954">
        <w:rPr>
          <w:rFonts w:ascii="Times New Roman" w:hAnsi="Times New Roman" w:cs="Times New Roman"/>
          <w:color w:val="auto"/>
          <w:sz w:val="24"/>
          <w:szCs w:val="24"/>
          <w:lang w:val="en-GB" w:eastAsia="en-GB"/>
        </w:rPr>
        <w:t xml:space="preserve"> </w:t>
      </w:r>
      <w:r w:rsidRPr="00591954">
        <w:rPr>
          <w:rFonts w:ascii="Times New Roman" w:hAnsi="Times New Roman" w:cs="Times New Roman"/>
          <w:color w:val="auto"/>
          <w:sz w:val="24"/>
          <w:szCs w:val="24"/>
          <w:lang w:val="en-GB" w:eastAsia="en-GB"/>
        </w:rPr>
        <w:t xml:space="preserve">type </w:t>
      </w:r>
      <w:r w:rsidR="00D853A8" w:rsidRPr="00591954">
        <w:rPr>
          <w:rFonts w:ascii="Times New Roman" w:hAnsi="Times New Roman" w:cs="Times New Roman"/>
          <w:color w:val="auto"/>
          <w:sz w:val="24"/>
          <w:szCs w:val="24"/>
          <w:lang w:val="en-GB" w:eastAsia="en-GB"/>
        </w:rPr>
        <w:t>fractions</w:t>
      </w:r>
      <w:r w:rsidRPr="00591954">
        <w:rPr>
          <w:rFonts w:ascii="Times New Roman" w:hAnsi="Times New Roman" w:cs="Times New Roman"/>
          <w:color w:val="auto"/>
          <w:sz w:val="24"/>
          <w:szCs w:val="24"/>
          <w:lang w:val="en-GB" w:eastAsia="en-GB"/>
        </w:rPr>
        <w:t>. To this end</w:t>
      </w:r>
      <w:r w:rsidR="00F30AE1" w:rsidRPr="00591954">
        <w:rPr>
          <w:rFonts w:ascii="Times New Roman" w:hAnsi="Times New Roman" w:cs="Times New Roman"/>
          <w:color w:val="auto"/>
          <w:sz w:val="24"/>
          <w:szCs w:val="24"/>
          <w:lang w:val="en-GB" w:eastAsia="en-GB"/>
        </w:rPr>
        <w:t>,</w:t>
      </w:r>
      <w:r w:rsidRPr="00591954">
        <w:rPr>
          <w:rFonts w:ascii="Times New Roman" w:hAnsi="Times New Roman" w:cs="Times New Roman"/>
          <w:color w:val="auto"/>
          <w:sz w:val="24"/>
          <w:szCs w:val="24"/>
          <w:lang w:val="en-GB" w:eastAsia="en-GB"/>
        </w:rPr>
        <w:t xml:space="preserve"> </w:t>
      </w:r>
      <w:r w:rsidR="004A423C" w:rsidRPr="00591954">
        <w:rPr>
          <w:rFonts w:ascii="Times New Roman" w:hAnsi="Times New Roman" w:cs="Times New Roman"/>
          <w:color w:val="auto"/>
          <w:sz w:val="24"/>
          <w:szCs w:val="24"/>
          <w:lang w:val="en-GB" w:eastAsia="en-GB"/>
        </w:rPr>
        <w:t>S</w:t>
      </w:r>
      <w:r w:rsidRPr="00591954">
        <w:rPr>
          <w:rFonts w:ascii="Times New Roman" w:hAnsi="Times New Roman" w:cs="Times New Roman"/>
          <w:color w:val="auto"/>
          <w:sz w:val="24"/>
          <w:szCs w:val="24"/>
          <w:lang w:val="en-GB" w:eastAsia="en-GB"/>
        </w:rPr>
        <w:t>caden was trained with</w:t>
      </w:r>
      <w:r w:rsidR="00C844B2" w:rsidRPr="00591954">
        <w:rPr>
          <w:rFonts w:ascii="Times New Roman" w:hAnsi="Times New Roman" w:cs="Times New Roman"/>
          <w:color w:val="auto"/>
          <w:sz w:val="24"/>
          <w:szCs w:val="24"/>
          <w:lang w:val="en-GB" w:eastAsia="en-GB"/>
        </w:rPr>
        <w:t xml:space="preserve"> </w:t>
      </w:r>
      <w:r w:rsidR="003D6645" w:rsidRPr="00591954">
        <w:rPr>
          <w:rFonts w:ascii="Times New Roman" w:hAnsi="Times New Roman" w:cs="Times New Roman"/>
          <w:color w:val="auto"/>
          <w:sz w:val="24"/>
          <w:szCs w:val="24"/>
          <w:lang w:val="en-GB" w:eastAsia="en-GB"/>
        </w:rPr>
        <w:t xml:space="preserve">published </w:t>
      </w:r>
      <w:r w:rsidR="00C844B2" w:rsidRPr="00591954">
        <w:rPr>
          <w:rFonts w:ascii="Times New Roman" w:hAnsi="Times New Roman" w:cs="Times New Roman"/>
          <w:color w:val="auto"/>
          <w:sz w:val="24"/>
          <w:szCs w:val="24"/>
          <w:lang w:val="en-GB" w:eastAsia="en-GB"/>
        </w:rPr>
        <w:t>human brain</w:t>
      </w:r>
      <w:r w:rsidRPr="00591954">
        <w:rPr>
          <w:rFonts w:ascii="Times New Roman" w:hAnsi="Times New Roman" w:cs="Times New Roman"/>
          <w:color w:val="auto"/>
          <w:sz w:val="24"/>
          <w:szCs w:val="24"/>
          <w:lang w:val="en-GB" w:eastAsia="en-GB"/>
        </w:rPr>
        <w:t xml:space="preserve"> single cell RNAseq data </w:t>
      </w:r>
      <w:r w:rsidR="00C844B2" w:rsidRPr="00591954">
        <w:rPr>
          <w:rFonts w:ascii="Times New Roman" w:hAnsi="Times New Roman" w:cs="Times New Roman"/>
          <w:color w:val="auto"/>
          <w:sz w:val="24"/>
          <w:szCs w:val="24"/>
          <w:lang w:val="en-GB" w:eastAsia="en-GB"/>
        </w:rPr>
        <w:fldChar w:fldCharType="begin" w:fldLock="1"/>
      </w:r>
      <w:r w:rsidR="004F23C5" w:rsidRPr="00591954">
        <w:rPr>
          <w:rFonts w:ascii="Times New Roman" w:hAnsi="Times New Roman" w:cs="Times New Roman"/>
          <w:color w:val="auto"/>
          <w:sz w:val="24"/>
          <w:szCs w:val="24"/>
          <w:lang w:val="en-GB" w:eastAsia="en-GB"/>
        </w:rPr>
        <w:instrText>ADDIN CSL_CITATION {"citationItems":[{"id":"ITEM-1","itemData":{"DOI":"10.1073/pnas.1507125112","PMID":"26060301","abstract":"The human brain is a tissue of vast complexity in terms of the cell types it comprises. Conventional approaches to classifying cell types in the human brain at single cell resolution have been limited to exploring relatively few markers and therefore have provided a limited molecular characterization of any given cell type. We used single cell RNA sequencing on 466 cells to capture the cellular complexity of the adult and fetal human brain at a whole transcriptome level. Healthy adult temporal lobe tissue was obtained during surgical procedures where otherwise normal tissue was removed to gain access to deeper hippocampal pathology in patients with medical refractory seizures. We were able to classify individual cells into all of the major neuronal, glial, and vascular cell types in the brain. We were able to divide neurons into individual communities and show that these communities preserve the categorization of interneuron subtypes that is typically observed with the use of classic interneuron markers. We then used single cell RNA sequencing on fetal human cortical neurons to identify genes that are differentially expressed between fetal and adult neurons and those genes that display an expression gradient that reflects the transition between replicating and quiescent fetal neuronal populations. Finally, we observed the expression of major histocompatibility complex type I genes in a subset of adult neurons, but not fetal neurons. The work presented here demonstrates the applicability of single cell RNA sequencing on the study of the adult human brain and constitutes a first step toward a comprehensive cellular atlas of the human brain.","author":[{"dropping-particle":"","family":"Darmanis","given":"Spyros","non-dropping-particle":"","parse-names":false,"suffix":""},{"dropping-particle":"","family":"Sloan","given":"Steven A","non-dropping-particle":"","parse-names":false,"suffix":""},{"dropping-particle":"","family":"Zhang","given":"Ye","non-dropping-particle":"","parse-names":false,"suffix":""},{"dropping-particle":"","family":"Enge","given":"Martin","non-dropping-particle":"","parse-names":false,"suffix":""},{"dropping-particle":"","family":"Caneda","given":"Christine","non-dropping-particle":"","parse-names":false,"suffix":""},{"dropping-particle":"","family":"Shuer","given":"Lawrence M","non-dropping-particle":"","parse-names":false,"suffix":""},{"dropping-particle":"","family":"Hayden Gephart","given":"Melanie G","non-dropping-particle":"","parse-names":false,"suffix":""},{"dropping-particle":"","family":"Barres","given":"Ben A","non-dropping-particle":"","parse-names":false,"suffix":""},{"dropping-particle":"","family":"Quake","given":"Stephen R","non-dropping-particle":"","parse-names":false,"suffix":""}],"container-title":"Proceedings of the National Academy of Sciences of the United States of America","id":"ITEM-1","issue":"23","issued":{"date-parts":[["2015"]]},"language":"eng","page":"7285-7290","title":"A survey of human brain transcriptome diversity at the single cell level","type":"article-journal","volume":"112"},"uris":["http://www.mendeley.com/documents/?uuid=1a76f8db-dad3-418c-91c2-ee4da7696ef5"]},{"id":"ITEM-2","itemData":{"DOI":"10.1126/science.aaf1204","PMID":"27339989","abstract":"The human brain has enormously complex cellular diversity and connectivities fundamental to our neural functions, yet difficulties in interrogating individual neurons has impeded understanding of the underlying transcriptional landscape. We developed a scalable approach to sequence and quantify RNA molecules in isolated neuronal nuclei from a postmortem brain, generating 3227 sets of single-neuron data from six distinct regions of the cerebral cortex. Using an iterative clustering and classification approach, we identified 16 neuronal subtypes that were further annotated on the basis of known markers and cortical cytoarchitecture. These data demonstrate a robust and scalable method for identifying and categorizing single nuclear transcriptomes, revealing shared genes sufficient to distinguish previously unknown and orthologous neuronal subtypes as well as regional identity and transcriptomic heterogeneity within the human brain.","author":[{"dropping-particle":"","family":"Lake","given":"Blue B","non-dropping-particle":"","parse-names":false,"suffix":""},{"dropping-particle":"","family":"Ai","given":"Rizi","non-dropping-particle":"","parse-names":false,"suffix":""},{"dropping-particle":"","family":"Kaeser","given":"Gwendolyn E","non-dropping-particle":"","parse-names":false,"suffix":""},{"dropping-particle":"","family":"Salathia","given":"Neeraj S","non-dropping-particle":"","parse-names":false,"suffix":""},{"dropping-particle":"","family":"Yung","given":"Yun C","non-dropping-particle":"","parse-names":false,"suffix":""},{"dropping-particle":"","family":"Liu","given":"Rui","non-dropping-particle":"","parse-names":false,"suffix":""},{"dropping-particle":"","family":"Wildberg","given":"Andre","non-dropping-particle":"","parse-names":false,"suffix":""},{"dropping-particle":"","family":"Gao","given":"Derek","non-dropping-particle":"","parse-names":false,"suffix":""},{"dropping-particle":"","family":"Fung","given":"Ho-Lim","non-dropping-particle":"","parse-names":false,"suffix":""},{"dropping-particle":"","family":"Chen","given":"Song","non-dropping-particle":"","parse-names":false,"suffix":""},{"dropping-particle":"","family":"Vijayaraghavan","given":"Raakhee","non-dropping-particle":"","parse-names":false,"suffix":""},{"dropping-particle":"","family":"Wong","given":"Julian","non-dropping-particle":"","parse-names":false,"suffix":""},{"dropping-particle":"","family":"Chen","given":"Allison","non-dropping-particle":"","parse-names":false,"suffix":""},{"dropping-particle":"","family":"Sheng","given":"Xiaoyan","non-dropping-particle":"","parse-names":false,"suffix":""},{"dropping-particle":"","family":"Kaper","given":"Fiona","non-dropping-particle":"","parse-names":false,"suffix":""},{"dropping-particle":"","family":"Shen","given":"Richard","non-dropping-particle":"","parse-names":false,"suffix":""},{"dropping-particle":"","family":"Ronaghi","given":"Mostafa","non-dropping-particle":"","parse-names":false,"suffix":""},{"dropping-particle":"","family":"Fan","given":"Jian-Bing","non-dropping-particle":"","parse-names":false,"suffix":""},{"dropping-particle":"","family":"Wang","given":"Wei","non-dropping-particle":"","parse-names":false,"suffix":""},{"dropping-particle":"","family":"Chun","given":"Jerold","non-dropping-particle":"","parse-names":false,"suffix":""},{"dropping-particle":"","family":"Zhang","given":"Kun","non-dropping-particle":"","parse-names":false,"suffix":""}],"container-title":"Science (New York, NY)","id":"ITEM-2","issue":"6293","issued":{"date-parts":[["2016"]]},"language":"eng","page":"1586-1590","title":"Neuronal subtypes and diversity revealed by single-nucleus RNA sequencing of the human brain","type":"article-journal","volume":"352"},"uris":["http://www.mendeley.com/documents/?uuid=5dee42dd-fef5-4db2-9963-448124728cac"]}],"mendeley":{"formattedCitation":"[10,11]","plainTextFormattedCitation":"[10,11]","previouslyFormattedCitation":"(10,11)"},"properties":{"noteIndex":0},"schema":"https://github.com/citation-style-language/schema/raw/master/csl-citation.json"}</w:instrText>
      </w:r>
      <w:r w:rsidR="00C844B2" w:rsidRPr="00591954">
        <w:rPr>
          <w:rFonts w:ascii="Times New Roman" w:hAnsi="Times New Roman" w:cs="Times New Roman"/>
          <w:color w:val="auto"/>
          <w:sz w:val="24"/>
          <w:szCs w:val="24"/>
          <w:lang w:val="en-GB" w:eastAsia="en-GB"/>
        </w:rPr>
        <w:fldChar w:fldCharType="separate"/>
      </w:r>
      <w:r w:rsidR="004F23C5" w:rsidRPr="00591954">
        <w:rPr>
          <w:rFonts w:ascii="Times New Roman" w:hAnsi="Times New Roman" w:cs="Times New Roman"/>
          <w:noProof/>
          <w:color w:val="auto"/>
          <w:sz w:val="24"/>
          <w:szCs w:val="24"/>
          <w:lang w:val="en-GB" w:eastAsia="en-GB"/>
        </w:rPr>
        <w:t>[10,11]</w:t>
      </w:r>
      <w:r w:rsidR="00C844B2" w:rsidRPr="00591954">
        <w:rPr>
          <w:rFonts w:ascii="Times New Roman" w:hAnsi="Times New Roman" w:cs="Times New Roman"/>
          <w:color w:val="auto"/>
          <w:sz w:val="24"/>
          <w:szCs w:val="24"/>
          <w:lang w:val="en-GB" w:eastAsia="en-GB"/>
        </w:rPr>
        <w:fldChar w:fldCharType="end"/>
      </w:r>
      <w:r w:rsidRPr="00591954">
        <w:rPr>
          <w:rFonts w:ascii="Times New Roman" w:hAnsi="Times New Roman" w:cs="Times New Roman"/>
          <w:color w:val="auto"/>
          <w:sz w:val="24"/>
          <w:szCs w:val="24"/>
          <w:lang w:val="en-GB" w:eastAsia="en-GB"/>
        </w:rPr>
        <w:t xml:space="preserve"> using 2000 artificially generated </w:t>
      </w:r>
      <w:r w:rsidR="00C844B2" w:rsidRPr="00591954">
        <w:rPr>
          <w:rFonts w:ascii="Times New Roman" w:hAnsi="Times New Roman" w:cs="Times New Roman"/>
          <w:color w:val="auto"/>
          <w:sz w:val="24"/>
          <w:szCs w:val="24"/>
          <w:lang w:val="en-GB" w:eastAsia="en-GB"/>
        </w:rPr>
        <w:t>bulk RNAseq samples</w:t>
      </w:r>
      <w:r w:rsidRPr="00591954">
        <w:rPr>
          <w:rFonts w:ascii="Times New Roman" w:hAnsi="Times New Roman" w:cs="Times New Roman"/>
          <w:color w:val="auto"/>
          <w:sz w:val="24"/>
          <w:szCs w:val="24"/>
          <w:lang w:val="en-GB" w:eastAsia="en-GB"/>
        </w:rPr>
        <w:t xml:space="preserve"> per </w:t>
      </w:r>
      <w:r w:rsidR="00C844B2" w:rsidRPr="00591954">
        <w:rPr>
          <w:rFonts w:ascii="Times New Roman" w:hAnsi="Times New Roman" w:cs="Times New Roman"/>
          <w:color w:val="auto"/>
          <w:sz w:val="24"/>
          <w:szCs w:val="24"/>
          <w:lang w:val="en-GB" w:eastAsia="en-GB"/>
        </w:rPr>
        <w:t xml:space="preserve">dataset </w:t>
      </w:r>
      <w:r w:rsidRPr="00591954">
        <w:rPr>
          <w:rFonts w:ascii="Times New Roman" w:hAnsi="Times New Roman" w:cs="Times New Roman"/>
          <w:color w:val="auto"/>
          <w:sz w:val="24"/>
          <w:szCs w:val="24"/>
          <w:lang w:val="en-GB" w:eastAsia="en-GB"/>
        </w:rPr>
        <w:t xml:space="preserve">as described </w:t>
      </w:r>
      <w:r w:rsidRPr="00591954">
        <w:rPr>
          <w:rFonts w:ascii="Times New Roman" w:hAnsi="Times New Roman" w:cs="Times New Roman"/>
          <w:color w:val="auto"/>
          <w:sz w:val="24"/>
          <w:szCs w:val="24"/>
          <w:lang w:val="en-GB" w:eastAsia="en-GB"/>
        </w:rPr>
        <w:fldChar w:fldCharType="begin" w:fldLock="1"/>
      </w:r>
      <w:r w:rsidR="004F23C5" w:rsidRPr="00591954">
        <w:rPr>
          <w:rFonts w:ascii="Times New Roman" w:hAnsi="Times New Roman" w:cs="Times New Roman"/>
          <w:color w:val="auto"/>
          <w:sz w:val="24"/>
          <w:szCs w:val="24"/>
          <w:lang w:val="en-GB" w:eastAsia="en-GB"/>
        </w:rPr>
        <w:instrText>ADDIN CSL_CITATION {"citationItems":[{"id":"ITEM-1","itemData":{"author":[{"dropping-particle":"","family":"Menden","given":"Kevin","non-dropping-particle":"","parse-names":false,"suffix":""},{"dropping-particle":"","family":"Marouf","given":"Mohamed","non-dropping-particle":"","parse-names":false,"suffix":""},{"dropping-particle":"","family":"Oller","given":"Sergio","non-dropping-particle":"","parse-names":false,"suffix":""},{"dropping-particle":"","family":"Dalmia","given":"Anupriya","non-dropping-particle":"","parse-names":false,"suffix":""},{"dropping-particle":"","family":"Magruder","given":"Daniel Sumner","non-dropping-particle":"","parse-names":false,"suffix":""},{"dropping-particle":"","family":"Kloiber","given":"Karin","non-dropping-particle":"","parse-names":false,"suffix":""},{"dropping-particle":"","family":"Heutink","given":"Peter","non-dropping-particle":"","parse-names":false,"suffix":""},{"dropping-particle":"","family":"Bonn","given":"Stefan","non-dropping-particle":"","parse-names":false,"suffix":""}],"container-title":"Science Advances","id":"ITEM-1","issue":"30","issued":{"date-parts":[["2020"]]},"page":"eaba2619","publisher":"American Association for the Advancement of Science","title":"Deep learning--based cell composition analysis from tissue expression profiles","type":"article-journal","volume":"6"},"uris":["http://www.mendeley.com/documents/?uuid=b2beae9a-d23d-484b-a247-3cc6d965303f"]}],"mendeley":{"formattedCitation":"[9]","plainTextFormattedCitation":"[9]","previouslyFormattedCitation":"(9)"},"properties":{"noteIndex":0},"schema":"https://github.com/citation-style-language/schema/raw/master/csl-citation.json"}</w:instrText>
      </w:r>
      <w:r w:rsidRPr="00591954">
        <w:rPr>
          <w:rFonts w:ascii="Times New Roman" w:hAnsi="Times New Roman" w:cs="Times New Roman"/>
          <w:color w:val="auto"/>
          <w:sz w:val="24"/>
          <w:szCs w:val="24"/>
          <w:lang w:val="en-GB" w:eastAsia="en-GB"/>
        </w:rPr>
        <w:fldChar w:fldCharType="separate"/>
      </w:r>
      <w:r w:rsidR="004F23C5" w:rsidRPr="00591954">
        <w:rPr>
          <w:rFonts w:ascii="Times New Roman" w:hAnsi="Times New Roman" w:cs="Times New Roman"/>
          <w:noProof/>
          <w:color w:val="auto"/>
          <w:sz w:val="24"/>
          <w:szCs w:val="24"/>
          <w:lang w:val="en-GB" w:eastAsia="en-GB"/>
        </w:rPr>
        <w:t>[9]</w:t>
      </w:r>
      <w:r w:rsidRPr="00591954">
        <w:rPr>
          <w:rFonts w:ascii="Times New Roman" w:hAnsi="Times New Roman" w:cs="Times New Roman"/>
          <w:color w:val="auto"/>
          <w:sz w:val="24"/>
          <w:szCs w:val="24"/>
          <w:lang w:val="en-GB" w:eastAsia="en-GB"/>
        </w:rPr>
        <w:fldChar w:fldCharType="end"/>
      </w:r>
      <w:r w:rsidRPr="00591954">
        <w:rPr>
          <w:rFonts w:ascii="Times New Roman" w:hAnsi="Times New Roman" w:cs="Times New Roman"/>
          <w:color w:val="auto"/>
          <w:sz w:val="24"/>
          <w:szCs w:val="24"/>
          <w:lang w:val="en-GB" w:eastAsia="en-GB"/>
        </w:rPr>
        <w:t xml:space="preserve">. </w:t>
      </w:r>
      <w:r w:rsidR="00C844B2" w:rsidRPr="00591954">
        <w:rPr>
          <w:rFonts w:ascii="Times New Roman" w:hAnsi="Times New Roman" w:cs="Times New Roman"/>
          <w:color w:val="auto"/>
          <w:sz w:val="24"/>
          <w:szCs w:val="24"/>
          <w:lang w:val="en-GB" w:eastAsia="en-GB"/>
        </w:rPr>
        <w:t>The final network used for the deconvolution of AHBA samples was trained for 5000 steps following the recommendation</w:t>
      </w:r>
      <w:r w:rsidR="003D6645" w:rsidRPr="00591954">
        <w:rPr>
          <w:rFonts w:ascii="Times New Roman" w:hAnsi="Times New Roman" w:cs="Times New Roman"/>
          <w:color w:val="auto"/>
          <w:sz w:val="24"/>
          <w:szCs w:val="24"/>
          <w:lang w:val="en-GB" w:eastAsia="en-GB"/>
        </w:rPr>
        <w:t>s</w:t>
      </w:r>
      <w:r w:rsidR="00C844B2" w:rsidRPr="00591954">
        <w:rPr>
          <w:rFonts w:ascii="Times New Roman" w:hAnsi="Times New Roman" w:cs="Times New Roman"/>
          <w:color w:val="auto"/>
          <w:sz w:val="24"/>
          <w:szCs w:val="24"/>
          <w:lang w:val="en-GB" w:eastAsia="en-GB"/>
        </w:rPr>
        <w:t xml:space="preserve"> </w:t>
      </w:r>
      <w:r w:rsidR="00C844B2" w:rsidRPr="00591954">
        <w:rPr>
          <w:rFonts w:ascii="Times New Roman" w:hAnsi="Times New Roman" w:cs="Times New Roman"/>
          <w:color w:val="auto"/>
          <w:sz w:val="24"/>
          <w:szCs w:val="24"/>
          <w:lang w:val="en-GB" w:eastAsia="en-GB"/>
        </w:rPr>
        <w:fldChar w:fldCharType="begin" w:fldLock="1"/>
      </w:r>
      <w:r w:rsidR="004F23C5" w:rsidRPr="00591954">
        <w:rPr>
          <w:rFonts w:ascii="Times New Roman" w:hAnsi="Times New Roman" w:cs="Times New Roman"/>
          <w:color w:val="auto"/>
          <w:sz w:val="24"/>
          <w:szCs w:val="24"/>
          <w:lang w:val="en-GB" w:eastAsia="en-GB"/>
        </w:rPr>
        <w:instrText>ADDIN CSL_CITATION {"citationItems":[{"id":"ITEM-1","itemData":{"author":[{"dropping-particle":"","family":"Menden","given":"Kevin","non-dropping-particle":"","parse-names":false,"suffix":""},{"dropping-particle":"","family":"Marouf","given":"Mohamed","non-dropping-particle":"","parse-names":false,"suffix":""},{"dropping-particle":"","family":"Oller","given":"Sergio","non-dropping-particle":"","parse-names":false,"suffix":""},{"dropping-particle":"","family":"Dalmia","given":"Anupriya","non-dropping-particle":"","parse-names":false,"suffix":""},{"dropping-particle":"","family":"Magruder","given":"Daniel Sumner","non-dropping-particle":"","parse-names":false,"suffix":""},{"dropping-particle":"","family":"Kloiber","given":"Karin","non-dropping-particle":"","parse-names":false,"suffix":""},{"dropping-particle":"","family":"Heutink","given":"Peter","non-dropping-particle":"","parse-names":false,"suffix":""},{"dropping-particle":"","family":"Bonn","given":"Stefan","non-dropping-particle":"","parse-names":false,"suffix":""}],"container-title":"Science Advances","id":"ITEM-1","issue":"30","issued":{"date-parts":[["2020"]]},"page":"eaba2619","publisher":"American Association for the Advancement of Science","title":"Deep learning--based cell composition analysis from tissue expression profiles","type":"article-journal","volume":"6"},"uris":["http://www.mendeley.com/documents/?uuid=b2beae9a-d23d-484b-a247-3cc6d965303f"]}],"mendeley":{"formattedCitation":"[9]","plainTextFormattedCitation":"[9]","previouslyFormattedCitation":"(9)"},"properties":{"noteIndex":0},"schema":"https://github.com/citation-style-language/schema/raw/master/csl-citation.json"}</w:instrText>
      </w:r>
      <w:r w:rsidR="00C844B2" w:rsidRPr="00591954">
        <w:rPr>
          <w:rFonts w:ascii="Times New Roman" w:hAnsi="Times New Roman" w:cs="Times New Roman"/>
          <w:color w:val="auto"/>
          <w:sz w:val="24"/>
          <w:szCs w:val="24"/>
          <w:lang w:val="en-GB" w:eastAsia="en-GB"/>
        </w:rPr>
        <w:fldChar w:fldCharType="separate"/>
      </w:r>
      <w:r w:rsidR="004F23C5" w:rsidRPr="00591954">
        <w:rPr>
          <w:rFonts w:ascii="Times New Roman" w:hAnsi="Times New Roman" w:cs="Times New Roman"/>
          <w:noProof/>
          <w:color w:val="auto"/>
          <w:sz w:val="24"/>
          <w:szCs w:val="24"/>
          <w:lang w:val="en-GB" w:eastAsia="en-GB"/>
        </w:rPr>
        <w:t>[9]</w:t>
      </w:r>
      <w:r w:rsidR="00C844B2" w:rsidRPr="00591954">
        <w:rPr>
          <w:rFonts w:ascii="Times New Roman" w:hAnsi="Times New Roman" w:cs="Times New Roman"/>
          <w:color w:val="auto"/>
          <w:sz w:val="24"/>
          <w:szCs w:val="24"/>
          <w:lang w:val="en-GB" w:eastAsia="en-GB"/>
        </w:rPr>
        <w:fldChar w:fldCharType="end"/>
      </w:r>
      <w:r w:rsidR="00C844B2" w:rsidRPr="00591954">
        <w:rPr>
          <w:rFonts w:ascii="Times New Roman" w:hAnsi="Times New Roman" w:cs="Times New Roman"/>
          <w:color w:val="auto"/>
          <w:sz w:val="24"/>
          <w:szCs w:val="24"/>
          <w:lang w:val="en-GB" w:eastAsia="en-GB"/>
        </w:rPr>
        <w:t>. This setup allowed deconvol</w:t>
      </w:r>
      <w:r w:rsidR="003D6645" w:rsidRPr="00591954">
        <w:rPr>
          <w:rFonts w:ascii="Times New Roman" w:hAnsi="Times New Roman" w:cs="Times New Roman"/>
          <w:color w:val="auto"/>
          <w:sz w:val="24"/>
          <w:szCs w:val="24"/>
          <w:lang w:val="en-GB" w:eastAsia="en-GB"/>
        </w:rPr>
        <w:t>ution of</w:t>
      </w:r>
      <w:r w:rsidR="00C844B2" w:rsidRPr="00591954">
        <w:rPr>
          <w:rFonts w:ascii="Times New Roman" w:hAnsi="Times New Roman" w:cs="Times New Roman"/>
          <w:color w:val="auto"/>
          <w:sz w:val="24"/>
          <w:szCs w:val="24"/>
          <w:lang w:val="en-GB" w:eastAsia="en-GB"/>
        </w:rPr>
        <w:t xml:space="preserve"> a given AHBA sample into fractions of </w:t>
      </w:r>
      <w:r w:rsidR="005A04E1" w:rsidRPr="00591954">
        <w:rPr>
          <w:rFonts w:ascii="Times New Roman" w:hAnsi="Times New Roman" w:cs="Times New Roman"/>
          <w:color w:val="auto"/>
          <w:sz w:val="24"/>
          <w:szCs w:val="24"/>
          <w:lang w:val="en-GB" w:eastAsia="en-GB"/>
        </w:rPr>
        <w:t>seven</w:t>
      </w:r>
      <w:r w:rsidR="00C844B2" w:rsidRPr="00591954">
        <w:rPr>
          <w:rFonts w:ascii="Times New Roman" w:hAnsi="Times New Roman" w:cs="Times New Roman"/>
          <w:color w:val="auto"/>
          <w:sz w:val="24"/>
          <w:szCs w:val="24"/>
          <w:lang w:val="en-GB" w:eastAsia="en-GB"/>
        </w:rPr>
        <w:t xml:space="preserve"> brain-cell types (Astrocytes,</w:t>
      </w:r>
      <w:r w:rsidR="005A04E1" w:rsidRPr="00591954">
        <w:rPr>
          <w:rFonts w:ascii="Times New Roman" w:hAnsi="Times New Roman" w:cs="Times New Roman"/>
          <w:color w:val="auto"/>
          <w:sz w:val="24"/>
          <w:szCs w:val="24"/>
          <w:lang w:val="en-GB" w:eastAsia="en-GB"/>
        </w:rPr>
        <w:t xml:space="preserve"> Endothelial,</w:t>
      </w:r>
      <w:r w:rsidR="005A04E1" w:rsidRPr="00591954">
        <w:rPr>
          <w:color w:val="auto"/>
          <w:lang w:val="en-GB"/>
        </w:rPr>
        <w:t xml:space="preserve"> </w:t>
      </w:r>
      <w:r w:rsidR="005A04E1" w:rsidRPr="00591954">
        <w:rPr>
          <w:rFonts w:ascii="Times New Roman" w:hAnsi="Times New Roman" w:cs="Times New Roman"/>
          <w:color w:val="auto"/>
          <w:sz w:val="24"/>
          <w:szCs w:val="24"/>
          <w:lang w:val="en-GB" w:eastAsia="en-GB"/>
        </w:rPr>
        <w:t>ExNeurons, InNeurons, Microglia, Oligodendrocytes, OPC</w:t>
      </w:r>
      <w:r w:rsidR="00C844B2" w:rsidRPr="00591954">
        <w:rPr>
          <w:rFonts w:ascii="Times New Roman" w:hAnsi="Times New Roman" w:cs="Times New Roman"/>
          <w:color w:val="auto"/>
          <w:sz w:val="24"/>
          <w:szCs w:val="24"/>
          <w:lang w:val="en-GB" w:eastAsia="en-GB"/>
        </w:rPr>
        <w:t>)</w:t>
      </w:r>
      <w:r w:rsidR="005A04E1" w:rsidRPr="00591954">
        <w:rPr>
          <w:rFonts w:ascii="Times New Roman" w:hAnsi="Times New Roman" w:cs="Times New Roman"/>
          <w:color w:val="auto"/>
          <w:sz w:val="24"/>
          <w:szCs w:val="24"/>
          <w:lang w:val="en-GB" w:eastAsia="en-GB"/>
        </w:rPr>
        <w:t xml:space="preserve"> </w:t>
      </w:r>
      <w:r w:rsidR="00C844B2" w:rsidRPr="00591954">
        <w:rPr>
          <w:rFonts w:ascii="Times New Roman" w:hAnsi="Times New Roman" w:cs="Times New Roman"/>
          <w:color w:val="auto"/>
          <w:sz w:val="24"/>
          <w:szCs w:val="24"/>
          <w:lang w:val="en-GB" w:eastAsia="en-GB"/>
        </w:rPr>
        <w:t>and U</w:t>
      </w:r>
      <w:r w:rsidR="00D853A8" w:rsidRPr="00591954">
        <w:rPr>
          <w:rFonts w:ascii="Times New Roman" w:hAnsi="Times New Roman" w:cs="Times New Roman"/>
          <w:color w:val="auto"/>
          <w:sz w:val="24"/>
          <w:szCs w:val="24"/>
          <w:lang w:val="en-GB" w:eastAsia="en-GB"/>
        </w:rPr>
        <w:t>nknown</w:t>
      </w:r>
      <w:r w:rsidR="00C844B2" w:rsidRPr="00591954">
        <w:rPr>
          <w:rFonts w:ascii="Times New Roman" w:hAnsi="Times New Roman" w:cs="Times New Roman"/>
          <w:color w:val="auto"/>
          <w:sz w:val="24"/>
          <w:szCs w:val="24"/>
          <w:lang w:val="en-GB" w:eastAsia="en-GB"/>
        </w:rPr>
        <w:t xml:space="preserve">. </w:t>
      </w:r>
      <w:r w:rsidR="00D853A8" w:rsidRPr="00591954">
        <w:rPr>
          <w:rFonts w:ascii="Times New Roman" w:hAnsi="Times New Roman" w:cs="Times New Roman"/>
          <w:color w:val="auto"/>
          <w:sz w:val="24"/>
          <w:szCs w:val="24"/>
          <w:lang w:val="en-GB" w:eastAsia="en-GB"/>
        </w:rPr>
        <w:t xml:space="preserve">The deep </w:t>
      </w:r>
      <w:r w:rsidR="00416F50" w:rsidRPr="00591954">
        <w:rPr>
          <w:rFonts w:ascii="Times New Roman" w:hAnsi="Times New Roman" w:cs="Times New Roman"/>
          <w:color w:val="auto"/>
          <w:sz w:val="24"/>
          <w:szCs w:val="24"/>
          <w:lang w:val="en-GB" w:eastAsia="en-GB"/>
        </w:rPr>
        <w:t>learning-based</w:t>
      </w:r>
      <w:r w:rsidR="00D853A8" w:rsidRPr="00591954">
        <w:rPr>
          <w:rFonts w:ascii="Times New Roman" w:hAnsi="Times New Roman" w:cs="Times New Roman"/>
          <w:color w:val="auto"/>
          <w:sz w:val="24"/>
          <w:szCs w:val="24"/>
          <w:lang w:val="en-GB" w:eastAsia="en-GB"/>
        </w:rPr>
        <w:t xml:space="preserve"> architecture of </w:t>
      </w:r>
      <w:r w:rsidR="004A423C" w:rsidRPr="00591954">
        <w:rPr>
          <w:rFonts w:ascii="Times New Roman" w:hAnsi="Times New Roman" w:cs="Times New Roman"/>
          <w:color w:val="auto"/>
          <w:sz w:val="24"/>
          <w:szCs w:val="24"/>
          <w:lang w:val="en-GB" w:eastAsia="en-GB"/>
        </w:rPr>
        <w:t>S</w:t>
      </w:r>
      <w:r w:rsidR="00C844B2" w:rsidRPr="00591954">
        <w:rPr>
          <w:rFonts w:ascii="Times New Roman" w:hAnsi="Times New Roman" w:cs="Times New Roman"/>
          <w:color w:val="auto"/>
          <w:sz w:val="24"/>
          <w:szCs w:val="24"/>
          <w:lang w:val="en-GB" w:eastAsia="en-GB"/>
        </w:rPr>
        <w:t xml:space="preserve">caden </w:t>
      </w:r>
      <w:r w:rsidR="00D853A8" w:rsidRPr="00591954">
        <w:rPr>
          <w:rFonts w:ascii="Times New Roman" w:hAnsi="Times New Roman" w:cs="Times New Roman"/>
          <w:color w:val="auto"/>
          <w:sz w:val="24"/>
          <w:szCs w:val="24"/>
          <w:lang w:val="en-GB" w:eastAsia="en-GB"/>
        </w:rPr>
        <w:t>theoretically affords the</w:t>
      </w:r>
      <w:r w:rsidR="00C844B2" w:rsidRPr="00591954">
        <w:rPr>
          <w:rFonts w:ascii="Times New Roman" w:hAnsi="Times New Roman" w:cs="Times New Roman"/>
          <w:color w:val="auto"/>
          <w:sz w:val="24"/>
          <w:szCs w:val="24"/>
          <w:lang w:val="en-GB" w:eastAsia="en-GB"/>
        </w:rPr>
        <w:t xml:space="preserve"> deconvolution of microarray data</w:t>
      </w:r>
      <w:r w:rsidR="007B36DE" w:rsidRPr="00591954">
        <w:rPr>
          <w:rFonts w:ascii="Times New Roman" w:hAnsi="Times New Roman" w:cs="Times New Roman"/>
          <w:color w:val="auto"/>
          <w:sz w:val="24"/>
          <w:szCs w:val="24"/>
          <w:lang w:val="en-GB" w:eastAsia="en-GB"/>
        </w:rPr>
        <w:t>.</w:t>
      </w:r>
      <w:r w:rsidR="00C844B2" w:rsidRPr="00591954">
        <w:rPr>
          <w:rFonts w:ascii="Times New Roman" w:hAnsi="Times New Roman" w:cs="Times New Roman"/>
          <w:color w:val="auto"/>
          <w:sz w:val="24"/>
          <w:szCs w:val="24"/>
          <w:lang w:val="en-GB" w:eastAsia="en-GB"/>
        </w:rPr>
        <w:t xml:space="preserve"> </w:t>
      </w:r>
      <w:r w:rsidR="007B36DE" w:rsidRPr="00591954">
        <w:rPr>
          <w:rFonts w:ascii="Times New Roman" w:hAnsi="Times New Roman" w:cs="Times New Roman"/>
          <w:color w:val="auto"/>
          <w:sz w:val="24"/>
          <w:szCs w:val="24"/>
          <w:lang w:val="en-GB" w:eastAsia="en-GB"/>
        </w:rPr>
        <w:t>To verify this</w:t>
      </w:r>
      <w:r w:rsidR="00D853A8" w:rsidRPr="00591954">
        <w:rPr>
          <w:rFonts w:ascii="Times New Roman" w:hAnsi="Times New Roman" w:cs="Times New Roman"/>
          <w:color w:val="auto"/>
          <w:sz w:val="24"/>
          <w:szCs w:val="24"/>
          <w:lang w:val="en-GB" w:eastAsia="en-GB"/>
        </w:rPr>
        <w:t xml:space="preserve">, </w:t>
      </w:r>
      <w:r w:rsidR="00C844B2" w:rsidRPr="00591954">
        <w:rPr>
          <w:rFonts w:ascii="Times New Roman" w:hAnsi="Times New Roman" w:cs="Times New Roman"/>
          <w:color w:val="auto"/>
          <w:sz w:val="24"/>
          <w:szCs w:val="24"/>
          <w:lang w:val="en-GB" w:eastAsia="en-GB"/>
        </w:rPr>
        <w:t>we</w:t>
      </w:r>
      <w:r w:rsidR="00D853A8" w:rsidRPr="00591954">
        <w:rPr>
          <w:rFonts w:ascii="Times New Roman" w:hAnsi="Times New Roman" w:cs="Times New Roman"/>
          <w:color w:val="auto"/>
          <w:sz w:val="24"/>
          <w:szCs w:val="24"/>
          <w:lang w:val="en-GB" w:eastAsia="en-GB"/>
        </w:rPr>
        <w:t xml:space="preserve"> first</w:t>
      </w:r>
      <w:r w:rsidR="00C844B2" w:rsidRPr="00591954">
        <w:rPr>
          <w:rFonts w:ascii="Times New Roman" w:hAnsi="Times New Roman" w:cs="Times New Roman"/>
          <w:color w:val="auto"/>
          <w:sz w:val="24"/>
          <w:szCs w:val="24"/>
          <w:lang w:val="en-GB" w:eastAsia="en-GB"/>
        </w:rPr>
        <w:t xml:space="preserve"> compared </w:t>
      </w:r>
      <w:r w:rsidR="00C02009" w:rsidRPr="00591954">
        <w:rPr>
          <w:rFonts w:ascii="Times New Roman" w:hAnsi="Times New Roman" w:cs="Times New Roman"/>
          <w:color w:val="auto"/>
          <w:sz w:val="24"/>
          <w:szCs w:val="24"/>
          <w:lang w:val="en-GB" w:eastAsia="en-GB"/>
        </w:rPr>
        <w:t xml:space="preserve">the </w:t>
      </w:r>
      <w:r w:rsidR="007B36DE" w:rsidRPr="00591954">
        <w:rPr>
          <w:rFonts w:ascii="Times New Roman" w:hAnsi="Times New Roman" w:cs="Times New Roman"/>
          <w:color w:val="auto"/>
          <w:sz w:val="24"/>
          <w:szCs w:val="24"/>
          <w:lang w:val="en-GB" w:eastAsia="en-GB"/>
        </w:rPr>
        <w:t>agreement</w:t>
      </w:r>
      <w:r w:rsidR="00C02009" w:rsidRPr="00591954">
        <w:rPr>
          <w:rFonts w:ascii="Times New Roman" w:hAnsi="Times New Roman" w:cs="Times New Roman"/>
          <w:color w:val="auto"/>
          <w:sz w:val="24"/>
          <w:szCs w:val="24"/>
          <w:lang w:val="en-GB" w:eastAsia="en-GB"/>
        </w:rPr>
        <w:t xml:space="preserve"> per cell type based on 92 </w:t>
      </w:r>
      <w:r w:rsidR="007B36DE" w:rsidRPr="00591954">
        <w:rPr>
          <w:rFonts w:ascii="Times New Roman" w:hAnsi="Times New Roman" w:cs="Times New Roman"/>
          <w:color w:val="auto"/>
          <w:sz w:val="24"/>
          <w:szCs w:val="24"/>
          <w:lang w:val="en-GB" w:eastAsia="en-GB"/>
        </w:rPr>
        <w:t>of our cortical samples</w:t>
      </w:r>
      <w:r w:rsidR="00C02009" w:rsidRPr="00591954">
        <w:rPr>
          <w:rFonts w:ascii="Times New Roman" w:hAnsi="Times New Roman" w:cs="Times New Roman"/>
          <w:color w:val="auto"/>
          <w:sz w:val="24"/>
          <w:szCs w:val="24"/>
          <w:lang w:val="en-GB" w:eastAsia="en-GB"/>
        </w:rPr>
        <w:t xml:space="preserve"> w</w:t>
      </w:r>
      <w:r w:rsidR="003D6645" w:rsidRPr="00591954">
        <w:rPr>
          <w:rFonts w:ascii="Times New Roman" w:hAnsi="Times New Roman" w:cs="Times New Roman"/>
          <w:color w:val="auto"/>
          <w:sz w:val="24"/>
          <w:szCs w:val="24"/>
          <w:lang w:val="en-GB" w:eastAsia="en-GB"/>
        </w:rPr>
        <w:t>h</w:t>
      </w:r>
      <w:r w:rsidR="00C02009" w:rsidRPr="00591954">
        <w:rPr>
          <w:rFonts w:ascii="Times New Roman" w:hAnsi="Times New Roman" w:cs="Times New Roman"/>
          <w:color w:val="auto"/>
          <w:sz w:val="24"/>
          <w:szCs w:val="24"/>
          <w:lang w:val="en-GB" w:eastAsia="en-GB"/>
        </w:rPr>
        <w:t>ere SSMI and RNAseq data were available.</w:t>
      </w:r>
      <w:r w:rsidR="00571134" w:rsidRPr="00591954">
        <w:rPr>
          <w:rFonts w:ascii="Times New Roman" w:hAnsi="Times New Roman" w:cs="Times New Roman"/>
          <w:color w:val="auto"/>
          <w:sz w:val="24"/>
          <w:szCs w:val="24"/>
          <w:lang w:val="en-GB" w:eastAsia="en-GB"/>
        </w:rPr>
        <w:t xml:space="preserve"> The </w:t>
      </w:r>
      <w:r w:rsidR="003D6645" w:rsidRPr="00591954">
        <w:rPr>
          <w:rFonts w:ascii="Times New Roman" w:hAnsi="Times New Roman" w:cs="Times New Roman"/>
          <w:color w:val="auto"/>
          <w:sz w:val="24"/>
          <w:szCs w:val="24"/>
          <w:lang w:val="en-GB" w:eastAsia="en-GB"/>
        </w:rPr>
        <w:t>S</w:t>
      </w:r>
      <w:r w:rsidR="00571134" w:rsidRPr="00591954">
        <w:rPr>
          <w:rFonts w:ascii="Times New Roman" w:hAnsi="Times New Roman" w:cs="Times New Roman"/>
          <w:color w:val="auto"/>
          <w:sz w:val="24"/>
          <w:szCs w:val="24"/>
          <w:lang w:val="en-GB" w:eastAsia="en-GB"/>
        </w:rPr>
        <w:t xml:space="preserve">pearman rank correlation ranged from </w:t>
      </w:r>
      <w:r w:rsidR="00D853A8" w:rsidRPr="00591954">
        <w:rPr>
          <w:rFonts w:ascii="Times New Roman" w:hAnsi="Times New Roman" w:cs="Times New Roman"/>
          <w:color w:val="auto"/>
          <w:sz w:val="24"/>
          <w:szCs w:val="24"/>
          <w:lang w:val="en-GB" w:eastAsia="en-GB"/>
        </w:rPr>
        <w:t>0.64</w:t>
      </w:r>
      <w:r w:rsidR="00571134" w:rsidRPr="00591954">
        <w:rPr>
          <w:rFonts w:ascii="Times New Roman" w:hAnsi="Times New Roman" w:cs="Times New Roman"/>
          <w:color w:val="auto"/>
          <w:sz w:val="24"/>
          <w:szCs w:val="24"/>
          <w:lang w:val="en-GB" w:eastAsia="en-GB"/>
        </w:rPr>
        <w:t xml:space="preserve"> to </w:t>
      </w:r>
      <w:r w:rsidR="00D853A8" w:rsidRPr="00591954">
        <w:rPr>
          <w:rFonts w:ascii="Times New Roman" w:hAnsi="Times New Roman" w:cs="Times New Roman"/>
          <w:color w:val="auto"/>
          <w:sz w:val="24"/>
          <w:szCs w:val="24"/>
          <w:lang w:val="en-GB" w:eastAsia="en-GB"/>
        </w:rPr>
        <w:t>0.97</w:t>
      </w:r>
      <w:r w:rsidR="00571134" w:rsidRPr="00591954">
        <w:rPr>
          <w:rFonts w:ascii="Times New Roman" w:hAnsi="Times New Roman" w:cs="Times New Roman"/>
          <w:color w:val="auto"/>
          <w:sz w:val="24"/>
          <w:szCs w:val="24"/>
          <w:lang w:val="en-GB" w:eastAsia="en-GB"/>
        </w:rPr>
        <w:t xml:space="preserve"> (see Fig</w:t>
      </w:r>
      <w:r w:rsidR="00334CAF" w:rsidRPr="00591954">
        <w:rPr>
          <w:rFonts w:ascii="Times New Roman" w:hAnsi="Times New Roman" w:cs="Times New Roman"/>
          <w:color w:val="auto"/>
          <w:sz w:val="24"/>
          <w:szCs w:val="24"/>
          <w:lang w:val="en-GB" w:eastAsia="en-GB"/>
        </w:rPr>
        <w:t>.</w:t>
      </w:r>
      <w:r w:rsidR="00571134" w:rsidRPr="00591954">
        <w:rPr>
          <w:rFonts w:ascii="Times New Roman" w:hAnsi="Times New Roman" w:cs="Times New Roman"/>
          <w:color w:val="auto"/>
          <w:sz w:val="24"/>
          <w:szCs w:val="24"/>
          <w:lang w:val="en-GB" w:eastAsia="en-GB"/>
        </w:rPr>
        <w:t xml:space="preserve"> S</w:t>
      </w:r>
      <w:r w:rsidR="00334CAF" w:rsidRPr="00591954">
        <w:rPr>
          <w:rFonts w:ascii="Times New Roman" w:hAnsi="Times New Roman" w:cs="Times New Roman"/>
          <w:color w:val="auto"/>
          <w:sz w:val="24"/>
          <w:szCs w:val="24"/>
          <w:lang w:val="en-GB" w:eastAsia="en-GB"/>
        </w:rPr>
        <w:t>13</w:t>
      </w:r>
      <w:r w:rsidR="00571134" w:rsidRPr="00591954">
        <w:rPr>
          <w:rFonts w:ascii="Times New Roman" w:hAnsi="Times New Roman" w:cs="Times New Roman"/>
          <w:color w:val="auto"/>
          <w:sz w:val="24"/>
          <w:szCs w:val="24"/>
          <w:lang w:val="en-GB" w:eastAsia="en-GB"/>
        </w:rPr>
        <w:t xml:space="preserve">). Furthermore, on the entire set of </w:t>
      </w:r>
      <w:r w:rsidR="00571134" w:rsidRPr="00591954">
        <w:rPr>
          <w:rFonts w:ascii="Times New Roman" w:hAnsi="Times New Roman" w:cs="Times New Roman"/>
          <w:color w:val="auto"/>
          <w:sz w:val="24"/>
          <w:szCs w:val="24"/>
          <w:lang w:val="en-GB"/>
        </w:rPr>
        <w:t xml:space="preserve">1227 we compared the </w:t>
      </w:r>
      <w:r w:rsidR="004A423C" w:rsidRPr="00591954">
        <w:rPr>
          <w:rFonts w:ascii="Times New Roman" w:hAnsi="Times New Roman" w:cs="Times New Roman"/>
          <w:color w:val="auto"/>
          <w:sz w:val="24"/>
          <w:szCs w:val="24"/>
          <w:lang w:val="en-GB"/>
        </w:rPr>
        <w:t>S</w:t>
      </w:r>
      <w:r w:rsidR="00571134" w:rsidRPr="00591954">
        <w:rPr>
          <w:rFonts w:ascii="Times New Roman" w:hAnsi="Times New Roman" w:cs="Times New Roman"/>
          <w:color w:val="auto"/>
          <w:sz w:val="24"/>
          <w:szCs w:val="24"/>
          <w:lang w:val="en-GB"/>
        </w:rPr>
        <w:t>caden-estimated cell type fractions to the expression of cell</w:t>
      </w:r>
      <w:r w:rsidR="003D6645" w:rsidRPr="00591954">
        <w:rPr>
          <w:rFonts w:ascii="Times New Roman" w:hAnsi="Times New Roman" w:cs="Times New Roman"/>
          <w:color w:val="auto"/>
          <w:sz w:val="24"/>
          <w:szCs w:val="24"/>
          <w:lang w:val="en-GB"/>
        </w:rPr>
        <w:t>-</w:t>
      </w:r>
      <w:r w:rsidR="00571134" w:rsidRPr="00591954">
        <w:rPr>
          <w:rFonts w:ascii="Times New Roman" w:hAnsi="Times New Roman" w:cs="Times New Roman"/>
          <w:color w:val="auto"/>
          <w:sz w:val="24"/>
          <w:szCs w:val="24"/>
          <w:lang w:val="en-GB"/>
        </w:rPr>
        <w:t xml:space="preserve">specific marker genes and found very good agreement </w:t>
      </w:r>
      <w:r w:rsidR="00D853A8" w:rsidRPr="00591954">
        <w:rPr>
          <w:rFonts w:ascii="Times New Roman" w:hAnsi="Times New Roman" w:cs="Times New Roman"/>
          <w:color w:val="auto"/>
          <w:sz w:val="24"/>
          <w:szCs w:val="24"/>
          <w:lang w:val="en-GB"/>
        </w:rPr>
        <w:t xml:space="preserve">for most cell types </w:t>
      </w:r>
      <w:r w:rsidR="00571134" w:rsidRPr="00591954">
        <w:rPr>
          <w:rFonts w:ascii="Times New Roman" w:hAnsi="Times New Roman" w:cs="Times New Roman"/>
          <w:color w:val="auto"/>
          <w:sz w:val="24"/>
          <w:szCs w:val="24"/>
          <w:lang w:val="en-GB"/>
        </w:rPr>
        <w:t>(see Fig</w:t>
      </w:r>
      <w:r w:rsidR="00334CAF" w:rsidRPr="00591954">
        <w:rPr>
          <w:rFonts w:ascii="Times New Roman" w:hAnsi="Times New Roman" w:cs="Times New Roman"/>
          <w:color w:val="auto"/>
          <w:sz w:val="24"/>
          <w:szCs w:val="24"/>
          <w:lang w:val="en-GB"/>
        </w:rPr>
        <w:t>. S14</w:t>
      </w:r>
      <w:r w:rsidR="00571134" w:rsidRPr="00591954">
        <w:rPr>
          <w:rFonts w:ascii="Times New Roman" w:hAnsi="Times New Roman" w:cs="Times New Roman"/>
          <w:color w:val="auto"/>
          <w:sz w:val="24"/>
          <w:szCs w:val="24"/>
          <w:lang w:val="en-GB"/>
        </w:rPr>
        <w:t xml:space="preserve">). Thus, supporting the reliability of microarray-inferred cell type fractions using </w:t>
      </w:r>
      <w:r w:rsidR="004A423C" w:rsidRPr="00591954">
        <w:rPr>
          <w:rFonts w:ascii="Times New Roman" w:hAnsi="Times New Roman" w:cs="Times New Roman"/>
          <w:color w:val="auto"/>
          <w:sz w:val="24"/>
          <w:szCs w:val="24"/>
          <w:lang w:val="en-GB"/>
        </w:rPr>
        <w:t>S</w:t>
      </w:r>
      <w:r w:rsidR="00571134" w:rsidRPr="00591954">
        <w:rPr>
          <w:rFonts w:ascii="Times New Roman" w:hAnsi="Times New Roman" w:cs="Times New Roman"/>
          <w:color w:val="auto"/>
          <w:sz w:val="24"/>
          <w:szCs w:val="24"/>
          <w:lang w:val="en-GB"/>
        </w:rPr>
        <w:t>caden.</w:t>
      </w:r>
    </w:p>
    <w:p w14:paraId="2EA2CAB9" w14:textId="77777777" w:rsidR="00786C33" w:rsidRPr="00591954" w:rsidRDefault="00786C33" w:rsidP="00951646">
      <w:pPr>
        <w:pStyle w:val="Normal1"/>
        <w:spacing w:line="240" w:lineRule="auto"/>
        <w:rPr>
          <w:rFonts w:ascii="Times New Roman" w:hAnsi="Times New Roman" w:cs="Times New Roman"/>
          <w:color w:val="auto"/>
          <w:sz w:val="24"/>
          <w:szCs w:val="24"/>
          <w:lang w:val="en-GB" w:eastAsia="en-GB"/>
        </w:rPr>
      </w:pPr>
    </w:p>
    <w:p w14:paraId="7DF5E88B" w14:textId="5DE70864" w:rsidR="00786C33" w:rsidRPr="00591954" w:rsidRDefault="00786C33" w:rsidP="00951646">
      <w:pPr>
        <w:pStyle w:val="Normal1"/>
        <w:spacing w:line="240" w:lineRule="auto"/>
        <w:rPr>
          <w:rFonts w:ascii="Times New Roman" w:eastAsia="Times New Roman" w:hAnsi="Times New Roman" w:cs="Times New Roman"/>
          <w:b/>
          <w:bCs/>
          <w:color w:val="auto"/>
          <w:kern w:val="32"/>
          <w:sz w:val="24"/>
          <w:szCs w:val="24"/>
          <w:lang w:val="en-GB" w:eastAsia="en-GB"/>
        </w:rPr>
      </w:pPr>
    </w:p>
    <w:p w14:paraId="0339D3C0" w14:textId="5C7D240C" w:rsidR="00786C33" w:rsidRPr="00591954" w:rsidRDefault="00786C33" w:rsidP="00951646">
      <w:pPr>
        <w:pStyle w:val="Normal1"/>
        <w:spacing w:line="240" w:lineRule="auto"/>
        <w:rPr>
          <w:rFonts w:ascii="Times New Roman" w:hAnsi="Times New Roman" w:cs="Times New Roman"/>
          <w:color w:val="auto"/>
          <w:sz w:val="24"/>
          <w:szCs w:val="24"/>
          <w:lang w:val="en-GB" w:eastAsia="en-GB"/>
        </w:rPr>
      </w:pPr>
    </w:p>
    <w:p w14:paraId="658966E1" w14:textId="45FF86E6" w:rsidR="00951646" w:rsidRPr="00591954" w:rsidRDefault="00607275" w:rsidP="00951646">
      <w:pPr>
        <w:pStyle w:val="SMHeading"/>
        <w:rPr>
          <w:sz w:val="26"/>
          <w:szCs w:val="26"/>
          <w:lang w:val="en-GB"/>
        </w:rPr>
      </w:pPr>
      <w:r w:rsidRPr="00591954">
        <w:rPr>
          <w:sz w:val="26"/>
          <w:szCs w:val="26"/>
          <w:lang w:val="en-GB"/>
        </w:rPr>
        <w:lastRenderedPageBreak/>
        <w:t xml:space="preserve">AHBA </w:t>
      </w:r>
      <w:r w:rsidR="001332CF" w:rsidRPr="00591954">
        <w:rPr>
          <w:sz w:val="26"/>
          <w:szCs w:val="26"/>
          <w:lang w:val="en-GB"/>
        </w:rPr>
        <w:t xml:space="preserve">cell type and </w:t>
      </w:r>
      <w:r w:rsidR="00951646" w:rsidRPr="00591954">
        <w:rPr>
          <w:sz w:val="26"/>
          <w:szCs w:val="26"/>
          <w:lang w:val="en-GB"/>
        </w:rPr>
        <w:t>gene expression statistical analysis</w:t>
      </w:r>
    </w:p>
    <w:p w14:paraId="0D15FA68" w14:textId="1C5DE0B1" w:rsidR="00F66AC5" w:rsidRPr="00591954" w:rsidRDefault="00951646" w:rsidP="005270F1">
      <w:pPr>
        <w:pStyle w:val="Normal1"/>
        <w:spacing w:line="240" w:lineRule="auto"/>
        <w:rPr>
          <w:rFonts w:ascii="Times New Roman" w:hAnsi="Times New Roman" w:cs="Times New Roman"/>
          <w:color w:val="auto"/>
          <w:sz w:val="24"/>
          <w:szCs w:val="24"/>
          <w:lang w:val="en-GB" w:eastAsia="en-GB"/>
        </w:rPr>
      </w:pPr>
      <w:r w:rsidRPr="00591954">
        <w:rPr>
          <w:rFonts w:ascii="Times New Roman" w:hAnsi="Times New Roman" w:cs="Times New Roman"/>
          <w:color w:val="auto"/>
          <w:sz w:val="24"/>
          <w:szCs w:val="24"/>
          <w:lang w:val="en-GB"/>
        </w:rPr>
        <w:t xml:space="preserve">We aimed to investigate in the six </w:t>
      </w:r>
      <w:r w:rsidR="006B661E" w:rsidRPr="00591954">
        <w:rPr>
          <w:rFonts w:ascii="Times New Roman" w:hAnsi="Times New Roman" w:cs="Times New Roman"/>
          <w:color w:val="auto"/>
          <w:sz w:val="24"/>
          <w:szCs w:val="24"/>
          <w:lang w:val="en-GB"/>
        </w:rPr>
        <w:t xml:space="preserve">ΑΗΒΑ </w:t>
      </w:r>
      <w:r w:rsidRPr="00591954">
        <w:rPr>
          <w:rFonts w:ascii="Times New Roman" w:hAnsi="Times New Roman" w:cs="Times New Roman"/>
          <w:color w:val="auto"/>
          <w:sz w:val="24"/>
          <w:szCs w:val="24"/>
          <w:lang w:val="en-GB"/>
        </w:rPr>
        <w:t xml:space="preserve">subjects (who did not suffer from epilepsy) which </w:t>
      </w:r>
      <w:r w:rsidR="00D5692C" w:rsidRPr="00591954">
        <w:rPr>
          <w:rFonts w:ascii="Times New Roman" w:hAnsi="Times New Roman" w:cs="Times New Roman"/>
          <w:color w:val="auto"/>
          <w:sz w:val="24"/>
          <w:szCs w:val="24"/>
          <w:lang w:val="en-GB"/>
        </w:rPr>
        <w:t>cell types show</w:t>
      </w:r>
      <w:r w:rsidRPr="00591954">
        <w:rPr>
          <w:rFonts w:ascii="Times New Roman" w:hAnsi="Times New Roman" w:cs="Times New Roman"/>
          <w:color w:val="auto"/>
          <w:sz w:val="24"/>
          <w:szCs w:val="24"/>
          <w:lang w:val="en-GB"/>
        </w:rPr>
        <w:t xml:space="preserve"> different </w:t>
      </w:r>
      <w:r w:rsidR="00D5692C" w:rsidRPr="00591954">
        <w:rPr>
          <w:rFonts w:ascii="Times New Roman" w:hAnsi="Times New Roman" w:cs="Times New Roman"/>
          <w:color w:val="auto"/>
          <w:sz w:val="24"/>
          <w:szCs w:val="24"/>
          <w:lang w:val="en-GB"/>
        </w:rPr>
        <w:t xml:space="preserve">fractions </w:t>
      </w:r>
      <w:r w:rsidRPr="00591954">
        <w:rPr>
          <w:rFonts w:ascii="Times New Roman" w:hAnsi="Times New Roman" w:cs="Times New Roman"/>
          <w:color w:val="auto"/>
          <w:sz w:val="24"/>
          <w:szCs w:val="24"/>
          <w:lang w:val="en-GB"/>
        </w:rPr>
        <w:t xml:space="preserve">in regions with reduced cortical thickness compared to regions with normal cortical thickness from the ENIGMA-Epilepsy data. Each of the 68 ROIs was </w:t>
      </w:r>
      <w:r w:rsidR="00252425" w:rsidRPr="00591954">
        <w:rPr>
          <w:rFonts w:ascii="Times New Roman" w:hAnsi="Times New Roman" w:cs="Times New Roman"/>
          <w:color w:val="auto"/>
          <w:sz w:val="24"/>
          <w:szCs w:val="24"/>
          <w:lang w:val="en-GB"/>
        </w:rPr>
        <w:t>labelled</w:t>
      </w:r>
      <w:r w:rsidRPr="00591954">
        <w:rPr>
          <w:rFonts w:ascii="Times New Roman" w:hAnsi="Times New Roman" w:cs="Times New Roman"/>
          <w:color w:val="auto"/>
          <w:sz w:val="24"/>
          <w:szCs w:val="24"/>
          <w:lang w:val="en-GB"/>
        </w:rPr>
        <w:t xml:space="preserve"> as either of reduced thickness or not, based on the corresponding P-value in the ‘all epilepsies’ analysis of ENIGMA-Epilepsy </w:t>
      </w:r>
      <w:r w:rsidRPr="00591954">
        <w:rPr>
          <w:color w:val="auto"/>
          <w:szCs w:val="24"/>
          <w:lang w:val="en-GB"/>
        </w:rPr>
        <w:fldChar w:fldCharType="begin" w:fldLock="1"/>
      </w:r>
      <w:r w:rsidR="004F23C5" w:rsidRPr="00591954">
        <w:rPr>
          <w:rFonts w:ascii="Times New Roman" w:hAnsi="Times New Roman" w:cs="Times New Roman"/>
          <w:color w:val="auto"/>
          <w:sz w:val="24"/>
          <w:szCs w:val="24"/>
          <w:lang w:val="en-GB"/>
        </w:rPr>
        <w:instrText>ADDIN CSL_CITATION {"citationItems":[{"id":"ITEM-1","itemData":{"DOI":"10.1093/brain/awx341","PMID":"29365066","abstract":"Progressive functional decline in the epilepsies is largely unexplained. We formed the ENIGMA-Epilepsy consortium to understand factors that influence brain measures in epilepsy, pooling data from 24 research centres in 14 countries across Europe, North and South America, Asia, and Australia. Structural brain measures were extracted from MRI brain scans across 2149 individuals with epilepsy, divided into four epilepsy subgroups including idiopathic generalized epilepsies (n =367), mesial temporal lobe epilepsies with hippocampal sclerosis (MTLE; left, n = 415; right, n = 339), and all other epilepsies in aggregate (n = 1026), and compared to 1727 matched healthy controls. We ranked brain structures in order of greatest differences between patients and controls, by meta-analysing effect sizes across 16 subcortical and 68 cortical brain regions. We also tested effects of duration of disease, age at onset, and age-by-diagnosis interactions on structural measures. We observed widespread patterns of altered subcortical volume and reduced cortical grey matter thickness. Compared to controls, all epilepsy groups showed lower volume in the right thalamus (Cohen's d = -0.24 to -0.73; P &lt; 1.49 × 10-4), and lower thickness in the precentral gyri bilaterally (d = -0.34 to -0.52; P &lt; 4.31 × 10-6). Both MTLE subgroups showed profound volume reduction in the ipsilateral hippocampus (d = -1.73 to -1.91, P &lt; 1.4 × 10-19), and lower thickness in extrahippocampal cortical regions, including the precentral and paracentral gyri, compared to controls (d = -0.36 to -0.52; P &lt; 1.49 × 10-4). Thickness differences of the ipsilateral temporopolar, parahippocampal, entorhinal, and fusiform gyri, contralateral pars triangularis, and bilateral precuneus, superior frontal and caudal middle frontal gyri were observed in left, but not right, MTLE (d = -0.29 to -0.54; P &lt; 1.49 × 10-4). Contrastingly, thickness differences of the ipsilateral pars opercularis, and contralateral transverse temporal gyrus, were observed in right, but not left, MTLE (d = -0.27 to -0.51; P &lt; 1.49 × 10-4). Lower subcortical volume and cortical thickness associated with a longer duration of epilepsy in the all-epilepsies, all-other-epilepsies, and right MTLE groups (beta, b &lt; -0.0018; P &lt; 1.49 × 10-4). In the largest neuroimaging study of epilepsy to date, we provide information on the common epilepsies that could not be realistically acquired in any other way. Our study provides a robust ranking of brain measu…","author":[{"dropping-particle":"","family":"Whelan","given":"Christopher D","non-dropping-particle":"","parse-names":false,"suffix":""},{"dropping-particle":"","family":"Altmann","given":"Andre","non-dropping-particle":"","parse-names":false,"suffix":""},{"dropping-particle":"","family":"Botía","given":"Juan A","non-dropping-particle":"","parse-names":false,"suffix":""},{"dropping-particle":"","family":"Jahanshad","given":"Neda","non-dropping-particle":"","parse-names":false,"suffix":""},{"dropping-particle":"","family":"Hibar","given":"Derrek P","non-dropping-particle":"","parse-names":false,"suffix":""},{"dropping-particle":"","family":"Absil","given":"Julie","non-dropping-particle":"","parse-names":false,"suffix":""},{"dropping-particle":"","family":"Alhusaini","given":"Saud","non-dropping-particle":"","parse-names":false,"suffix":""},{"dropping-particle":"","family":"Alvim","given":"Marina K M","non-dropping-particle":"","parse-names":false,"suffix":""},{"dropping-particle":"","family":"Auvinen","given":"Pia","non-dropping-particle":"","parse-names":false,"suffix":""},{"dropping-particle":"","family":"Bartolini","given":"Emanuele","non-dropping-particle":"","parse-names":false,"suffix":""},{"dropping-particle":"","family":"Bergo","given":"Felipe P G","non-dropping-particle":"","parse-names":false,"suffix":""},{"dropping-particle":"","family":"Bernardes","given":"Tauana","non-dropping-particle":"","parse-names":false,"suffix":""},{"dropping-particle":"","family":"Blackmon","given":"Karen","non-dropping-particle":"","parse-names":false,"suffix":""},{"dropping-particle":"","family":"Braga","given":"Barbara","non-dropping-particle":"","parse-names":false,"suffix":""},{"dropping-particle":"","family":"Caligiuri","given":"Maria Eugenia","non-dropping-particle":"","parse-names":false,"suffix":""},{"dropping-particle":"","family":"Calvo","given":"Anna","non-dropping-particle":"","parse-names":false,"suffix":""},{"dropping-particle":"","family":"Carr","given":"Sarah J","non-dropping-particle":"","parse-names":false,"suffix":""},{"dropping-particle":"","family":"Chen","given":"Jian","non-dropping-particle":"","parse-names":false,"suffix":""},{"dropping-particle":"","family":"Chen","given":"Shuai","non-dropping-particle":"","parse-names":false,"suffix":""},{"dropping-particle":"","family":"Cherubini","given":"Andrea","non-dropping-particle":"","parse-names":false,"suffix":""},{"dropping-particle":"","family":"David","given":"Philippe","non-dropping-particle":"","parse-names":false,"suffix":""},{"dropping-particle":"","family":"Domin","given":"Martin","non-dropping-particle":"","parse-names":false,"suffix":""},{"dropping-particle":"","family":"Foley","given":"Sonya","non-dropping-particle":"","parse-names":false,"suffix":""},{"dropping-particle":"","family":"França","given":"Wendy","non-dropping-particle":"","parse-names":false,"suffix":""},{"dropping-particle":"","family":"Haaker","given":"Gerrit","non-dropping-particle":"","parse-names":false,"suffix":""},{"dropping-particle":"","family":"Isaev","given":"Dmitry","non-dropping-particle":"","parse-names":false,"suffix":""},{"dropping-particle":"","family":"Keller","given":"Simon S","non-dropping-particle":"","parse-names":false,"suffix":""},{"dropping-particle":"","family":"Kotikalapudi","given":"Raviteja","non-dropping-particle":"","parse-names":false,"suffix":""},{"dropping-particle":"","family":"Kowalczyk","given":"Magdalena A","non-dropping-particle":"","parse-names":false,"suffix":""},{"dropping-particle":"","family":"Kuzniecky","given":"Ruben","non-dropping-particle":"","parse-names":false,"suffix":""},{"dropping-particle":"","family":"Langner","given":"Soenke","non-dropping-particle":"","parse-names":false,"suffix":""},{"dropping-particle":"","family":"Lenge","given":"Matteo","non-dropping-particle":"","parse-names":false,"suffix":""},{"dropping-particle":"","family":"Leyden","given":"Kelly M","non-dropping-particle":"","parse-names":false,"suffix":""},{"dropping-particle":"","family":"Liu","given":"Min","non-dropping-particle":"","parse-names":false,"suffix":""},{"dropping-particle":"","family":"Loi","given":"Richard Q","non-dropping-particle":"","parse-names":false,"suffix":""},{"dropping-particle":"","family":"Martin","given":"Pascal","non-dropping-particle":"","parse-names":false,"suffix":""},{"dropping-particle":"","family":"Mascalchi","given":"Mario","non-dropping-particle":"","parse-names":false,"suffix":""},{"dropping-particle":"","family":"Morita","given":"Marcia E","non-dropping-particle":"","parse-names":false,"suffix":""},{"dropping-particle":"","family":"Pariente","given":"Jose C","non-dropping-particle":"","parse-names":false,"suffix":""},{"dropping-particle":"","family":"Rodríguez-Cruces","given":"Raul","non-dropping-particle":"","parse-names":false,"suffix":""},{"dropping-particle":"","family":"Rummel","given":"Christian","non-dropping-particle":"","parse-names":false,"suffix":""},{"dropping-particle":"","family":"Saavalainen","given":"Taavi","non-dropping-particle":"","parse-names":false,"suffix":""},{"dropping-particle":"","family":"Semmelroch","given":"Mira K","non-dropping-particle":"","parse-names":false,"suffix":""},{"dropping-particle":"","family":"Severino","given":"Mariasavina","non-dropping-particle":"","parse-names":false,"suffix":""},{"dropping-particle":"","family":"Thomas","given":"Rhys H","non-dropping-particle":"","parse-names":false,"suffix":""},{"dropping-particle":"","family":"Tondelli","given":"Manuela","non-dropping-particle":"","parse-names":false,"suffix":""},{"dropping-particle":"","family":"Tortora","given":"Domenico","non-dropping-particle":"","parse-names":false,"suffix":""},{"dropping-particle":"","family":"Vaudano","given":"Anna Elisabetta","non-dropping-particle":"","parse-names":false,"suffix":""},{"dropping-particle":"","family":"Vivash","given":"Lucy","non-dropping-particle":"","parse-names":false,"suffix":""},{"dropping-particle":"","family":"Podewils","given":"Felix","non-dropping-particle":"von","parse-names":false,"suffix":""},{"dropping-particle":"","family":"Wagner","given":"Jan","non-dropping-particle":"","parse-names":false,"suffix":""},{"dropping-particle":"","family":"Weber","given":"Bernd","non-dropping-particle":"","parse-names":false,"suffix":""},{"dropping-particle":"","family":"Yao","given":"Yi","non-dropping-particle":"","parse-names":false,"suffix":""},{"dropping-particle":"","family":"Yasuda","given":"Clarissa L","non-dropping-particle":"","parse-names":false,"suffix":""},{"dropping-particle":"","family":"Zhang","given":"Guohao","non-dropping-particle":"","parse-names":false,"suffix":""},{"dropping-particle":"","family":"Bargalló","given":"Nuria","non-dropping-particle":"","parse-names":false,"suffix":""},{"dropping-particle":"","family":"Bender","given":"Benjamin","non-dropping-particle":"","parse-names":false,"suffix":""},{"dropping-particle":"","family":"Bernasconi","given":"Neda","non-dropping-particle":"","parse-names":false,"suffix":""},{"dropping-particle":"","family":"Bernasconi","given":"Andrea","non-dropping-particle":"","parse-names":false,"suffix":""},{"dropping-particle":"","family":"Bernhardt","given":"Boris C","non-dropping-particle":"","parse-names":false,"suffix":""},{"dropping-particle":"","family":"Blümcke","given":"Ingmar","non-dropping-particle":"","parse-names":false,"suffix":""},{"dropping-particle":"","family":"Carlson","given":"Chad","non-dropping-particle":"","parse-names":false,"suffix":""},{"dropping-particle":"","family":"Cavalleri","given":"Gianpiero L","non-dropping-particle":"","parse-names":false,"suffix":""},{"dropping-particle":"","family":"Cendes","given":"Fernando","non-dropping-particle":"","parse-names":false,"suffix":""},{"dropping-particle":"","family":"Concha","given":"Luis","non-dropping-particle":"","parse-names":false,"suffix":""},{"dropping-particle":"","family":"Delanty","given":"Norman","non-dropping-particle":"","parse-names":false,"suffix":""},{"dropping-particle":"","family":"Depondt","given":"Chantal","non-dropping-particle":"","parse-names":false,"suffix":""},{"dropping-particle":"","family":"Devinsky","given":"Orrin","non-dropping-particle":"","parse-names":false,"suffix":""},{"dropping-particle":"","family":"Doherty","given":"Colin P","non-dropping-particle":"","parse-names":false,"suffix":""},{"dropping-particle":"","family":"Focke","given":"Niels K","non-dropping-particle":"","parse-names":false,"suffix":""},{"dropping-particle":"","family":"Gambardella","given":"Antonio","non-dropping-particle":"","parse-names":false,"suffix":""},{"dropping-particle":"","family":"Guerrini","given":"Renzo","non-dropping-particle":"","parse-names":false,"suffix":""},{"dropping-particle":"","family":"Hamandi","given":"Khalid","non-dropping-particle":"","parse-names":false,"suffix":""},{"dropping-particle":"","family":"Jackson","given":"Graeme D","non-dropping-particle":"","parse-names":false,"suffix":""},{"dropping-particle":"","family":"Kälviäinen","given":"Reetta","non-dropping-particle":"","parse-names":false,"suffix":""},{"dropping-particle":"","family":"Kochunov","given":"Peter","non-dropping-particle":"","parse-names":false,"suffix":""},{"dropping-particle":"","family":"Kwan","given":"Patrick","non-dropping-particle":"","parse-names":false,"suffix":""},{"dropping-particle":"","family":"Labate","given":"Angelo","non-dropping-particle":"","parse-names":false,"suffix":""},{"dropping-particle":"","family":"McDonald","given":"Carrie R","non-dropping-particle":"","parse-names":false,"suffix":""},{"dropping-particle":"","family":"Meletti","given":"Stefano","non-dropping-particle":"","parse-names":false,"suffix":""},{"dropping-particle":"","family":"O&amp;apos;Brien","given":"Terence J","non-dropping-particle":"","parse-names":false,"suffix":""},{"dropping-particle":"","family":"Ourselin","given":"Sebastien","non-dropping-particle":"","parse-names":false,"suffix":""},{"dropping-particle":"","family":"Richardson","given":"Mark P","non-dropping-particle":"","parse-names":false,"suffix":""},{"dropping-particle":"","family":"Striano","given":"Pasquale","non-dropping-particle":"","parse-names":false,"suffix":""},{"dropping-particle":"","family":"Thesen","given":"Thomas","non-dropping-particle":"","parse-names":false,"suffix":""},{"dropping-particle":"","family":"Wiest","given":"Roland","non-dropping-particle":"","parse-names":false,"suffix":""},{"dropping-particle":"","family":"Zhang","given":"Junsong","non-dropping-particle":"","parse-names":false,"suffix":""},{"dropping-particle":"","family":"Vezzani","given":"Annamaria","non-dropping-particle":"","parse-names":false,"suffix":""},{"dropping-particle":"","family":"Ryten","given":"Mina","non-dropping-particle":"","parse-names":false,"suffix":""},{"dropping-particle":"","family":"Thompson","given":"Paul M","non-dropping-particle":"","parse-names":false,"suffix":""},{"dropping-particle":"","family":"Sisodiya","given":"Sanjay M","non-dropping-particle":"","parse-names":false,"suffix":""}],"container-title":"Brain : a journal of neurology","id":"ITEM-1","issue":"2","issued":{"date-parts":[["2018"]]},"language":"eng","page":"391-408","title":"Structural brain abnormalities in the common epilepsies assessed in a worldwide ENIGMA study","type":"article-journal","volume":"141"},"uris":["http://www.mendeley.com/documents/?uuid=d480dc9b-ff35-4f0c-869b-ffdbbc566e96"]}],"mendeley":{"formattedCitation":"[6]","plainTextFormattedCitation":"[6]","previouslyFormattedCitation":"(6)"},"properties":{"noteIndex":0},"schema":"https://github.com/citation-style-language/schema/raw/master/csl-citation.json"}</w:instrText>
      </w:r>
      <w:r w:rsidRPr="00591954">
        <w:rPr>
          <w:color w:val="auto"/>
          <w:szCs w:val="24"/>
          <w:lang w:val="en-GB"/>
        </w:rPr>
        <w:fldChar w:fldCharType="separate"/>
      </w:r>
      <w:r w:rsidR="004F23C5" w:rsidRPr="00591954">
        <w:rPr>
          <w:rFonts w:ascii="Times New Roman" w:hAnsi="Times New Roman" w:cs="Times New Roman"/>
          <w:noProof/>
          <w:color w:val="auto"/>
          <w:sz w:val="24"/>
          <w:szCs w:val="24"/>
          <w:lang w:val="en-GB"/>
        </w:rPr>
        <w:t>[6]</w:t>
      </w:r>
      <w:r w:rsidRPr="00591954">
        <w:rPr>
          <w:color w:val="auto"/>
          <w:szCs w:val="24"/>
          <w:lang w:val="en-GB"/>
        </w:rPr>
        <w:fldChar w:fldCharType="end"/>
      </w:r>
      <w:r w:rsidRPr="00591954">
        <w:rPr>
          <w:rFonts w:ascii="Times New Roman" w:hAnsi="Times New Roman" w:cs="Times New Roman"/>
          <w:color w:val="auto"/>
          <w:sz w:val="24"/>
          <w:szCs w:val="24"/>
          <w:lang w:val="en-GB"/>
        </w:rPr>
        <w:t>. We adopted the Bonferroni-corrected threshold of P=1.47x10</w:t>
      </w:r>
      <w:r w:rsidRPr="00591954">
        <w:rPr>
          <w:rFonts w:ascii="Times New Roman" w:hAnsi="Times New Roman" w:cs="Times New Roman"/>
          <w:color w:val="auto"/>
          <w:sz w:val="24"/>
          <w:szCs w:val="24"/>
          <w:vertAlign w:val="superscript"/>
          <w:lang w:val="en-GB"/>
        </w:rPr>
        <w:t xml:space="preserve">-4 </w:t>
      </w:r>
      <w:r w:rsidRPr="00591954">
        <w:rPr>
          <w:rFonts w:ascii="Times New Roman" w:hAnsi="Times New Roman" w:cs="Times New Roman"/>
          <w:color w:val="auto"/>
          <w:sz w:val="24"/>
          <w:szCs w:val="24"/>
          <w:lang w:val="en-GB"/>
        </w:rPr>
        <w:t xml:space="preserve">[for 340 tests, 68 cortical ROIs in five analyses conducted in ENIGMA-Epilepsy </w:t>
      </w:r>
      <w:r w:rsidRPr="00591954">
        <w:rPr>
          <w:rFonts w:ascii="Times New Roman" w:hAnsi="Times New Roman" w:cs="Times New Roman"/>
          <w:color w:val="auto"/>
          <w:sz w:val="24"/>
          <w:szCs w:val="24"/>
          <w:lang w:val="en-GB"/>
        </w:rPr>
        <w:fldChar w:fldCharType="begin" w:fldLock="1"/>
      </w:r>
      <w:r w:rsidR="004F23C5" w:rsidRPr="00591954">
        <w:rPr>
          <w:rFonts w:ascii="Times New Roman" w:hAnsi="Times New Roman" w:cs="Times New Roman"/>
          <w:color w:val="auto"/>
          <w:sz w:val="24"/>
          <w:szCs w:val="24"/>
          <w:lang w:val="en-GB"/>
        </w:rPr>
        <w:instrText>ADDIN CSL_CITATION {"citationItems":[{"id":"ITEM-1","itemData":{"DOI":"10.1093/brain/awx341","PMID":"29365066","abstract":"Progressive functional decline in the epilepsies is largely unexplained. We formed the ENIGMA-Epilepsy consortium to understand factors that influence brain measures in epilepsy, pooling data from 24 research centres in 14 countries across Europe, North and South America, Asia, and Australia. Structural brain measures were extracted from MRI brain scans across 2149 individuals with epilepsy, divided into four epilepsy subgroups including idiopathic generalized epilepsies (n =367), mesial temporal lobe epilepsies with hippocampal sclerosis (MTLE; left, n = 415; right, n = 339), and all other epilepsies in aggregate (n = 1026), and compared to 1727 matched healthy controls. We ranked brain structures in order of greatest differences between patients and controls, by meta-analysing effect sizes across 16 subcortical and 68 cortical brain regions. We also tested effects of duration of disease, age at onset, and age-by-diagnosis interactions on structural measures. We observed widespread patterns of altered subcortical volume and reduced cortical grey matter thickness. Compared to controls, all epilepsy groups showed lower volume in the right thalamus (Cohen's d = -0.24 to -0.73; P &lt; 1.49 × 10-4), and lower thickness in the precentral gyri bilaterally (d = -0.34 to -0.52; P &lt; 4.31 × 10-6). Both MTLE subgroups showed profound volume reduction in the ipsilateral hippocampus (d = -1.73 to -1.91, P &lt; 1.4 × 10-19), and lower thickness in extrahippocampal cortical regions, including the precentral and paracentral gyri, compared to controls (d = -0.36 to -0.52; P &lt; 1.49 × 10-4). Thickness differences of the ipsilateral temporopolar, parahippocampal, entorhinal, and fusiform gyri, contralateral pars triangularis, and bilateral precuneus, superior frontal and caudal middle frontal gyri were observed in left, but not right, MTLE (d = -0.29 to -0.54; P &lt; 1.49 × 10-4). Contrastingly, thickness differences of the ipsilateral pars opercularis, and contralateral transverse temporal gyrus, were observed in right, but not left, MTLE (d = -0.27 to -0.51; P &lt; 1.49 × 10-4). Lower subcortical volume and cortical thickness associated with a longer duration of epilepsy in the all-epilepsies, all-other-epilepsies, and right MTLE groups (beta, b &lt; -0.0018; P &lt; 1.49 × 10-4). In the largest neuroimaging study of epilepsy to date, we provide information on the common epilepsies that could not be realistically acquired in any other way. Our study provides a robust ranking of brain measu…","author":[{"dropping-particle":"","family":"Whelan","given":"Christopher D","non-dropping-particle":"","parse-names":false,"suffix":""},{"dropping-particle":"","family":"Altmann","given":"Andre","non-dropping-particle":"","parse-names":false,"suffix":""},{"dropping-particle":"","family":"Botía","given":"Juan A","non-dropping-particle":"","parse-names":false,"suffix":""},{"dropping-particle":"","family":"Jahanshad","given":"Neda","non-dropping-particle":"","parse-names":false,"suffix":""},{"dropping-particle":"","family":"Hibar","given":"Derrek P","non-dropping-particle":"","parse-names":false,"suffix":""},{"dropping-particle":"","family":"Absil","given":"Julie","non-dropping-particle":"","parse-names":false,"suffix":""},{"dropping-particle":"","family":"Alhusaini","given":"Saud","non-dropping-particle":"","parse-names":false,"suffix":""},{"dropping-particle":"","family":"Alvim","given":"Marina K M","non-dropping-particle":"","parse-names":false,"suffix":""},{"dropping-particle":"","family":"Auvinen","given":"Pia","non-dropping-particle":"","parse-names":false,"suffix":""},{"dropping-particle":"","family":"Bartolini","given":"Emanuele","non-dropping-particle":"","parse-names":false,"suffix":""},{"dropping-particle":"","family":"Bergo","given":"Felipe P G","non-dropping-particle":"","parse-names":false,"suffix":""},{"dropping-particle":"","family":"Bernardes","given":"Tauana","non-dropping-particle":"","parse-names":false,"suffix":""},{"dropping-particle":"","family":"Blackmon","given":"Karen","non-dropping-particle":"","parse-names":false,"suffix":""},{"dropping-particle":"","family":"Braga","given":"Barbara","non-dropping-particle":"","parse-names":false,"suffix":""},{"dropping-particle":"","family":"Caligiuri","given":"Maria Eugenia","non-dropping-particle":"","parse-names":false,"suffix":""},{"dropping-particle":"","family":"Calvo","given":"Anna","non-dropping-particle":"","parse-names":false,"suffix":""},{"dropping-particle":"","family":"Carr","given":"Sarah J","non-dropping-particle":"","parse-names":false,"suffix":""},{"dropping-particle":"","family":"Chen","given":"Jian","non-dropping-particle":"","parse-names":false,"suffix":""},{"dropping-particle":"","family":"Chen","given":"Shuai","non-dropping-particle":"","parse-names":false,"suffix":""},{"dropping-particle":"","family":"Cherubini","given":"Andrea","non-dropping-particle":"","parse-names":false,"suffix":""},{"dropping-particle":"","family":"David","given":"Philippe","non-dropping-particle":"","parse-names":false,"suffix":""},{"dropping-particle":"","family":"Domin","given":"Martin","non-dropping-particle":"","parse-names":false,"suffix":""},{"dropping-particle":"","family":"Foley","given":"Sonya","non-dropping-particle":"","parse-names":false,"suffix":""},{"dropping-particle":"","family":"França","given":"Wendy","non-dropping-particle":"","parse-names":false,"suffix":""},{"dropping-particle":"","family":"Haaker","given":"Gerrit","non-dropping-particle":"","parse-names":false,"suffix":""},{"dropping-particle":"","family":"Isaev","given":"Dmitry","non-dropping-particle":"","parse-names":false,"suffix":""},{"dropping-particle":"","family":"Keller","given":"Simon S","non-dropping-particle":"","parse-names":false,"suffix":""},{"dropping-particle":"","family":"Kotikalapudi","given":"Raviteja","non-dropping-particle":"","parse-names":false,"suffix":""},{"dropping-particle":"","family":"Kowalczyk","given":"Magdalena A","non-dropping-particle":"","parse-names":false,"suffix":""},{"dropping-particle":"","family":"Kuzniecky","given":"Ruben","non-dropping-particle":"","parse-names":false,"suffix":""},{"dropping-particle":"","family":"Langner","given":"Soenke","non-dropping-particle":"","parse-names":false,"suffix":""},{"dropping-particle":"","family":"Lenge","given":"Matteo","non-dropping-particle":"","parse-names":false,"suffix":""},{"dropping-particle":"","family":"Leyden","given":"Kelly M","non-dropping-particle":"","parse-names":false,"suffix":""},{"dropping-particle":"","family":"Liu","given":"Min","non-dropping-particle":"","parse-names":false,"suffix":""},{"dropping-particle":"","family":"Loi","given":"Richard Q","non-dropping-particle":"","parse-names":false,"suffix":""},{"dropping-particle":"","family":"Martin","given":"Pascal","non-dropping-particle":"","parse-names":false,"suffix":""},{"dropping-particle":"","family":"Mascalchi","given":"Mario","non-dropping-particle":"","parse-names":false,"suffix":""},{"dropping-particle":"","family":"Morita","given":"Marcia E","non-dropping-particle":"","parse-names":false,"suffix":""},{"dropping-particle":"","family":"Pariente","given":"Jose C","non-dropping-particle":"","parse-names":false,"suffix":""},{"dropping-particle":"","family":"Rodríguez-Cruces","given":"Raul","non-dropping-particle":"","parse-names":false,"suffix":""},{"dropping-particle":"","family":"Rummel","given":"Christian","non-dropping-particle":"","parse-names":false,"suffix":""},{"dropping-particle":"","family":"Saavalainen","given":"Taavi","non-dropping-particle":"","parse-names":false,"suffix":""},{"dropping-particle":"","family":"Semmelroch","given":"Mira K","non-dropping-particle":"","parse-names":false,"suffix":""},{"dropping-particle":"","family":"Severino","given":"Mariasavina","non-dropping-particle":"","parse-names":false,"suffix":""},{"dropping-particle":"","family":"Thomas","given":"Rhys H","non-dropping-particle":"","parse-names":false,"suffix":""},{"dropping-particle":"","family":"Tondelli","given":"Manuela","non-dropping-particle":"","parse-names":false,"suffix":""},{"dropping-particle":"","family":"Tortora","given":"Domenico","non-dropping-particle":"","parse-names":false,"suffix":""},{"dropping-particle":"","family":"Vaudano","given":"Anna Elisabetta","non-dropping-particle":"","parse-names":false,"suffix":""},{"dropping-particle":"","family":"Vivash","given":"Lucy","non-dropping-particle":"","parse-names":false,"suffix":""},{"dropping-particle":"","family":"Podewils","given":"Felix","non-dropping-particle":"von","parse-names":false,"suffix":""},{"dropping-particle":"","family":"Wagner","given":"Jan","non-dropping-particle":"","parse-names":false,"suffix":""},{"dropping-particle":"","family":"Weber","given":"Bernd","non-dropping-particle":"","parse-names":false,"suffix":""},{"dropping-particle":"","family":"Yao","given":"Yi","non-dropping-particle":"","parse-names":false,"suffix":""},{"dropping-particle":"","family":"Yasuda","given":"Clarissa L","non-dropping-particle":"","parse-names":false,"suffix":""},{"dropping-particle":"","family":"Zhang","given":"Guohao","non-dropping-particle":"","parse-names":false,"suffix":""},{"dropping-particle":"","family":"Bargalló","given":"Nuria","non-dropping-particle":"","parse-names":false,"suffix":""},{"dropping-particle":"","family":"Bender","given":"Benjamin","non-dropping-particle":"","parse-names":false,"suffix":""},{"dropping-particle":"","family":"Bernasconi","given":"Neda","non-dropping-particle":"","parse-names":false,"suffix":""},{"dropping-particle":"","family":"Bernasconi","given":"Andrea","non-dropping-particle":"","parse-names":false,"suffix":""},{"dropping-particle":"","family":"Bernhardt","given":"Boris C","non-dropping-particle":"","parse-names":false,"suffix":""},{"dropping-particle":"","family":"Blümcke","given":"Ingmar","non-dropping-particle":"","parse-names":false,"suffix":""},{"dropping-particle":"","family":"Carlson","given":"Chad","non-dropping-particle":"","parse-names":false,"suffix":""},{"dropping-particle":"","family":"Cavalleri","given":"Gianpiero L","non-dropping-particle":"","parse-names":false,"suffix":""},{"dropping-particle":"","family":"Cendes","given":"Fernando","non-dropping-particle":"","parse-names":false,"suffix":""},{"dropping-particle":"","family":"Concha","given":"Luis","non-dropping-particle":"","parse-names":false,"suffix":""},{"dropping-particle":"","family":"Delanty","given":"Norman","non-dropping-particle":"","parse-names":false,"suffix":""},{"dropping-particle":"","family":"Depondt","given":"Chantal","non-dropping-particle":"","parse-names":false,"suffix":""},{"dropping-particle":"","family":"Devinsky","given":"Orrin","non-dropping-particle":"","parse-names":false,"suffix":""},{"dropping-particle":"","family":"Doherty","given":"Colin P","non-dropping-particle":"","parse-names":false,"suffix":""},{"dropping-particle":"","family":"Focke","given":"Niels K","non-dropping-particle":"","parse-names":false,"suffix":""},{"dropping-particle":"","family":"Gambardella","given":"Antonio","non-dropping-particle":"","parse-names":false,"suffix":""},{"dropping-particle":"","family":"Guerrini","given":"Renzo","non-dropping-particle":"","parse-names":false,"suffix":""},{"dropping-particle":"","family":"Hamandi","given":"Khalid","non-dropping-particle":"","parse-names":false,"suffix":""},{"dropping-particle":"","family":"Jackson","given":"Graeme D","non-dropping-particle":"","parse-names":false,"suffix":""},{"dropping-particle":"","family":"Kälviäinen","given":"Reetta","non-dropping-particle":"","parse-names":false,"suffix":""},{"dropping-particle":"","family":"Kochunov","given":"Peter","non-dropping-particle":"","parse-names":false,"suffix":""},{"dropping-particle":"","family":"Kwan","given":"Patrick","non-dropping-particle":"","parse-names":false,"suffix":""},{"dropping-particle":"","family":"Labate","given":"Angelo","non-dropping-particle":"","parse-names":false,"suffix":""},{"dropping-particle":"","family":"McDonald","given":"Carrie R","non-dropping-particle":"","parse-names":false,"suffix":""},{"dropping-particle":"","family":"Meletti","given":"Stefano","non-dropping-particle":"","parse-names":false,"suffix":""},{"dropping-particle":"","family":"O&amp;apos;Brien","given":"Terence J","non-dropping-particle":"","parse-names":false,"suffix":""},{"dropping-particle":"","family":"Ourselin","given":"Sebastien","non-dropping-particle":"","parse-names":false,"suffix":""},{"dropping-particle":"","family":"Richardson","given":"Mark P","non-dropping-particle":"","parse-names":false,"suffix":""},{"dropping-particle":"","family":"Striano","given":"Pasquale","non-dropping-particle":"","parse-names":false,"suffix":""},{"dropping-particle":"","family":"Thesen","given":"Thomas","non-dropping-particle":"","parse-names":false,"suffix":""},{"dropping-particle":"","family":"Wiest","given":"Roland","non-dropping-particle":"","parse-names":false,"suffix":""},{"dropping-particle":"","family":"Zhang","given":"Junsong","non-dropping-particle":"","parse-names":false,"suffix":""},{"dropping-particle":"","family":"Vezzani","given":"Annamaria","non-dropping-particle":"","parse-names":false,"suffix":""},{"dropping-particle":"","family":"Ryten","given":"Mina","non-dropping-particle":"","parse-names":false,"suffix":""},{"dropping-particle":"","family":"Thompson","given":"Paul M","non-dropping-particle":"","parse-names":false,"suffix":""},{"dropping-particle":"","family":"Sisodiya","given":"Sanjay M","non-dropping-particle":"","parse-names":false,"suffix":""}],"container-title":"Brain : a journal of neurology","id":"ITEM-1","issue":"2","issued":{"date-parts":[["2018"]]},"language":"eng","page":"391-408","title":"Structural brain abnormalities in the common epilepsies assessed in a worldwide ENIGMA study","type":"article-journal","volume":"141"},"uris":["http://www.mendeley.com/documents/?uuid=d480dc9b-ff35-4f0c-869b-ffdbbc566e96"]}],"mendeley":{"formattedCitation":"[6]","plainTextFormattedCitation":"[6]","previouslyFormattedCitation":"(6)"},"properties":{"noteIndex":0},"schema":"https://github.com/citation-style-language/schema/raw/master/csl-citation.json"}</w:instrText>
      </w:r>
      <w:r w:rsidRPr="00591954">
        <w:rPr>
          <w:rFonts w:ascii="Times New Roman" w:hAnsi="Times New Roman" w:cs="Times New Roman"/>
          <w:color w:val="auto"/>
          <w:sz w:val="24"/>
          <w:szCs w:val="24"/>
          <w:lang w:val="en-GB"/>
        </w:rPr>
        <w:fldChar w:fldCharType="separate"/>
      </w:r>
      <w:r w:rsidR="004F23C5" w:rsidRPr="00591954">
        <w:rPr>
          <w:rFonts w:ascii="Times New Roman" w:hAnsi="Times New Roman" w:cs="Times New Roman"/>
          <w:noProof/>
          <w:color w:val="auto"/>
          <w:sz w:val="24"/>
          <w:szCs w:val="24"/>
          <w:lang w:val="en-GB"/>
        </w:rPr>
        <w:t>[6]</w:t>
      </w:r>
      <w:r w:rsidRPr="00591954">
        <w:rPr>
          <w:rFonts w:ascii="Times New Roman" w:hAnsi="Times New Roman" w:cs="Times New Roman"/>
          <w:color w:val="auto"/>
          <w:sz w:val="24"/>
          <w:szCs w:val="24"/>
          <w:lang w:val="en-GB"/>
        </w:rPr>
        <w:fldChar w:fldCharType="end"/>
      </w:r>
      <w:r w:rsidRPr="00591954">
        <w:rPr>
          <w:rFonts w:ascii="Times New Roman" w:hAnsi="Times New Roman" w:cs="Times New Roman"/>
          <w:color w:val="auto"/>
          <w:sz w:val="24"/>
          <w:szCs w:val="24"/>
          <w:lang w:val="en-GB"/>
        </w:rPr>
        <w:t>. Eighteen of 68 ROIs exhibited significantly reduced cortical thickness (Supplementary Table 15 in Whelan</w:t>
      </w:r>
      <w:r w:rsidR="00240BDA" w:rsidRPr="00591954">
        <w:rPr>
          <w:rFonts w:ascii="Times New Roman" w:hAnsi="Times New Roman" w:cs="Times New Roman"/>
          <w:color w:val="auto"/>
          <w:sz w:val="24"/>
          <w:szCs w:val="24"/>
          <w:lang w:val="en-GB"/>
        </w:rPr>
        <w:t xml:space="preserve"> et </w:t>
      </w:r>
      <w:r w:rsidR="00240BDA" w:rsidRPr="00591954">
        <w:rPr>
          <w:i/>
          <w:color w:val="auto"/>
          <w:szCs w:val="24"/>
          <w:lang w:val="en-GB"/>
        </w:rPr>
        <w:t>al.</w:t>
      </w:r>
      <w:r w:rsidRPr="00591954">
        <w:rPr>
          <w:rFonts w:ascii="Times New Roman" w:hAnsi="Times New Roman" w:cs="Times New Roman"/>
          <w:color w:val="auto"/>
          <w:sz w:val="24"/>
          <w:szCs w:val="24"/>
          <w:lang w:val="en-GB"/>
        </w:rPr>
        <w:t xml:space="preserve"> </w:t>
      </w:r>
      <w:r w:rsidRPr="00591954">
        <w:rPr>
          <w:color w:val="auto"/>
          <w:szCs w:val="24"/>
          <w:lang w:val="en-GB"/>
        </w:rPr>
        <w:fldChar w:fldCharType="begin" w:fldLock="1"/>
      </w:r>
      <w:r w:rsidR="004F23C5" w:rsidRPr="00591954">
        <w:rPr>
          <w:rFonts w:ascii="Times New Roman" w:hAnsi="Times New Roman" w:cs="Times New Roman"/>
          <w:color w:val="auto"/>
          <w:sz w:val="24"/>
          <w:szCs w:val="24"/>
          <w:lang w:val="en-GB"/>
        </w:rPr>
        <w:instrText>ADDIN CSL_CITATION {"citationItems":[{"id":"ITEM-1","itemData":{"DOI":"10.1093/brain/awx341","PMID":"29365066","abstract":"Progressive functional decline in the epilepsies is largely unexplained. We formed the ENIGMA-Epilepsy consortium to understand factors that influence brain measures in epilepsy, pooling data from 24 research centres in 14 countries across Europe, North and South America, Asia, and Australia. Structural brain measures were extracted from MRI brain scans across 2149 individuals with epilepsy, divided into four epilepsy subgroups including idiopathic generalized epilepsies (n =367), mesial temporal lobe epilepsies with hippocampal sclerosis (MTLE; left, n = 415; right, n = 339), and all other epilepsies in aggregate (n = 1026), and compared to 1727 matched healthy controls. We ranked brain structures in order of greatest differences between patients and controls, by meta-analysing effect sizes across 16 subcortical and 68 cortical brain regions. We also tested effects of duration of disease, age at onset, and age-by-diagnosis interactions on structural measures. We observed widespread patterns of altered subcortical volume and reduced cortical grey matter thickness. Compared to controls, all epilepsy groups showed lower volume in the right thalamus (Cohen's d = -0.24 to -0.73; P &lt; 1.49 × 10-4), and lower thickness in the precentral gyri bilaterally (d = -0.34 to -0.52; P &lt; 4.31 × 10-6). Both MTLE subgroups showed profound volume reduction in the ipsilateral hippocampus (d = -1.73 to -1.91, P &lt; 1.4 × 10-19), and lower thickness in extrahippocampal cortical regions, including the precentral and paracentral gyri, compared to controls (d = -0.36 to -0.52; P &lt; 1.49 × 10-4). Thickness differences of the ipsilateral temporopolar, parahippocampal, entorhinal, and fusiform gyri, contralateral pars triangularis, and bilateral precuneus, superior frontal and caudal middle frontal gyri were observed in left, but not right, MTLE (d = -0.29 to -0.54; P &lt; 1.49 × 10-4). Contrastingly, thickness differences of the ipsilateral pars opercularis, and contralateral transverse temporal gyrus, were observed in right, but not left, MTLE (d = -0.27 to -0.51; P &lt; 1.49 × 10-4). Lower subcortical volume and cortical thickness associated with a longer duration of epilepsy in the all-epilepsies, all-other-epilepsies, and right MTLE groups (beta, b &lt; -0.0018; P &lt; 1.49 × 10-4). In the largest neuroimaging study of epilepsy to date, we provide information on the common epilepsies that could not be realistically acquired in any other way. Our study provides a robust ranking of brain measu…","author":[{"dropping-particle":"","family":"Whelan","given":"Christopher D","non-dropping-particle":"","parse-names":false,"suffix":""},{"dropping-particle":"","family":"Altmann","given":"Andre","non-dropping-particle":"","parse-names":false,"suffix":""},{"dropping-particle":"","family":"Botía","given":"Juan A","non-dropping-particle":"","parse-names":false,"suffix":""},{"dropping-particle":"","family":"Jahanshad","given":"Neda","non-dropping-particle":"","parse-names":false,"suffix":""},{"dropping-particle":"","family":"Hibar","given":"Derrek P","non-dropping-particle":"","parse-names":false,"suffix":""},{"dropping-particle":"","family":"Absil","given":"Julie","non-dropping-particle":"","parse-names":false,"suffix":""},{"dropping-particle":"","family":"Alhusaini","given":"Saud","non-dropping-particle":"","parse-names":false,"suffix":""},{"dropping-particle":"","family":"Alvim","given":"Marina K M","non-dropping-particle":"","parse-names":false,"suffix":""},{"dropping-particle":"","family":"Auvinen","given":"Pia","non-dropping-particle":"","parse-names":false,"suffix":""},{"dropping-particle":"","family":"Bartolini","given":"Emanuele","non-dropping-particle":"","parse-names":false,"suffix":""},{"dropping-particle":"","family":"Bergo","given":"Felipe P G","non-dropping-particle":"","parse-names":false,"suffix":""},{"dropping-particle":"","family":"Bernardes","given":"Tauana","non-dropping-particle":"","parse-names":false,"suffix":""},{"dropping-particle":"","family":"Blackmon","given":"Karen","non-dropping-particle":"","parse-names":false,"suffix":""},{"dropping-particle":"","family":"Braga","given":"Barbara","non-dropping-particle":"","parse-names":false,"suffix":""},{"dropping-particle":"","family":"Caligiuri","given":"Maria Eugenia","non-dropping-particle":"","parse-names":false,"suffix":""},{"dropping-particle":"","family":"Calvo","given":"Anna","non-dropping-particle":"","parse-names":false,"suffix":""},{"dropping-particle":"","family":"Carr","given":"Sarah J","non-dropping-particle":"","parse-names":false,"suffix":""},{"dropping-particle":"","family":"Chen","given":"Jian","non-dropping-particle":"","parse-names":false,"suffix":""},{"dropping-particle":"","family":"Chen","given":"Shuai","non-dropping-particle":"","parse-names":false,"suffix":""},{"dropping-particle":"","family":"Cherubini","given":"Andrea","non-dropping-particle":"","parse-names":false,"suffix":""},{"dropping-particle":"","family":"David","given":"Philippe","non-dropping-particle":"","parse-names":false,"suffix":""},{"dropping-particle":"","family":"Domin","given":"Martin","non-dropping-particle":"","parse-names":false,"suffix":""},{"dropping-particle":"","family":"Foley","given":"Sonya","non-dropping-particle":"","parse-names":false,"suffix":""},{"dropping-particle":"","family":"França","given":"Wendy","non-dropping-particle":"","parse-names":false,"suffix":""},{"dropping-particle":"","family":"Haaker","given":"Gerrit","non-dropping-particle":"","parse-names":false,"suffix":""},{"dropping-particle":"","family":"Isaev","given":"Dmitry","non-dropping-particle":"","parse-names":false,"suffix":""},{"dropping-particle":"","family":"Keller","given":"Simon S","non-dropping-particle":"","parse-names":false,"suffix":""},{"dropping-particle":"","family":"Kotikalapudi","given":"Raviteja","non-dropping-particle":"","parse-names":false,"suffix":""},{"dropping-particle":"","family":"Kowalczyk","given":"Magdalena A","non-dropping-particle":"","parse-names":false,"suffix":""},{"dropping-particle":"","family":"Kuzniecky","given":"Ruben","non-dropping-particle":"","parse-names":false,"suffix":""},{"dropping-particle":"","family":"Langner","given":"Soenke","non-dropping-particle":"","parse-names":false,"suffix":""},{"dropping-particle":"","family":"Lenge","given":"Matteo","non-dropping-particle":"","parse-names":false,"suffix":""},{"dropping-particle":"","family":"Leyden","given":"Kelly M","non-dropping-particle":"","parse-names":false,"suffix":""},{"dropping-particle":"","family":"Liu","given":"Min","non-dropping-particle":"","parse-names":false,"suffix":""},{"dropping-particle":"","family":"Loi","given":"Richard Q","non-dropping-particle":"","parse-names":false,"suffix":""},{"dropping-particle":"","family":"Martin","given":"Pascal","non-dropping-particle":"","parse-names":false,"suffix":""},{"dropping-particle":"","family":"Mascalchi","given":"Mario","non-dropping-particle":"","parse-names":false,"suffix":""},{"dropping-particle":"","family":"Morita","given":"Marcia E","non-dropping-particle":"","parse-names":false,"suffix":""},{"dropping-particle":"","family":"Pariente","given":"Jose C","non-dropping-particle":"","parse-names":false,"suffix":""},{"dropping-particle":"","family":"Rodríguez-Cruces","given":"Raul","non-dropping-particle":"","parse-names":false,"suffix":""},{"dropping-particle":"","family":"Rummel","given":"Christian","non-dropping-particle":"","parse-names":false,"suffix":""},{"dropping-particle":"","family":"Saavalainen","given":"Taavi","non-dropping-particle":"","parse-names":false,"suffix":""},{"dropping-particle":"","family":"Semmelroch","given":"Mira K","non-dropping-particle":"","parse-names":false,"suffix":""},{"dropping-particle":"","family":"Severino","given":"Mariasavina","non-dropping-particle":"","parse-names":false,"suffix":""},{"dropping-particle":"","family":"Thomas","given":"Rhys H","non-dropping-particle":"","parse-names":false,"suffix":""},{"dropping-particle":"","family":"Tondelli","given":"Manuela","non-dropping-particle":"","parse-names":false,"suffix":""},{"dropping-particle":"","family":"Tortora","given":"Domenico","non-dropping-particle":"","parse-names":false,"suffix":""},{"dropping-particle":"","family":"Vaudano","given":"Anna Elisabetta","non-dropping-particle":"","parse-names":false,"suffix":""},{"dropping-particle":"","family":"Vivash","given":"Lucy","non-dropping-particle":"","parse-names":false,"suffix":""},{"dropping-particle":"","family":"Podewils","given":"Felix","non-dropping-particle":"von","parse-names":false,"suffix":""},{"dropping-particle":"","family":"Wagner","given":"Jan","non-dropping-particle":"","parse-names":false,"suffix":""},{"dropping-particle":"","family":"Weber","given":"Bernd","non-dropping-particle":"","parse-names":false,"suffix":""},{"dropping-particle":"","family":"Yao","given":"Yi","non-dropping-particle":"","parse-names":false,"suffix":""},{"dropping-particle":"","family":"Yasuda","given":"Clarissa L","non-dropping-particle":"","parse-names":false,"suffix":""},{"dropping-particle":"","family":"Zhang","given":"Guohao","non-dropping-particle":"","parse-names":false,"suffix":""},{"dropping-particle":"","family":"Bargalló","given":"Nuria","non-dropping-particle":"","parse-names":false,"suffix":""},{"dropping-particle":"","family":"Bender","given":"Benjamin","non-dropping-particle":"","parse-names":false,"suffix":""},{"dropping-particle":"","family":"Bernasconi","given":"Neda","non-dropping-particle":"","parse-names":false,"suffix":""},{"dropping-particle":"","family":"Bernasconi","given":"Andrea","non-dropping-particle":"","parse-names":false,"suffix":""},{"dropping-particle":"","family":"Bernhardt","given":"Boris C","non-dropping-particle":"","parse-names":false,"suffix":""},{"dropping-particle":"","family":"Blümcke","given":"Ingmar","non-dropping-particle":"","parse-names":false,"suffix":""},{"dropping-particle":"","family":"Carlson","given":"Chad","non-dropping-particle":"","parse-names":false,"suffix":""},{"dropping-particle":"","family":"Cavalleri","given":"Gianpiero L","non-dropping-particle":"","parse-names":false,"suffix":""},{"dropping-particle":"","family":"Cendes","given":"Fernando","non-dropping-particle":"","parse-names":false,"suffix":""},{"dropping-particle":"","family":"Concha","given":"Luis","non-dropping-particle":"","parse-names":false,"suffix":""},{"dropping-particle":"","family":"Delanty","given":"Norman","non-dropping-particle":"","parse-names":false,"suffix":""},{"dropping-particle":"","family":"Depondt","given":"Chantal","non-dropping-particle":"","parse-names":false,"suffix":""},{"dropping-particle":"","family":"Devinsky","given":"Orrin","non-dropping-particle":"","parse-names":false,"suffix":""},{"dropping-particle":"","family":"Doherty","given":"Colin P","non-dropping-particle":"","parse-names":false,"suffix":""},{"dropping-particle":"","family":"Focke","given":"Niels K","non-dropping-particle":"","parse-names":false,"suffix":""},{"dropping-particle":"","family":"Gambardella","given":"Antonio","non-dropping-particle":"","parse-names":false,"suffix":""},{"dropping-particle":"","family":"Guerrini","given":"Renzo","non-dropping-particle":"","parse-names":false,"suffix":""},{"dropping-particle":"","family":"Hamandi","given":"Khalid","non-dropping-particle":"","parse-names":false,"suffix":""},{"dropping-particle":"","family":"Jackson","given":"Graeme D","non-dropping-particle":"","parse-names":false,"suffix":""},{"dropping-particle":"","family":"Kälviäinen","given":"Reetta","non-dropping-particle":"","parse-names":false,"suffix":""},{"dropping-particle":"","family":"Kochunov","given":"Peter","non-dropping-particle":"","parse-names":false,"suffix":""},{"dropping-particle":"","family":"Kwan","given":"Patrick","non-dropping-particle":"","parse-names":false,"suffix":""},{"dropping-particle":"","family":"Labate","given":"Angelo","non-dropping-particle":"","parse-names":false,"suffix":""},{"dropping-particle":"","family":"McDonald","given":"Carrie R","non-dropping-particle":"","parse-names":false,"suffix":""},{"dropping-particle":"","family":"Meletti","given":"Stefano","non-dropping-particle":"","parse-names":false,"suffix":""},{"dropping-particle":"","family":"O&amp;apos;Brien","given":"Terence J","non-dropping-particle":"","parse-names":false,"suffix":""},{"dropping-particle":"","family":"Ourselin","given":"Sebastien","non-dropping-particle":"","parse-names":false,"suffix":""},{"dropping-particle":"","family":"Richardson","given":"Mark P","non-dropping-particle":"","parse-names":false,"suffix":""},{"dropping-particle":"","family":"Striano","given":"Pasquale","non-dropping-particle":"","parse-names":false,"suffix":""},{"dropping-particle":"","family":"Thesen","given":"Thomas","non-dropping-particle":"","parse-names":false,"suffix":""},{"dropping-particle":"","family":"Wiest","given":"Roland","non-dropping-particle":"","parse-names":false,"suffix":""},{"dropping-particle":"","family":"Zhang","given":"Junsong","non-dropping-particle":"","parse-names":false,"suffix":""},{"dropping-particle":"","family":"Vezzani","given":"Annamaria","non-dropping-particle":"","parse-names":false,"suffix":""},{"dropping-particle":"","family":"Ryten","given":"Mina","non-dropping-particle":"","parse-names":false,"suffix":""},{"dropping-particle":"","family":"Thompson","given":"Paul M","non-dropping-particle":"","parse-names":false,"suffix":""},{"dropping-particle":"","family":"Sisodiya","given":"Sanjay M","non-dropping-particle":"","parse-names":false,"suffix":""}],"container-title":"Brain : a journal of neurology","id":"ITEM-1","issue":"2","issued":{"date-parts":[["2018"]]},"language":"eng","page":"391-408","title":"Structural brain abnormalities in the common epilepsies assessed in a worldwide ENIGMA study","type":"article-journal","volume":"141"},"suppress-author":1,"uris":["http://www.mendeley.com/documents/?uuid=d480dc9b-ff35-4f0c-869b-ffdbbc566e96"]}],"mendeley":{"formattedCitation":"[6]","plainTextFormattedCitation":"[6]","previouslyFormattedCitation":"(6)"},"properties":{"noteIndex":0},"schema":"https://github.com/citation-style-language/schema/raw/master/csl-citation.json"}</w:instrText>
      </w:r>
      <w:r w:rsidRPr="00591954">
        <w:rPr>
          <w:color w:val="auto"/>
          <w:szCs w:val="24"/>
          <w:lang w:val="en-GB"/>
        </w:rPr>
        <w:fldChar w:fldCharType="separate"/>
      </w:r>
      <w:r w:rsidR="004F23C5" w:rsidRPr="00591954">
        <w:rPr>
          <w:rFonts w:ascii="Times New Roman" w:hAnsi="Times New Roman" w:cs="Times New Roman"/>
          <w:noProof/>
          <w:color w:val="auto"/>
          <w:sz w:val="24"/>
          <w:szCs w:val="24"/>
          <w:lang w:val="en-GB"/>
        </w:rPr>
        <w:t>[6]</w:t>
      </w:r>
      <w:r w:rsidRPr="00591954">
        <w:rPr>
          <w:color w:val="auto"/>
          <w:szCs w:val="24"/>
          <w:lang w:val="en-GB"/>
        </w:rPr>
        <w:fldChar w:fldCharType="end"/>
      </w:r>
      <w:r w:rsidR="006B661E" w:rsidRPr="00591954">
        <w:rPr>
          <w:rFonts w:ascii="Times New Roman" w:hAnsi="Times New Roman" w:cs="Times New Roman"/>
          <w:color w:val="auto"/>
          <w:sz w:val="24"/>
          <w:szCs w:val="24"/>
          <w:lang w:val="en-GB"/>
        </w:rPr>
        <w:t>; reproduced here as Table S1</w:t>
      </w:r>
      <w:r w:rsidRPr="00591954">
        <w:rPr>
          <w:rFonts w:ascii="Times New Roman" w:hAnsi="Times New Roman" w:cs="Times New Roman"/>
          <w:color w:val="auto"/>
          <w:sz w:val="24"/>
          <w:szCs w:val="24"/>
          <w:lang w:val="en-GB"/>
        </w:rPr>
        <w:t>).</w:t>
      </w:r>
      <w:r w:rsidR="003D6645" w:rsidRPr="00591954">
        <w:rPr>
          <w:rFonts w:ascii="Times New Roman" w:hAnsi="Times New Roman" w:cs="Times New Roman"/>
          <w:color w:val="auto"/>
          <w:sz w:val="24"/>
          <w:szCs w:val="24"/>
          <w:lang w:val="en-GB"/>
        </w:rPr>
        <w:t xml:space="preserve"> G</w:t>
      </w:r>
      <w:r w:rsidRPr="00591954">
        <w:rPr>
          <w:rFonts w:ascii="Times New Roman" w:hAnsi="Times New Roman" w:cs="Times New Roman"/>
          <w:color w:val="auto"/>
          <w:sz w:val="24"/>
          <w:szCs w:val="24"/>
          <w:lang w:val="en-GB"/>
        </w:rPr>
        <w:t xml:space="preserve">iven that due to the makeup of the </w:t>
      </w:r>
      <w:r w:rsidR="001332CF" w:rsidRPr="00591954">
        <w:rPr>
          <w:rFonts w:ascii="Times New Roman" w:hAnsi="Times New Roman" w:cs="Times New Roman"/>
          <w:color w:val="auto"/>
          <w:sz w:val="24"/>
          <w:szCs w:val="24"/>
          <w:lang w:val="en-GB"/>
        </w:rPr>
        <w:t xml:space="preserve">AHBA </w:t>
      </w:r>
      <w:r w:rsidRPr="00591954">
        <w:rPr>
          <w:rFonts w:ascii="Times New Roman" w:hAnsi="Times New Roman" w:cs="Times New Roman"/>
          <w:color w:val="auto"/>
          <w:sz w:val="24"/>
          <w:szCs w:val="24"/>
          <w:lang w:val="en-GB"/>
        </w:rPr>
        <w:t>data only the left hemisphere was considered</w:t>
      </w:r>
      <w:r w:rsidR="001332CF" w:rsidRPr="00591954">
        <w:rPr>
          <w:rFonts w:ascii="Times New Roman" w:hAnsi="Times New Roman" w:cs="Times New Roman"/>
          <w:color w:val="auto"/>
          <w:sz w:val="24"/>
          <w:szCs w:val="24"/>
          <w:lang w:val="en-GB"/>
        </w:rPr>
        <w:t>, eight of 34</w:t>
      </w:r>
      <w:r w:rsidRPr="00591954">
        <w:rPr>
          <w:rFonts w:ascii="Times New Roman" w:hAnsi="Times New Roman" w:cs="Times New Roman"/>
          <w:color w:val="auto"/>
          <w:sz w:val="24"/>
          <w:szCs w:val="24"/>
          <w:lang w:val="en-GB"/>
        </w:rPr>
        <w:t xml:space="preserve"> regions were considered affected, or ‘vulnerable’, whilst the others were considered unaffected, or ‘relatively protected’</w:t>
      </w:r>
      <w:r w:rsidR="001332CF" w:rsidRPr="00591954">
        <w:rPr>
          <w:rFonts w:ascii="Times New Roman" w:hAnsi="Times New Roman" w:cs="Times New Roman"/>
          <w:color w:val="auto"/>
          <w:sz w:val="24"/>
          <w:szCs w:val="24"/>
          <w:lang w:val="en-GB"/>
        </w:rPr>
        <w:t xml:space="preserve"> (</w:t>
      </w:r>
      <w:r w:rsidR="006B661E" w:rsidRPr="00591954">
        <w:rPr>
          <w:rFonts w:ascii="Times New Roman" w:hAnsi="Times New Roman" w:cs="Times New Roman"/>
          <w:color w:val="auto"/>
          <w:sz w:val="24"/>
          <w:szCs w:val="24"/>
          <w:lang w:val="en-GB"/>
        </w:rPr>
        <w:t xml:space="preserve">Left column in </w:t>
      </w:r>
      <w:r w:rsidR="001332CF" w:rsidRPr="00591954">
        <w:rPr>
          <w:rFonts w:ascii="Times New Roman" w:hAnsi="Times New Roman" w:cs="Times New Roman"/>
          <w:color w:val="auto"/>
          <w:sz w:val="24"/>
          <w:szCs w:val="24"/>
          <w:lang w:val="en-GB"/>
        </w:rPr>
        <w:t>Table S</w:t>
      </w:r>
      <w:r w:rsidR="00D410F0" w:rsidRPr="00591954">
        <w:rPr>
          <w:rFonts w:ascii="Times New Roman" w:hAnsi="Times New Roman" w:cs="Times New Roman"/>
          <w:color w:val="auto"/>
          <w:sz w:val="24"/>
          <w:szCs w:val="24"/>
          <w:lang w:val="en-GB"/>
        </w:rPr>
        <w:t>1)</w:t>
      </w:r>
      <w:r w:rsidRPr="00591954">
        <w:rPr>
          <w:rFonts w:ascii="Times New Roman" w:hAnsi="Times New Roman" w:cs="Times New Roman"/>
          <w:color w:val="auto"/>
          <w:sz w:val="24"/>
          <w:szCs w:val="24"/>
          <w:lang w:val="en-GB"/>
        </w:rPr>
        <w:t xml:space="preserve">. </w:t>
      </w:r>
      <w:r w:rsidR="00D410F0" w:rsidRPr="00591954">
        <w:rPr>
          <w:rFonts w:ascii="Times New Roman" w:hAnsi="Times New Roman" w:cs="Times New Roman"/>
          <w:color w:val="auto"/>
          <w:sz w:val="24"/>
          <w:szCs w:val="24"/>
          <w:lang w:val="en-GB" w:eastAsia="en-GB"/>
        </w:rPr>
        <w:t>Next, for each of the seven cell types, we tested for a significant effect of the vulnerability status (8 vulnerable compared to 26 relatively protected) on the regional estimated fractions using a linear mixed effects model [</w:t>
      </w:r>
      <w:r w:rsidR="00D410F0" w:rsidRPr="00591954">
        <w:rPr>
          <w:rFonts w:ascii="Courier" w:hAnsi="Courier" w:cs="Times New Roman"/>
          <w:color w:val="auto"/>
          <w:sz w:val="24"/>
          <w:szCs w:val="24"/>
          <w:lang w:val="en-GB" w:eastAsia="en-GB"/>
        </w:rPr>
        <w:t>lmer</w:t>
      </w:r>
      <w:r w:rsidR="00D410F0" w:rsidRPr="00591954">
        <w:rPr>
          <w:rFonts w:ascii="Times New Roman" w:hAnsi="Times New Roman" w:cs="Times New Roman"/>
          <w:color w:val="auto"/>
          <w:sz w:val="24"/>
          <w:szCs w:val="24"/>
          <w:lang w:val="en-GB" w:eastAsia="en-GB"/>
        </w:rPr>
        <w:t xml:space="preserve"> function implemented in the R-package </w:t>
      </w:r>
      <w:r w:rsidR="00D410F0" w:rsidRPr="00591954">
        <w:rPr>
          <w:rFonts w:ascii="Courier" w:hAnsi="Courier" w:cs="Times New Roman"/>
          <w:color w:val="auto"/>
          <w:sz w:val="24"/>
          <w:szCs w:val="24"/>
          <w:lang w:val="en-GB" w:eastAsia="en-GB"/>
        </w:rPr>
        <w:t>lme4</w:t>
      </w:r>
      <w:r w:rsidR="00D410F0" w:rsidRPr="00591954">
        <w:rPr>
          <w:rFonts w:ascii="Times New Roman" w:hAnsi="Times New Roman" w:cs="Times New Roman"/>
          <w:color w:val="auto"/>
          <w:sz w:val="24"/>
          <w:szCs w:val="24"/>
          <w:lang w:val="en-GB" w:eastAsia="en-GB"/>
        </w:rPr>
        <w:t xml:space="preserve"> </w:t>
      </w:r>
      <w:r w:rsidR="0015529F" w:rsidRPr="00591954">
        <w:rPr>
          <w:rFonts w:ascii="Times New Roman" w:hAnsi="Times New Roman" w:cs="Times New Roman"/>
          <w:color w:val="auto"/>
          <w:sz w:val="24"/>
          <w:szCs w:val="24"/>
          <w:lang w:val="en-GB" w:eastAsia="en-GB"/>
        </w:rPr>
        <w:fldChar w:fldCharType="begin" w:fldLock="1"/>
      </w:r>
      <w:r w:rsidR="004F23C5" w:rsidRPr="00591954">
        <w:rPr>
          <w:rFonts w:ascii="Times New Roman" w:hAnsi="Times New Roman" w:cs="Times New Roman"/>
          <w:color w:val="auto"/>
          <w:sz w:val="24"/>
          <w:szCs w:val="24"/>
          <w:lang w:val="en-GB" w:eastAsia="en-GB"/>
        </w:rPr>
        <w:instrText>ADDIN CSL_CITATION {"citationItems":[{"id":"ITEM-1","itemData":{"DOI":"10.18637/jss.v067.i01","ISBN":"1548-7660","ISSN":"1548-7660","PMID":"20043131029","abstract":"Maximum likelihood or restricted maximum likelihood (REML) estimates of the parameters in linear mixed-effects models can be determined using the lmer function in the lme4 package for R. As for most model-fitting functions in R, the model is described in an lmer call by a formula, in this case including both fixed- and random-effects terms. The formula and data together determine a numerical representation of the model from which the profiled deviance or the profiled REML criterion can be evaluated as a function of some of the model parameters. The appropriate criterion is optimized, using one of the constrained optimization functions in R, to provide the parameter estimates. We describe the structure of the model, the steps in evaluating the profiled deviance or REML criterion, and the structure of classes or types that represents such a model. Sufficient detail is included to allow specialization of these structures by users who wish to write functions to fit specialized linear mixed models, such as models incorporating pedigrees or smoothing splines, that are not easily expressible in the formula language used by lmer.","author":[{"dropping-particle":"","family":"Bates","given":"Douglas","non-dropping-particle":"","parse-names":false,"suffix":""},{"dropping-particle":"","family":"Mächler","given":"Martin","non-dropping-particle":"","parse-names":false,"suffix":""},{"dropping-particle":"","family":"Bolker","given":"Ben","non-dropping-particle":"","parse-names":false,"suffix":""},{"dropping-particle":"","family":"Walker","given":"Steve","non-dropping-particle":"","parse-names":false,"suffix":""}],"container-title":"Journal of Statistical Software","id":"ITEM-1","issued":{"date-parts":[["2015"]]},"title":"Fitting linear mixed-effects models using lme4","type":"article-journal"},"uris":["http://www.mendeley.com/documents/?uuid=6d692bac-b6fb-426c-a465-572ff00f9b04"]}],"mendeley":{"formattedCitation":"[12]","plainTextFormattedCitation":"[12]","previouslyFormattedCitation":"(12)"},"properties":{"noteIndex":0},"schema":"https://github.com/citation-style-language/schema/raw/master/csl-citation.json"}</w:instrText>
      </w:r>
      <w:r w:rsidR="0015529F" w:rsidRPr="00591954">
        <w:rPr>
          <w:rFonts w:ascii="Times New Roman" w:hAnsi="Times New Roman" w:cs="Times New Roman"/>
          <w:color w:val="auto"/>
          <w:sz w:val="24"/>
          <w:szCs w:val="24"/>
          <w:lang w:val="en-GB" w:eastAsia="en-GB"/>
        </w:rPr>
        <w:fldChar w:fldCharType="separate"/>
      </w:r>
      <w:r w:rsidR="004F23C5" w:rsidRPr="00591954">
        <w:rPr>
          <w:rFonts w:ascii="Times New Roman" w:hAnsi="Times New Roman" w:cs="Times New Roman"/>
          <w:noProof/>
          <w:color w:val="auto"/>
          <w:sz w:val="24"/>
          <w:szCs w:val="24"/>
          <w:lang w:val="en-GB" w:eastAsia="en-GB"/>
        </w:rPr>
        <w:t>[12]</w:t>
      </w:r>
      <w:r w:rsidR="0015529F" w:rsidRPr="00591954">
        <w:rPr>
          <w:rFonts w:ascii="Times New Roman" w:hAnsi="Times New Roman" w:cs="Times New Roman"/>
          <w:color w:val="auto"/>
          <w:sz w:val="24"/>
          <w:szCs w:val="24"/>
          <w:lang w:val="en-GB" w:eastAsia="en-GB"/>
        </w:rPr>
        <w:fldChar w:fldCharType="end"/>
      </w:r>
      <w:r w:rsidR="00D410F0" w:rsidRPr="00591954">
        <w:rPr>
          <w:rFonts w:ascii="Times New Roman" w:hAnsi="Times New Roman" w:cs="Times New Roman"/>
          <w:color w:val="auto"/>
          <w:sz w:val="24"/>
          <w:szCs w:val="24"/>
          <w:lang w:val="en-GB" w:eastAsia="en-GB"/>
        </w:rPr>
        <w:t>] with the donor’s ID (i.e., from the six individuals in AHBA) as a random effect and thickness status as the fixed effect. The resulting P-value</w:t>
      </w:r>
      <w:r w:rsidR="00F66AC5" w:rsidRPr="00591954">
        <w:rPr>
          <w:rFonts w:ascii="Times New Roman" w:hAnsi="Times New Roman" w:cs="Times New Roman"/>
          <w:color w:val="auto"/>
          <w:sz w:val="24"/>
          <w:szCs w:val="24"/>
          <w:lang w:val="en-GB" w:eastAsia="en-GB"/>
        </w:rPr>
        <w:t>s</w:t>
      </w:r>
      <w:r w:rsidR="00D410F0" w:rsidRPr="00591954">
        <w:rPr>
          <w:rFonts w:ascii="Times New Roman" w:hAnsi="Times New Roman" w:cs="Times New Roman"/>
          <w:color w:val="auto"/>
          <w:sz w:val="24"/>
          <w:szCs w:val="24"/>
          <w:lang w:val="en-GB" w:eastAsia="en-GB"/>
        </w:rPr>
        <w:t xml:space="preserve"> were FDR corrected </w:t>
      </w:r>
      <w:r w:rsidR="0015529F" w:rsidRPr="00591954">
        <w:rPr>
          <w:rFonts w:ascii="Times New Roman" w:hAnsi="Times New Roman" w:cs="Times New Roman"/>
          <w:color w:val="auto"/>
          <w:sz w:val="24"/>
          <w:szCs w:val="24"/>
          <w:lang w:val="en-GB" w:eastAsia="en-GB"/>
        </w:rPr>
        <w:fldChar w:fldCharType="begin" w:fldLock="1"/>
      </w:r>
      <w:r w:rsidR="004F23C5" w:rsidRPr="00591954">
        <w:rPr>
          <w:rFonts w:ascii="Times New Roman" w:hAnsi="Times New Roman" w:cs="Times New Roman"/>
          <w:color w:val="auto"/>
          <w:sz w:val="24"/>
          <w:szCs w:val="24"/>
          <w:lang w:val="en-GB" w:eastAsia="en-GB"/>
        </w:rPr>
        <w:instrText>ADDIN CSL_CITATION {"citationItems":[{"id":"ITEM-1","itemData":{"PMID":"2346101","abstract":"The common approach to the multiplicity problem calls for controlling the familywise error rate (FWER). This approach, though, has faults, and we point out a few. A different approach to problems of multiple significance testing is presented. It calls for controlling the expected proportion of falsely rejected hypotheses-the false discovery rate. This error rate is equivalent to the FWER when all hypotheses are true but is smaller otherwise. Therefore, in problems where the control of the false discovery rate rather than that of the FWER is desired, there is potential for a gain in power. A simple sequential Bonferroni-type procedure is proved to control the false discovery rate for independent test statistics, and a simulation study shows that the gain in power is substantial. The use of the new procedure and the appropriateness of the criterion are illustrated with examples.","author":[{"dropping-particle":"","family":"Benjamini","given":"Yoav","non-dropping-particle":"","parse-names":false,"suffix":""},{"dropping-particle":"","family":"Hochberg","given":"Yosef","non-dropping-particle":"","parse-names":false,"suffix":""}],"container-title":"Journal of the Royal Statistical Society. Series B (Methodological)","id":"ITEM-1","issue":"1","issued":{"date-parts":[["1995"]]},"language":"eng","page":"289-300","title":"Controlling the False Discovery Rate: A Practical and Powerful Approach to Multiple Testing","type":"article-journal","volume":"57"},"uris":["http://www.mendeley.com/documents/?uuid=ac5fa4f3-997f-4c6e-8de4-88c79135b917"]}],"mendeley":{"formattedCitation":"[13]","plainTextFormattedCitation":"[13]","previouslyFormattedCitation":"(13)"},"properties":{"noteIndex":0},"schema":"https://github.com/citation-style-language/schema/raw/master/csl-citation.json"}</w:instrText>
      </w:r>
      <w:r w:rsidR="0015529F" w:rsidRPr="00591954">
        <w:rPr>
          <w:rFonts w:ascii="Times New Roman" w:hAnsi="Times New Roman" w:cs="Times New Roman"/>
          <w:color w:val="auto"/>
          <w:sz w:val="24"/>
          <w:szCs w:val="24"/>
          <w:lang w:val="en-GB" w:eastAsia="en-GB"/>
        </w:rPr>
        <w:fldChar w:fldCharType="separate"/>
      </w:r>
      <w:r w:rsidR="004F23C5" w:rsidRPr="00591954">
        <w:rPr>
          <w:rFonts w:ascii="Times New Roman" w:hAnsi="Times New Roman" w:cs="Times New Roman"/>
          <w:noProof/>
          <w:color w:val="auto"/>
          <w:sz w:val="24"/>
          <w:szCs w:val="24"/>
          <w:lang w:val="en-GB" w:eastAsia="en-GB"/>
        </w:rPr>
        <w:t>[13]</w:t>
      </w:r>
      <w:r w:rsidR="0015529F" w:rsidRPr="00591954">
        <w:rPr>
          <w:rFonts w:ascii="Times New Roman" w:hAnsi="Times New Roman" w:cs="Times New Roman"/>
          <w:color w:val="auto"/>
          <w:sz w:val="24"/>
          <w:szCs w:val="24"/>
          <w:lang w:val="en-GB" w:eastAsia="en-GB"/>
        </w:rPr>
        <w:fldChar w:fldCharType="end"/>
      </w:r>
      <w:r w:rsidR="00D410F0" w:rsidRPr="00591954">
        <w:rPr>
          <w:rFonts w:ascii="Times New Roman" w:hAnsi="Times New Roman" w:cs="Times New Roman"/>
          <w:color w:val="auto"/>
          <w:sz w:val="24"/>
          <w:szCs w:val="24"/>
          <w:lang w:val="en-GB" w:eastAsia="en-GB"/>
        </w:rPr>
        <w:t>.</w:t>
      </w:r>
      <w:r w:rsidR="00982407" w:rsidRPr="00591954">
        <w:rPr>
          <w:rFonts w:ascii="Times New Roman" w:hAnsi="Times New Roman" w:cs="Times New Roman"/>
          <w:color w:val="auto"/>
          <w:sz w:val="24"/>
          <w:szCs w:val="24"/>
          <w:lang w:val="en-GB" w:eastAsia="en-GB"/>
        </w:rPr>
        <w:t xml:space="preserve"> Furthermore, we conducted a permutation test </w:t>
      </w:r>
      <w:r w:rsidR="00C640FD" w:rsidRPr="00591954">
        <w:rPr>
          <w:rFonts w:ascii="Times New Roman" w:hAnsi="Times New Roman" w:cs="Times New Roman"/>
          <w:color w:val="auto"/>
          <w:sz w:val="24"/>
          <w:szCs w:val="24"/>
          <w:lang w:val="en-GB" w:eastAsia="en-GB"/>
        </w:rPr>
        <w:t xml:space="preserve">in addition to </w:t>
      </w:r>
      <w:r w:rsidR="003D6645" w:rsidRPr="00591954">
        <w:rPr>
          <w:rFonts w:ascii="Times New Roman" w:hAnsi="Times New Roman" w:cs="Times New Roman"/>
          <w:color w:val="auto"/>
          <w:sz w:val="24"/>
          <w:szCs w:val="24"/>
          <w:lang w:val="en-GB" w:eastAsia="en-GB"/>
        </w:rPr>
        <w:t xml:space="preserve">calculating </w:t>
      </w:r>
      <w:r w:rsidR="00C640FD" w:rsidRPr="00591954">
        <w:rPr>
          <w:rFonts w:ascii="Times New Roman" w:hAnsi="Times New Roman" w:cs="Times New Roman"/>
          <w:color w:val="auto"/>
          <w:sz w:val="24"/>
          <w:szCs w:val="24"/>
          <w:lang w:val="en-GB" w:eastAsia="en-GB"/>
        </w:rPr>
        <w:t>the analytical p-value.</w:t>
      </w:r>
      <w:r w:rsidR="00982407" w:rsidRPr="00591954">
        <w:rPr>
          <w:rFonts w:ascii="Times New Roman" w:hAnsi="Times New Roman" w:cs="Times New Roman"/>
          <w:color w:val="auto"/>
          <w:sz w:val="24"/>
          <w:szCs w:val="24"/>
          <w:lang w:val="en-GB" w:eastAsia="en-GB"/>
        </w:rPr>
        <w:t xml:space="preserve"> In brief, for 1000 permutations</w:t>
      </w:r>
      <w:r w:rsidR="003D6645" w:rsidRPr="00591954">
        <w:rPr>
          <w:rFonts w:ascii="Times New Roman" w:hAnsi="Times New Roman" w:cs="Times New Roman"/>
          <w:color w:val="auto"/>
          <w:sz w:val="24"/>
          <w:szCs w:val="24"/>
          <w:lang w:val="en-GB" w:eastAsia="en-GB"/>
        </w:rPr>
        <w:t>,</w:t>
      </w:r>
      <w:r w:rsidR="00982407" w:rsidRPr="00591954">
        <w:rPr>
          <w:rFonts w:ascii="Times New Roman" w:hAnsi="Times New Roman" w:cs="Times New Roman"/>
          <w:color w:val="auto"/>
          <w:sz w:val="24"/>
          <w:szCs w:val="24"/>
          <w:lang w:val="en-GB" w:eastAsia="en-GB"/>
        </w:rPr>
        <w:t xml:space="preserve"> we randomly assigned 8 of the 34 regions to be vulnerable and repeated the analysis. The permutation </w:t>
      </w:r>
      <w:r w:rsidR="00F10AC7" w:rsidRPr="00591954">
        <w:rPr>
          <w:rFonts w:ascii="Times New Roman" w:hAnsi="Times New Roman" w:cs="Times New Roman"/>
          <w:color w:val="auto"/>
          <w:sz w:val="24"/>
          <w:szCs w:val="24"/>
          <w:lang w:val="en-GB" w:eastAsia="en-GB"/>
        </w:rPr>
        <w:t>P</w:t>
      </w:r>
      <w:r w:rsidR="00982407" w:rsidRPr="00591954">
        <w:rPr>
          <w:rFonts w:ascii="Times New Roman" w:hAnsi="Times New Roman" w:cs="Times New Roman"/>
          <w:color w:val="auto"/>
          <w:sz w:val="24"/>
          <w:szCs w:val="24"/>
          <w:lang w:val="en-GB" w:eastAsia="en-GB"/>
        </w:rPr>
        <w:t xml:space="preserve">-value was based on the number of </w:t>
      </w:r>
      <w:r w:rsidR="00C640FD" w:rsidRPr="00591954">
        <w:rPr>
          <w:rFonts w:ascii="Times New Roman" w:hAnsi="Times New Roman" w:cs="Times New Roman"/>
          <w:color w:val="auto"/>
          <w:sz w:val="24"/>
          <w:szCs w:val="24"/>
          <w:lang w:val="en-GB" w:eastAsia="en-GB"/>
        </w:rPr>
        <w:t>runs</w:t>
      </w:r>
      <w:r w:rsidR="00982407" w:rsidRPr="00591954">
        <w:rPr>
          <w:rFonts w:ascii="Times New Roman" w:hAnsi="Times New Roman" w:cs="Times New Roman"/>
          <w:color w:val="auto"/>
          <w:sz w:val="24"/>
          <w:szCs w:val="24"/>
          <w:lang w:val="en-GB" w:eastAsia="en-GB"/>
        </w:rPr>
        <w:t xml:space="preserve"> yielding a t-value of equal or larger </w:t>
      </w:r>
      <w:r w:rsidR="00C640FD" w:rsidRPr="00591954">
        <w:rPr>
          <w:rFonts w:ascii="Times New Roman" w:hAnsi="Times New Roman" w:cs="Times New Roman"/>
          <w:color w:val="auto"/>
          <w:sz w:val="24"/>
          <w:szCs w:val="24"/>
          <w:lang w:val="en-GB" w:eastAsia="en-GB"/>
        </w:rPr>
        <w:t>value</w:t>
      </w:r>
      <w:r w:rsidR="00982407" w:rsidRPr="00591954">
        <w:rPr>
          <w:rFonts w:ascii="Times New Roman" w:hAnsi="Times New Roman" w:cs="Times New Roman"/>
          <w:color w:val="auto"/>
          <w:sz w:val="24"/>
          <w:szCs w:val="24"/>
          <w:lang w:val="en-GB" w:eastAsia="en-GB"/>
        </w:rPr>
        <w:t xml:space="preserve"> </w:t>
      </w:r>
      <w:r w:rsidR="006B661E" w:rsidRPr="00591954">
        <w:rPr>
          <w:rFonts w:ascii="Times New Roman" w:hAnsi="Times New Roman" w:cs="Times New Roman"/>
          <w:color w:val="auto"/>
          <w:sz w:val="24"/>
          <w:szCs w:val="24"/>
          <w:lang w:val="en-GB" w:eastAsia="en-GB"/>
        </w:rPr>
        <w:t xml:space="preserve">(in the same direction) </w:t>
      </w:r>
      <w:r w:rsidR="00982407" w:rsidRPr="00591954">
        <w:rPr>
          <w:rFonts w:ascii="Times New Roman" w:hAnsi="Times New Roman" w:cs="Times New Roman"/>
          <w:color w:val="auto"/>
          <w:sz w:val="24"/>
          <w:szCs w:val="24"/>
          <w:lang w:val="en-GB" w:eastAsia="en-GB"/>
        </w:rPr>
        <w:t>as the original t-value.</w:t>
      </w:r>
      <w:r w:rsidR="005C10DF" w:rsidRPr="00591954">
        <w:rPr>
          <w:rFonts w:ascii="Times New Roman" w:hAnsi="Times New Roman" w:cs="Times New Roman"/>
          <w:color w:val="auto"/>
          <w:sz w:val="24"/>
          <w:szCs w:val="24"/>
          <w:lang w:val="en-GB" w:eastAsia="en-GB"/>
        </w:rPr>
        <w:t xml:space="preserve"> </w:t>
      </w:r>
      <w:r w:rsidR="00982407" w:rsidRPr="00591954">
        <w:rPr>
          <w:rFonts w:ascii="Times New Roman" w:hAnsi="Times New Roman" w:cs="Times New Roman"/>
          <w:color w:val="auto"/>
          <w:sz w:val="24"/>
          <w:szCs w:val="24"/>
          <w:lang w:val="en-GB"/>
        </w:rPr>
        <w:t>Next, i</w:t>
      </w:r>
      <w:r w:rsidR="0015529F" w:rsidRPr="00591954">
        <w:rPr>
          <w:rFonts w:ascii="Times New Roman" w:hAnsi="Times New Roman" w:cs="Times New Roman"/>
          <w:color w:val="auto"/>
          <w:sz w:val="24"/>
          <w:szCs w:val="24"/>
          <w:lang w:val="en-GB"/>
        </w:rPr>
        <w:t xml:space="preserve">n order </w:t>
      </w:r>
      <w:r w:rsidR="006B661E" w:rsidRPr="00591954">
        <w:rPr>
          <w:rFonts w:ascii="Times New Roman" w:hAnsi="Times New Roman" w:cs="Times New Roman"/>
          <w:color w:val="auto"/>
          <w:sz w:val="24"/>
          <w:szCs w:val="24"/>
          <w:lang w:val="en-GB"/>
        </w:rPr>
        <w:t>to</w:t>
      </w:r>
      <w:r w:rsidR="0015529F" w:rsidRPr="00591954">
        <w:rPr>
          <w:rFonts w:ascii="Times New Roman" w:hAnsi="Times New Roman" w:cs="Times New Roman"/>
          <w:color w:val="auto"/>
          <w:sz w:val="24"/>
          <w:szCs w:val="24"/>
          <w:lang w:val="en-GB"/>
        </w:rPr>
        <w:t xml:space="preserve"> verify the associations with a given cell type and also to investigate further gene expression differences in </w:t>
      </w:r>
      <w:r w:rsidR="00F66AC5" w:rsidRPr="00591954">
        <w:rPr>
          <w:rFonts w:ascii="Times New Roman" w:hAnsi="Times New Roman" w:cs="Times New Roman"/>
          <w:color w:val="auto"/>
          <w:sz w:val="24"/>
          <w:szCs w:val="24"/>
          <w:lang w:val="en-GB"/>
        </w:rPr>
        <w:t xml:space="preserve">vulnerable compared to relatively protected regions, for each of the </w:t>
      </w:r>
      <w:r w:rsidR="00F66AC5" w:rsidRPr="00591954">
        <w:rPr>
          <w:rFonts w:ascii="Times New Roman" w:hAnsi="Times New Roman" w:cs="Times New Roman"/>
          <w:color w:val="auto"/>
          <w:sz w:val="24"/>
          <w:szCs w:val="24"/>
          <w:lang w:val="en-GB" w:eastAsia="en-GB"/>
        </w:rPr>
        <w:t>14,138 gene</w:t>
      </w:r>
      <w:r w:rsidR="00DB7A85" w:rsidRPr="00591954">
        <w:rPr>
          <w:rFonts w:ascii="Times New Roman" w:hAnsi="Times New Roman" w:cs="Times New Roman"/>
          <w:color w:val="auto"/>
          <w:sz w:val="24"/>
          <w:szCs w:val="24"/>
          <w:lang w:val="en-GB" w:eastAsia="en-GB"/>
        </w:rPr>
        <w:t>s</w:t>
      </w:r>
      <w:r w:rsidR="00F66AC5" w:rsidRPr="00591954">
        <w:rPr>
          <w:rFonts w:ascii="Times New Roman" w:hAnsi="Times New Roman" w:cs="Times New Roman"/>
          <w:color w:val="auto"/>
          <w:sz w:val="24"/>
          <w:szCs w:val="24"/>
          <w:lang w:val="en-GB" w:eastAsia="en-GB"/>
        </w:rPr>
        <w:t xml:space="preserve"> we tested</w:t>
      </w:r>
      <w:r w:rsidR="00F66AC5" w:rsidRPr="00591954">
        <w:rPr>
          <w:rFonts w:ascii="Times New Roman" w:hAnsi="Times New Roman" w:cs="Times New Roman"/>
          <w:color w:val="auto"/>
          <w:sz w:val="24"/>
          <w:szCs w:val="24"/>
          <w:lang w:val="en-GB"/>
        </w:rPr>
        <w:t xml:space="preserve"> </w:t>
      </w:r>
      <w:r w:rsidRPr="00591954">
        <w:rPr>
          <w:rFonts w:ascii="Times New Roman" w:hAnsi="Times New Roman" w:cs="Times New Roman"/>
          <w:color w:val="auto"/>
          <w:sz w:val="24"/>
          <w:szCs w:val="24"/>
          <w:lang w:val="en-GB"/>
        </w:rPr>
        <w:t xml:space="preserve">for </w:t>
      </w:r>
      <w:r w:rsidR="00982407" w:rsidRPr="00591954">
        <w:rPr>
          <w:rFonts w:ascii="Times New Roman" w:hAnsi="Times New Roman" w:cs="Times New Roman"/>
          <w:color w:val="auto"/>
          <w:sz w:val="24"/>
          <w:szCs w:val="24"/>
          <w:lang w:val="en-GB"/>
        </w:rPr>
        <w:t>the</w:t>
      </w:r>
      <w:r w:rsidRPr="00591954">
        <w:rPr>
          <w:rFonts w:ascii="Times New Roman" w:hAnsi="Times New Roman" w:cs="Times New Roman"/>
          <w:color w:val="auto"/>
          <w:sz w:val="24"/>
          <w:szCs w:val="24"/>
          <w:lang w:val="en-GB"/>
        </w:rPr>
        <w:t xml:space="preserve"> effect of the </w:t>
      </w:r>
      <w:r w:rsidR="00F83901" w:rsidRPr="00591954">
        <w:rPr>
          <w:rFonts w:ascii="Times New Roman" w:hAnsi="Times New Roman" w:cs="Times New Roman"/>
          <w:color w:val="auto"/>
          <w:sz w:val="24"/>
          <w:szCs w:val="24"/>
          <w:lang w:val="en-GB"/>
        </w:rPr>
        <w:t xml:space="preserve">regional </w:t>
      </w:r>
      <w:r w:rsidRPr="00591954">
        <w:rPr>
          <w:rFonts w:ascii="Times New Roman" w:hAnsi="Times New Roman" w:cs="Times New Roman"/>
          <w:color w:val="auto"/>
          <w:sz w:val="24"/>
          <w:szCs w:val="24"/>
          <w:lang w:val="en-GB"/>
        </w:rPr>
        <w:t xml:space="preserve">vulnerability status on the gene expression level using </w:t>
      </w:r>
      <w:r w:rsidR="00F66AC5" w:rsidRPr="00591954">
        <w:rPr>
          <w:rFonts w:ascii="Times New Roman" w:hAnsi="Times New Roman" w:cs="Times New Roman"/>
          <w:color w:val="auto"/>
          <w:sz w:val="24"/>
          <w:szCs w:val="24"/>
          <w:lang w:val="en-GB"/>
        </w:rPr>
        <w:t xml:space="preserve">the same </w:t>
      </w:r>
      <w:r w:rsidRPr="00591954">
        <w:rPr>
          <w:rFonts w:ascii="Times New Roman" w:hAnsi="Times New Roman" w:cs="Times New Roman"/>
          <w:color w:val="auto"/>
          <w:sz w:val="24"/>
          <w:szCs w:val="24"/>
          <w:lang w:val="en-GB"/>
        </w:rPr>
        <w:t xml:space="preserve">linear mixed effects model </w:t>
      </w:r>
      <w:r w:rsidR="00F66AC5" w:rsidRPr="00591954">
        <w:rPr>
          <w:rFonts w:ascii="Times New Roman" w:hAnsi="Times New Roman" w:cs="Times New Roman"/>
          <w:color w:val="auto"/>
          <w:sz w:val="24"/>
          <w:szCs w:val="24"/>
          <w:lang w:val="en-GB"/>
        </w:rPr>
        <w:t>as above</w:t>
      </w:r>
      <w:r w:rsidR="003D6645" w:rsidRPr="00591954">
        <w:rPr>
          <w:rFonts w:ascii="Times New Roman" w:hAnsi="Times New Roman" w:cs="Times New Roman"/>
          <w:color w:val="auto"/>
          <w:sz w:val="24"/>
          <w:szCs w:val="24"/>
          <w:lang w:val="en-GB"/>
        </w:rPr>
        <w:t xml:space="preserve">. This process </w:t>
      </w:r>
      <w:r w:rsidR="00982407" w:rsidRPr="00591954">
        <w:rPr>
          <w:rFonts w:ascii="Times New Roman" w:hAnsi="Times New Roman" w:cs="Times New Roman"/>
          <w:color w:val="auto"/>
          <w:sz w:val="24"/>
          <w:szCs w:val="24"/>
          <w:lang w:val="en-GB"/>
        </w:rPr>
        <w:t>produc</w:t>
      </w:r>
      <w:r w:rsidR="003D6645" w:rsidRPr="00591954">
        <w:rPr>
          <w:rFonts w:ascii="Times New Roman" w:hAnsi="Times New Roman" w:cs="Times New Roman"/>
          <w:color w:val="auto"/>
          <w:sz w:val="24"/>
          <w:szCs w:val="24"/>
          <w:lang w:val="en-GB"/>
        </w:rPr>
        <w:t>ed</w:t>
      </w:r>
      <w:r w:rsidR="005C10DF" w:rsidRPr="00591954">
        <w:rPr>
          <w:rFonts w:ascii="Times New Roman" w:hAnsi="Times New Roman" w:cs="Times New Roman"/>
          <w:color w:val="auto"/>
          <w:sz w:val="24"/>
          <w:szCs w:val="24"/>
          <w:lang w:val="en-GB"/>
        </w:rPr>
        <w:t xml:space="preserve"> </w:t>
      </w:r>
      <w:r w:rsidR="00982407" w:rsidRPr="00591954">
        <w:rPr>
          <w:rFonts w:ascii="Times New Roman" w:hAnsi="Times New Roman" w:cs="Times New Roman"/>
          <w:color w:val="auto"/>
          <w:sz w:val="24"/>
          <w:szCs w:val="24"/>
          <w:lang w:val="en-GB"/>
        </w:rPr>
        <w:t xml:space="preserve">a ranked </w:t>
      </w:r>
      <w:r w:rsidR="006B661E" w:rsidRPr="00591954">
        <w:rPr>
          <w:rFonts w:ascii="Times New Roman" w:hAnsi="Times New Roman" w:cs="Times New Roman"/>
          <w:color w:val="auto"/>
          <w:sz w:val="24"/>
          <w:szCs w:val="24"/>
          <w:lang w:val="en-GB"/>
        </w:rPr>
        <w:t xml:space="preserve">gene </w:t>
      </w:r>
      <w:r w:rsidR="00982407" w:rsidRPr="00591954">
        <w:rPr>
          <w:rFonts w:ascii="Times New Roman" w:hAnsi="Times New Roman" w:cs="Times New Roman"/>
          <w:color w:val="auto"/>
          <w:sz w:val="24"/>
          <w:szCs w:val="24"/>
          <w:lang w:val="en-GB"/>
        </w:rPr>
        <w:t xml:space="preserve">list where genes with large positive t-values showed higher </w:t>
      </w:r>
      <w:r w:rsidR="00F10AC7" w:rsidRPr="00591954">
        <w:rPr>
          <w:rFonts w:ascii="Times New Roman" w:hAnsi="Times New Roman" w:cs="Times New Roman"/>
          <w:color w:val="auto"/>
          <w:sz w:val="24"/>
          <w:szCs w:val="24"/>
          <w:lang w:val="en-GB"/>
        </w:rPr>
        <w:t>expression</w:t>
      </w:r>
      <w:r w:rsidR="00982407" w:rsidRPr="00591954">
        <w:rPr>
          <w:rFonts w:ascii="Times New Roman" w:hAnsi="Times New Roman" w:cs="Times New Roman"/>
          <w:color w:val="auto"/>
          <w:sz w:val="24"/>
          <w:szCs w:val="24"/>
          <w:lang w:val="en-GB"/>
        </w:rPr>
        <w:t xml:space="preserve"> in vulnerable regions and genes with large negative t-values showed higher expression in relatively protected regions</w:t>
      </w:r>
      <w:r w:rsidR="00F66AC5" w:rsidRPr="00591954">
        <w:rPr>
          <w:rFonts w:ascii="Times New Roman" w:hAnsi="Times New Roman" w:cs="Times New Roman"/>
          <w:color w:val="auto"/>
          <w:sz w:val="24"/>
          <w:szCs w:val="24"/>
          <w:lang w:val="en-GB"/>
        </w:rPr>
        <w:t xml:space="preserve">. </w:t>
      </w:r>
      <w:r w:rsidRPr="00591954">
        <w:rPr>
          <w:rFonts w:ascii="Times New Roman" w:hAnsi="Times New Roman" w:cs="Times New Roman"/>
          <w:color w:val="auto"/>
          <w:sz w:val="24"/>
          <w:szCs w:val="24"/>
          <w:lang w:val="en-GB"/>
        </w:rPr>
        <w:t>The resulting P-values were FDR corrected</w:t>
      </w:r>
      <w:r w:rsidR="00F66AC5" w:rsidRPr="00591954">
        <w:rPr>
          <w:rFonts w:ascii="Times New Roman" w:hAnsi="Times New Roman" w:cs="Times New Roman"/>
          <w:color w:val="auto"/>
          <w:sz w:val="24"/>
          <w:szCs w:val="24"/>
          <w:lang w:val="en-GB"/>
        </w:rPr>
        <w:t xml:space="preserve"> and</w:t>
      </w:r>
      <w:r w:rsidRPr="00591954">
        <w:rPr>
          <w:rFonts w:ascii="Times New Roman" w:hAnsi="Times New Roman" w:cs="Times New Roman"/>
          <w:color w:val="auto"/>
          <w:sz w:val="24"/>
          <w:szCs w:val="24"/>
          <w:lang w:val="en-GB"/>
        </w:rPr>
        <w:t xml:space="preserve"> </w:t>
      </w:r>
      <w:r w:rsidRPr="00591954">
        <w:rPr>
          <w:rFonts w:ascii="Times New Roman" w:eastAsia="Calibri" w:hAnsi="Times New Roman" w:cs="Times New Roman"/>
          <w:color w:val="auto"/>
          <w:sz w:val="24"/>
          <w:szCs w:val="24"/>
          <w:lang w:val="en-GB"/>
        </w:rPr>
        <w:t>genes with P</w:t>
      </w:r>
      <w:r w:rsidRPr="00591954">
        <w:rPr>
          <w:rFonts w:ascii="Times New Roman" w:eastAsia="Calibri" w:hAnsi="Times New Roman" w:cs="Times New Roman"/>
          <w:color w:val="auto"/>
          <w:sz w:val="24"/>
          <w:szCs w:val="24"/>
          <w:vertAlign w:val="subscript"/>
          <w:lang w:val="en-GB"/>
        </w:rPr>
        <w:t>FDR</w:t>
      </w:r>
      <w:r w:rsidRPr="00591954">
        <w:rPr>
          <w:rFonts w:ascii="Times New Roman" w:eastAsia="Calibri" w:hAnsi="Times New Roman" w:cs="Times New Roman"/>
          <w:color w:val="auto"/>
          <w:sz w:val="24"/>
          <w:szCs w:val="24"/>
          <w:lang w:val="en-GB"/>
        </w:rPr>
        <w:t>&lt;0.05 were considered to be differentially expressed.</w:t>
      </w:r>
      <w:r w:rsidR="005270F1" w:rsidRPr="00591954">
        <w:rPr>
          <w:rFonts w:ascii="Times New Roman" w:eastAsia="Calibri" w:hAnsi="Times New Roman" w:cs="Times New Roman"/>
          <w:color w:val="auto"/>
          <w:sz w:val="24"/>
          <w:szCs w:val="24"/>
          <w:lang w:val="en-GB"/>
        </w:rPr>
        <w:t xml:space="preserve"> </w:t>
      </w:r>
      <w:r w:rsidR="005C10DF" w:rsidRPr="00591954">
        <w:rPr>
          <w:rFonts w:ascii="Times New Roman" w:eastAsia="Calibri" w:hAnsi="Times New Roman" w:cs="Times New Roman"/>
          <w:color w:val="auto"/>
          <w:sz w:val="24"/>
          <w:szCs w:val="24"/>
          <w:lang w:val="en-GB"/>
        </w:rPr>
        <w:t>Both</w:t>
      </w:r>
      <w:r w:rsidR="00F32648" w:rsidRPr="00591954">
        <w:rPr>
          <w:rFonts w:ascii="Times New Roman" w:eastAsia="Calibri" w:hAnsi="Times New Roman" w:cs="Times New Roman"/>
          <w:color w:val="auto"/>
          <w:sz w:val="24"/>
          <w:szCs w:val="24"/>
          <w:lang w:val="en-GB"/>
        </w:rPr>
        <w:t xml:space="preserve"> analys</w:t>
      </w:r>
      <w:r w:rsidR="005C10DF" w:rsidRPr="00591954">
        <w:rPr>
          <w:rFonts w:ascii="Times New Roman" w:eastAsia="Calibri" w:hAnsi="Times New Roman" w:cs="Times New Roman"/>
          <w:color w:val="auto"/>
          <w:sz w:val="24"/>
          <w:szCs w:val="24"/>
          <w:lang w:val="en-GB"/>
        </w:rPr>
        <w:t>e</w:t>
      </w:r>
      <w:r w:rsidR="00F32648" w:rsidRPr="00591954">
        <w:rPr>
          <w:rFonts w:ascii="Times New Roman" w:eastAsia="Calibri" w:hAnsi="Times New Roman" w:cs="Times New Roman"/>
          <w:color w:val="auto"/>
          <w:sz w:val="24"/>
          <w:szCs w:val="24"/>
          <w:lang w:val="en-GB"/>
        </w:rPr>
        <w:t>s w</w:t>
      </w:r>
      <w:r w:rsidR="005C10DF" w:rsidRPr="00591954">
        <w:rPr>
          <w:rFonts w:ascii="Times New Roman" w:eastAsia="Calibri" w:hAnsi="Times New Roman" w:cs="Times New Roman"/>
          <w:color w:val="auto"/>
          <w:sz w:val="24"/>
          <w:szCs w:val="24"/>
          <w:lang w:val="en-GB"/>
        </w:rPr>
        <w:t>ere</w:t>
      </w:r>
      <w:r w:rsidR="00F32648" w:rsidRPr="00591954">
        <w:rPr>
          <w:rFonts w:ascii="Times New Roman" w:eastAsia="Calibri" w:hAnsi="Times New Roman" w:cs="Times New Roman"/>
          <w:color w:val="auto"/>
          <w:sz w:val="24"/>
          <w:szCs w:val="24"/>
          <w:lang w:val="en-GB"/>
        </w:rPr>
        <w:t xml:space="preserve"> repeated using 1628 samples in both hemispheres with </w:t>
      </w:r>
      <w:r w:rsidR="00712D70" w:rsidRPr="00591954">
        <w:rPr>
          <w:rFonts w:ascii="Times New Roman" w:eastAsia="Calibri" w:hAnsi="Times New Roman" w:cs="Times New Roman"/>
          <w:color w:val="auto"/>
          <w:sz w:val="24"/>
          <w:szCs w:val="24"/>
          <w:lang w:val="en-GB"/>
        </w:rPr>
        <w:t>vulnerable ROIs defined as in Table S1 (i.e., 18 of 68 ROIs were considered vulnerable</w:t>
      </w:r>
      <w:r w:rsidR="005C10DF" w:rsidRPr="00591954">
        <w:rPr>
          <w:rFonts w:ascii="Times New Roman" w:eastAsia="Calibri" w:hAnsi="Times New Roman" w:cs="Times New Roman"/>
          <w:color w:val="auto"/>
          <w:sz w:val="24"/>
          <w:szCs w:val="24"/>
          <w:lang w:val="en-GB"/>
        </w:rPr>
        <w:t>; 10 in the right hemisphere and 8 in the left hemisphere</w:t>
      </w:r>
      <w:r w:rsidR="00712D70" w:rsidRPr="00591954">
        <w:rPr>
          <w:rFonts w:ascii="Times New Roman" w:eastAsia="Calibri" w:hAnsi="Times New Roman" w:cs="Times New Roman"/>
          <w:color w:val="auto"/>
          <w:sz w:val="24"/>
          <w:szCs w:val="24"/>
          <w:lang w:val="en-GB"/>
        </w:rPr>
        <w:t>). The results were qualitatively similar to the analysis conducted only on the left hemisphere (Table S2 and Fig</w:t>
      </w:r>
      <w:r w:rsidR="00C001AF" w:rsidRPr="00591954">
        <w:rPr>
          <w:rFonts w:ascii="Times New Roman" w:eastAsia="Calibri" w:hAnsi="Times New Roman" w:cs="Times New Roman"/>
          <w:color w:val="auto"/>
          <w:sz w:val="24"/>
          <w:szCs w:val="24"/>
          <w:lang w:val="en-GB"/>
        </w:rPr>
        <w:t>.</w:t>
      </w:r>
      <w:r w:rsidR="00712D70" w:rsidRPr="00591954">
        <w:rPr>
          <w:rFonts w:ascii="Times New Roman" w:eastAsia="Calibri" w:hAnsi="Times New Roman" w:cs="Times New Roman"/>
          <w:color w:val="auto"/>
          <w:sz w:val="24"/>
          <w:szCs w:val="24"/>
          <w:lang w:val="en-GB"/>
        </w:rPr>
        <w:t xml:space="preserve"> S</w:t>
      </w:r>
      <w:r w:rsidR="005C10DF" w:rsidRPr="00591954">
        <w:rPr>
          <w:rFonts w:ascii="Times New Roman" w:eastAsia="Calibri" w:hAnsi="Times New Roman" w:cs="Times New Roman"/>
          <w:color w:val="auto"/>
          <w:sz w:val="24"/>
          <w:szCs w:val="24"/>
          <w:lang w:val="en-GB"/>
        </w:rPr>
        <w:t>15</w:t>
      </w:r>
      <w:r w:rsidR="00712D70" w:rsidRPr="00591954">
        <w:rPr>
          <w:rFonts w:ascii="Times New Roman" w:eastAsia="Calibri" w:hAnsi="Times New Roman" w:cs="Times New Roman"/>
          <w:color w:val="auto"/>
          <w:sz w:val="24"/>
          <w:szCs w:val="24"/>
          <w:lang w:val="en-GB"/>
        </w:rPr>
        <w:t>).</w:t>
      </w:r>
    </w:p>
    <w:p w14:paraId="2EBB70FE" w14:textId="77777777" w:rsidR="00F66AC5" w:rsidRPr="00591954" w:rsidRDefault="00F66AC5" w:rsidP="005270F1">
      <w:pPr>
        <w:pStyle w:val="Normal1"/>
        <w:spacing w:line="240" w:lineRule="auto"/>
        <w:rPr>
          <w:rFonts w:ascii="Times New Roman" w:eastAsia="Calibri" w:hAnsi="Times New Roman" w:cs="Times New Roman"/>
          <w:color w:val="auto"/>
          <w:sz w:val="24"/>
          <w:szCs w:val="24"/>
          <w:lang w:val="en-GB"/>
        </w:rPr>
      </w:pPr>
    </w:p>
    <w:p w14:paraId="2A88C14F" w14:textId="77777777" w:rsidR="00951646" w:rsidRPr="00591954" w:rsidRDefault="00951646" w:rsidP="00951646">
      <w:pPr>
        <w:pStyle w:val="SMHeading"/>
        <w:rPr>
          <w:sz w:val="26"/>
          <w:szCs w:val="26"/>
          <w:lang w:val="en-GB"/>
        </w:rPr>
      </w:pPr>
      <w:r w:rsidRPr="00591954">
        <w:rPr>
          <w:sz w:val="26"/>
          <w:szCs w:val="26"/>
          <w:lang w:val="en-GB"/>
        </w:rPr>
        <w:t>Gene set enrichment analysis to identify cell types of interest</w:t>
      </w:r>
    </w:p>
    <w:p w14:paraId="61F818D9" w14:textId="09FA679F" w:rsidR="00FB52E8" w:rsidRPr="00591954" w:rsidRDefault="00951646" w:rsidP="00951646">
      <w:pPr>
        <w:rPr>
          <w:szCs w:val="24"/>
          <w:lang w:val="en-GB" w:eastAsia="de-DE"/>
        </w:rPr>
      </w:pPr>
      <w:r w:rsidRPr="00591954">
        <w:rPr>
          <w:szCs w:val="24"/>
          <w:lang w:val="en-GB" w:eastAsia="de-DE"/>
        </w:rPr>
        <w:t xml:space="preserve">To </w:t>
      </w:r>
      <w:r w:rsidR="00FD7F72" w:rsidRPr="00591954">
        <w:rPr>
          <w:szCs w:val="24"/>
          <w:lang w:val="en-GB" w:eastAsia="de-DE"/>
        </w:rPr>
        <w:t xml:space="preserve">verify the results of the cell type fraction analysis we tested for enrichment of </w:t>
      </w:r>
      <w:r w:rsidRPr="00591954">
        <w:rPr>
          <w:szCs w:val="24"/>
          <w:lang w:val="en-GB" w:eastAsia="de-DE"/>
        </w:rPr>
        <w:t xml:space="preserve">cell type </w:t>
      </w:r>
      <w:r w:rsidR="00FD7F72" w:rsidRPr="00591954">
        <w:rPr>
          <w:szCs w:val="24"/>
          <w:lang w:val="en-GB" w:eastAsia="de-DE"/>
        </w:rPr>
        <w:t xml:space="preserve">marker genes in the </w:t>
      </w:r>
      <w:r w:rsidR="00CA00C6" w:rsidRPr="00591954">
        <w:rPr>
          <w:szCs w:val="24"/>
          <w:lang w:val="en-GB" w:eastAsia="de-DE"/>
        </w:rPr>
        <w:t xml:space="preserve">ranked </w:t>
      </w:r>
      <w:r w:rsidR="003D6645" w:rsidRPr="00591954">
        <w:rPr>
          <w:szCs w:val="24"/>
          <w:lang w:val="en-GB" w:eastAsia="de-DE"/>
        </w:rPr>
        <w:t xml:space="preserve">gene </w:t>
      </w:r>
      <w:r w:rsidRPr="00591954">
        <w:rPr>
          <w:szCs w:val="24"/>
          <w:lang w:val="en-GB" w:eastAsia="de-DE"/>
        </w:rPr>
        <w:t xml:space="preserve">list </w:t>
      </w:r>
      <w:r w:rsidR="00CA00C6" w:rsidRPr="00591954">
        <w:rPr>
          <w:szCs w:val="24"/>
          <w:lang w:val="en-GB" w:eastAsia="de-DE"/>
        </w:rPr>
        <w:t>produced by the differential expression analysis</w:t>
      </w:r>
      <w:r w:rsidRPr="00591954">
        <w:rPr>
          <w:szCs w:val="24"/>
          <w:lang w:val="en-GB" w:eastAsia="de-DE"/>
        </w:rPr>
        <w:t>.</w:t>
      </w:r>
      <w:r w:rsidR="00FD7F72" w:rsidRPr="00591954">
        <w:rPr>
          <w:szCs w:val="24"/>
          <w:lang w:val="en-GB" w:eastAsia="de-DE"/>
        </w:rPr>
        <w:t xml:space="preserve"> </w:t>
      </w:r>
      <w:r w:rsidR="00CA00C6" w:rsidRPr="00591954">
        <w:rPr>
          <w:szCs w:val="24"/>
          <w:lang w:val="en-GB" w:eastAsia="de-DE"/>
        </w:rPr>
        <w:t>T</w:t>
      </w:r>
      <w:r w:rsidR="00FD7F72" w:rsidRPr="00591954">
        <w:rPr>
          <w:szCs w:val="24"/>
          <w:lang w:val="en-GB" w:eastAsia="de-DE"/>
        </w:rPr>
        <w:t xml:space="preserve">he </w:t>
      </w:r>
      <w:r w:rsidR="00F10AC7" w:rsidRPr="00591954">
        <w:rPr>
          <w:szCs w:val="24"/>
          <w:lang w:val="en-GB" w:eastAsia="de-DE"/>
        </w:rPr>
        <w:t xml:space="preserve">FDR P-value </w:t>
      </w:r>
      <w:r w:rsidR="00FD7F72" w:rsidRPr="00591954">
        <w:rPr>
          <w:szCs w:val="24"/>
          <w:lang w:val="en-GB" w:eastAsia="de-DE"/>
        </w:rPr>
        <w:t>threshold for significant expression</w:t>
      </w:r>
      <w:r w:rsidR="00F10AC7" w:rsidRPr="00591954">
        <w:rPr>
          <w:szCs w:val="24"/>
          <w:lang w:val="en-GB" w:eastAsia="de-DE"/>
        </w:rPr>
        <w:t xml:space="preserve">, although widely applied, </w:t>
      </w:r>
      <w:r w:rsidR="00FD7F72" w:rsidRPr="00591954">
        <w:rPr>
          <w:szCs w:val="24"/>
          <w:lang w:val="en-GB" w:eastAsia="de-DE"/>
        </w:rPr>
        <w:t xml:space="preserve">is rather </w:t>
      </w:r>
      <w:r w:rsidR="00CA00C6" w:rsidRPr="00591954">
        <w:rPr>
          <w:szCs w:val="24"/>
          <w:lang w:val="en-GB" w:eastAsia="de-DE"/>
        </w:rPr>
        <w:t>arbitrary</w:t>
      </w:r>
      <w:r w:rsidR="00FD7F72" w:rsidRPr="00591954">
        <w:rPr>
          <w:szCs w:val="24"/>
          <w:lang w:val="en-GB" w:eastAsia="de-DE"/>
        </w:rPr>
        <w:t xml:space="preserve"> and</w:t>
      </w:r>
      <w:r w:rsidR="00CA00C6" w:rsidRPr="00591954">
        <w:rPr>
          <w:szCs w:val="24"/>
          <w:lang w:val="en-GB" w:eastAsia="de-DE"/>
        </w:rPr>
        <w:t>,</w:t>
      </w:r>
      <w:r w:rsidR="00FD7F72" w:rsidRPr="00591954">
        <w:rPr>
          <w:szCs w:val="24"/>
          <w:lang w:val="en-GB" w:eastAsia="de-DE"/>
        </w:rPr>
        <w:t xml:space="preserve"> in </w:t>
      </w:r>
      <w:r w:rsidR="00CA00C6" w:rsidRPr="00591954">
        <w:rPr>
          <w:szCs w:val="24"/>
          <w:lang w:val="en-GB" w:eastAsia="de-DE"/>
        </w:rPr>
        <w:t>this analysis,</w:t>
      </w:r>
      <w:r w:rsidR="00FD7F72" w:rsidRPr="00591954">
        <w:rPr>
          <w:szCs w:val="24"/>
          <w:lang w:val="en-GB" w:eastAsia="de-DE"/>
        </w:rPr>
        <w:t xml:space="preserve"> led to a very long list</w:t>
      </w:r>
      <w:r w:rsidR="00CA00C6" w:rsidRPr="00591954">
        <w:rPr>
          <w:szCs w:val="24"/>
          <w:lang w:val="en-GB" w:eastAsia="de-DE"/>
        </w:rPr>
        <w:t xml:space="preserve"> of significantly </w:t>
      </w:r>
      <w:r w:rsidR="006B661E" w:rsidRPr="00591954">
        <w:rPr>
          <w:szCs w:val="24"/>
          <w:lang w:val="en-GB" w:eastAsia="de-DE"/>
        </w:rPr>
        <w:t>differentially expressed</w:t>
      </w:r>
      <w:r w:rsidR="00CA00C6" w:rsidRPr="00591954">
        <w:rPr>
          <w:szCs w:val="24"/>
          <w:lang w:val="en-GB" w:eastAsia="de-DE"/>
        </w:rPr>
        <w:t xml:space="preserve"> genes</w:t>
      </w:r>
      <w:r w:rsidR="006B661E" w:rsidRPr="00591954">
        <w:rPr>
          <w:szCs w:val="24"/>
          <w:lang w:val="en-GB" w:eastAsia="de-DE"/>
        </w:rPr>
        <w:t xml:space="preserve"> (</w:t>
      </w:r>
      <w:r w:rsidR="00AE1159" w:rsidRPr="00591954">
        <w:rPr>
          <w:szCs w:val="24"/>
          <w:lang w:val="en-GB" w:eastAsia="de-DE"/>
        </w:rPr>
        <w:t>5,405</w:t>
      </w:r>
      <w:r w:rsidR="006B661E" w:rsidRPr="00591954">
        <w:rPr>
          <w:szCs w:val="24"/>
          <w:lang w:val="en-GB" w:eastAsia="de-DE"/>
        </w:rPr>
        <w:t xml:space="preserve"> of </w:t>
      </w:r>
      <w:r w:rsidR="006B661E" w:rsidRPr="00591954">
        <w:rPr>
          <w:szCs w:val="24"/>
          <w:lang w:val="en-GB" w:eastAsia="en-GB"/>
        </w:rPr>
        <w:t>14,138</w:t>
      </w:r>
      <w:r w:rsidR="006B661E" w:rsidRPr="00591954">
        <w:rPr>
          <w:szCs w:val="24"/>
          <w:lang w:val="en-GB" w:eastAsia="de-DE"/>
        </w:rPr>
        <w:t>)</w:t>
      </w:r>
      <w:r w:rsidR="00CA00C6" w:rsidRPr="00591954">
        <w:rPr>
          <w:szCs w:val="24"/>
          <w:lang w:val="en-GB" w:eastAsia="de-DE"/>
        </w:rPr>
        <w:t>. Thus</w:t>
      </w:r>
      <w:r w:rsidR="00FD7F72" w:rsidRPr="00591954">
        <w:rPr>
          <w:szCs w:val="24"/>
          <w:lang w:val="en-GB" w:eastAsia="de-DE"/>
        </w:rPr>
        <w:t xml:space="preserve">, we </w:t>
      </w:r>
      <w:r w:rsidR="00CA00C6" w:rsidRPr="00591954">
        <w:rPr>
          <w:szCs w:val="24"/>
          <w:lang w:val="en-GB" w:eastAsia="de-DE"/>
        </w:rPr>
        <w:t>employed</w:t>
      </w:r>
      <w:r w:rsidR="00FD7F72" w:rsidRPr="00591954">
        <w:rPr>
          <w:szCs w:val="24"/>
          <w:lang w:val="en-GB" w:eastAsia="de-DE"/>
        </w:rPr>
        <w:t xml:space="preserve"> a threshold</w:t>
      </w:r>
      <w:r w:rsidR="00FB52E8" w:rsidRPr="00591954">
        <w:rPr>
          <w:szCs w:val="24"/>
          <w:lang w:val="en-GB" w:eastAsia="de-DE"/>
        </w:rPr>
        <w:t>-</w:t>
      </w:r>
      <w:r w:rsidR="00FD7F72" w:rsidRPr="00591954">
        <w:rPr>
          <w:szCs w:val="24"/>
          <w:lang w:val="en-GB" w:eastAsia="de-DE"/>
        </w:rPr>
        <w:t xml:space="preserve">free </w:t>
      </w:r>
      <w:r w:rsidR="00FB52E8" w:rsidRPr="00591954">
        <w:rPr>
          <w:szCs w:val="24"/>
          <w:lang w:val="en-GB" w:eastAsia="de-DE"/>
        </w:rPr>
        <w:t xml:space="preserve">enrichment test </w:t>
      </w:r>
      <w:r w:rsidR="00CA00C6" w:rsidRPr="00591954">
        <w:rPr>
          <w:szCs w:val="24"/>
          <w:lang w:val="en-GB" w:eastAsia="de-DE"/>
        </w:rPr>
        <w:t xml:space="preserve">based on the area under the Receiver Operating </w:t>
      </w:r>
      <w:r w:rsidR="00FB52E8" w:rsidRPr="00591954">
        <w:rPr>
          <w:szCs w:val="24"/>
          <w:lang w:val="en-GB" w:eastAsia="de-DE"/>
        </w:rPr>
        <w:t>Characteristics</w:t>
      </w:r>
      <w:r w:rsidR="00CA00C6" w:rsidRPr="00591954">
        <w:rPr>
          <w:szCs w:val="24"/>
          <w:lang w:val="en-GB" w:eastAsia="de-DE"/>
        </w:rPr>
        <w:t xml:space="preserve"> (ROC) curve (AUC) </w:t>
      </w:r>
      <w:r w:rsidR="00FD7F72" w:rsidRPr="00591954">
        <w:rPr>
          <w:szCs w:val="24"/>
          <w:lang w:val="en-GB" w:eastAsia="de-DE"/>
        </w:rPr>
        <w:t>to conduct the enrichment analysis</w:t>
      </w:r>
      <w:r w:rsidR="00CA00C6" w:rsidRPr="00591954">
        <w:rPr>
          <w:szCs w:val="24"/>
          <w:lang w:val="en-GB" w:eastAsia="de-DE"/>
        </w:rPr>
        <w:t xml:space="preserve"> </w:t>
      </w:r>
      <w:r w:rsidR="00CA00C6" w:rsidRPr="00591954">
        <w:rPr>
          <w:szCs w:val="24"/>
          <w:lang w:val="en-GB" w:eastAsia="de-DE"/>
        </w:rPr>
        <w:fldChar w:fldCharType="begin" w:fldLock="1"/>
      </w:r>
      <w:r w:rsidR="004F23C5" w:rsidRPr="00591954">
        <w:rPr>
          <w:szCs w:val="24"/>
          <w:lang w:val="en-GB" w:eastAsia="de-DE"/>
        </w:rPr>
        <w:instrText>ADDIN CSL_CITATION {"citationItems":[{"id":"ITEM-1","itemData":{"DOI":"10.7287/peerj.preprints.2420","ISSN":"2167-8359","abstract":"\" Omics \" studies generate long lists of genes, proteins, metabolites or other features which can be difficult to decipher. Feature set enrichment analysis utilizing annotated groups/classes of features (such as pathways, gene ontology terms or gene/metabolic modules) can provide a powerful gate-way to associate data to phenotypes such as disease process or treatment progression. At the same time, the increasing use of technologies to generate multidimensional omics data sets based on specific cell types or responses to stimuli increases the number and breadth of annotated feature sets available for enrichment analysis, facilitating the ability to draw biologically relevant conclusions. However, existing tools and applications for enrichment analysis are adapted specifically to gene set enrichment and lack functionalities to analyze rapidly growing amounts of metabolomics and other data. Moreover, such tools often provide only a limited range of statistical methods, rely on permu-tation tests, lack suitable visualization tools to facilitate result interpretation in complex experimental setups, and lack standalone versions usable in semi-automatized workflows. Here, we present tmod, an R package which implements powerful statistical methods for enrichment analysis. Tmod includes definitions of widely used feature sets for transcriptomic and metabolomic profiling and also allows use of custom user-provided feature sets. Moreover, it provides novel and intuitive visualiza-tion methods which facilitate interpretation of complex data sets. The implemented statistical tests allow the significance of enrichment within sorted feature lists to be calculated without randomization tests and thus are suitable for combining functional analysis with multivariate techniques.","author":[{"dropping-particle":"","family":"Weiner 3rd","given":"January","non-dropping-particle":"","parse-names":false,"suffix":""},{"dropping-particle":"","family":"Domaszewska","given":"Teresa","non-dropping-particle":"","parse-names":false,"suffix":""}],"container-title":"PeerJ","id":"ITEM-1","issued":{"date-parts":[["2016"]]},"title":"tmod: an R package for general and multivariate enrichment analysis","type":"article-journal","volume":"4"},"uris":["http://www.mendeley.com/documents/?uuid=364ffc98-fd4b-41ee-b8fa-c9b3d3c0a650"]},{"id":"ITEM-2","itemData":{"DOI":"10.1016/j.neuroimage.2018.03.027","PMID":"29567503","abstract":"Magnetic resonance (MR) images of the brain are of immense clinical and research utility. At the atomic and subatomic levels, the sources of MR signals are well understood. However, we lack a comprehensive understanding of the macromolecular correlates of MR signal contrast. To address this gap, we used genome-wide measurements to correlate gene expression with MR signal intensity across the cerebral cortex in the Allen Human Brain Atlas (AHBA). We focused on the ratio of T1-weighted and T2-weighted intensities (T1-w/T2-w ratio image), which is considered to be a useful proxy for myelin content. As expected, we found enrichment of positive correlations between myelin-associated genes and the ratio image, supporting its use as a myelin marker. Genome-wide, there was an association with protein mass, with genes coding for heavier proteins expressed in regions with high T1-w/T2-w values. Oligodendrocyte gene markers were strongly correlated with the T1-w/T2-w ratio, but this was not driven by myelin-associated genes. Mitochondrial genes exhibit the strongest relationship, showing higher expression in regions with low T1-w/T2-w ratio. This may be due to the pH gradient in mitochondria as genes up-regulated by pH in the brain were also highly correlated with the ratio. While we corroborate associations with myelin and synaptic plasticity, differences in the T1-w/T2-w ratio across the cortex are more strongly linked to molecule size, oligodendrocyte markers, mitochondria, and pH. We evaluate correlations between AHBA transcriptomic measurements and a group averaged T1-w/T2-w ratio image, showing agreement with in-sample results. Expanding our analysis to the whole brain results in strong positive T1-w/T2-w correlations for immune system, inflammatory disease, and microglia marker genes. Genes with negative correlations were enriched for neuron markers and synaptic plasticity genes. Lastly, our findings are similar when performed on T1-w or inverted T2-w intensities alone. These results provide a molecular characterization of MR contrast that will aid interpretation of future MR studies of the brain.","author":[{"dropping-particle":"","family":"Ritchie","given":"Jacob","non-dropping-particle":"","parse-names":false,"suffix":""},{"dropping-particle":"","family":"Pantazatos","given":"Spiro P","non-dropping-particle":"","parse-names":false,"suffix":""},{"dropping-particle":"","family":"French","given":"Leon","non-dropping-particle":"","parse-names":false,"suffix":""}],"container-title":"NeuroImage","id":"ITEM-2","issued":{"date-parts":[["2018"]]},"language":"English","page":"504-517","title":"Transcriptomic characterization of MRI contrast with focus on the T1-w/T2-w ratio in the cerebral cortex.","type":"article-journal","volume":"174"},"uris":["http://www.mendeley.com/documents/?uuid=8e683c97-288d-4e0d-93bc-4303be3c04b7"]}],"mendeley":{"formattedCitation":"[14,15]","plainTextFormattedCitation":"[14,15]","previouslyFormattedCitation":"(14,15)"},"properties":{"noteIndex":0},"schema":"https://github.com/citation-style-language/schema/raw/master/csl-citation.json"}</w:instrText>
      </w:r>
      <w:r w:rsidR="00CA00C6" w:rsidRPr="00591954">
        <w:rPr>
          <w:szCs w:val="24"/>
          <w:lang w:val="en-GB" w:eastAsia="de-DE"/>
        </w:rPr>
        <w:fldChar w:fldCharType="separate"/>
      </w:r>
      <w:r w:rsidR="004F23C5" w:rsidRPr="00591954">
        <w:rPr>
          <w:noProof/>
          <w:szCs w:val="24"/>
          <w:lang w:val="en-GB" w:eastAsia="de-DE"/>
        </w:rPr>
        <w:t>[14,15]</w:t>
      </w:r>
      <w:r w:rsidR="00CA00C6" w:rsidRPr="00591954">
        <w:rPr>
          <w:szCs w:val="24"/>
          <w:lang w:val="en-GB" w:eastAsia="de-DE"/>
        </w:rPr>
        <w:fldChar w:fldCharType="end"/>
      </w:r>
      <w:r w:rsidR="00FD7F72" w:rsidRPr="00591954">
        <w:rPr>
          <w:szCs w:val="24"/>
          <w:lang w:val="en-GB" w:eastAsia="de-DE"/>
        </w:rPr>
        <w:t>.</w:t>
      </w:r>
      <w:r w:rsidR="00CA00C6" w:rsidRPr="00591954">
        <w:rPr>
          <w:szCs w:val="24"/>
          <w:lang w:val="en-GB" w:eastAsia="de-DE"/>
        </w:rPr>
        <w:t xml:space="preserve"> In brief, this approach tests whether genes belonging to a given list (e.g., a pathway, GO term or cell type marker genes) accumulate at either end of the ranked gene list</w:t>
      </w:r>
      <w:r w:rsidR="00F10AC7" w:rsidRPr="00591954">
        <w:rPr>
          <w:szCs w:val="24"/>
          <w:lang w:val="en-GB" w:eastAsia="de-DE"/>
        </w:rPr>
        <w:t xml:space="preserve"> produced by the differential expression analysis</w:t>
      </w:r>
      <w:r w:rsidR="00CA00C6" w:rsidRPr="00591954">
        <w:rPr>
          <w:szCs w:val="24"/>
          <w:lang w:val="en-GB" w:eastAsia="de-DE"/>
        </w:rPr>
        <w:t xml:space="preserve">. An </w:t>
      </w:r>
      <w:r w:rsidR="00CA00C6" w:rsidRPr="00591954">
        <w:rPr>
          <w:szCs w:val="24"/>
          <w:lang w:val="en-GB" w:eastAsia="de-DE"/>
        </w:rPr>
        <w:lastRenderedPageBreak/>
        <w:t>AUC of 0.5 signifies no enrichment</w:t>
      </w:r>
      <w:r w:rsidR="00FB52E8" w:rsidRPr="00591954">
        <w:rPr>
          <w:szCs w:val="24"/>
          <w:lang w:val="en-GB" w:eastAsia="de-DE"/>
        </w:rPr>
        <w:t>,</w:t>
      </w:r>
      <w:r w:rsidR="00CA00C6" w:rsidRPr="00591954">
        <w:rPr>
          <w:szCs w:val="24"/>
          <w:lang w:val="en-GB" w:eastAsia="de-DE"/>
        </w:rPr>
        <w:t xml:space="preserve"> whereas AUC values close</w:t>
      </w:r>
      <w:r w:rsidR="00F30AE1" w:rsidRPr="00591954">
        <w:rPr>
          <w:szCs w:val="24"/>
          <w:lang w:val="en-GB" w:eastAsia="de-DE"/>
        </w:rPr>
        <w:t>r</w:t>
      </w:r>
      <w:r w:rsidR="00CA00C6" w:rsidRPr="00591954">
        <w:rPr>
          <w:szCs w:val="24"/>
          <w:lang w:val="en-GB" w:eastAsia="de-DE"/>
        </w:rPr>
        <w:t xml:space="preserve"> to 1.0 signify positive enrichment (</w:t>
      </w:r>
      <w:r w:rsidR="003D6645" w:rsidRPr="00591954">
        <w:rPr>
          <w:szCs w:val="24"/>
          <w:lang w:val="en-GB" w:eastAsia="de-DE"/>
        </w:rPr>
        <w:t>in our context, equating to</w:t>
      </w:r>
      <w:r w:rsidR="00FB52E8" w:rsidRPr="00591954">
        <w:rPr>
          <w:szCs w:val="24"/>
          <w:lang w:val="en-GB" w:eastAsia="de-DE"/>
        </w:rPr>
        <w:t xml:space="preserve"> higher expression in vulnerable regions</w:t>
      </w:r>
      <w:r w:rsidR="00CA00C6" w:rsidRPr="00591954">
        <w:rPr>
          <w:szCs w:val="24"/>
          <w:lang w:val="en-GB" w:eastAsia="de-DE"/>
        </w:rPr>
        <w:t>) and AU</w:t>
      </w:r>
      <w:r w:rsidR="00FB52E8" w:rsidRPr="00591954">
        <w:rPr>
          <w:szCs w:val="24"/>
          <w:lang w:val="en-GB" w:eastAsia="de-DE"/>
        </w:rPr>
        <w:t>C</w:t>
      </w:r>
      <w:r w:rsidR="00CA00C6" w:rsidRPr="00591954">
        <w:rPr>
          <w:szCs w:val="24"/>
          <w:lang w:val="en-GB" w:eastAsia="de-DE"/>
        </w:rPr>
        <w:t xml:space="preserve"> values </w:t>
      </w:r>
      <w:r w:rsidR="00FB52E8" w:rsidRPr="00591954">
        <w:rPr>
          <w:szCs w:val="24"/>
          <w:lang w:val="en-GB" w:eastAsia="de-DE"/>
        </w:rPr>
        <w:t>close</w:t>
      </w:r>
      <w:r w:rsidR="00F30AE1" w:rsidRPr="00591954">
        <w:rPr>
          <w:szCs w:val="24"/>
          <w:lang w:val="en-GB" w:eastAsia="de-DE"/>
        </w:rPr>
        <w:t>r</w:t>
      </w:r>
      <w:r w:rsidR="00FB52E8" w:rsidRPr="00591954">
        <w:rPr>
          <w:szCs w:val="24"/>
          <w:lang w:val="en-GB" w:eastAsia="de-DE"/>
        </w:rPr>
        <w:t xml:space="preserve"> to 0</w:t>
      </w:r>
      <w:r w:rsidR="00D5176D" w:rsidRPr="00591954">
        <w:rPr>
          <w:szCs w:val="24"/>
          <w:lang w:val="en-GB" w:eastAsia="de-DE"/>
        </w:rPr>
        <w:t>.0</w:t>
      </w:r>
      <w:r w:rsidR="00FB52E8" w:rsidRPr="00591954">
        <w:rPr>
          <w:szCs w:val="24"/>
          <w:lang w:val="en-GB" w:eastAsia="de-DE"/>
        </w:rPr>
        <w:t xml:space="preserve"> </w:t>
      </w:r>
      <w:r w:rsidR="00F30AE1" w:rsidRPr="00591954">
        <w:rPr>
          <w:szCs w:val="24"/>
          <w:lang w:val="en-GB" w:eastAsia="de-DE"/>
        </w:rPr>
        <w:t xml:space="preserve">indicate </w:t>
      </w:r>
      <w:r w:rsidR="00FB52E8" w:rsidRPr="00591954">
        <w:rPr>
          <w:szCs w:val="24"/>
          <w:lang w:val="en-GB" w:eastAsia="de-DE"/>
        </w:rPr>
        <w:t>a negative enrichment (</w:t>
      </w:r>
      <w:r w:rsidR="003D6645" w:rsidRPr="00591954">
        <w:rPr>
          <w:szCs w:val="24"/>
          <w:lang w:val="en-GB" w:eastAsia="de-DE"/>
        </w:rPr>
        <w:t>equating to</w:t>
      </w:r>
      <w:r w:rsidR="00FB52E8" w:rsidRPr="00591954">
        <w:rPr>
          <w:szCs w:val="24"/>
          <w:lang w:val="en-GB" w:eastAsia="de-DE"/>
        </w:rPr>
        <w:t xml:space="preserve"> lower expression in vulnerable regions)</w:t>
      </w:r>
      <w:r w:rsidR="00CA00C6" w:rsidRPr="00591954">
        <w:rPr>
          <w:szCs w:val="24"/>
          <w:lang w:val="en-GB" w:eastAsia="de-DE"/>
        </w:rPr>
        <w:t>.</w:t>
      </w:r>
      <w:r w:rsidR="00FB52E8" w:rsidRPr="00591954">
        <w:rPr>
          <w:szCs w:val="24"/>
          <w:lang w:val="en-GB" w:eastAsia="de-DE"/>
        </w:rPr>
        <w:t xml:space="preserve"> A </w:t>
      </w:r>
      <w:r w:rsidR="00D5176D" w:rsidRPr="00591954">
        <w:rPr>
          <w:szCs w:val="24"/>
          <w:lang w:val="en-GB" w:eastAsia="de-DE"/>
        </w:rPr>
        <w:t>P</w:t>
      </w:r>
      <w:r w:rsidR="00FB52E8" w:rsidRPr="00591954">
        <w:rPr>
          <w:szCs w:val="24"/>
          <w:lang w:val="en-GB" w:eastAsia="de-DE"/>
        </w:rPr>
        <w:t xml:space="preserve">-value for this test is based on the Wilcoxon-Mann-Whitney U-Statistic </w:t>
      </w:r>
      <w:r w:rsidR="00FB52E8" w:rsidRPr="00591954">
        <w:rPr>
          <w:szCs w:val="24"/>
          <w:lang w:val="en-GB" w:eastAsia="de-DE"/>
        </w:rPr>
        <w:fldChar w:fldCharType="begin" w:fldLock="1"/>
      </w:r>
      <w:r w:rsidR="004F23C5" w:rsidRPr="00591954">
        <w:rPr>
          <w:szCs w:val="24"/>
          <w:lang w:val="en-GB" w:eastAsia="de-DE"/>
        </w:rPr>
        <w:instrText>ADDIN CSL_CITATION {"citationItems":[{"id":"ITEM-1","itemData":{"DOI":"10.1214/aoms/1177730491","ISSN":"0003-4851","abstract":"The object of this note is to point out and discuss a simple transformation of an absolutely continuous k-variate distribution in the uniform distribution on the k-dimensional hypercube.","author":[{"dropping-particle":"","family":"Mann","given":"H. B.","non-dropping-particle":"","parse-names":false,"suffix":""},{"dropping-particle":"","family":"Whitney","given":"D. R.","non-dropping-particle":"","parse-names":false,"suffix":""}],"container-title":"The Annals of Mathematical Statistics","id":"ITEM-1","issue":"1","issued":{"date-parts":[["1947"]]},"page":"50-60","title":"On a Test of Whether one of Two Random Variables is Stochastically Larger than the Other","type":"article-journal","volume":"18"},"uris":["http://www.mendeley.com/documents/?uuid=5d433bb6-db52-43bb-864e-c5072eac025a"]}],"mendeley":{"formattedCitation":"[16]","plainTextFormattedCitation":"[16]","previouslyFormattedCitation":"(16)"},"properties":{"noteIndex":0},"schema":"https://github.com/citation-style-language/schema/raw/master/csl-citation.json"}</w:instrText>
      </w:r>
      <w:r w:rsidR="00FB52E8" w:rsidRPr="00591954">
        <w:rPr>
          <w:szCs w:val="24"/>
          <w:lang w:val="en-GB" w:eastAsia="de-DE"/>
        </w:rPr>
        <w:fldChar w:fldCharType="separate"/>
      </w:r>
      <w:r w:rsidR="004F23C5" w:rsidRPr="00591954">
        <w:rPr>
          <w:noProof/>
          <w:szCs w:val="24"/>
          <w:lang w:val="en-GB" w:eastAsia="de-DE"/>
        </w:rPr>
        <w:t>[16]</w:t>
      </w:r>
      <w:r w:rsidR="00FB52E8" w:rsidRPr="00591954">
        <w:rPr>
          <w:szCs w:val="24"/>
          <w:lang w:val="en-GB" w:eastAsia="de-DE"/>
        </w:rPr>
        <w:fldChar w:fldCharType="end"/>
      </w:r>
      <w:r w:rsidR="00FB52E8" w:rsidRPr="00591954">
        <w:rPr>
          <w:szCs w:val="24"/>
          <w:lang w:val="en-GB" w:eastAsia="de-DE"/>
        </w:rPr>
        <w:t>. P-values were FDR corrected: gene sets with P</w:t>
      </w:r>
      <w:r w:rsidR="00FB52E8" w:rsidRPr="00591954">
        <w:rPr>
          <w:szCs w:val="24"/>
          <w:vertAlign w:val="subscript"/>
          <w:lang w:val="en-GB" w:eastAsia="de-DE"/>
        </w:rPr>
        <w:t>FDR</w:t>
      </w:r>
      <w:r w:rsidR="00FB52E8" w:rsidRPr="00591954">
        <w:rPr>
          <w:szCs w:val="24"/>
          <w:lang w:val="en-GB" w:eastAsia="de-DE"/>
        </w:rPr>
        <w:t>&lt;0.05 were considered significantly enriched.</w:t>
      </w:r>
    </w:p>
    <w:p w14:paraId="5B6CC3B9" w14:textId="4682C868" w:rsidR="00951646" w:rsidRPr="00591954" w:rsidRDefault="00FB52E8" w:rsidP="00951646">
      <w:pPr>
        <w:rPr>
          <w:szCs w:val="24"/>
          <w:lang w:val="en-GB" w:eastAsia="de-DE"/>
        </w:rPr>
      </w:pPr>
      <w:r w:rsidRPr="00591954">
        <w:rPr>
          <w:szCs w:val="24"/>
          <w:lang w:val="en-GB" w:eastAsia="de-DE"/>
        </w:rPr>
        <w:t>To specifically verify the cell type fraction result</w:t>
      </w:r>
      <w:r w:rsidR="00951646" w:rsidRPr="00591954">
        <w:rPr>
          <w:szCs w:val="24"/>
          <w:lang w:val="en-GB" w:eastAsia="de-DE"/>
        </w:rPr>
        <w:t>, we collated lists of genes whose expression is enriched in specific brain cell types.</w:t>
      </w:r>
      <w:r w:rsidR="00951646" w:rsidRPr="00591954">
        <w:rPr>
          <w:szCs w:val="24"/>
          <w:lang w:val="en-GB"/>
        </w:rPr>
        <w:t xml:space="preserve"> </w:t>
      </w:r>
      <w:r w:rsidR="00951646" w:rsidRPr="00591954">
        <w:rPr>
          <w:szCs w:val="24"/>
          <w:lang w:val="en-GB" w:eastAsia="de-DE"/>
        </w:rPr>
        <w:t xml:space="preserve">These lists were based on the analysis of RNA-sequencing data from purified cells isolated from mouse and human cerebral cortex and covered astrocytes, neurons, oligodendrocyte precursors, newly-formed oligodendrocytes, myelinating oligodendrocytes, microglia and endothelial cells </w:t>
      </w:r>
      <w:r w:rsidR="00951646" w:rsidRPr="00591954">
        <w:rPr>
          <w:szCs w:val="24"/>
          <w:vertAlign w:val="superscript"/>
          <w:lang w:val="en-GB" w:eastAsia="de-DE"/>
        </w:rPr>
        <w:fldChar w:fldCharType="begin" w:fldLock="1"/>
      </w:r>
      <w:r w:rsidR="004F23C5" w:rsidRPr="00591954">
        <w:rPr>
          <w:szCs w:val="24"/>
          <w:vertAlign w:val="superscript"/>
          <w:lang w:val="en-GB" w:eastAsia="de-DE"/>
        </w:rPr>
        <w:instrText>ADDIN CSL_CITATION {"citationItems":[{"id":"ITEM-1","itemData":{"DOI":"10.1523/JNEUROSCI.1860-14.2014","PMID":"25186741","abstract":"The major cell classes of the brain differ in their developmental processes, metabolism, signaling, and function. To better understand the functions and interactions of the cell types that comprise these classes, we acutely purified representative populations of neurons, astrocytes, oligodendrocyte precursor cells, newly formed oligodendrocytes, myelinating oligodendrocytes, microglia, endothelial cells, and pericytes from mouse cerebral cortex. We generated a transcriptome database for these eight cell types by RNA sequencing and used a sensitive algorithm to detect alternative splicing events in each cell type. Bioinformatic analyses identified thousands of new cell type-enriched genes and splicing isoforms that will provide novel markers for cell identification, tools for genetic manipulation, and insights into the biology of the brain. For example, our data provide clues as to how neurons and astrocytes differ in their ability to dynamically regulate glycolytic flux and lactate generation attributable to unique splicing of PKM2, the gene encoding the glycolytic enzyme pyruvate kinase. This dataset will provide a powerful new resource for understanding the development and function of the brain. To ensure the widespread distribution of these datasets, we have created a user-friendly website (http://web.stanford.edu/group/barres_lab/brain_rnaseq.html) that provides a platform for analyzing and comparing transciption and alternative splicing profiles for various cell classes in the brain.","author":[{"dropping-particle":"","family":"Zhang","given":"Ye","non-dropping-particle":"","parse-names":false,"suffix":""},{"dropping-particle":"","family":"Chen","given":"Kenian","non-dropping-particle":"","parse-names":false,"suffix":""},{"dropping-particle":"","family":"Sloan","given":"Steven A","non-dropping-particle":"","parse-names":false,"suffix":""},{"dropping-particle":"","family":"Bennett","given":"Mariko L","non-dropping-particle":"","parse-names":false,"suffix":""},{"dropping-particle":"","family":"Scholze","given":"Anja R","non-dropping-particle":"","parse-names":false,"suffix":""},{"dropping-particle":"","family":"O&amp;apos;Keeffe","given":"Sean","non-dropping-particle":"","parse-names":false,"suffix":""},{"dropping-particle":"","family":"Phatnani","given":"Hemali P","non-dropping-particle":"","parse-names":false,"suffix":""},{"dropping-particle":"","family":"Guarnieri","given":"Paolo","non-dropping-particle":"","parse-names":false,"suffix":""},{"dropping-particle":"","family":"Caneda","given":"Christine","non-dropping-particle":"","parse-names":false,"suffix":""},{"dropping-particle":"","family":"Ruderisch","given":"Nadine","non-dropping-particle":"","parse-names":false,"suffix":""},{"dropping-particle":"","family":"Deng","given":"Shuyun","non-dropping-particle":"","parse-names":false,"suffix":""},{"dropping-particle":"","family":"Liddelow","given":"Shane A","non-dropping-particle":"","parse-names":false,"suffix":""},{"dropping-particle":"","family":"Zhang","given":"Chaolin","non-dropping-particle":"","parse-names":false,"suffix":""},{"dropping-particle":"","family":"Daneman","given":"Richard","non-dropping-particle":"","parse-names":false,"suffix":""},{"dropping-particle":"","family":"Maniatis","given":"Tom","non-dropping-particle":"","parse-names":false,"suffix":""},{"dropping-particle":"","family":"Barres","given":"Ben A","non-dropping-particle":"","parse-names":false,"suffix":""},{"dropping-particle":"","family":"Wu","given":"Jian Qian","non-dropping-particle":"","parse-names":false,"suffix":""}],"container-title":"The Journal of neuroscience : the official journal of the Society for Neuroscience","id":"ITEM-1","issue":"36","issued":{"date-parts":[["2014"]]},"language":"eng","page":"11929-11947","title":"An RNA-sequencing transcriptome and splicing database of glia, neurons, and vascular cells of the cerebral cortex","type":"article-journal","volume":"34"},"uris":["http://www.mendeley.com/documents/?uuid=ac5dafc4-d614-4020-a47a-73fdc7b6d903"]},{"id":"ITEM-2","itemData":{"DOI":"10.1016/j.neuron.2015.11.013","PMID":"26687838","abstract":"The functional and molecular similarities and distinctions between human and murine astrocytes are poorly understood. Here, we report the development of an immunopanning method to acutely purify astrocytes from fetal, juvenile, and adult human brains and to maintain these cells in serum-free cultures. We found that human astrocytes have abilities similar to those of murine astrocytes in promoting neuronal survival, inducing functional synapse formation, and engulfing synaptosomes. In contrast to existing observations in mice, we found that mature human astrocytes respond robustly to glutamate. Next, we performed RNA sequencing of healthy human astrocytes along with astrocytes from epileptic and tumor foci and compared these to human neurons, oligodendrocytes, microglia, and endothelial cells (available at http://www.brainrnaseq.org). With these profiles, we identified novel human-specific astrocyte genes and discovered a transcriptome-wide transformation between astrocyte precursor cells and mature post-mitotic astrocytes. These data represent some of the first cell-type-specific molecular profiles of the healthy and diseased human brain.","author":[{"dropping-particle":"","family":"Zhang","given":"Ye","non-dropping-particle":"","parse-names":false,"suffix":""},{"dropping-particle":"","family":"Sloan","given":"Steven A","non-dropping-particle":"","parse-names":false,"suffix":""},{"dropping-particle":"","family":"Clarke","given":"Laura E","non-dropping-particle":"","parse-names":false,"suffix":""},{"dropping-particle":"","family":"Caneda","given":"Christine","non-dropping-particle":"","parse-names":false,"suffix":""},{"dropping-particle":"","family":"Plaza","given":"Colton A","non-dropping-particle":"","parse-names":false,"suffix":""},{"dropping-particle":"","family":"Blumenthal","given":"Paul D","non-dropping-particle":"","parse-names":false,"suffix":""},{"dropping-particle":"","family":"Vogel","given":"Hannes","non-dropping-particle":"","parse-names":false,"suffix":""},{"dropping-particle":"","family":"Steinberg","given":"Gary K","non-dropping-particle":"","parse-names":false,"suffix":""},{"dropping-particle":"","family":"Edwards","given":"Michael S B","non-dropping-particle":"","parse-names":false,"suffix":""},{"dropping-particle":"","family":"Li","given":"Gordon","non-dropping-particle":"","parse-names":false,"suffix":""},{"dropping-particle":"","family":"Duncan","given":"John A","non-dropping-particle":"","parse-names":false,"suffix":""},{"dropping-particle":"","family":"Cheshier","given":"Samuel H","non-dropping-particle":"","parse-names":false,"suffix":""},{"dropping-particle":"","family":"Shuer","given":"Lawrence M","non-dropping-particle":"","parse-names":false,"suffix":""},{"dropping-particle":"","family":"Chang","given":"Edward F","non-dropping-particle":"","parse-names":false,"suffix":""},{"dropping-particle":"","family":"Grant","given":"Gerald A","non-dropping-particle":"","parse-names":false,"suffix":""},{"dropping-particle":"","family":"Hayden Gephart","given":"Melanie G","non-dropping-particle":"","parse-names":false,"suffix":""},{"dropping-particle":"","family":"Barres","given":"Ben A","non-dropping-particle":"","parse-names":false,"suffix":""}],"container-title":"Neuron","id":"ITEM-2","issue":"1","issued":{"date-parts":[["2016"]]},"language":"eng","page":"37","title":"Purification and Characterization of Progenitor and Mature Human Astrocytes Reveals Transcriptional and Functional Differences with Mouse","type":"article-journal","volume":"89"},"uris":["http://www.mendeley.com/documents/?uuid=1d51f71d-eb54-4e3c-baa3-47b7c65aaf31"]},{"id":"ITEM-3","itemData":{"DOI":"10.1126/science.aaa1934","PMID":"25700174","abstract":"The mammalian cerebral cortex supports cognitive functions such as sensorimotor integration, memory, and social behaviors. Normal brain function relies on a diverse set of differentiated cell types, including neurons, glia, and vasculature. Here, we have used large-scale single-cell RNA sequencing (RNA-seq) to classify cells in the mouse somatosensory cortex and hippocampal CA1 region. We found 47 molecularly distinct subclasses, comprising all known major cell types in the cortex. We identified numerous marker genes, which allowed alignment with known cell types, morphology, and location. We found a layer I interneuron expressing Pax6 and a distinct postmitotic oligodendrocyte subclass marked by Itpr2. Across the diversity of cortical cell types, transcription factors formed a complex, layered regulatory code, suggesting a mechanism for the maintenance of adult cell type identity.","author":[{"dropping-particle":"","family":"Zeisel","given":"Amit","non-dropping-particle":"","parse-names":false,"suffix":""},{"dropping-particle":"","family":"Muñoz-Manchado","given":"Ana B","non-dropping-particle":"","parse-names":false,"suffix":""},{"dropping-particle":"","family":"Codeluppi","given":"Simone","non-dropping-particle":"","parse-names":false,"suffix":""},{"dropping-particle":"","family":"Lönnerberg","given":"Peter","non-dropping-particle":"","parse-names":false,"suffix":""},{"dropping-particle":"","family":"Manno","given":"Gioele","non-dropping-particle":"La","parse-names":false,"suffix":""},{"dropping-particle":"","family":"Juréus","given":"Anna","non-dropping-particle":"","parse-names":false,"suffix":""},{"dropping-particle":"","family":"Marques","given":"Sueli","non-dropping-particle":"","parse-names":false,"suffix":""},{"dropping-particle":"","family":"Munguba","given":"Hermany","non-dropping-particle":"","parse-names":false,"suffix":""},{"dropping-particle":"","family":"He","given":"Liqun","non-dropping-particle":"","parse-names":false,"suffix":""},{"dropping-particle":"","family":"Betsholtz","given":"Christer","non-dropping-particle":"","parse-names":false,"suffix":""},{"dropping-particle":"","family":"Rolny","given":"Charlotte","non-dropping-particle":"","parse-names":false,"suffix":""},{"dropping-particle":"","family":"Castelo-Branco","given":"Gonçalo","non-dropping-particle":"","parse-names":false,"suffix":""},{"dropping-particle":"","family":"Hjerling-Leffler","given":"Jens","non-dropping-particle":"","parse-names":false,"suffix":""},{"dropping-particle":"","family":"Linnarsson","given":"Sten","non-dropping-particle":"","parse-names":false,"suffix":""}],"container-title":"Science (New York, NY)","id":"ITEM-3","issue":"6226","issued":{"date-parts":[["2015"]]},"language":"eng","page":"1138-1142","title":"Brain structure. Cell types in the mouse cortex and hippocampus revealed by single-cell RNA-seq","type":"article-journal","volume":"347"},"uris":["http://www.mendeley.com/documents/?uuid=6aa31893-28aa-45cd-9022-cbab167c4f7c"]}],"mendeley":{"formattedCitation":"[17–19]","plainTextFormattedCitation":"[17–19]","previouslyFormattedCitation":"(17–19)"},"properties":{"noteIndex":0},"schema":"https://github.com/citation-style-language/schema/raw/master/csl-citation.json"}</w:instrText>
      </w:r>
      <w:r w:rsidR="00951646" w:rsidRPr="00591954">
        <w:rPr>
          <w:szCs w:val="24"/>
          <w:vertAlign w:val="superscript"/>
          <w:lang w:val="en-GB" w:eastAsia="de-DE"/>
        </w:rPr>
        <w:fldChar w:fldCharType="separate"/>
      </w:r>
      <w:r w:rsidR="004F23C5" w:rsidRPr="00591954">
        <w:rPr>
          <w:noProof/>
          <w:szCs w:val="24"/>
          <w:lang w:val="en-GB" w:eastAsia="de-DE"/>
        </w:rPr>
        <w:t>[17–19]</w:t>
      </w:r>
      <w:r w:rsidR="00951646" w:rsidRPr="00591954">
        <w:rPr>
          <w:szCs w:val="24"/>
          <w:vertAlign w:val="superscript"/>
          <w:lang w:val="en-GB" w:eastAsia="de-DE"/>
        </w:rPr>
        <w:fldChar w:fldCharType="end"/>
      </w:r>
      <w:r w:rsidR="00951646" w:rsidRPr="00591954">
        <w:rPr>
          <w:szCs w:val="24"/>
          <w:lang w:val="en-GB" w:eastAsia="de-DE"/>
        </w:rPr>
        <w:t xml:space="preserve"> (</w:t>
      </w:r>
      <w:r w:rsidR="00FC0B1A" w:rsidRPr="00591954">
        <w:rPr>
          <w:szCs w:val="24"/>
          <w:lang w:val="en-GB" w:eastAsia="de-DE"/>
        </w:rPr>
        <w:t>Dataset S</w:t>
      </w:r>
      <w:r w:rsidR="00E15017" w:rsidRPr="00591954">
        <w:rPr>
          <w:szCs w:val="24"/>
          <w:lang w:val="en-GB" w:eastAsia="de-DE"/>
        </w:rPr>
        <w:t>5</w:t>
      </w:r>
      <w:r w:rsidR="00951646" w:rsidRPr="00591954">
        <w:rPr>
          <w:szCs w:val="24"/>
          <w:lang w:val="en-GB" w:eastAsia="de-DE"/>
        </w:rPr>
        <w:t>). Mouse gene names were converted to their human orthologues</w:t>
      </w:r>
      <w:r w:rsidR="00951646" w:rsidRPr="00591954" w:rsidDel="007825F7">
        <w:rPr>
          <w:szCs w:val="24"/>
          <w:lang w:val="en-GB" w:eastAsia="de-DE"/>
        </w:rPr>
        <w:t xml:space="preserve"> </w:t>
      </w:r>
      <w:r w:rsidR="00951646" w:rsidRPr="00591954">
        <w:rPr>
          <w:szCs w:val="24"/>
          <w:lang w:val="en-GB" w:eastAsia="de-DE"/>
        </w:rPr>
        <w:t xml:space="preserve">using the R package </w:t>
      </w:r>
      <w:r w:rsidR="00951646" w:rsidRPr="00591954">
        <w:rPr>
          <w:rFonts w:ascii="Courier" w:hAnsi="Courier"/>
          <w:szCs w:val="24"/>
          <w:lang w:val="en-GB" w:eastAsia="de-DE"/>
        </w:rPr>
        <w:t>homologene</w:t>
      </w:r>
      <w:r w:rsidR="00951646" w:rsidRPr="00591954">
        <w:rPr>
          <w:szCs w:val="24"/>
          <w:lang w:val="en-GB" w:eastAsia="de-DE"/>
        </w:rPr>
        <w:t xml:space="preserve"> </w:t>
      </w:r>
      <w:r w:rsidR="00951646" w:rsidRPr="00591954">
        <w:rPr>
          <w:szCs w:val="24"/>
          <w:lang w:val="en-GB" w:eastAsia="de-DE"/>
        </w:rPr>
        <w:fldChar w:fldCharType="begin" w:fldLock="1"/>
      </w:r>
      <w:r w:rsidR="004F23C5" w:rsidRPr="00591954">
        <w:rPr>
          <w:szCs w:val="24"/>
          <w:lang w:val="en-GB" w:eastAsia="de-DE"/>
        </w:rPr>
        <w:instrText>ADDIN CSL_CITATION {"citationItems":[{"id":"ITEM-1","itemData":{"author":[{"dropping-particle":"","family":"Mancarci","given":"Ogan","non-dropping-particle":"","parse-names":false,"suffix":""}],"id":"ITEM-1","issued":{"date-parts":[["2015"]]},"number":"R package version 1.0.68","title":"Homologene: Quick access to homology information","type":"article"},"uris":["http://www.mendeley.com/documents/?uuid=21c742c7-6e95-4521-88dc-ddb3b4d8a2ae"]}],"mendeley":{"formattedCitation":"[20]","plainTextFormattedCitation":"[20]","previouslyFormattedCitation":"(20)"},"properties":{"noteIndex":0},"schema":"https://github.com/citation-style-language/schema/raw/master/csl-citation.json"}</w:instrText>
      </w:r>
      <w:r w:rsidR="00951646" w:rsidRPr="00591954">
        <w:rPr>
          <w:szCs w:val="24"/>
          <w:lang w:val="en-GB" w:eastAsia="de-DE"/>
        </w:rPr>
        <w:fldChar w:fldCharType="separate"/>
      </w:r>
      <w:r w:rsidR="004F23C5" w:rsidRPr="00591954">
        <w:rPr>
          <w:noProof/>
          <w:szCs w:val="24"/>
          <w:lang w:val="en-GB" w:eastAsia="de-DE"/>
        </w:rPr>
        <w:t>[20]</w:t>
      </w:r>
      <w:r w:rsidR="00951646" w:rsidRPr="00591954">
        <w:rPr>
          <w:szCs w:val="24"/>
          <w:lang w:val="en-GB" w:eastAsia="de-DE"/>
        </w:rPr>
        <w:fldChar w:fldCharType="end"/>
      </w:r>
      <w:r w:rsidR="00951646" w:rsidRPr="00591954">
        <w:rPr>
          <w:szCs w:val="24"/>
          <w:lang w:val="en-GB" w:eastAsia="de-DE"/>
        </w:rPr>
        <w:t xml:space="preserve">. </w:t>
      </w:r>
    </w:p>
    <w:p w14:paraId="769D69BE" w14:textId="77777777" w:rsidR="00951646" w:rsidRPr="00591954" w:rsidRDefault="00951646" w:rsidP="00951646">
      <w:pPr>
        <w:rPr>
          <w:lang w:val="en-GB" w:eastAsia="de-DE"/>
        </w:rPr>
      </w:pPr>
    </w:p>
    <w:p w14:paraId="0CD22CC5" w14:textId="77777777" w:rsidR="00951646" w:rsidRPr="00591954" w:rsidRDefault="00951646" w:rsidP="00951646">
      <w:pPr>
        <w:rPr>
          <w:sz w:val="22"/>
          <w:szCs w:val="22"/>
          <w:lang w:val="en-GB" w:eastAsia="de-DE"/>
        </w:rPr>
      </w:pPr>
    </w:p>
    <w:p w14:paraId="760C2CCC" w14:textId="77777777" w:rsidR="00951646" w:rsidRPr="00591954" w:rsidRDefault="00951646" w:rsidP="00951646">
      <w:pPr>
        <w:pStyle w:val="Heading2"/>
        <w:spacing w:before="0" w:after="0"/>
        <w:rPr>
          <w:rFonts w:ascii="Times New Roman" w:hAnsi="Times New Roman"/>
          <w:i w:val="0"/>
          <w:iCs w:val="0"/>
          <w:kern w:val="32"/>
          <w:sz w:val="26"/>
          <w:szCs w:val="26"/>
          <w:lang w:val="en-GB"/>
        </w:rPr>
      </w:pPr>
      <w:r w:rsidRPr="00591954">
        <w:rPr>
          <w:rFonts w:ascii="Times New Roman" w:hAnsi="Times New Roman"/>
          <w:i w:val="0"/>
          <w:iCs w:val="0"/>
          <w:kern w:val="32"/>
          <w:sz w:val="26"/>
          <w:szCs w:val="26"/>
          <w:lang w:val="en-GB"/>
        </w:rPr>
        <w:t>Gene set enrichment analysis to identify cellular processes or pathways of interest</w:t>
      </w:r>
    </w:p>
    <w:p w14:paraId="4C1F86E5" w14:textId="26A64694" w:rsidR="00951646" w:rsidRPr="00591954" w:rsidRDefault="00951646" w:rsidP="00951646">
      <w:pPr>
        <w:rPr>
          <w:szCs w:val="24"/>
          <w:lang w:val="en-GB"/>
        </w:rPr>
      </w:pPr>
      <w:r w:rsidRPr="00591954">
        <w:rPr>
          <w:szCs w:val="24"/>
          <w:lang w:val="en-GB" w:eastAsia="de-DE"/>
        </w:rPr>
        <w:t xml:space="preserve">To identify cellular processes or pathways that may be enriched in the </w:t>
      </w:r>
      <w:r w:rsidR="00F10AC7" w:rsidRPr="00591954">
        <w:rPr>
          <w:szCs w:val="24"/>
          <w:lang w:val="en-GB" w:eastAsia="de-DE"/>
        </w:rPr>
        <w:t>ranked</w:t>
      </w:r>
      <w:r w:rsidRPr="00591954">
        <w:rPr>
          <w:szCs w:val="24"/>
          <w:lang w:val="en-GB" w:eastAsia="de-DE"/>
        </w:rPr>
        <w:t xml:space="preserve"> gene list, we conducted an </w:t>
      </w:r>
      <w:r w:rsidR="00F10AC7" w:rsidRPr="00591954">
        <w:rPr>
          <w:szCs w:val="24"/>
          <w:lang w:val="en-GB" w:eastAsia="de-DE"/>
        </w:rPr>
        <w:t>enrichment</w:t>
      </w:r>
      <w:r w:rsidRPr="00591954">
        <w:rPr>
          <w:szCs w:val="24"/>
          <w:lang w:val="en-GB" w:eastAsia="de-DE"/>
        </w:rPr>
        <w:t xml:space="preserve"> analysis</w:t>
      </w:r>
      <w:r w:rsidR="00F10AC7" w:rsidRPr="00591954">
        <w:rPr>
          <w:szCs w:val="24"/>
          <w:lang w:val="en-GB" w:eastAsia="de-DE"/>
        </w:rPr>
        <w:t xml:space="preserve"> using the same AUC-based test</w:t>
      </w:r>
      <w:r w:rsidRPr="00591954">
        <w:rPr>
          <w:szCs w:val="24"/>
          <w:lang w:val="en-GB" w:eastAsia="de-DE"/>
        </w:rPr>
        <w:t xml:space="preserve">. We used the following gene sets and gene ontologies from the MSigDB database version </w:t>
      </w:r>
      <w:r w:rsidR="00F10AC7" w:rsidRPr="00591954">
        <w:rPr>
          <w:szCs w:val="24"/>
          <w:lang w:val="en-GB" w:eastAsia="de-DE"/>
        </w:rPr>
        <w:t>7</w:t>
      </w:r>
      <w:r w:rsidRPr="00591954">
        <w:rPr>
          <w:szCs w:val="24"/>
          <w:lang w:val="en-GB" w:eastAsia="de-DE"/>
        </w:rPr>
        <w:t>.1 </w:t>
      </w:r>
      <w:r w:rsidRPr="00591954">
        <w:rPr>
          <w:szCs w:val="24"/>
          <w:lang w:val="en-GB" w:eastAsia="de-DE"/>
        </w:rPr>
        <w:fldChar w:fldCharType="begin" w:fldLock="1"/>
      </w:r>
      <w:r w:rsidR="004F23C5" w:rsidRPr="00591954">
        <w:rPr>
          <w:szCs w:val="24"/>
          <w:lang w:val="en-GB" w:eastAsia="de-DE"/>
        </w:rPr>
        <w:instrText>ADDIN CSL_CITATION {"citationItems":[{"id":"ITEM-1","itemData":{"DOI":"10.1073/pnas.0506580102","ISBN":"0027-8424 (Print) 0027-8424 (Linking)","ISSN":"0027-8424","PMID":"16199517","abstract":"Although genomewide RNA expression analysis has become a routine tool in biomedical research, extracting biological insight from such information remains a major challenge. Here, we describe a powerful analytical method called Gene Set Enrichment Analysis (GSEA) for interpreting gene expression data. The method derives its power by focusing on gene sets, that is, groups of genes that share common biological function, chromosomal location, or regulation. We demonstrate how GSEA yields insights into several cancer-related data sets, including leukemia and lung cancer. Notably, where single-gene analysis finds little similarity between two independent studies of patient survival in lung cancer, GSEA reveals many biological pathways in common. The GSEA method is embodied in a freely available software package, together with an initial database of 1,325 biologically defined gene sets.","author":[{"dropping-particle":"","family":"Subramanian","given":"A.","non-dropping-particle":"","parse-names":false,"suffix":""},{"dropping-particle":"","family":"Tamayo","given":"P.","non-dropping-particle":"","parse-names":false,"suffix":""},{"dropping-particle":"","family":"Mootha","given":"V. K.","non-dropping-particle":"","parse-names":false,"suffix":""},{"dropping-particle":"","family":"Mukherjee","given":"S.","non-dropping-particle":"","parse-names":false,"suffix":""},{"dropping-particle":"","family":"Ebert","given":"B. L.","non-dropping-particle":"","parse-names":false,"suffix":""},{"dropping-particle":"","family":"Gillette","given":"M. A.","non-dropping-particle":"","parse-names":false,"suffix":""},{"dropping-particle":"","family":"Paulovich","given":"A.","non-dropping-particle":"","parse-names":false,"suffix":""},{"dropping-particle":"","family":"Pomeroy","given":"S. L.","non-dropping-particle":"","parse-names":false,"suffix":""},{"dropping-particle":"","family":"Golub","given":"T. R.","non-dropping-particle":"","parse-names":false,"suffix":""},{"dropping-particle":"","family":"Lander","given":"E. S.","non-dropping-particle":"","parse-names":false,"suffix":""},{"dropping-particle":"","family":"Mesirov","given":"J. P.","non-dropping-particle":"","parse-names":false,"suffix":""}],"container-title":"Proceedings of the National Academy of Sciences","id":"ITEM-1","issued":{"date-parts":[["2005"]]},"title":"Gene set enrichment analysis: A knowledge-based approach for interpreting genome-wide expression profiles","type":"article-journal"},"uris":["http://www.mendeley.com/documents/?uuid=3f031979-6af3-44a2-a46c-726314c83178"]}],"mendeley":{"formattedCitation":"[21]","plainTextFormattedCitation":"[21]","previouslyFormattedCitation":"(21)"},"properties":{"noteIndex":0},"schema":"https://github.com/citation-style-language/schema/raw/master/csl-citation.json"}</w:instrText>
      </w:r>
      <w:r w:rsidRPr="00591954">
        <w:rPr>
          <w:szCs w:val="24"/>
          <w:lang w:val="en-GB" w:eastAsia="de-DE"/>
        </w:rPr>
        <w:fldChar w:fldCharType="separate"/>
      </w:r>
      <w:r w:rsidR="004F23C5" w:rsidRPr="00591954">
        <w:rPr>
          <w:noProof/>
          <w:szCs w:val="24"/>
          <w:lang w:val="en-GB" w:eastAsia="de-DE"/>
        </w:rPr>
        <w:t>[21]</w:t>
      </w:r>
      <w:r w:rsidRPr="00591954">
        <w:rPr>
          <w:szCs w:val="24"/>
          <w:lang w:val="en-GB" w:eastAsia="de-DE"/>
        </w:rPr>
        <w:fldChar w:fldCharType="end"/>
      </w:r>
      <w:r w:rsidRPr="00591954">
        <w:rPr>
          <w:szCs w:val="24"/>
          <w:lang w:val="en-GB" w:eastAsia="de-DE"/>
        </w:rPr>
        <w:t xml:space="preserve"> (date accessed </w:t>
      </w:r>
      <w:r w:rsidR="00F10AC7" w:rsidRPr="00591954">
        <w:rPr>
          <w:szCs w:val="24"/>
          <w:lang w:val="en-GB" w:eastAsia="de-DE"/>
        </w:rPr>
        <w:t>07</w:t>
      </w:r>
      <w:r w:rsidRPr="00591954">
        <w:rPr>
          <w:szCs w:val="24"/>
          <w:lang w:val="en-GB" w:eastAsia="de-DE"/>
        </w:rPr>
        <w:t>/</w:t>
      </w:r>
      <w:r w:rsidR="00F10AC7" w:rsidRPr="00591954">
        <w:rPr>
          <w:szCs w:val="24"/>
          <w:lang w:val="en-GB" w:eastAsia="de-DE"/>
        </w:rPr>
        <w:t>11</w:t>
      </w:r>
      <w:r w:rsidRPr="00591954">
        <w:rPr>
          <w:szCs w:val="24"/>
          <w:lang w:val="en-GB" w:eastAsia="de-DE"/>
        </w:rPr>
        <w:t>/20</w:t>
      </w:r>
      <w:r w:rsidR="00F10AC7" w:rsidRPr="00591954">
        <w:rPr>
          <w:szCs w:val="24"/>
          <w:lang w:val="en-GB" w:eastAsia="de-DE"/>
        </w:rPr>
        <w:t>20</w:t>
      </w:r>
      <w:r w:rsidRPr="00591954">
        <w:rPr>
          <w:szCs w:val="24"/>
          <w:lang w:val="en-GB" w:eastAsia="de-DE"/>
        </w:rPr>
        <w:t>): KEGG (N=18</w:t>
      </w:r>
      <w:r w:rsidR="000344C9" w:rsidRPr="00591954">
        <w:rPr>
          <w:szCs w:val="24"/>
          <w:lang w:val="en-GB" w:eastAsia="de-DE"/>
        </w:rPr>
        <w:t>5</w:t>
      </w:r>
      <w:r w:rsidRPr="00591954">
        <w:rPr>
          <w:szCs w:val="24"/>
          <w:lang w:val="en-GB" w:eastAsia="de-DE"/>
        </w:rPr>
        <w:t xml:space="preserve"> pathways), REACTOME (N=</w:t>
      </w:r>
      <w:r w:rsidR="000344C9" w:rsidRPr="00591954">
        <w:rPr>
          <w:szCs w:val="24"/>
          <w:lang w:val="en-GB" w:eastAsia="de-DE"/>
        </w:rPr>
        <w:t xml:space="preserve">1531 </w:t>
      </w:r>
      <w:r w:rsidRPr="00591954">
        <w:rPr>
          <w:szCs w:val="24"/>
          <w:lang w:val="en-GB" w:eastAsia="de-DE"/>
        </w:rPr>
        <w:t>pathways) and Gene Ontology (N=</w:t>
      </w:r>
      <w:r w:rsidR="00C640FD" w:rsidRPr="00591954">
        <w:rPr>
          <w:szCs w:val="24"/>
          <w:lang w:val="en-GB" w:eastAsia="de-DE"/>
        </w:rPr>
        <w:t>6,544</w:t>
      </w:r>
      <w:r w:rsidRPr="00591954">
        <w:rPr>
          <w:szCs w:val="24"/>
          <w:lang w:val="en-GB" w:eastAsia="de-DE"/>
        </w:rPr>
        <w:t xml:space="preserve"> ontologies).</w:t>
      </w:r>
      <w:r w:rsidR="00C640FD" w:rsidRPr="00591954">
        <w:rPr>
          <w:szCs w:val="24"/>
          <w:lang w:val="en-GB" w:eastAsia="de-DE"/>
        </w:rPr>
        <w:t xml:space="preserve"> For GO we considered only terms featuring between 10 and 250 genes.</w:t>
      </w:r>
      <w:r w:rsidRPr="00591954">
        <w:rPr>
          <w:szCs w:val="24"/>
          <w:lang w:val="en-GB" w:eastAsia="de-DE"/>
        </w:rPr>
        <w:t xml:space="preserve"> </w:t>
      </w:r>
    </w:p>
    <w:p w14:paraId="7086D189" w14:textId="6711639A" w:rsidR="00951646" w:rsidRPr="00591954" w:rsidRDefault="00951646" w:rsidP="00951646">
      <w:pPr>
        <w:rPr>
          <w:strike/>
          <w:szCs w:val="24"/>
          <w:lang w:val="en-GB"/>
        </w:rPr>
      </w:pPr>
      <w:r w:rsidRPr="00591954">
        <w:rPr>
          <w:szCs w:val="24"/>
          <w:lang w:val="en-GB"/>
        </w:rPr>
        <w:t xml:space="preserve">Furthermore, we collated, and in some cases generated, gene lists designed to capture distinct, but potentially overlapping, microglial states (N=15, Fig. S1, </w:t>
      </w:r>
      <w:r w:rsidR="00FA6282" w:rsidRPr="00591954">
        <w:rPr>
          <w:szCs w:val="24"/>
          <w:lang w:val="en-GB"/>
        </w:rPr>
        <w:t>Dataset S</w:t>
      </w:r>
      <w:r w:rsidR="0007597D" w:rsidRPr="00591954">
        <w:rPr>
          <w:szCs w:val="24"/>
          <w:lang w:val="en-GB"/>
        </w:rPr>
        <w:t>6</w:t>
      </w:r>
      <w:r w:rsidRPr="00591954">
        <w:rPr>
          <w:szCs w:val="24"/>
          <w:lang w:val="en-GB"/>
        </w:rPr>
        <w:t xml:space="preserve">): age/neurodegeneration- and LPS-induced responses from mouse models in Holtman </w:t>
      </w:r>
      <w:r w:rsidRPr="00591954">
        <w:rPr>
          <w:i/>
          <w:szCs w:val="24"/>
          <w:lang w:val="en-GB"/>
        </w:rPr>
        <w:t>et al</w:t>
      </w:r>
      <w:r w:rsidRPr="00591954">
        <w:rPr>
          <w:szCs w:val="24"/>
          <w:lang w:val="en-GB"/>
        </w:rPr>
        <w:t>. </w:t>
      </w:r>
      <w:r w:rsidRPr="00591954">
        <w:rPr>
          <w:szCs w:val="24"/>
          <w:lang w:val="en-GB"/>
        </w:rPr>
        <w:fldChar w:fldCharType="begin" w:fldLock="1"/>
      </w:r>
      <w:r w:rsidR="004F23C5" w:rsidRPr="00591954">
        <w:rPr>
          <w:szCs w:val="24"/>
          <w:lang w:val="en-GB"/>
        </w:rPr>
        <w:instrText>ADDIN CSL_CITATION {"citationItems":[{"id":"ITEM-1","itemData":{"DOI":"10.1186/s40478-015-0203-5","PMID":"26001565","abstract":"INTRODUCTION: Microglia are tissue macrophages of the central nervous system that monitor brain homeostasis and react upon neuronal damage and stress. Aging and neurodegeneration induce a hypersensitive, pro-inflammatory phenotype, referred to as primed microglia. To determine the gene expression signature of priming, the transcriptomes of microglia in aging, Alzheimer&amp;apos;s disease (AD), and amyotrophic lateral sclerosis (ALS) mouse models were compared using Weighted Gene Co-expression Network Analysis (WGCNA).RESULTS: A highly consistent consensus transcriptional profile of up-regulated genes was identified, which prominently differed from the acute inflammatory gene network induced by lipopolysaccharide (LPS). Where the acute inflammatory network was significantly enriched for NF-κB signaling, the primed microglia profile contained key features related to phagosome, lysosome, antigen presentation, and AD signaling. In addition, specific signatures for aging, AD, and ALS were identified.CONCLUSION: Microglia priming induces a highly conserved transcriptional signature with aging- and disease-specific aspects.","author":[{"dropping-particle":"","family":"Holtman","given":"Inge R","non-dropping-particle":"","parse-names":false,"suffix":""},{"dropping-particle":"","family":"Raj","given":"Divya D","non-dropping-particle":"","parse-names":false,"suffix":""},{"dropping-particle":"","family":"Miller","given":"Jeremy A","non-dropping-particle":"","parse-names":false,"suffix":""},{"dropping-particle":"","family":"Schaafsma","given":"Wandert","non-dropping-particle":"","parse-names":false,"suffix":""},{"dropping-particle":"","family":"Yin","given":"Zhuoran","non-dropping-particle":"","parse-names":false,"suffix":""},{"dropping-particle":"","family":"Brouwer","given":"Nieske","non-dropping-particle":"","parse-names":false,"suffix":""},{"dropping-particle":"","family":"Wes","given":"Paul D","non-dropping-particle":"","parse-names":false,"suffix":""},{"dropping-particle":"","family":"Möller","given":"Thomas","non-dropping-particle":"","parse-names":false,"suffix":""},{"dropping-particle":"","family":"Orre","given":"Marie","non-dropping-particle":"","parse-names":false,"suffix":""},{"dropping-particle":"","family":"Kamphuis","given":"Willem","non-dropping-particle":"","parse-names":false,"suffix":""},{"dropping-particle":"","family":"Hol","given":"Elly M","non-dropping-particle":"","parse-names":false,"suffix":""},{"dropping-particle":"","family":"Boddeke","given":"Erik W G M","non-dropping-particle":"","parse-names":false,"suffix":""},{"dropping-particle":"","family":"Eggen","given":"Bart J L","non-dropping-particle":"","parse-names":false,"suffix":""}],"container-title":"Acta neuropathologica communications","id":"ITEM-1","issued":{"date-parts":[["2015"]]},"language":"eng","page":"31","title":"Induction of a common microglia gene expression signature by aging and neurodegenerative conditions: a co-expression meta-analysis","type":"article-journal","volume":"3"},"uris":["http://www.mendeley.com/documents/?uuid=cad1fc9c-2406-44d1-9e4d-68cad2ff6e0c"]}],"mendeley":{"formattedCitation":"[22]","plainTextFormattedCitation":"[22]","previouslyFormattedCitation":"(22)"},"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[22]</w:t>
      </w:r>
      <w:r w:rsidRPr="00591954">
        <w:rPr>
          <w:szCs w:val="24"/>
          <w:lang w:val="en-GB"/>
        </w:rPr>
        <w:fldChar w:fldCharType="end"/>
      </w:r>
      <w:r w:rsidRPr="00591954">
        <w:rPr>
          <w:szCs w:val="24"/>
          <w:lang w:val="en-GB"/>
        </w:rPr>
        <w:t xml:space="preserve">; healthy brain-region-specific mouse microglial modules from Grabert </w:t>
      </w:r>
      <w:r w:rsidRPr="00591954">
        <w:rPr>
          <w:i/>
          <w:szCs w:val="24"/>
          <w:lang w:val="en-GB"/>
        </w:rPr>
        <w:t xml:space="preserve">et al. </w:t>
      </w:r>
      <w:r w:rsidRPr="00591954">
        <w:rPr>
          <w:i/>
          <w:szCs w:val="24"/>
          <w:lang w:val="en-GB"/>
        </w:rPr>
        <w:fldChar w:fldCharType="begin" w:fldLock="1"/>
      </w:r>
      <w:r w:rsidR="004F23C5" w:rsidRPr="00591954">
        <w:rPr>
          <w:i/>
          <w:szCs w:val="24"/>
          <w:lang w:val="en-GB"/>
        </w:rPr>
        <w:instrText>ADDIN CSL_CITATION {"citationItems":[{"id":"ITEM-1","itemData":{"DOI":"10.1038/nn.4222","PMID":"26780511","abstract":"Microglia have critical roles in neural development, homeostasis and neuroinflammation and are increasingly implicated in age-related neurological dysfunction. Neurodegeneration often occurs in disease-specific, spatially restricted patterns, the origins of which are unknown. We performed to our knowledge the first genome-wide analysis of microglia from discrete brain regions across the adult lifespan of the mouse, and found that microglia have distinct region-dependent transcriptional identities and age in a regionally variable manner. In the young adult brain, differences in bioenergetic and immunoregulatory pathways were the major sources of heterogeneity and suggested that cerebellar and hippocampal microglia exist in a more immune-vigilant state. Immune function correlated with regional transcriptional patterns. Augmentation of the distinct cerebellar immunophenotype and a contrasting loss in distinction of the hippocampal phenotype among forebrain regions were key features during aging. Microglial diversity may enable regionally localized homeostatic functions but could also underlie region-specific sensitivities to microglial dysregulation and involvement in age-related neurodegeneration.","author":[{"dropping-particle":"","family":"Grabert","given":"Kathleen","non-dropping-particle":"","parse-names":false,"suffix":""},{"dropping-particle":"","family":"Michoel","given":"Tom","non-dropping-particle":"","parse-names":false,"suffix":""},{"dropping-particle":"","family":"Karavolos","given":"Michail H","non-dropping-particle":"","parse-names":false,"suffix":""},{"dropping-particle":"","family":"Clohisey","given":"Sara","non-dropping-particle":"","parse-names":false,"suffix":""},{"dropping-particle":"","family":"Baillie","given":"J Kenneth","non-dropping-particle":"","parse-names":false,"suffix":""},{"dropping-particle":"","family":"Stevens","given":"Mark P","non-dropping-particle":"","parse-names":false,"suffix":""},{"dropping-particle":"","family":"Freeman","given":"Tom C","non-dropping-particle":"","parse-names":false,"suffix":""},{"dropping-particle":"","family":"Summers","given":"Kim M","non-dropping-particle":"","parse-names":false,"suffix":""},{"dropping-particle":"","family":"McColl","given":"Barry W","non-dropping-particle":"","parse-names":false,"suffix":""}],"container-title":"Nature neuroscience","id":"ITEM-1","issue":"3","issued":{"date-parts":[["2016"]]},"language":"eng","page":"504-516","title":"Microglial brain region-dependent diversity and selective regional sensitivities to aging","type":"article-journal","volume":"19"},"uris":["http://www.mendeley.com/documents/?uuid=cd341c33-4543-4858-9159-54bfba59b4b0"]}],"mendeley":{"formattedCitation":"[23]","plainTextFormattedCitation":"[23]","previouslyFormattedCitation":"(23)"},"properties":{"noteIndex":0},"schema":"https://github.com/citation-style-language/schema/raw/master/csl-citation.json"}</w:instrText>
      </w:r>
      <w:r w:rsidRPr="00591954">
        <w:rPr>
          <w:i/>
          <w:szCs w:val="24"/>
          <w:lang w:val="en-GB"/>
        </w:rPr>
        <w:fldChar w:fldCharType="separate"/>
      </w:r>
      <w:r w:rsidR="004F23C5" w:rsidRPr="00591954">
        <w:rPr>
          <w:noProof/>
          <w:szCs w:val="24"/>
          <w:lang w:val="en-GB"/>
        </w:rPr>
        <w:t>[23]</w:t>
      </w:r>
      <w:r w:rsidRPr="00591954">
        <w:rPr>
          <w:i/>
          <w:szCs w:val="24"/>
          <w:lang w:val="en-GB"/>
        </w:rPr>
        <w:fldChar w:fldCharType="end"/>
      </w:r>
      <w:r w:rsidRPr="00591954">
        <w:rPr>
          <w:szCs w:val="24"/>
          <w:lang w:val="en-GB"/>
        </w:rPr>
        <w:t xml:space="preserve">; homeostatic, early and late response signatures derived from a mouse model of neurodegeneration from Mathys </w:t>
      </w:r>
      <w:r w:rsidRPr="00591954">
        <w:rPr>
          <w:i/>
          <w:szCs w:val="24"/>
          <w:lang w:val="en-GB"/>
        </w:rPr>
        <w:t xml:space="preserve">et al. </w:t>
      </w:r>
      <w:r w:rsidRPr="00591954">
        <w:rPr>
          <w:i/>
          <w:szCs w:val="24"/>
          <w:lang w:val="en-GB"/>
        </w:rPr>
        <w:fldChar w:fldCharType="begin" w:fldLock="1"/>
      </w:r>
      <w:r w:rsidR="004F23C5" w:rsidRPr="00591954">
        <w:rPr>
          <w:i/>
          <w:szCs w:val="24"/>
          <w:lang w:val="en-GB"/>
        </w:rPr>
        <w:instrText>ADDIN CSL_CITATION {"citationItems":[{"id":"ITEM-1","itemData":{"DOI":"10.1016/j.celrep.2017.09.039","PMID":"29020624","abstract":"Microglia, the tissue-resident macrophages in the brain, are damage sensors that react to nearly any perturbation, including neurodegenerative diseases such as Alzheimer&amp;apos;s disease (AD). Here, using single-cell RNA sequencing, we determined the transcriptome of more than 1,600 individual microglia cells isolated from the hippocampus of a mouse model of severe neurodegeneration with AD-like phenotypes and of control mice at multiple time points during progression of neurodegeneration. In this neurodegeneration model, we discovered two molecularly distinct reactive microglia phenotypes that are typified by modules of co-regulated type I and type II interferon response genes, respectively. Furthermore, our work identified previously unobserved heterogeneity in the response of microglia to neurodegeneration, discovered disease stage-specific microglia cell states, revealed the trajectory of cellular reprogramming of microglia in response to neurodegeneration, and uncovered the underlying transcriptional programs.","author":[{"dropping-particle":"","family":"Mathys","given":"Hansruedi","non-dropping-particle":"","parse-names":false,"suffix":""},{"dropping-particle":"","family":"Adaikkan","given":"Chinnakkaruppan","non-dropping-particle":"","parse-names":false,"suffix":""},{"dropping-particle":"","family":"Gao","given":"Fan","non-dropping-particle":"","parse-names":false,"suffix":""},{"dropping-particle":"","family":"Young","given":"Jennie Z","non-dropping-particle":"","parse-names":false,"suffix":""},{"dropping-particle":"","family":"Manet","given":"Elodie","non-dropping-particle":"","parse-names":false,"suffix":""},{"dropping-particle":"","family":"Hemberg","given":"Martin","non-dropping-particle":"","parse-names":false,"suffix":""},{"dropping-particle":"","family":"Jager","given":"Philip L","non-dropping-particle":"De","parse-names":false,"suffix":""},{"dropping-particle":"","family":"Ransohoff","given":"Richard M","non-dropping-particle":"","parse-names":false,"suffix":""},{"dropping-particle":"","family":"Regev","given":"Aviv","non-dropping-particle":"","parse-names":false,"suffix":""},{"dropping-particle":"","family":"Tsai","given":"Li-Huei","non-dropping-particle":"","parse-names":false,"suffix":""}],"container-title":"Cell reports","id":"ITEM-1","issue":"2","issued":{"date-parts":[["2017"]]},"language":"eng","page":"366-380","title":"Temporal Tracking of Microglia Activation in Neurodegeneration at Single-Cell Resolution","type":"article-journal","volume":"21"},"uris":["http://www.mendeley.com/documents/?uuid=ada6beb1-1d3f-4a41-b050-b40db6ca49a9"]}],"mendeley":{"formattedCitation":"[24]","plainTextFormattedCitation":"[24]","previouslyFormattedCitation":"(24)"},"properties":{"noteIndex":0},"schema":"https://github.com/citation-style-language/schema/raw/master/csl-citation.json"}</w:instrText>
      </w:r>
      <w:r w:rsidRPr="00591954">
        <w:rPr>
          <w:i/>
          <w:szCs w:val="24"/>
          <w:lang w:val="en-GB"/>
        </w:rPr>
        <w:fldChar w:fldCharType="separate"/>
      </w:r>
      <w:r w:rsidR="004F23C5" w:rsidRPr="00591954">
        <w:rPr>
          <w:noProof/>
          <w:szCs w:val="24"/>
          <w:lang w:val="en-GB"/>
        </w:rPr>
        <w:t>[24]</w:t>
      </w:r>
      <w:r w:rsidRPr="00591954">
        <w:rPr>
          <w:i/>
          <w:szCs w:val="24"/>
          <w:lang w:val="en-GB"/>
        </w:rPr>
        <w:fldChar w:fldCharType="end"/>
      </w:r>
      <w:r w:rsidRPr="00591954">
        <w:rPr>
          <w:szCs w:val="24"/>
          <w:lang w:val="en-GB"/>
        </w:rPr>
        <w:t xml:space="preserve">; activation/de-activation mouse signatures from NeuroExpresso </w:t>
      </w:r>
      <w:r w:rsidRPr="00591954">
        <w:rPr>
          <w:szCs w:val="24"/>
          <w:lang w:val="en-GB"/>
        </w:rPr>
        <w:fldChar w:fldCharType="begin" w:fldLock="1"/>
      </w:r>
      <w:r w:rsidR="004F23C5" w:rsidRPr="00591954">
        <w:rPr>
          <w:szCs w:val="24"/>
          <w:lang w:val="en-GB"/>
        </w:rPr>
        <w:instrText>ADDIN CSL_CITATION {"citationItems":[{"id":"ITEM-1","itemData":{"DOI":"10.1523/ENEURO.0212-17.2017","PMID":"29204516","abstract":"Establishing the molecular diversity of cell types is crucial for the study of the nervous system. We compiled a cross-laboratory database of mouse brain cell type-specific transcriptomes from 36 major cell types from across the mammalian brain using rigorously curated published data from pooled cell type microarray and single-cell RNA-sequencing (RNA-seq) studies. We used these data to identify cell type-specific marker genes, discovering a substantial number of novel markers, many of which we validated using computational and experimental approaches. We further demonstrate that summarized expression of marker gene sets (MGSs) in bulk tissue data can be used to estimate the relative cell type abundance across samples. To facilitate use of this expanding resource, we provide a user-friendly web interface at www.neuroexpresso.org.","author":[{"dropping-particle":"","family":"Mancarci","given":"B Ogan","non-dropping-particle":"","parse-names":false,"suffix":""},{"dropping-particle":"","family":"Toker","given":"Lilah","non-dropping-particle":"","parse-names":false,"suffix":""},{"dropping-particle":"","family":"Tripathy","given":"Shreejoy J","non-dropping-particle":"","parse-names":false,"suffix":""},{"dropping-particle":"","family":"Li","given":"Brenna","non-dropping-particle":"","parse-names":false,"suffix":""},{"dropping-particle":"","family":"Rocco","given":"Brad","non-dropping-particle":"","parse-names":false,"suffix":""},{"dropping-particle":"","family":"Sibille","given":"Etienne","non-dropping-particle":"","parse-names":false,"suffix":""},{"dropping-particle":"","family":"Pavlidis","given":"Paul","non-dropping-particle":"","parse-names":false,"suffix":""}],"container-title":"eNeuro","id":"ITEM-1","issue":"6","issued":{"date-parts":[["2017"]]},"language":"English","page":"ENEURO.0212-17.2017","publisher":"Society for Neuroscience","title":"Cross-Laboratory Analysis of Brain Cell Type Transcriptomes with Applications to Interpretation of Bulk Tissue Data.","type":"article-journal","volume":"4"},"uris":["http://www.mendeley.com/documents/?uuid=227dad1d-cf54-42a5-ac6e-5e52bb0ced72"]}],"mendeley":{"formattedCitation":"[25]","plainTextFormattedCitation":"[25]","previouslyFormattedCitation":"(25)"},"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[25]</w:t>
      </w:r>
      <w:r w:rsidRPr="00591954">
        <w:rPr>
          <w:szCs w:val="24"/>
          <w:lang w:val="en-GB"/>
        </w:rPr>
        <w:fldChar w:fldCharType="end"/>
      </w:r>
      <w:r w:rsidRPr="00591954">
        <w:rPr>
          <w:szCs w:val="24"/>
          <w:lang w:val="en-GB"/>
        </w:rPr>
        <w:t xml:space="preserve">; module 18, a microglial module driven by </w:t>
      </w:r>
      <w:r w:rsidRPr="00591954">
        <w:rPr>
          <w:i/>
          <w:szCs w:val="24"/>
          <w:lang w:val="en-GB"/>
        </w:rPr>
        <w:t>Csf1r</w:t>
      </w:r>
      <w:r w:rsidRPr="00591954">
        <w:rPr>
          <w:szCs w:val="24"/>
          <w:lang w:val="en-GB"/>
        </w:rPr>
        <w:t xml:space="preserve"> and found to be significantly positively correlated with seizure frequency in a chronic epileptic mouse model </w:t>
      </w:r>
      <w:r w:rsidRPr="00591954">
        <w:rPr>
          <w:szCs w:val="24"/>
          <w:lang w:val="en-GB"/>
        </w:rPr>
        <w:fldChar w:fldCharType="begin" w:fldLock="1"/>
      </w:r>
      <w:r w:rsidR="004F23C5" w:rsidRPr="00591954">
        <w:rPr>
          <w:szCs w:val="24"/>
          <w:lang w:val="en-GB"/>
        </w:rPr>
        <w:instrText>ADDIN CSL_CITATION {"citationItems":[{"id":"ITEM-1","itemData":{"DOI":"10.1038/s41467-018-06008-4","ISSN":"2041-1723","abstract":"The identification of drug targets is highly challenging, particularly for diseases of the brain. To address this problem, we developed and experimentally validated a general computational framework for drug target discovery that combines gene regulatory information with causal reasoning (“Causal Reasoning Analytical Framework for Target discovery”—CRAFT). Using a systems genetics approach and starting from gene expression data from the target tissue, CRAFT provides a predictive framework for identifying cell membrane receptors with a direction-specified influence over disease-related gene expression profiles. As proof of concept, we applied CRAFT to epilepsy and predicted the tyrosine kinase receptor Csf1R as a potential therapeutic target. The predicted effect of Csf1R blockade in attenuating epilepsy seizures was validated in three pre-clinical models of epilepsy. These results highlight CRAFT as a systems-level framework for target discovery and suggest Csf1R blockade as a novel therapeutic strategy in epilepsy. CRAFT is applicable to disease settings other than epilepsy.","author":[{"dropping-particle":"","family":"Srivastava","given":"Prashant K","non-dropping-particle":"","parse-names":false,"suffix":""},{"dropping-particle":"van","family":"Eyll","given":"Jonathan","non-dropping-particle":"","parse-names":false,"suffix":""},{"dropping-particle":"","family":"Godard","given":"Patrice","non-dropping-particle":"","parse-names":false,"suffix":""},{"dropping-particle":"","family":"Mazzuferi","given":"Manuela","non-dropping-particle":"","parse-names":false,"suffix":""},{"dropping-particle":"","family":"Delahaye-Duriez","given":"Andree","non-dropping-particle":"","parse-names":false,"suffix":""},{"dropping-particle":"Van","family":"Steenwinckel","given":"Juliette","non-dropping-particle":"","parse-names":false,"suffix":""},{"dropping-particle":"","family":"Gressens","given":"Pierre","non-dropping-particle":"","parse-names":false,"suffix":""},{"dropping-particle":"","family":"Danis","given":"Benedicte","non-dropping-particle":"","parse-names":false,"suffix":""},{"dropping-particle":"","family":"Vandenplas","given":"Catherine","non-dropping-particle":"","parse-names":false,"suffix":""},{"dropping-particle":"","family":"Foerch","given":"Patrik","non-dropping-particle":"","parse-names":false,"suffix":""},{"dropping-particle":"","family":"Leclercq","given":"Karine","non-dropping-particle":"","parse-names":false,"suffix":""},{"dropping-particle":"","family":"Mairet-Coello","given":"Georges","non-dropping-particle":"","parse-names":false,"suffix":""},{"dropping-particle":"","family":"Cardenas","given":"Alvaro","non-dropping-particle":"","parse-names":false,"suffix":""},{"dropping-particle":"","family":"Vanclef","given":"Frederic","non-dropping-particle":"","parse-names":false,"suffix":""},{"dropping-particle":"","family":"Laaniste","given":"Liisi","non-dropping-particle":"","parse-names":false,"suffix":""},{"dropping-particle":"","family":"Niespodziany","given":"Isabelle","non-dropping-particle":"","parse-names":false,"suffix":""},{"dropping-particle":"","family":"Keaney","given":"James","non-dropping-particle":"","parse-names":false,"suffix":""},{"dropping-particle":"","family":"Gasser","given":"Julien","non-dropping-particle":"","parse-names":false,"suffix":""},{"dropping-particle":"","family":"Gillet","given":"Gaelle","non-dropping-particle":"","parse-names":false,"suffix":""},{"dropping-particle":"","family":"Shkura","given":"Kirill","non-dropping-particle":"","parse-names":false,"suffix":""},{"dropping-particle":"","family":"Chong","given":"Seon-Ah","non-dropping-particle":"","parse-names":false,"suffix":""},{"dropping-particle":"","family":"Behmoaras","given":"Jacques","non-dropping-particle":"","parse-names":false,"suffix":""},{"dropping-particle":"","family":"Kadiu","given":"Irena","non-dropping-particle":"","parse-names":false,"suffix":""},{"dropping-particle":"","family":"Petretto","given":"Enrico","non-dropping-particle":"","parse-names":false,"suffix":""},{"dropping-particle":"","family":"Kaminski","given":"Rafal M","non-dropping-particle":"","parse-names":false,"suffix":""},{"dropping-particle":"","family":"Johnson","given":"Michael R","non-dropping-particle":"","parse-names":false,"suffix":""}],"container-title":"Nature Communications","id":"ITEM-1","issue":"1","issued":{"date-parts":[["2018"]]},"page":"3561","title":"A systems-level framework for drug discovery identifies Csf1R as an anti-epileptic drug target","type":"article-journal","volume":"9"},"uris":["http://www.mendeley.com/documents/?uuid=dca64cb3-46e5-4829-9a54-dbb42c79ded5"]}],"mendeley":{"formattedCitation":"[26]","plainTextFormattedCitation":"[26]","previouslyFormattedCitation":"(26)"},"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[26]</w:t>
      </w:r>
      <w:r w:rsidRPr="00591954">
        <w:rPr>
          <w:szCs w:val="24"/>
          <w:lang w:val="en-GB"/>
        </w:rPr>
        <w:fldChar w:fldCharType="end"/>
      </w:r>
      <w:r w:rsidRPr="00591954">
        <w:rPr>
          <w:szCs w:val="24"/>
          <w:lang w:val="en-GB"/>
        </w:rPr>
        <w:t xml:space="preserve">; and, finally, inferred microglia states from co-expression network analyses of bulk human RNA sequencing data. In the case of the latter, we used published network-based expression signatures </w:t>
      </w:r>
      <w:r w:rsidRPr="00591954">
        <w:rPr>
          <w:szCs w:val="24"/>
          <w:lang w:val="en-GB"/>
        </w:rPr>
        <w:fldChar w:fldCharType="begin" w:fldLock="1"/>
      </w:r>
      <w:r w:rsidR="004F23C5" w:rsidRPr="00591954">
        <w:rPr>
          <w:szCs w:val="24"/>
          <w:lang w:val="en-GB"/>
        </w:rPr>
        <w:instrText>ADDIN CSL_CITATION {"citationItems":[{"id":"ITEM-1","itemData":{"DOI":"10.1038/nn.4222","PMID":"26780511","abstract":"Microglia have critical roles in neural development, homeostasis and neuroinflammation and are increasingly implicated in age-related neurological dysfunction. Neurodegeneration often occurs in disease-specific, spatially restricted patterns, the origins of which are unknown. We performed to our knowledge the first genome-wide analysis of microglia from discrete brain regions across the adult lifespan of the mouse, and found that microglia have distinct region-dependent transcriptional identities and age in a regionally variable manner. In the young adult brain, differences in bioenergetic and immunoregulatory pathways were the major sources of heterogeneity and suggested that cerebellar and hippocampal microglia exist in a more immune-vigilant state. Immune function correlated with regional transcriptional patterns. Augmentation of the distinct cerebellar immunophenotype and a contrasting loss in distinction of the hippocampal phenotype among forebrain regions were key features during aging. Microglial diversity may enable regionally localized homeostatic functions but could also underlie region-specific sensitivities to microglial dysregulation and involvement in age-related neurodegeneration.","author":[{"dropping-particle":"","family":"Grabert","given":"Kathleen","non-dropping-particle":"","parse-names":false,"suffix":""},{"dropping-particle":"","family":"Michoel","given":"Tom","non-dropping-particle":"","parse-names":false,"suffix":""},{"dropping-particle":"","family":"Karavolos","given":"Michail H","non-dropping-particle":"","parse-names":false,"suffix":""},{"dropping-particle":"","family":"Clohisey","given":"Sara","non-dropping-particle":"","parse-names":false,"suffix":""},{"dropping-particle":"","family":"Baillie","given":"J Kenneth","non-dropping-particle":"","parse-names":false,"suffix":""},{"dropping-particle":"","family":"Stevens","given":"Mark P","non-dropping-particle":"","parse-names":false,"suffix":""},{"dropping-particle":"","family":"Freeman","given":"Tom C","non-dropping-particle":"","parse-names":false,"suffix":""},{"dropping-particle":"","family":"Summers","given":"Kim M","non-dropping-particle":"","parse-names":false,"suffix":""},{"dropping-particle":"","family":"McColl","given":"Barry W","non-dropping-particle":"","parse-names":false,"suffix":""}],"container-title":"Nature neuroscience","id":"ITEM-1","issue":"3","issued":{"date-parts":[["2016"]]},"language":"eng","page":"504-516","title":"Microglial brain region-dependent diversity and selective regional sensitivities to aging","type":"article-journal","volume":"19"},"uris":["http://www.mendeley.com/documents/?uuid=cd341c33-4543-4858-9159-54bfba59b4b0"]},{"id":"ITEM-2","itemData":{"DOI":"10.1016/j.celrep.2017.09.039","PMID":"29020624","abstract":"Microglia, the tissue-resident macrophages in the brain, are damage sensors that react to nearly any perturbation, including neurodegenerative diseases such as Alzheimer&amp;apos;s disease (AD). Here, using single-cell RNA sequencing, we determined the transcriptome of more than 1,600 individual microglia cells isolated from the hippocampus of a mouse model of severe neurodegeneration with AD-like phenotypes and of control mice at multiple time points during progression of neurodegeneration. In this neurodegeneration model, we discovered two molecularly distinct reactive microglia phenotypes that are typified by modules of co-regulated type I and type II interferon response genes, respectively. Furthermore, our work identified previously unobserved heterogeneity in the response of microglia to neurodegeneration, discovered disease stage-specific microglia cell states, revealed the trajectory of cellular reprogramming of microglia in response to neurodegeneration, and uncovered the underlying transcriptional programs.","author":[{"dropping-particle":"","family":"Mathys","given":"Hansruedi","non-dropping-particle":"","parse-names":false,"suffix":""},{"dropping-particle":"","family":"Adaikkan","given":"Chinnakkaruppan","non-dropping-particle":"","parse-names":false,"suffix":""},{"dropping-particle":"","family":"Gao","given":"Fan","non-dropping-particle":"","parse-names":false,"suffix":""},{"dropping-particle":"","family":"Young","given":"Jennie Z","non-dropping-particle":"","parse-names":false,"suffix":""},{"dropping-particle":"","family":"Manet","given":"Elodie","non-dropping-particle":"","parse-names":false,"suffix":""},{"dropping-particle":"","family":"Hemberg","given":"Martin","non-dropping-particle":"","parse-names":false,"suffix":""},{"dropping-particle":"","family":"Jager","given":"Philip L","non-dropping-particle":"De","parse-names":false,"suffix":""},{"dropping-particle":"","family":"Ransohoff","given":"Richard M","non-dropping-particle":"","parse-names":false,"suffix":""},{"dropping-particle":"","family":"Regev","given":"Aviv","non-dropping-particle":"","parse-names":false,"suffix":""},{"dropping-particle":"","family":"Tsai","given":"Li-Huei","non-dropping-particle":"","parse-names":false,"suffix":""}],"container-title":"Cell reports","id":"ITEM-2","issue":"2","issued":{"date-parts":[["2017"]]},"language":"eng","page":"366-380","title":"Temporal Tracking of Microglia Activation in Neurodegeneration at Single-Cell Resolution","type":"article-journal","volume":"21"},"uris":["http://www.mendeley.com/documents/?uuid=ada6beb1-1d3f-4a41-b050-b40db6ca49a9"]}],"mendeley":{"formattedCitation":"[23,24]","plainTextFormattedCitation":"[23,24]","previouslyFormattedCitation":"(23,24)"},"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[23,24]</w:t>
      </w:r>
      <w:r w:rsidRPr="00591954">
        <w:rPr>
          <w:szCs w:val="24"/>
          <w:lang w:val="en-GB"/>
        </w:rPr>
        <w:fldChar w:fldCharType="end"/>
      </w:r>
      <w:r w:rsidRPr="00591954">
        <w:rPr>
          <w:szCs w:val="24"/>
          <w:lang w:val="en-GB"/>
        </w:rPr>
        <w:t xml:space="preserve"> and generated our own signatures using gene expression data derived from human brain, provided by GTEx </w:t>
      </w:r>
      <w:r w:rsidRPr="00591954">
        <w:rPr>
          <w:szCs w:val="24"/>
          <w:lang w:val="en-GB"/>
        </w:rPr>
        <w:fldChar w:fldCharType="begin" w:fldLock="1"/>
      </w:r>
      <w:r w:rsidR="004F23C5" w:rsidRPr="00591954">
        <w:rPr>
          <w:szCs w:val="24"/>
          <w:lang w:val="en-GB"/>
        </w:rPr>
        <w:instrText>ADDIN CSL_CITATION {"citationItems":[{"id":"ITEM-1","itemData":{"DOI":"10.1126/science.1262110","PMID":"25954001","abstract":"Understanding the functional consequences of genetic variation, and how it affects complex human disease and quantitative traits, remains a critical challenge for biomedicine. We present an analysis of RNA sequencing data from 1641 samples across 43 tissues from 175 individuals, generated as part of the pilot phase of the Genotype-Tissue Expression (GTEx) project. We describe the landscape of gene expression across tissues, catalog thousands of tissue-specific and shared regulatory expression quantitative trait loci (eQTL) variants, describe complex network relationships, and identify signals from genome-wide association studies explained by eQTLs. These findings provide a systematic understanding of the cellular and biological consequences of human genetic variation and of the heterogeneity of such effects among a diverse set of human tissues.","author":[{"dropping-particle":"","family":"GTEx Consortium","given":"","non-dropping-particle":"","parse-names":false,"suffix":""}],"container-title":"Science (New York, NY)","id":"ITEM-1","issue":"6235","issued":{"date-parts":[["2015"]]},"language":"eng","page":"648-660","title":"Human genomics. The Genotype-Tissue Expression (GTEx) pilot analysis: multitissue gene regulation in humans","type":"article-journal","volume":"348"},"uris":["http://www.mendeley.com/documents/?uuid=ed35be85-b2e2-4eb3-8358-322e0c3841ac"]}],"mendeley":{"formattedCitation":"[27]","plainTextFormattedCitation":"[27]","previouslyFormattedCitation":"(27)"},"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[27]</w:t>
      </w:r>
      <w:r w:rsidRPr="00591954">
        <w:rPr>
          <w:szCs w:val="24"/>
          <w:lang w:val="en-GB"/>
        </w:rPr>
        <w:fldChar w:fldCharType="end"/>
      </w:r>
      <w:r w:rsidRPr="00591954">
        <w:rPr>
          <w:szCs w:val="24"/>
          <w:lang w:val="en-GB"/>
        </w:rPr>
        <w:t xml:space="preserve"> following a previously established pipeline </w:t>
      </w:r>
      <w:r w:rsidRPr="00591954">
        <w:rPr>
          <w:szCs w:val="24"/>
          <w:lang w:val="en-GB"/>
        </w:rPr>
        <w:fldChar w:fldCharType="begin" w:fldLock="1"/>
      </w:r>
      <w:r w:rsidR="004F23C5" w:rsidRPr="00591954">
        <w:rPr>
          <w:szCs w:val="24"/>
          <w:lang w:val="en-GB"/>
        </w:rPr>
        <w:instrText>ADDIN CSL_CITATION {"citationItems":[{"id":"ITEM-1","itemData":{"DOI":"10.1016/j.nbd.2015.12.004","ISSN":"1095953X","PMID":"26707700","abstract":"Aberrant brain iron deposition is observed in both common and rare neurodegenerative disorders, including those categorized as Neurodegeneration with Brain Iron Accumulation (NBIA), which are characterized by focal iron accumulation in the basal ganglia. Two NBIA genes are directly involved in iron metabolism, but whether other NBIA-related genes also regulate iron homeostasis in the human brain, and whether aberrant iron deposition contributes to neurodegenerative processes remains largely unknown. This study aims to expand our understanding of these iron overload diseases and identify relationships between known NBIA genes and their main interacting partners by using a systems biology approach. We used whole-transcriptome gene expression data from human brain samples originating from 101 neuropathologically normal individuals (10 brain regions) to generate weighted gene co-expression networks and cluster the 10 known NBIA genes in an unsupervised manner. We investigated NBIA-enriched networks for relevant cell types and pathways, and whether they are disrupted by iron loading in NBIA diseased tissue and in an in vivo mouse model. We identified two basal ganglia gene co-expression modules significantly enriched for NBIA genes, which resemble neuronal and oligodendrocytic signatures. These NBIA gene networks are enriched for iron-related genes, and implicate synapse and lipid metabolism related pathways. Our data also indicates that these networks are disrupted by excessive brain iron loading. We identified multiple cell types in the origin of NBIA disorders. We also found unforeseen links between NBIA networks and iron-related processes, and demonstrate convergent pathways connecting NBIAs and phenotypically overlapping diseases. Our results are of further relevance for these diseases by providing candidates for new causative genes and possible points for therapeutic intervention.","author":[{"dropping-particle":"","family":"Bettencourt","given":"Conceição","non-dropping-particle":"","parse-names":false,"suffix":""},{"dropping-particle":"","family":"Forabosco","given":"Paola","non-dropping-particle":"","parse-names":false,"suffix":""},{"dropping-particle":"","family":"Wiethoff","given":"Sarah","non-dropping-particle":"","parse-names":false,"suffix":""},{"dropping-particle":"","family":"Heidari","given":"Moones","non-dropping-particle":"","parse-names":false,"suffix":""},{"dropping-particle":"","family":"Johnstone","given":"Daniel M.","non-dropping-particle":"","parse-names":false,"suffix":""},{"dropping-particle":"","family":"Botía","given":"Juan A.","non-dropping-particle":"","parse-names":false,"suffix":""},{"dropping-particle":"","family":"Collingwood","given":"Joanna F.","non-dropping-particle":"","parse-names":false,"suffix":""},{"dropping-particle":"","family":"Hardy","given":"John","non-dropping-particle":"","parse-names":false,"suffix":""},{"dropping-particle":"","family":"UKBEC","given":"U K Brain Expression Consortium","non-dropping-particle":"","parse-names":false,"suffix":""},{"dropping-particle":"","family":"Milward","given":"Elizabeth A.","non-dropping-particle":"","parse-names":false,"suffix":""},{"dropping-particle":"","family":"Ryten","given":"Mina","non-dropping-particle":"","parse-names":false,"suffix":""},{"dropping-particle":"","family":"Houlden","given":"Henry","non-dropping-particle":"","parse-names":false,"suffix":""},{"dropping-particle":"","family":"for the UK Brain Expression Consortium (UKBEC)","given":"","non-dropping-particle":"","parse-names":false,"suffix":""}],"container-title":"Neurobiology of disease","id":"ITEM-1","issued":{"date-parts":[["2016"]]},"language":"eng","page":"59-68","title":"Gene co-expression networks shed light into diseases of brain iron accumulation","type":"article-journal","volume":"87"},"uris":["http://www.mendeley.com/documents/?uuid=9af761a9-8514-4242-9d42-831f3d3669b0"]},{"id":"ITEM-2","itemData":{"DOI":"10.1186/s12918-017-0420-6","ISBN":"17520509 (Electronic)","ISSN":"17520509","PMID":"28403906","abstract":"Weighted Gene Co-expression Network Analysis (WGCNA) is a widely used R software package for the generation of gene co-expression networks (GCN). WGCNA generates both a GCN and a derived partitioning of clusters of genes (modules). We propose k-means clustering as an additional processing step to conventional WGCNA, which we have implemented in the R package km2gcn (k-means to gene co-expression network, https://github.com/juanbot/km2gcn ). We assessed our method on networks created from UKBEC data (10 different human brain tissues), on networks created from GTEx data (42 human tissues, including 13 brain tissues), and on simulated networks derived from GTEx data. We observed substantially improved module properties, including: (1) few or zero misplaced genes; (2) increased counts of replicable clusters in alternate tissues (x3.1 on average); (3) improved enrichment of Gene Ontology terms (seen in 48/52 GCNs) (4) improved cell type enrichment signals (seen in 21/23 brain GCNs); and (5) more accurate partitions in simulated data according to a range of similarity indices. The results obtained from our investigations indicate that our k-means method, applied as an adjunct to standard WGCNA, results in better network partitions. These improved partitions enable more fruitful downstream analyses, as gene modules are more biologically meaningful.","author":[{"dropping-particle":"","family":"Botía","given":"Juan A.","non-dropping-particle":"","parse-names":false,"suffix":""},{"dropping-particle":"","family":"Vandrovcova","given":"Jana","non-dropping-particle":"","parse-names":false,"suffix":""},{"dropping-particle":"","family":"Forabosco","given":"Paola","non-dropping-particle":"","parse-names":false,"suffix":""},{"dropping-particle":"","family":"Guelfi","given":"Sebastian","non-dropping-particle":"","parse-names":false,"suffix":""},{"dropping-particle":"","family":"D'Sa","given":"Karishma","non-dropping-particle":"","parse-names":false,"suffix":""},{"dropping-particle":"","family":"Hardy","given":"John","non-dropping-particle":"","parse-names":false,"suffix":""},{"dropping-particle":"","family":"Lewis","given":"Cathryn M.","non-dropping-particle":"","parse-names":false,"suffix":""},{"dropping-particle":"","family":"Ryten","given":"Mina","non-dropping-particle":"","parse-names":false,"suffix":""},{"dropping-particle":"","family":"Weale","given":"Michael E.","non-dropping-particle":"","parse-names":false,"suffix":""},{"dropping-particle":"","family":"Ramasamy","given":"Adaikalavan","non-dropping-particle":"","parse-names":false,"suffix":""},{"dropping-particle":"","family":"Trabzuni","given":"Daniah","non-dropping-particle":"","parse-names":false,"suffix":""},{"dropping-particle":"","family":"Smith","given":"Colin","non-dropping-particle":"","parse-names":false,"suffix":""},{"dropping-particle":"","family":"Walker","given":"Robert","non-dropping-particle":"","parse-names":false,"suffix":""}],"container-title":"BMC Systems Biology","id":"ITEM-2","issue":"1","issued":{"date-parts":[["2017"]]},"page":"47","title":"An additional k-means clustering step improves the biological features of WGCNA gene co-expression networks","type":"article-journal","volume":"11"},"uris":["http://www.mendeley.com/documents/?uuid=71738f75-ded3-4d3c-9cb8-fc2b4b759357"]}],"mendeley":{"formattedCitation":"[28,29]","plainTextFormattedCitation":"[28,29]","previouslyFormattedCitation":"(28,29)"},"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[28,29]</w:t>
      </w:r>
      <w:r w:rsidRPr="00591954">
        <w:rPr>
          <w:szCs w:val="24"/>
          <w:lang w:val="en-GB"/>
        </w:rPr>
        <w:fldChar w:fldCharType="end"/>
      </w:r>
      <w:r w:rsidRPr="00591954">
        <w:rPr>
          <w:szCs w:val="24"/>
          <w:lang w:val="en-GB"/>
        </w:rPr>
        <w:t xml:space="preserve"> (details in subsequent section). Gene overlaps between the gene lists were determined using GeneOverlap (</w:t>
      </w:r>
      <w:hyperlink r:id="rId10" w:history="1">
        <w:r w:rsidRPr="00591954">
          <w:rPr>
            <w:rStyle w:val="Hyperlink"/>
            <w:color w:val="auto"/>
            <w:szCs w:val="24"/>
            <w:lang w:val="en-GB"/>
          </w:rPr>
          <w:t>https://github.com/shenlab-sinai/geneoverlap</w:t>
        </w:r>
      </w:hyperlink>
      <w:r w:rsidRPr="00591954">
        <w:rPr>
          <w:szCs w:val="24"/>
          <w:lang w:val="en-GB"/>
        </w:rPr>
        <w:t>).</w:t>
      </w:r>
      <w:r w:rsidRPr="00591954">
        <w:rPr>
          <w:strike/>
          <w:szCs w:val="24"/>
          <w:lang w:val="en-GB"/>
        </w:rPr>
        <w:t xml:space="preserve"> </w:t>
      </w:r>
    </w:p>
    <w:p w14:paraId="7F216682" w14:textId="1A1F0194" w:rsidR="00951646" w:rsidRPr="00591954" w:rsidRDefault="00951646" w:rsidP="00951646">
      <w:pPr>
        <w:rPr>
          <w:szCs w:val="24"/>
          <w:lang w:val="en-GB" w:eastAsia="de-DE"/>
        </w:rPr>
      </w:pPr>
      <w:r w:rsidRPr="00591954">
        <w:rPr>
          <w:szCs w:val="24"/>
          <w:lang w:val="en-GB"/>
        </w:rPr>
        <w:t xml:space="preserve">For all microglia lists, we used </w:t>
      </w:r>
      <w:r w:rsidR="00F10AC7" w:rsidRPr="00591954">
        <w:rPr>
          <w:szCs w:val="24"/>
          <w:lang w:val="en-GB"/>
        </w:rPr>
        <w:t xml:space="preserve">the AUC-based enrichment analysis </w:t>
      </w:r>
      <w:r w:rsidRPr="00591954">
        <w:rPr>
          <w:szCs w:val="24"/>
          <w:lang w:val="en-GB"/>
        </w:rPr>
        <w:t xml:space="preserve">to compute the </w:t>
      </w:r>
      <w:r w:rsidRPr="00591954">
        <w:rPr>
          <w:szCs w:val="24"/>
          <w:lang w:val="en-GB" w:eastAsia="de-DE"/>
        </w:rPr>
        <w:t>P</w:t>
      </w:r>
      <w:r w:rsidRPr="00591954">
        <w:rPr>
          <w:szCs w:val="24"/>
          <w:lang w:val="en-GB"/>
        </w:rPr>
        <w:t xml:space="preserve">-value </w:t>
      </w:r>
      <w:r w:rsidR="00F10AC7" w:rsidRPr="00591954">
        <w:rPr>
          <w:szCs w:val="24"/>
          <w:lang w:val="en-GB"/>
        </w:rPr>
        <w:t>and</w:t>
      </w:r>
      <w:r w:rsidRPr="00591954">
        <w:rPr>
          <w:szCs w:val="24"/>
          <w:lang w:val="en-GB"/>
        </w:rPr>
        <w:t xml:space="preserve"> </w:t>
      </w:r>
      <w:r w:rsidRPr="00591954">
        <w:rPr>
          <w:szCs w:val="24"/>
          <w:lang w:val="en-GB" w:eastAsia="de-DE"/>
        </w:rPr>
        <w:t>P</w:t>
      </w:r>
      <w:r w:rsidRPr="00591954">
        <w:rPr>
          <w:szCs w:val="24"/>
          <w:lang w:val="en-GB"/>
        </w:rPr>
        <w:t xml:space="preserve">-values were FDR corrected: gene sets with </w:t>
      </w:r>
      <w:r w:rsidRPr="00591954">
        <w:rPr>
          <w:szCs w:val="24"/>
          <w:lang w:val="en-GB" w:eastAsia="de-DE"/>
        </w:rPr>
        <w:t>P</w:t>
      </w:r>
      <w:r w:rsidRPr="00591954">
        <w:rPr>
          <w:szCs w:val="24"/>
          <w:vertAlign w:val="subscript"/>
          <w:lang w:val="en-GB" w:eastAsia="de-DE"/>
        </w:rPr>
        <w:t>FDR</w:t>
      </w:r>
      <w:r w:rsidRPr="00591954">
        <w:rPr>
          <w:szCs w:val="24"/>
          <w:lang w:val="en-GB" w:eastAsia="de-DE"/>
        </w:rPr>
        <w:t xml:space="preserve">&lt;0.05 </w:t>
      </w:r>
      <w:r w:rsidRPr="00591954">
        <w:rPr>
          <w:szCs w:val="24"/>
          <w:lang w:val="en-GB"/>
        </w:rPr>
        <w:t>were considered significantly enriched.</w:t>
      </w:r>
      <w:r w:rsidRPr="00591954">
        <w:rPr>
          <w:szCs w:val="24"/>
          <w:lang w:val="en-GB" w:eastAsia="de-DE"/>
        </w:rPr>
        <w:t xml:space="preserve"> </w:t>
      </w:r>
    </w:p>
    <w:p w14:paraId="3F667F3D" w14:textId="77777777" w:rsidR="00951646" w:rsidRPr="00591954" w:rsidRDefault="00951646" w:rsidP="00951646">
      <w:pPr>
        <w:pStyle w:val="Normal1"/>
        <w:spacing w:line="240" w:lineRule="auto"/>
        <w:rPr>
          <w:rFonts w:ascii="Times New Roman" w:eastAsia="Times New Roman" w:hAnsi="Times New Roman" w:cs="Times New Roman"/>
          <w:color w:val="auto"/>
          <w:sz w:val="24"/>
          <w:szCs w:val="24"/>
          <w:lang w:val="en-GB" w:eastAsia="en-GB"/>
        </w:rPr>
      </w:pPr>
    </w:p>
    <w:p w14:paraId="5A2C244B" w14:textId="77777777" w:rsidR="00951646" w:rsidRPr="00591954" w:rsidRDefault="00951646" w:rsidP="00951646">
      <w:pPr>
        <w:pStyle w:val="Heading2"/>
        <w:spacing w:before="0" w:after="0"/>
        <w:rPr>
          <w:rFonts w:ascii="Times New Roman" w:hAnsi="Times New Roman"/>
          <w:i w:val="0"/>
          <w:iCs w:val="0"/>
          <w:kern w:val="32"/>
          <w:sz w:val="26"/>
          <w:szCs w:val="26"/>
          <w:lang w:val="en-GB"/>
        </w:rPr>
      </w:pPr>
      <w:r w:rsidRPr="00591954">
        <w:rPr>
          <w:rFonts w:ascii="Times New Roman" w:hAnsi="Times New Roman"/>
          <w:i w:val="0"/>
          <w:iCs w:val="0"/>
          <w:kern w:val="32"/>
          <w:sz w:val="26"/>
          <w:szCs w:val="26"/>
          <w:lang w:val="en-GB"/>
        </w:rPr>
        <w:t>Construction of a consensus co-expression network and related modules</w:t>
      </w:r>
    </w:p>
    <w:p w14:paraId="6A7948FB" w14:textId="24739E49" w:rsidR="00951646" w:rsidRPr="00591954" w:rsidRDefault="00951646" w:rsidP="00951646">
      <w:pPr>
        <w:rPr>
          <w:szCs w:val="24"/>
          <w:lang w:val="en-GB"/>
        </w:rPr>
      </w:pPr>
      <w:r w:rsidRPr="00591954">
        <w:rPr>
          <w:szCs w:val="24"/>
          <w:lang w:val="en-GB"/>
        </w:rPr>
        <w:t xml:space="preserve">A consensus co-expression network, incorporating data covering all available 13 brain regions, was constructed using GTEx V6 gene expression. The raw FPKM (Fragments Per Kilobase of transcript per Million mapped reads) values were corrected for known </w:t>
      </w:r>
      <w:r w:rsidRPr="00591954">
        <w:rPr>
          <w:szCs w:val="24"/>
          <w:lang w:val="en-GB"/>
        </w:rPr>
        <w:lastRenderedPageBreak/>
        <w:t xml:space="preserve">batch effects, age at death, sex and post-mortem interval, as well as unknown effects. The unknown effects were detected with Surrogate Variable Analysis (SVA) R Package </w:t>
      </w:r>
      <w:r w:rsidRPr="00591954">
        <w:rPr>
          <w:szCs w:val="24"/>
          <w:lang w:val="en-GB"/>
        </w:rPr>
        <w:fldChar w:fldCharType="begin" w:fldLock="1"/>
      </w:r>
      <w:r w:rsidR="004F23C5" w:rsidRPr="00591954">
        <w:rPr>
          <w:szCs w:val="24"/>
          <w:lang w:val="en-GB"/>
        </w:rPr>
        <w:instrText>ADDIN CSL_CITATION {"citationItems":[{"id":"ITEM-1","itemData":{"abstract":"The sva package contains functions for removing batch effects and other unwanted variation in high-throughput experiment. Specifically, the sva package contains functions for the identifying and building surrogate variables for high-dimensional data sets. Surrogate variables are covariates constructed directly from high-dimensional data (like gene expression/RNA sequencing/methylation/brain imaging data) that can be used in subsequent analyses to adjust for unknown, unmodeled, or latent sources of noise. The sva package can be used to remove artifacts in three ways: (1) identifying and estimating surrogate variables for unknown sources of variation in high-throughput experiments (Leek and Storey 2007 PLoS Genetics,2008 PNAS), (2) directly removing known batch effects using ComBat (Johnson et al. 2007 Biostatistics) and (3) removing batch effects with known control probes (Leek 2014 biorXiv). Removing batch effects and using surrogate variables in differential expression analysis have been shown to reduce dependence, stabilize error rate estimates, and improve reproducibility","author":[{"dropping-particle":"","family":"Leek","given":"Jeffrey T","non-dropping-particle":"","parse-names":false,"suffix":""},{"dropping-particle":"","family":"Johnson","given":"W Evan","non-dropping-particle":"","parse-names":false,"suffix":""},{"dropping-particle":"","family":"Parker","given":"Hilary S","non-dropping-particle":"","parse-names":false,"suffix":""},{"dropping-particle":"","family":"Fertig","given":"Elana J","non-dropping-particle":"","parse-names":false,"suffix":""},{"dropping-particle":"","family":"Jaffe","given":"Andrew E","non-dropping-particle":"","parse-names":false,"suffix":""},{"dropping-particle":"","family":"Storey","given":"John D","non-dropping-particle":"","parse-names":false,"suffix":""}],"container-title":"R package version 3.20.0.","id":"ITEM-1","issued":{"date-parts":[["2016"]]},"title":"sva: Surrogate Variable Analysis","type":"article"},"uris":["http://www.mendeley.com/documents/?uuid=47a9eade-0f5e-42c4-a896-797fdd3a5e32"]}],"mendeley":{"formattedCitation":"[30]","plainTextFormattedCitation":"[30]","previouslyFormattedCitation":"(30)"},"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[30]</w:t>
      </w:r>
      <w:r w:rsidRPr="00591954">
        <w:rPr>
          <w:szCs w:val="24"/>
          <w:lang w:val="en-GB"/>
        </w:rPr>
        <w:fldChar w:fldCharType="end"/>
      </w:r>
      <w:r w:rsidRPr="00591954">
        <w:rPr>
          <w:szCs w:val="24"/>
          <w:lang w:val="en-GB"/>
        </w:rPr>
        <w:t xml:space="preserve"> and correction was performed using ComBat </w:t>
      </w:r>
      <w:r w:rsidRPr="00591954">
        <w:rPr>
          <w:szCs w:val="24"/>
          <w:lang w:val="en-GB"/>
        </w:rPr>
        <w:fldChar w:fldCharType="begin" w:fldLock="1"/>
      </w:r>
      <w:r w:rsidR="004F23C5" w:rsidRPr="00591954">
        <w:rPr>
          <w:szCs w:val="24"/>
          <w:lang w:val="en-GB"/>
        </w:rPr>
        <w:instrText>ADDIN CSL_CITATION {"citationItems":[{"id":"ITEM-1","itemData":{"DOI":"10.1093/biostatistics/kxj037","PMID":"16632515","abstract":"Non-biological experimental variation or &amp;quot;batch effects&amp;quot; are commonly observed across multiple batches of microarray experiments, often rendering the task of combining data from these batches difficult. The ability to combine microarray data sets is advantageous to researchers to increase statistical power to detect biological phenomena from studies where logistical considerations restrict sample size or in studies that require the sequential hybridization of arrays. In general, it is inappropriate to combine data sets without adjusting for batch effects. Methods have been proposed to filter batch effects from data, but these are often complicated and require large batch sizes ( &amp;gt; 25) to implement. Because the majority of microarray studies are conducted using much smaller sample sizes, existing methods are not sufficient. We propose parametric and non-parametric empirical Bayes frameworks for adjusting data for batch effects that is robust to outliers in small sample sizes and performs comparable to existing methods for large samples. We illustrate our methods using two example data sets and show that our methods are justifiable, easy to apply, and useful in practice. Software for our method is freely available at: http://biosun1.harvard.edu/complab/batch/.","author":[{"dropping-particle":"","family":"Johnson","given":"W Evan","non-dropping-particle":"","parse-names":false,"suffix":""},{"dropping-particle":"","family":"Li","given":"Cheng","non-dropping-particle":"","parse-names":false,"suffix":""},{"dropping-particle":"","family":"Rabinovic","given":"Ariel","non-dropping-particle":"","parse-names":false,"suffix":""}],"container-title":"Biostatistics (Oxford, England)","id":"ITEM-1","issue":"1","issued":{"date-parts":[["2007"]]},"language":"eng","page":"118-127","title":"Adjusting batch effects in microarray expression data using empirical Bayes methods","type":"article-journal","volume":"8"},"uris":["http://www.mendeley.com/documents/?uuid=4620c42b-ca5c-4ee9-8e98-f3b903b38474"]}],"mendeley":{"formattedCitation":"[31]","plainTextFormattedCitation":"[31]","previouslyFormattedCitation":"(31)"},"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[31]</w:t>
      </w:r>
      <w:r w:rsidRPr="00591954">
        <w:rPr>
          <w:szCs w:val="24"/>
          <w:lang w:val="en-GB"/>
        </w:rPr>
        <w:fldChar w:fldCharType="end"/>
      </w:r>
      <w:r w:rsidRPr="00591954">
        <w:rPr>
          <w:szCs w:val="24"/>
          <w:lang w:val="en-GB"/>
        </w:rPr>
        <w:t xml:space="preserve">. The resulting residuals were used to create a signed network using the blockwiseConsensusModules R function from the WGCNA R package </w:t>
      </w:r>
      <w:r w:rsidRPr="00591954">
        <w:rPr>
          <w:szCs w:val="24"/>
          <w:lang w:val="en-GB"/>
        </w:rPr>
        <w:fldChar w:fldCharType="begin" w:fldLock="1"/>
      </w:r>
      <w:r w:rsidR="004F23C5" w:rsidRPr="00591954">
        <w:rPr>
          <w:szCs w:val="24"/>
          <w:lang w:val="en-GB"/>
        </w:rPr>
        <w:instrText>ADDIN CSL_CITATION {"citationItems":[{"id":"ITEM-1","itemData":{"DOI":"10.1186/1471-2105-9-559","PMID":"19114008","abstract":"BACKGROUND: Correlation networks are increasingly being used in bioinformatics applications. For example, weighted gene co-expression network analysis is a systems biology method for describing the correlation patterns among genes across microarray samples. Weighted correlation network analysis (WGCNA) can be used for finding clusters (modules) of highly correlated genes, for summarizing such clusters using the module eigengene or an intramodular hub gene, for relating modules to one another and to external sample traits (using eigengene network methodology), and for calculating module membership measures. Correlation networks facilitate network based gene screening methods that can be used to identify candidate biomarkers or therapeutic targets. These methods have been successfully applied in various biological contexts, e.g. cancer, mouse genetics, yeast genetics, and analysis of brain imaging data. While parts of the correlation network methodology have been described in separate publications, there is a need to provide a user-friendly, comprehensive, and consistent software implementation and an accompanying tutorial.RESULTS: The WGCNA R software package is a comprehensive collection of R functions for performing various aspects of weighted correlation network analysis. The package includes functions for network construction, module detection, gene selection, calculations of topological properties, data simulation, visualization, and interfacing with external software. Along with the R package we also present R software tutorials. While the methods development was motivated by gene expression data, the underlying data mining approach can be applied to a variety of different settings.CONCLUSION: The WGCNA package provides R functions for weighted correlation network analysis, e.g. co-expression network analysis of gene expression data. The R package along with its source code and additional material are freely available at http://www.genetics.ucla.edu/labs/horvath/CoexpressionNetwork/Rpackages/WGCNA.","author":[{"dropping-particle":"","family":"Langfelder","given":"Peter","non-dropping-particle":"","parse-names":false,"suffix":""},{"dropping-particle":"","family":"Horvath","given":"Steve","non-dropping-particle":"","parse-names":false,"suffix":""}],"container-title":"BMC bioinformatics","id":"ITEM-1","issued":{"date-parts":[["2008"]]},"language":"eng","page":"559","title":"WGCNA: an R package for weighted correlation network analysis","type":"article-journal","volume":"9"},"uris":["http://www.mendeley.com/documents/?uuid=f8f74392-6387-4a77-baae-df02e0a26821"]}],"mendeley":{"formattedCitation":"[32]","plainTextFormattedCitation":"[32]","previouslyFormattedCitation":"(32)"},"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[32]</w:t>
      </w:r>
      <w:r w:rsidRPr="00591954">
        <w:rPr>
          <w:szCs w:val="24"/>
          <w:lang w:val="en-GB"/>
        </w:rPr>
        <w:fldChar w:fldCharType="end"/>
      </w:r>
      <w:r w:rsidRPr="00591954">
        <w:rPr>
          <w:szCs w:val="24"/>
          <w:lang w:val="en-GB"/>
        </w:rPr>
        <w:t>. Next, the clusters or modules obtained in this network were assigned to cell types using the userListEnrichment R function implemented in the WGCNA R package, which measures enrichment between module-assigned genes and defined brain-related lists </w:t>
      </w:r>
      <w:r w:rsidRPr="00591954">
        <w:rPr>
          <w:szCs w:val="24"/>
          <w:lang w:val="en-GB"/>
        </w:rPr>
        <w:fldChar w:fldCharType="begin" w:fldLock="1"/>
      </w:r>
      <w:r w:rsidR="004F23C5" w:rsidRPr="00591954">
        <w:rPr>
          <w:szCs w:val="24"/>
          <w:lang w:val="en-GB"/>
        </w:rPr>
        <w:instrText>ADDIN CSL_CITATION {"citationItems":[{"id":"ITEM-1","itemData":{"DOI":"10.1038/nature05453","PMID":"17151600","abstract":"Molecular approaches to understanding the functional circuitry of the nervous system promise new insights into the relationship between genes, brain and behaviour. The cellular diversity of the brain necessitates a cellular resolution approach towards understanding the functional genomics of the nervous system. We describe here an anatomically comprehensive digital atlas containing the expression patterns of approximately 20,000 genes in the adult mouse brain. Data were generated using automated high-throughput procedures for in situ hybridization and data acquisition, and are publicly accessible online. Newly developed image-based informatics tools allow global genome-scale structural analysis and cross-correlation, as well as identification of regionally enriched genes. Unbiased fine-resolution analysis has identified highly specific cellular markers as well as extensive evidence of cellular heterogeneity not evident in classical neuroanatomical atlases. This highly standardized atlas provides an open, primary data resource for a wide variety of further studies concerning brain organization and function.","author":[{"dropping-particle":"","family":"Lein","given":"Ed S","non-dropping-particle":"","parse-names":false,"suffix":""},{"dropping-particle":"","family":"Hawrylycz","given":"Michael J","non-dropping-particle":"","parse-names":false,"suffix":""},{"dropping-particle":"","family":"Ao","given":"Nancy","non-dropping-particle":"","parse-names":false,"suffix":""},{"dropping-particle":"","family":"Ayres","given":"Mikael","non-dropping-particle":"","parse-names":false,"suffix":""},{"dropping-particle":"","family":"Bensinger","given":"Amy","non-dropping-particle":"","parse-names":false,"suffix":""},{"dropping-particle":"","family":"Bernard","given":"Amy","non-dropping-particle":"","parse-names":false,"suffix":""},{"dropping-particle":"","family":"Boe","given":"Andrew F","non-dropping-particle":"","parse-names":false,"suffix":""},{"dropping-particle":"","family":"Boguski","given":"Mark S","non-dropping-particle":"","parse-names":false,"suffix":""},{"dropping-particle":"","family":"Brockway","given":"Kevin S","non-dropping-particle":"","parse-names":false,"suffix":""},{"dropping-particle":"","family":"Byrnes","given":"Emi J","non-dropping-particle":"","parse-names":false,"suffix":""},{"dropping-particle":"","family":"Chen","given":"Lin","non-dropping-particle":"","parse-names":false,"suffix":""},{"dropping-particle":"","family":"Chen","given":"Li","non-dropping-particle":"","parse-names":false,"suffix":""},{"dropping-particle":"","family":"Chen","given":"Tsuey-Ming","non-dropping-particle":"","parse-names":false,"suffix":""},{"dropping-particle":"","family":"Chin","given":"Mei Chi","non-dropping-particle":"","parse-names":false,"suffix":""},{"dropping-particle":"","family":"Chong","given":"Jimmy","non-dropping-particle":"","parse-names":false,"suffix":""},{"dropping-particle":"","family":"Crook","given":"Brian E","non-dropping-particle":"","parse-names":false,"suffix":""},{"dropping-particle":"","family":"Czaplinska","given":"Aneta","non-dropping-particle":"","parse-names":false,"suffix":""},{"dropping-particle":"","family":"Dang","given":"Chinh N","non-dropping-particle":"","parse-names":false,"suffix":""},{"dropping-particle":"","family":"Datta","given":"Suvro","non-dropping-particle":"","parse-names":false,"suffix":""},{"dropping-particle":"","family":"Dee","given":"Nick R","non-dropping-particle":"","parse-names":false,"suffix":""},{"dropping-particle":"","family":"Desaki","given":"Aimee L","non-dropping-particle":"","parse-names":false,"suffix":""},{"dropping-particle":"","family":"Desta","given":"Tsega","non-dropping-particle":"","parse-names":false,"suffix":""},{"dropping-particle":"","family":"Diep","given":"Ellen","non-dropping-particle":"","parse-names":false,"suffix":""},{"dropping-particle":"","family":"Dolbeare","given":"Tim A","non-dropping-particle":"","parse-names":false,"suffix":""},{"dropping-particle":"","family":"Donelan","given":"Matthew J","non-dropping-particle":"","parse-names":false,"suffix":""},{"dropping-particle":"","family":"Dong","given":"Hong-Wei","non-dropping-particle":"","parse-names":false,"suffix":""},{"dropping-particle":"","family":"Dougherty","given":"Jennifer G","non-dropping-particle":"","parse-names":false,"suffix":""},{"dropping-particle":"","family":"Duncan","given":"Ben J","non-dropping-particle":"","parse-names":false,"suffix":""},{"dropping-particle":"","family":"Ebbert","given":"Amanda J","non-dropping-particle":"","parse-names":false,"suffix":""},{"dropping-particle":"","family":"Eichele","given":"Gregor","non-dropping-particle":"","parse-names":false,"suffix":""},{"dropping-particle":"","family":"Estin","given":"Lili K","non-dropping-particle":"","parse-names":false,"suffix":""},{"dropping-particle":"","family":"Faber","given":"Casey","non-dropping-particle":"","parse-names":false,"suffix":""},{"dropping-particle":"","family":"Facer","given":"Benjamin A","non-dropping-particle":"","parse-names":false,"suffix":""},{"dropping-particle":"","family":"Fields","given":"Rick","non-dropping-particle":"","parse-names":false,"suffix":""},{"dropping-particle":"","family":"Fischer","given":"Shanna R","non-dropping-particle":"","parse-names":false,"suffix":""},{"dropping-particle":"","family":"Fliss","given":"Tim P","non-dropping-particle":"","parse-names":false,"suffix":""},{"dropping-particle":"","family":"Frensley","given":"Cliff","non-dropping-particle":"","parse-names":false,"suffix":""},{"dropping-particle":"","family":"Gates","given":"Sabrina N","non-dropping-particle":"","parse-names":false,"suffix":""},{"dropping-particle":"","family":"Glattfelder","given":"Katie J","non-dropping-particle":"","parse-names":false,"suffix":""},{"dropping-particle":"","family":"Halverson","given":"Kevin R","non-dropping-particle":"","parse-names":false,"suffix":""},{"dropping-particle":"","family":"Hart","given":"Matthew R","non-dropping-particle":"","parse-names":false,"suffix":""},{"dropping-particle":"","family":"Hohmann","given":"John G","non-dropping-particle":"","parse-names":false,"suffix":""},{"dropping-particle":"","family":"Howell","given":"Maureen P","non-dropping-particle":"","parse-names":false,"suffix":""},{"dropping-particle":"","family":"Jeung","given":"Darren P","non-dropping-particle":"","parse-names":false,"suffix":""},{"dropping-particle":"","family":"Johnson","given":"Rebecca A","non-dropping-particle":"","parse-names":false,"suffix":""},{"dropping-particle":"","family":"Karr","given":"Patrick T","non-dropping-particle":"","parse-names":false,"suffix":""},{"dropping-particle":"","family":"Kawal","given":"Reena","non-dropping-particle":"","parse-names":false,"suffix":""},{"dropping-particle":"","family":"Kidney","given":"Jolene M","non-dropping-particle":"","parse-names":false,"suffix":""},{"dropping-particle":"","family":"Knapik","given":"Rachel H","non-dropping-particle":"","parse-names":false,"suffix":""},{"dropping-particle":"","family":"Kuan","given":"Chihchau L","non-dropping-particle":"","parse-names":false,"suffix":""},{"dropping-particle":"","family":"Lake","given":"James H","non-dropping-particle":"","parse-names":false,"suffix":""},{"dropping-particle":"","family":"Laramee","given":"Annabel R","non-dropping-particle":"","parse-names":false,"suffix":""},{"dropping-particle":"","family":"Larsen","given":"Kirk D","non-dropping-particle":"","parse-names":false,"suffix":""},{"dropping-particle":"","family":"Lau","given":"Christopher","non-dropping-particle":"","parse-names":false,"suffix":""},{"dropping-particle":"","family":"Lemon","given":"Tracy A","non-dropping-particle":"","parse-names":false,"suffix":""},{"dropping-particle":"","family":"Liang","given":"Agnes J","non-dropping-particle":"","parse-names":false,"suffix":""},{"dropping-particle":"","family":"Liu","given":"Ying","non-dropping-particle":"","parse-names":false,"suffix":""},{"dropping-particle":"","family":"Luong","given":"Lon T","non-dropping-particle":"","parse-names":false,"suffix":""},{"dropping-particle":"","family":"Michaels","given":"Jesse","non-dropping-particle":"","parse-names":false,"suffix":""},{"dropping-particle":"","family":"Morgan","given":"Judith J","non-dropping-particle":"","parse-names":false,"suffix":""},{"dropping-particle":"","family":"Morgan","given":"Rebecca J","non-dropping-particle":"","parse-names":false,"suffix":""},{"dropping-particle":"","family":"Mortrud","given":"Marty T","non-dropping-particle":"","parse-names":false,"suffix":""},{"dropping-particle":"","family":"Mosqueda","given":"Nerick F","non-dropping-particle":"","parse-names":false,"suffix":""},{"dropping-particle":"","family":"Ng","given":"Lydia L","non-dropping-particle":"","parse-names":false,"suffix":""},{"dropping-particle":"","family":"Ng","given":"Randy","non-dropping-particle":"","parse-names":false,"suffix":""},{"dropping-particle":"","family":"Orta","given":"Geralyn J","non-dropping-particle":"","parse-names":false,"suffix":""},{"dropping-particle":"","family":"Overly","given":"Caroline C","non-dropping-particle":"","parse-names":false,"suffix":""},{"dropping-particle":"","family":"Pak","given":"Tu H","non-dropping-particle":"","parse-names":false,"suffix":""},{"dropping-particle":"","family":"Parry","given":"Sheana E","non-dropping-particle":"","parse-names":false,"suffix":""},{"dropping-particle":"","family":"Pathak","given":"Sayan D","non-dropping-particle":"","parse-names":false,"suffix":""},{"dropping-particle":"","family":"Pearson","given":"Owen C","non-dropping-particle":"","parse-names":false,"suffix":""},{"dropping-particle":"","family":"Puchalski","given":"Ralph B","non-dropping-particle":"","parse-names":false,"suffix":""},{"dropping-particle":"","family":"Riley","given":"Zackery L","non-dropping-particle":"","parse-names":false,"suffix":""},{"dropping-particle":"","family":"Rockett","given":"Hannah R","non-dropping-particle":"","parse-names":false,"suffix":""},{"dropping-particle":"","family":"Rowland","given":"Stephen A","non-dropping-particle":"","parse-names":false,"suffix":""},{"dropping-particle":"","family":"Royall","given":"Joshua J","non-dropping-particle":"","parse-names":false,"suffix":""},{"dropping-particle":"","family":"Ruiz","given":"Marcos J","non-dropping-particle":"","parse-names":false,"suffix":""},{"dropping-particle":"","family":"Sarno","given":"Nadia R","non-dropping-particle":"","parse-names":false,"suffix":""},{"dropping-particle":"","family":"Schaffnit","given":"Katherine","non-dropping-particle":"","parse-names":false,"suffix":""},{"dropping-particle":"V","family":"Shapovalova","given":"Nadiya","non-dropping-particle":"","parse-names":false,"suffix":""},{"dropping-particle":"","family":"Sivisay","given":"Taz","non-dropping-particle":"","parse-names":false,"suffix":""},{"dropping-particle":"","family":"Slaughterbeck","given":"Clifford R","non-dropping-particle":"","parse-names":false,"suffix":""},{"dropping-particle":"","family":"Smith","given":"Simon C","non-dropping-particle":"","parse-names":false,"suffix":""},{"dropping-particle":"","family":"Smith","given":"Kimberly A","non-dropping-particle":"","parse-names":false,"suffix":""},{"dropping-particle":"","family":"Smith","given":"Bryan I","non-dropping-particle":"","parse-names":false,"suffix":""},{"dropping-particle":"","family":"Sodt","given":"Andy J","non-dropping-particle":"","parse-names":false,"suffix":""},{"dropping-particle":"","family":"Stewart","given":"Nick N","non-dropping-particle":"","parse-names":false,"suffix":""},{"dropping-particle":"","family":"Stumpf","given":"Kenda-Ruth","non-dropping-particle":"","parse-names":false,"suffix":""},{"dropping-particle":"","family":"Sunkin","given":"Susan M","non-dropping-particle":"","parse-names":false,"suffix":""},{"dropping-particle":"","family":"Sutram","given":"Madhavi","non-dropping-particle":"","parse-names":false,"suffix":""},{"dropping-particle":"","family":"Tam","given":"Angelene","non-dropping-particle":"","parse-names":false,"suffix":""},{"dropping-particle":"","family":"Teemer","given":"Carey D","non-dropping-particle":"","parse-names":false,"suffix":""},{"dropping-particle":"","family":"Thaller","given":"Christina","non-dropping-particle":"","parse-names":false,"suffix":""},{"dropping-particle":"","family":"Thompson","given":"Carol L","non-dropping-particle":"","parse-names":false,"suffix":""},{"dropping-particle":"","family":"Varnam","given":"Lee R","non-dropping-particle":"","parse-names":false,"suffix":""},{"dropping-particle":"","family":"Visel","given":"Axel","non-dropping-particle":"","parse-names":false,"suffix":""},{"dropping-particle":"","family":"Whitlock","given":"Ray M","non-dropping-particle":"","parse-names":false,"suffix":""},{"dropping-particle":"","family":"Wohnoutka","given":"Paul E","non-dropping-particle":"","parse-names":false,"suffix":""},{"dropping-particle":"","family":"Wolkey","given":"Crissa K","non-dropping-particle":"","parse-names":false,"suffix":""},{"dropping-particle":"","family":"Wong","given":"Victoria Y","non-dropping-particle":"","parse-names":false,"suffix":""},{"dropping-particle":"","family":"Wood","given":"Matthew","non-dropping-particle":"","parse-names":false,"suffix":""},{"dropping-particle":"","family":"Yaylaoglu","given":"Murat B","non-dropping-particle":"","parse-names":false,"suffix":""},{"dropping-particle":"","family":"Young","given":"Rob C","non-dropping-particle":"","parse-names":false,"suffix":""},{"dropping-particle":"","family":"Youngstrom","given":"Brian L","non-dropping-particle":"","parse-names":false,"suffix":""},{"dropping-particle":"","family":"Yuan","given":"Xu Feng","non-dropping-particle":"","parse-names":false,"suffix":""},{"dropping-particle":"","family":"Zhang","given":"Bin","non-dropping-particle":"","parse-names":false,"suffix":""},{"dropping-particle":"","family":"Zwingman","given":"Theresa A","non-dropping-particle":"","parse-names":false,"suffix":""},{"dropping-particle":"","family":"Jones","given":"Allan R","non-dropping-particle":"","parse-names":false,"suffix":""}],"container-title":"Nature","id":"ITEM-1","issue":"7124","issued":{"date-parts":[["2007"]]},"language":"eng","page":"168-176","title":"Genome-wide atlas of gene expression in the adult mouse brain","type":"article-journal","volume":"445"},"uris":["http://www.mendeley.com/documents/?uuid=bc0d91d8-2b4a-4c89-9555-18c4665149ef"]},{"id":"ITEM-2","itemData":{"DOI":"10.1523/JNEUROSCI.4178-07.2008","PMID":"18171944","abstract":"Understanding the cell-cell interactions that control CNS development and function has long been limited by the lack of methods to cleanly separate neural cell types. Here we describe methods for the prospective isolation and purification of astrocytes, neurons, and oligodendrocytes from developing and mature mouse forebrain. We used FACS (fluorescent-activated cell sorting) to isolate astrocytes from transgenic mice that express enhanced green fluorescent protein (EGFP) under the control of an S100beta promoter. Using Affymetrix GeneChip Arrays, we then created a transcriptome database of the expression levels of &amp;gt;20,000 genes by gene profiling these three main CNS neural cell types at various postnatal ages between postnatal day 1 (P1) and P30. This database provides a detailed global characterization and comparison of the genes expressed by acutely isolated astrocytes, neurons, and oligodendrocytes. We found that Aldh1L1 is a highly specific antigenic marker for astrocytes with a substantially broader pattern of astrocyte expression than the traditional astrocyte marker GFAP. Astrocytes were enriched in specific metabolic and lipid synthetic pathways, as well as the draper/Megf10 and Mertk/integrin alpha(v)beta5 phagocytic pathways suggesting that astrocytes are professional phagocytes. Our findings call into question the concept of a &amp;quot;glial&amp;quot; cell class as the gene profiles of astrocytes and oligodendrocytes are as dissimilar to each other as they are to neurons. This transcriptome database of acutely isolated purified astrocytes, neurons, and oligodendrocytes provides a resource to the neuroscience community by providing improved cell-type-specific markers and for better understanding of neural development, function, and disease.","author":[{"dropping-particle":"","family":"Cahoy","given":"John D","non-dropping-particle":"","parse-names":false,"suffix":""},{"dropping-particle":"","family":"Emery","given":"Ben","non-dropping-particle":"","parse-names":false,"suffix":""},{"dropping-particle":"","family":"Kaushal","given":"Amit","non-dropping-particle":"","parse-names":false,"suffix":""},{"dropping-particle":"","family":"Foo","given":"Lynette C","non-dropping-particle":"","parse-names":false,"suffix":""},{"dropping-particle":"","family":"Zamanian","given":"Jennifer L","non-dropping-particle":"","parse-names":false,"suffix":""},{"dropping-particle":"","family":"Christopherson","given":"Karen S","non-dropping-particle":"","parse-names":false,"suffix":""},{"dropping-particle":"","family":"Xing","given":"Yi","non-dropping-particle":"","parse-names":false,"suffix":""},{"dropping-particle":"","family":"Lubischer","given":"Jane L","non-dropping-particle":"","parse-names":false,"suffix":""},{"dropping-particle":"","family":"Krieg","given":"Paul A","non-dropping-particle":"","parse-names":false,"suffix":""},{"dropping-particle":"","family":"Krupenko","given":"Sergey A","non-dropping-particle":"","parse-names":false,"suffix":""},{"dropping-particle":"","family":"Thompson","given":"Wesley J","non-dropping-particle":"","parse-names":false,"suffix":""},{"dropping-particle":"","family":"Barres","given":"Ben A","non-dropping-particle":"","parse-names":false,"suffix":""}],"container-title":"The Journal of neuroscience : the official journal of the Society for Neuroscience","id":"ITEM-2","issue":"1","issued":{"date-parts":[["2008"]]},"language":"eng","page":"264-278","title":"A transcriptome database for astrocytes, neurons, and oligodendrocytes: a new resource for understanding brain development and function","type":"article-journal","volume":"28"},"uris":["http://www.mendeley.com/documents/?uuid=df450d3c-eaae-4a24-afa6-dea04197e828"]},{"id":"ITEM-3","itemData":{"DOI":"10.1038/nn.2207","ISBN":"1546-1726 (Electronic)","ISSN":"10976256","PMID":"18849986","abstract":"The enormous complexity of the human brain ultimately derives from a finite set of molecular instructions encoded in the human genome. These instructions can be directly studied by exploring the organization of the brain’s transcriptome through systematic analysis of gene coexpression relationships. We analyzed gene coexpression relationships in microarray data generated from specific human brain regions and identified modules of coexpressed genes that correspond to neurons, oligodendrocytes, astrocytes and microglia. These modules provide an initial description of the transcriptional programs that distinguish the major cell classes of the human brain and indicate that cell type–specific information can be obtained from whole brain tissue without isolating homogeneous populations of cells. Other modules corresponded to additional cell types, organelles, synaptic function, gender differences and the subventricular neurogenic niche. We found that subventricular zone astrocytes, which are thought to function as neural stem cells in adults, have a distinct gene expression pattern relative to protoplasmic astrocytes. Our findings provide a new foundation for neurogenetic inquiries by revealing a robust and previously unrecognized organization to the human brain transcriptome.","author":[{"dropping-particle":"","family":"Oldham","given":"Michael C.","non-dropping-particle":"","parse-names":false,"suffix":""},{"dropping-particle":"","family":"Konopka","given":"Genevieve","non-dropping-particle":"","parse-names":false,"suffix":""},{"dropping-particle":"","family":"Iwamoto","given":"Kazuya","non-dropping-particle":"","parse-names":false,"suffix":""},{"dropping-particle":"","family":"Langfelder","given":"Peter","non-dropping-particle":"","parse-names":false,"suffix":""},{"dropping-particle":"","family":"Kato","given":"Tadafumi","non-dropping-particle":"","parse-names":false,"suffix":""},{"dropping-particle":"","family":"Horvath","given":"Steve","non-dropping-particle":"","parse-names":false,"suffix":""},{"dropping-particle":"","family":"Geschwind","given":"Daniel H.","non-dropping-particle":"","parse-names":false,"suffix":""}],"container-title":"Nature Neuroscience","id":"ITEM-3","issue":"11","issued":{"date-parts":[["2008"]]},"page":"1271-82","title":"Functional organization of the transcriptome in human brain","type":"article-journal","volume":"11"},"uris":["http://www.mendeley.com/documents/?uuid=77458249-e522-41d0-b8e5-b4293dc9d4b2"]},{"id":"ITEM-4","itemData":{"DOI":"10.1038/msb.2009.46","ISBN":"1744-4292 (Electronic)","ISSN":"17444292","PMID":"19638972","abstract":"Genome-wide expression profiling has aided the understanding of the molecular basis of neuronal diversity, but achieving broad functional insight remains a considerable challenge. Here, we perform the first systems-level analysis of microarray data from single neuronal populations using weighted gene co-expression network analysis to examine how neuronal transcriptome organization relates to neuronal function and diversity. We systematically validate network predictions using published proteomic and genomic data. Several network modules of co-expressed genes correspond to interneuron development programs, in which the hub genes are known to be critical for interneuron specification. Other co-expression modules relate to fundamental cellular functions, such as energy production, firing rate, trafficking, and synapses, suggesting that fundamental aspects of neuronal diversity are produced by quantitative variation in basic metabolic processes. We identify two transcriptionally distinct mitochondrial modules and demonstrate that one corresponds to mitochondria enriched in neuronal processes and synapses, whereas the other represents a population restricted to the soma. Finally, we show that galectin-1 is a new interneuron marker, and we validate network predictions in vivo using Rgs4 and Dlx1/2 knockout mice. These analyses provide a basis for understanding how specific aspects of neuronal phenotypic diversity are organized at the transcriptional level.","author":[{"dropping-particle":"","family":"Winden","given":"Kellen D.","non-dropping-particle":"","parse-names":false,"suffix":""},{"dropping-particle":"","family":"Oldham","given":"Michael C.","non-dropping-particle":"","parse-names":false,"suffix":""},{"dropping-particle":"","family":"Mirnics","given":"Karoly","non-dropping-particle":"","parse-names":false,"suffix":""},{"dropping-particle":"","family":"Ebert","given":"Philip J.","non-dropping-particle":"","parse-names":false,"suffix":""},{"dropping-particle":"","family":"Swan","given":"Christo H.","non-dropping-particle":"","parse-names":false,"suffix":""},{"dropping-particle":"","family":"Levitt","given":"Pat","non-dropping-particle":"","parse-names":false,"suffix":""},{"dropping-particle":"","family":"Rubenstein","given":"John L.","non-dropping-particle":"","parse-names":false,"suffix":""},{"dropping-particle":"","family":"Horvath","given":"Steve","non-dropping-particle":"","parse-names":false,"suffix":""},{"dropping-particle":"","family":"Geschwind","given":"Daniel H.","non-dropping-particle":"","parse-names":false,"suffix":""}],"container-title":"Molecular Systems Biology","id":"ITEM-4","issued":{"date-parts":[["2009"]]},"page":"291","title":"The organization of the transcriptional network in specific neuronal classes","type":"article-journal","volume":"5"},"uris":["http://www.mendeley.com/documents/?uuid=55fa7f27-c251-448d-a831-ecceca4826c5"]},{"id":"ITEM-5","itemData":{"DOI":"10.1073/pnas.0914257107","ISBN":"1091-6490 (Electronic)\\r0027-8424 (Linking)","ISSN":"0027-8424","PMID":"20616000","abstract":"Because mouse models play a crucial role in biomedical research related to the human nervous system, understanding the similarities and differences between mouse and human brain is of fundamental importance. Studies comparing transcription in human and mouse have come to varied conclusions, in part because of their relatively small sample sizes or underpowered methodologies. To better characterize gene expression differences between mouse and human, we took a systems-biology approach by using weighted gene coexpression network analysis on more than 1,000 microarrays from brain. We find that global network properties of the brain transcriptome are highly preserved between species. Furthermore, all modules of highly coexpressed genes identified in mouse were identified in human, with those related to conserved cellular functions showing the strongest between-species preservation. Modules corresponding to glial and neuronal cells were sufficiently preserved between mouse and human to permit identification of cross species cell-class marker genes. We also identify several robust human-specific modules, including one strongly correlated with measures of Alzheimer disease progression across multiple data sets, whose hubs are poorly-characterized genes likely involved in Alzheimer disease. We present multiple lines of evidence suggesting links between neurodegenerative disease and glial cell types in human, including human-specific correlation of presenilin-1 with oligodendrocyte markers, and significant enrichment for known neurodegenerative disease genes in microglial modules. Together, this work identifies convergent and divergent pathways in mouse and human, and provides a systematic framework that will be useful for understanding the applicability of mouse models for human brain disorders.","author":[{"dropping-particle":"","family":"Miller","given":"Jeremy A.","non-dropping-particle":"","parse-names":false,"suffix":""},{"dropping-particle":"","family":"Horvath","given":"Steve","non-dropping-particle":"","parse-names":false,"suffix":""},{"dropping-particle":"","family":"Geschwind","given":"Daniel H.","non-dropping-particle":"","parse-names":false,"suffix":""}],"container-title":"Proceedings of the National Academy of Sciences","id":"ITEM-5","issue":"28","issued":{"date-parts":[["2010"]]},"page":"12698-703","title":"Divergence of human and mouse brain transcriptome highlights Alzheimer disease pathways","type":"article-journal","volume":"107"},"uris":["http://www.mendeley.com/documents/?uuid=d34571b1-145f-49f1-80c8-824f989d6bbe"]}],"mendeley":{"formattedCitation":"[33–37]","plainTextFormattedCitation":"[33–37]","previouslyFormattedCitation":"(33–37)"},"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[33–37]</w:t>
      </w:r>
      <w:r w:rsidRPr="00591954">
        <w:rPr>
          <w:szCs w:val="24"/>
          <w:lang w:val="en-GB"/>
        </w:rPr>
        <w:fldChar w:fldCharType="end"/>
      </w:r>
      <w:r w:rsidRPr="00591954">
        <w:rPr>
          <w:szCs w:val="24"/>
          <w:lang w:val="en-GB"/>
        </w:rPr>
        <w:t> using a hypergeometric test. Among the 18 modules produced by WGCNA, we identified only two modules significantly enriched for microglial markers. The genes assigned to each of these modules with a module membership of ≥0.5 were allocated to a gene set, thus resulting in two separate sets for microglia.</w:t>
      </w:r>
    </w:p>
    <w:p w14:paraId="49F1A910" w14:textId="02A4F5CB" w:rsidR="00951646" w:rsidRPr="00591954" w:rsidRDefault="00951646" w:rsidP="00951646">
      <w:pPr>
        <w:pStyle w:val="Normal1"/>
        <w:spacing w:line="240" w:lineRule="auto"/>
        <w:rPr>
          <w:rFonts w:ascii="Times New Roman" w:eastAsia="Times New Roman" w:hAnsi="Times New Roman" w:cs="Times New Roman"/>
          <w:color w:val="auto"/>
          <w:sz w:val="24"/>
          <w:szCs w:val="24"/>
          <w:lang w:val="en-GB" w:eastAsia="en-GB"/>
        </w:rPr>
      </w:pPr>
    </w:p>
    <w:p w14:paraId="7FD91733" w14:textId="77777777" w:rsidR="007E7D99" w:rsidRPr="00591954" w:rsidRDefault="007E7D99">
      <w:pPr>
        <w:rPr>
          <w:rFonts w:ascii="Times" w:eastAsia="Times" w:hAnsi="Times"/>
          <w:b/>
          <w:lang w:val="en-GB"/>
        </w:rPr>
      </w:pPr>
      <w:r w:rsidRPr="00591954">
        <w:rPr>
          <w:lang w:val="en-GB"/>
        </w:rPr>
        <w:br w:type="page"/>
      </w:r>
    </w:p>
    <w:p w14:paraId="514E203C" w14:textId="06E9D084" w:rsidR="007E7D99" w:rsidRPr="00591954" w:rsidRDefault="007E7D99" w:rsidP="007E7D99">
      <w:pPr>
        <w:pStyle w:val="Heading3"/>
        <w:rPr>
          <w:lang w:val="en-GB"/>
        </w:rPr>
      </w:pPr>
      <w:r w:rsidRPr="00591954">
        <w:rPr>
          <w:lang w:val="en-GB"/>
        </w:rPr>
        <w:lastRenderedPageBreak/>
        <w:t>Section B: EpiPG</w:t>
      </w:r>
      <w:r w:rsidR="001D7B03" w:rsidRPr="00591954">
        <w:rPr>
          <w:lang w:val="en-GB"/>
        </w:rPr>
        <w:t>X</w:t>
      </w:r>
      <w:r w:rsidRPr="00591954">
        <w:rPr>
          <w:lang w:val="en-GB"/>
        </w:rPr>
        <w:t xml:space="preserve"> GWAS analyses</w:t>
      </w:r>
    </w:p>
    <w:p w14:paraId="2190F685" w14:textId="77777777" w:rsidR="007E7D99" w:rsidRPr="00591954" w:rsidRDefault="007E7D99" w:rsidP="00951646">
      <w:pPr>
        <w:pStyle w:val="Normal1"/>
        <w:spacing w:line="240" w:lineRule="auto"/>
        <w:rPr>
          <w:rFonts w:ascii="Times New Roman" w:eastAsia="Times New Roman" w:hAnsi="Times New Roman" w:cs="Times New Roman"/>
          <w:color w:val="auto"/>
          <w:sz w:val="24"/>
          <w:szCs w:val="24"/>
          <w:lang w:val="en-GB" w:eastAsia="en-GB"/>
        </w:rPr>
      </w:pPr>
    </w:p>
    <w:p w14:paraId="434743EF" w14:textId="77777777" w:rsidR="00951646" w:rsidRPr="00591954" w:rsidRDefault="00D85B95" w:rsidP="00951646">
      <w:pPr>
        <w:rPr>
          <w:szCs w:val="24"/>
          <w:u w:val="single"/>
          <w:lang w:val="en-GB"/>
        </w:rPr>
      </w:pPr>
      <w:r w:rsidRPr="00591954">
        <w:rPr>
          <w:b/>
          <w:szCs w:val="24"/>
          <w:lang w:val="en-GB"/>
        </w:rPr>
        <w:t>Cohorts and phenotype definition</w:t>
      </w:r>
      <w:r w:rsidRPr="00591954">
        <w:rPr>
          <w:szCs w:val="24"/>
          <w:lang w:val="en-GB"/>
        </w:rPr>
        <w:t>.</w:t>
      </w:r>
      <w:r w:rsidR="00490DA8" w:rsidRPr="00591954">
        <w:rPr>
          <w:szCs w:val="24"/>
          <w:lang w:val="en-GB"/>
        </w:rPr>
        <w:t xml:space="preserve"> </w:t>
      </w:r>
      <w:r w:rsidR="00951646" w:rsidRPr="00591954">
        <w:rPr>
          <w:szCs w:val="24"/>
          <w:lang w:val="en-GB"/>
        </w:rPr>
        <w:t xml:space="preserve">People with epilepsy </w:t>
      </w:r>
      <w:r w:rsidR="00951646" w:rsidRPr="00591954">
        <w:rPr>
          <w:noProof/>
          <w:szCs w:val="24"/>
          <w:lang w:val="en-GB"/>
        </w:rPr>
        <w:t>were recruited</w:t>
      </w:r>
      <w:r w:rsidR="00951646" w:rsidRPr="00591954">
        <w:rPr>
          <w:szCs w:val="24"/>
          <w:lang w:val="en-GB"/>
        </w:rPr>
        <w:t xml:space="preserve"> within the EpiPGX consortium (</w:t>
      </w:r>
      <w:hyperlink r:id="rId11" w:history="1">
        <w:r w:rsidR="00951646" w:rsidRPr="00591954">
          <w:rPr>
            <w:rStyle w:val="Hyperlink"/>
            <w:color w:val="auto"/>
            <w:szCs w:val="24"/>
            <w:lang w:val="en-GB"/>
          </w:rPr>
          <w:t>www.epipgx.eu</w:t>
        </w:r>
      </w:hyperlink>
      <w:r w:rsidR="00951646" w:rsidRPr="00591954">
        <w:rPr>
          <w:szCs w:val="24"/>
          <w:lang w:val="en-GB"/>
        </w:rPr>
        <w:t xml:space="preserve">) from clinical </w:t>
      </w:r>
      <w:r w:rsidR="00951646" w:rsidRPr="00591954">
        <w:rPr>
          <w:noProof/>
          <w:szCs w:val="24"/>
          <w:lang w:val="en-GB"/>
        </w:rPr>
        <w:t>centers</w:t>
      </w:r>
      <w:r w:rsidR="00951646" w:rsidRPr="00591954">
        <w:rPr>
          <w:szCs w:val="24"/>
          <w:lang w:val="en-GB"/>
        </w:rPr>
        <w:t xml:space="preserve"> in the UK, Ireland, Belgium, the Netherlands, Germany, </w:t>
      </w:r>
      <w:r w:rsidR="00951646" w:rsidRPr="00591954">
        <w:rPr>
          <w:noProof/>
          <w:szCs w:val="24"/>
          <w:lang w:val="en-GB"/>
        </w:rPr>
        <w:t>and</w:t>
      </w:r>
      <w:r w:rsidR="00951646" w:rsidRPr="00591954">
        <w:rPr>
          <w:szCs w:val="24"/>
          <w:lang w:val="en-GB"/>
        </w:rPr>
        <w:t xml:space="preserve"> Italy. Patients were classified as resistant to treatment if they had seizures recurring at a frequency of ≥4 per year, over the year preceding the latest data entry, despite adequate trials of ≥2 tolerated and appropriately chosen anti-epileptic drugs, whether as monotherapies or in combination. Treatment response was defined as freedom from seizures for ≥12 months up to the latest recorded visit.</w:t>
      </w:r>
    </w:p>
    <w:p w14:paraId="200601E4" w14:textId="77777777" w:rsidR="00951646" w:rsidRPr="00591954" w:rsidRDefault="00951646" w:rsidP="00951646">
      <w:pPr>
        <w:rPr>
          <w:szCs w:val="24"/>
          <w:u w:val="single"/>
          <w:lang w:val="en-GB"/>
        </w:rPr>
      </w:pPr>
    </w:p>
    <w:p w14:paraId="2183480B" w14:textId="6DF8C85A" w:rsidR="00951646" w:rsidRPr="00591954" w:rsidRDefault="00DD6127" w:rsidP="00951646">
      <w:pPr>
        <w:rPr>
          <w:szCs w:val="24"/>
          <w:lang w:val="en-GB"/>
        </w:rPr>
      </w:pPr>
      <w:r w:rsidRPr="00591954">
        <w:rPr>
          <w:b/>
          <w:szCs w:val="24"/>
          <w:lang w:val="en-GB"/>
        </w:rPr>
        <w:t>Genotyping and imputation.</w:t>
      </w:r>
      <w:r w:rsidRPr="00591954">
        <w:rPr>
          <w:szCs w:val="24"/>
          <w:lang w:val="en-GB"/>
        </w:rPr>
        <w:t xml:space="preserve"> </w:t>
      </w:r>
      <w:r w:rsidR="00951646" w:rsidRPr="00591954">
        <w:rPr>
          <w:szCs w:val="24"/>
          <w:lang w:val="en-GB"/>
        </w:rPr>
        <w:t xml:space="preserve">Genotyping was performed at deCODE Genetics using Illumina OmniExpress SNP arrays (Illumina OmniExpress-12 v1.1, Illumina OmniExpress-24 v1.1, Illumina Human610-Quad, Illumina HumanHap550v3). BeadStudio (Illumina; version 2.0) was used to call genotypes. STRUCTURE v2.2, with </w:t>
      </w:r>
      <w:r w:rsidR="00951646" w:rsidRPr="00591954">
        <w:rPr>
          <w:noProof/>
          <w:szCs w:val="24"/>
          <w:lang w:val="en-GB"/>
        </w:rPr>
        <w:t>HapMap</w:t>
      </w:r>
      <w:r w:rsidR="00951646" w:rsidRPr="00591954">
        <w:rPr>
          <w:szCs w:val="24"/>
          <w:lang w:val="en-GB"/>
        </w:rPr>
        <w:t xml:space="preserve"> European (CEU) samples as the reference population, was used to derive European ancestry probabilities, based on genotypes for 2,766 ethnicity-sensitive SNPs common to all SNP arrays. Subjects with less than 90% European ancestry in all cohorts </w:t>
      </w:r>
      <w:r w:rsidR="00951646" w:rsidRPr="00591954">
        <w:rPr>
          <w:noProof/>
          <w:szCs w:val="24"/>
          <w:lang w:val="en-GB"/>
        </w:rPr>
        <w:t>were excluded</w:t>
      </w:r>
      <w:r w:rsidR="00951646" w:rsidRPr="00591954">
        <w:rPr>
          <w:szCs w:val="24"/>
          <w:lang w:val="en-GB"/>
        </w:rPr>
        <w:t xml:space="preserve">. Additional individual-level quality were performed using PLINK 1.9 </w:t>
      </w:r>
      <w:r w:rsidR="00951646" w:rsidRPr="00591954">
        <w:rPr>
          <w:szCs w:val="24"/>
          <w:lang w:val="en-GB"/>
        </w:rPr>
        <w:fldChar w:fldCharType="begin" w:fldLock="1"/>
      </w:r>
      <w:r w:rsidR="004F23C5" w:rsidRPr="00591954">
        <w:rPr>
          <w:szCs w:val="24"/>
          <w:lang w:val="en-GB"/>
        </w:rPr>
        <w:instrText>ADDIN CSL_CITATION {"citationItems":[{"id":"ITEM-1","itemData":{"DOI":"10.1186/s13742-015-0047-8","ISBN":"2047-217x","ISSN":"2047217X","PMID":"25722852","abstract":"PLINK 1 is a widely used open-source C/C++ toolset for genome-wide association studies (GWAS) and research in population genetics. However, the steady accumulation of data from imputation and whole-genome sequencing studies has exposed a strong need for even faster and more scalable implementations of key functions. In addition, GWAS and population-genetic data now frequently contain probabilistic calls, phase information, and/or multiallelic variants, none of which can be represented by PLINK 1's primary data format. To address these issues, we are developing a second-generation codebase for PLINK. The first major release from this codebase, PLINK 1.9, introduces extensive use of bit-level parallelism, O(sqrt(n))-time/constant-space Hardy-Weinberg equilibrium and Fisher's exact tests, and many other algorithmic improvements. In combination, these changes accelerate most operations by 1-4 orders of magnitude, and allow the program to handle datasets too large to fit in RAM. This will be followed by PLINK 2.0, which will introduce (a) a new data format capable of efficiently representing probabilities, phase, and multiallelic variants, and (b) extensions of many functions to account for the new types of information. The second-generation versions of PLINK will offer dramatic improvements in performance and compatibility. For the first time, users without access to high-end computing resources can perform several essential analyses of the feature-rich and very large genetic datasets coming into use.","author":[{"dropping-particle":"","family":"Chang","given":"Christopher C.","non-dropping-particle":"","parse-names":false,"suffix":""},{"dropping-particle":"","family":"Chow","given":"Carson C.","non-dropping-particle":"","parse-names":false,"suffix":""},{"dropping-particle":"","family":"Tellier","given":"Laurent C.A.M.","non-dropping-particle":"","parse-names":false,"suffix":""},{"dropping-particle":"","family":"Vattikuti","given":"Shashaank","non-dropping-particle":"","parse-names":false,"suffix":""},{"dropping-particle":"","family":"Purcell","given":"Shaun M.","non-dropping-particle":"","parse-names":false,"suffix":""},{"dropping-particle":"","family":"Lee","given":"James J.","non-dropping-particle":"","parse-names":false,"suffix":""}],"container-title":"GigaScience","id":"ITEM-1","issue":"1","issued":{"date-parts":[["2015"]]},"title":"Second-generation PLINK: Rising to the challenge of larger and richer datasets","type":"article-journal","volume":"4"},"uris":["http://www.mendeley.com/documents/?uuid=dc40f6a9-3e47-478b-a9a1-ccf5701e7dca"]}],"mendeley":{"formattedCitation":"[38]","plainTextFormattedCitation":"[38]","previouslyFormattedCitation":"(38)"},"properties":{"noteIndex":0},"schema":"https://github.com/citation-style-language/schema/raw/master/csl-citation.json"}</w:instrText>
      </w:r>
      <w:r w:rsidR="00951646" w:rsidRPr="00591954">
        <w:rPr>
          <w:szCs w:val="24"/>
          <w:lang w:val="en-GB"/>
        </w:rPr>
        <w:fldChar w:fldCharType="separate"/>
      </w:r>
      <w:r w:rsidR="004F23C5" w:rsidRPr="00591954">
        <w:rPr>
          <w:noProof/>
          <w:szCs w:val="24"/>
          <w:lang w:val="en-GB"/>
        </w:rPr>
        <w:t>[38]</w:t>
      </w:r>
      <w:r w:rsidR="00951646" w:rsidRPr="00591954">
        <w:rPr>
          <w:szCs w:val="24"/>
          <w:lang w:val="en-GB"/>
        </w:rPr>
        <w:fldChar w:fldCharType="end"/>
      </w:r>
      <w:r w:rsidR="00951646" w:rsidRPr="00591954">
        <w:rPr>
          <w:szCs w:val="24"/>
          <w:lang w:val="en-GB"/>
        </w:rPr>
        <w:t xml:space="preserve">. First, we removed all samples with &lt;0.98 call rate (CR) for all SNPs. </w:t>
      </w:r>
      <w:r w:rsidR="00951646" w:rsidRPr="00591954">
        <w:rPr>
          <w:noProof/>
          <w:szCs w:val="24"/>
          <w:lang w:val="en-GB"/>
        </w:rPr>
        <w:t>Next, using a subset of uncorrelated SNPs (r</w:t>
      </w:r>
      <w:r w:rsidR="00951646" w:rsidRPr="00591954">
        <w:rPr>
          <w:noProof/>
          <w:szCs w:val="24"/>
          <w:vertAlign w:val="superscript"/>
          <w:lang w:val="en-GB"/>
        </w:rPr>
        <w:t>2</w:t>
      </w:r>
      <w:r w:rsidR="00951646" w:rsidRPr="00591954">
        <w:rPr>
          <w:noProof/>
          <w:szCs w:val="24"/>
          <w:lang w:val="en-GB"/>
        </w:rPr>
        <w:t>&lt;0.1 in a sliding window of 100 SNPs per window and shifting the window by 25 SNPs each time), we calculated heterozygosity (HET), identity by state (IBS) and gender, and removed: a) HET outliers with &gt;5 standard deviations (SD) from the median of the whole sample; ii) one individual from each pair of closely related individuals with &gt;0.9 IBS; iii) all samples where sex determined from genotype did not match with the reported gender.</w:t>
      </w:r>
      <w:r w:rsidR="00951646" w:rsidRPr="00591954">
        <w:rPr>
          <w:szCs w:val="24"/>
          <w:lang w:val="en-GB"/>
        </w:rPr>
        <w:t xml:space="preserve"> SNP-level, pre-imputation quality controls </w:t>
      </w:r>
      <w:r w:rsidR="00951646" w:rsidRPr="00591954">
        <w:rPr>
          <w:noProof/>
          <w:szCs w:val="24"/>
          <w:lang w:val="en-GB"/>
        </w:rPr>
        <w:t>were performed</w:t>
      </w:r>
      <w:r w:rsidR="00951646" w:rsidRPr="00591954">
        <w:rPr>
          <w:szCs w:val="24"/>
          <w:lang w:val="en-GB"/>
        </w:rPr>
        <w:t xml:space="preserve"> </w:t>
      </w:r>
      <w:r w:rsidR="00951646" w:rsidRPr="00591954">
        <w:rPr>
          <w:noProof/>
          <w:szCs w:val="24"/>
          <w:lang w:val="en-GB"/>
        </w:rPr>
        <w:t>using</w:t>
      </w:r>
      <w:r w:rsidR="00951646" w:rsidRPr="00591954">
        <w:rPr>
          <w:szCs w:val="24"/>
          <w:lang w:val="en-GB"/>
        </w:rPr>
        <w:t xml:space="preserve"> PLINK 1.9 and custom scripts. Array-specific maps, retrieved at the website of Will Rayner at the Wellcome Trust (</w:t>
      </w:r>
      <w:hyperlink r:id="rId12" w:history="1">
        <w:r w:rsidR="00951646" w:rsidRPr="00591954">
          <w:rPr>
            <w:rStyle w:val="Hyperlink"/>
            <w:color w:val="auto"/>
            <w:szCs w:val="24"/>
            <w:lang w:val="en-GB"/>
          </w:rPr>
          <w:t>http://www.well.ox.ac.uk/~wrayner/strand/</w:t>
        </w:r>
      </w:hyperlink>
      <w:r w:rsidR="00951646" w:rsidRPr="00591954">
        <w:rPr>
          <w:szCs w:val="24"/>
          <w:lang w:val="en-GB"/>
        </w:rPr>
        <w:t xml:space="preserve">), were used to update all marker positions to the Genome Reference Consortium Human Build 37 (GRCh37). Ambiguous A/T and C/G markers were removed to avoid strand issues. Finally, we removed all SNPs with &lt;0.95 genotype rate, &lt;0.01 minor allele frequency (MAF), or deviation from Hardy-Weinberg equilibrium (with </w:t>
      </w:r>
      <w:r w:rsidR="00951646" w:rsidRPr="00591954">
        <w:rPr>
          <w:i/>
          <w:szCs w:val="24"/>
          <w:lang w:val="en-GB"/>
        </w:rPr>
        <w:t>P</w:t>
      </w:r>
      <w:r w:rsidR="00951646" w:rsidRPr="00591954">
        <w:rPr>
          <w:szCs w:val="24"/>
          <w:lang w:val="en-GB"/>
        </w:rPr>
        <w:t>&lt;1x10</w:t>
      </w:r>
      <w:r w:rsidR="00951646" w:rsidRPr="00591954">
        <w:rPr>
          <w:szCs w:val="24"/>
          <w:vertAlign w:val="superscript"/>
          <w:lang w:val="en-GB"/>
        </w:rPr>
        <w:t>-6</w:t>
      </w:r>
      <w:r w:rsidR="00951646" w:rsidRPr="00591954">
        <w:rPr>
          <w:szCs w:val="24"/>
          <w:lang w:val="en-GB"/>
        </w:rPr>
        <w:t xml:space="preserve">) in samples from any site. We then split genotypes up according to chromosome arms (and in the case of chromosome X we split additionally into pseudo-autosomal regions (PAR) and non-PAR) and created phased haplotypes using SHAPEIT v215 </w:t>
      </w:r>
      <w:r w:rsidR="00951646" w:rsidRPr="00591954">
        <w:rPr>
          <w:szCs w:val="24"/>
          <w:lang w:val="en-GB"/>
        </w:rPr>
        <w:fldChar w:fldCharType="begin" w:fldLock="1"/>
      </w:r>
      <w:r w:rsidR="004F23C5" w:rsidRPr="00591954">
        <w:rPr>
          <w:szCs w:val="24"/>
          <w:lang w:val="en-GB"/>
        </w:rPr>
        <w:instrText>ADDIN CSL_CITATION {"citationItems":[{"id":"ITEM-1","itemData":{"DOI":"10.1038/nmeth.2307","ISBN":"0939-5555","ISSN":"15487091","PMID":"23269371","abstract":"Background The prevalence and spectrum of predisposing mutations among children and adolescents with cancer are largely unknown. Knowledge of such mutations may improve the understanding of tumorigenesis, direct patient care, and enable genetic counseling of patients and families. Methods In 1120 patients younger than 20 years of age, we sequenced the whole genomes (in 595 patients), whole exomes (in 456), or both (in 69). We analyzed the DNA sequences of 565 genes, including 60 that have been associated with autosomal dominant cancer-predisposition syndromes, for the presence of germline mutations. The pathogenicity of the mutations was determined by a panel of medical experts with the use of cancer-specific and locus-specific genetic databases, the medical literature, computational predictions, and second hits identified in the tumor genome. The same approach was used to analyze data from 966 persons who did not have known cancer in the 1000 Genomes Project, and a similar approach was used to analyze data from an autism study (from 515 persons with autism and 208 persons without autism). Results Mutations that were deemed to be pathogenic or probably pathogenic were identified in 95 patients with cancer (8.5%), as compared with 1.1% of the persons in the 1000 Genomes Project and 0.6% of the participants in the autism study. The most commonly mutated genes in the affected patients were TP53 (in 50 patients), APC (in 6), BRCA2 (in 6), NF1 (in 4), PMS2 (in 4), RB1 (in 3), and RUNX1 (in 3). A total of 18 additional patients had protein-truncating mutations in tumor-suppressor genes. Of the 58 patients with a predisposing mutation and available information on family history, 23 (40%) had a family history of cancer. Conclusions Germline mutations in cancer-predisposing genes were identified in 8.5% of the children and adolescents with cancer. Family history did not predict the presence of an underlying predisposition syndrome in most patients. (Funded by the American Lebanese Syrian Associated Charities and the National Cancer Institute.).","author":[{"dropping-particle":"","family":"Delaneau","given":"Olivier","non-dropping-particle":"","parse-names":false,"suffix":""},{"dropping-particle":"","family":"Zagury","given":"Jean Francois","non-dropping-particle":"","parse-names":false,"suffix":""},{"dropping-particle":"","family":"Marchini","given":"Jonathan","non-dropping-particle":"","parse-names":false,"suffix":""}],"container-title":"Nature Methods","id":"ITEM-1","issued":{"date-parts":[["2013"]]},"page":"5-6","title":"Improved whole-chromosome phasing for disease and population genetic studies","type":"article-journal","volume":"10"},"uris":["http://www.mendeley.com/documents/?uuid=b38992d6-874c-42dd-ad16-51c92214a634"]}],"mendeley":{"formattedCitation":"[39]","plainTextFormattedCitation":"[39]","previouslyFormattedCitation":"(39)"},"properties":{"noteIndex":0},"schema":"https://github.com/citation-style-language/schema/raw/master/csl-citation.json"}</w:instrText>
      </w:r>
      <w:r w:rsidR="00951646" w:rsidRPr="00591954">
        <w:rPr>
          <w:szCs w:val="24"/>
          <w:lang w:val="en-GB"/>
        </w:rPr>
        <w:fldChar w:fldCharType="separate"/>
      </w:r>
      <w:r w:rsidR="004F23C5" w:rsidRPr="00591954">
        <w:rPr>
          <w:noProof/>
          <w:szCs w:val="24"/>
          <w:lang w:val="en-GB"/>
        </w:rPr>
        <w:t>[39]</w:t>
      </w:r>
      <w:r w:rsidR="00951646" w:rsidRPr="00591954">
        <w:rPr>
          <w:szCs w:val="24"/>
          <w:lang w:val="en-GB"/>
        </w:rPr>
        <w:fldChar w:fldCharType="end"/>
      </w:r>
      <w:r w:rsidR="00951646" w:rsidRPr="00591954">
        <w:rPr>
          <w:szCs w:val="24"/>
          <w:lang w:val="en-GB"/>
        </w:rPr>
        <w:t xml:space="preserve"> with recommended effective size setting (11,418), and using the 1000 Genomes phase 1 integrated (v3) map files as reference. Following haplotype phasing, we imputed genotypes into our dataset using IMPUTE version 2.3.016,17 </w:t>
      </w:r>
      <w:r w:rsidR="00951646" w:rsidRPr="00591954">
        <w:rPr>
          <w:szCs w:val="24"/>
          <w:lang w:val="en-GB"/>
        </w:rPr>
        <w:fldChar w:fldCharType="begin" w:fldLock="1"/>
      </w:r>
      <w:r w:rsidR="004F23C5" w:rsidRPr="00591954">
        <w:rPr>
          <w:szCs w:val="24"/>
          <w:lang w:val="en-GB"/>
        </w:rPr>
        <w:instrText>ADDIN CSL_CITATION {"citationItems":[{"id":"ITEM-1","itemData":{"DOI":"10.1371/journal.pgen.1000529","PMID":"19543373","abstract":"Genotype imputation methods are now being widely used in the analysis of genome-wide association studies. Most imputation analyses to date have used the HapMap as a reference dataset, but new reference panels (such as controls genotyped on multiple SNP chips and densely typed samples from the 1,000 Genomes Project) will soon allow a broader range of SNPs to be imputed with higher accuracy, thereby increasing power. We describe a genotype imputation method (IMPUTE version 2) that is designed to address the challenges presented by these new datasets. The main innovation of our approach is a flexible modelling framework that increases accuracy and combines information across multiple reference panels while remaining computationally feasible. We find that IMPUTE v2 attains higher accuracy than other methods when the HapMap provides the sole reference panel, but that the size of the panel constrains the improvements that can be made. We also find that imputation accuracy can be greatly enhanced by expanding the reference panel to contain thousands of chromosomes and that IMPUTE v2 outperforms other methods in this setting at both rare and common SNPs, with overall error rates that are 15%-20% lower than those of the closest competing method. One particularly challenging aspect of next-generation association studies is to integrate information across multiple reference panels genotyped on different sets of SNPs; we show that our approach to this problem has practical advantages over other suggested solutions.","author":[{"dropping-particle":"","family":"Howie","given":"Bryan N","non-dropping-particle":"","parse-names":false,"suffix":""},{"dropping-particle":"","family":"Donnelly","given":"Peter","non-dropping-particle":"","parse-names":false,"suffix":""},{"dropping-particle":"","family":"Marchini","given":"Jonathan","non-dropping-particle":"","parse-names":false,"suffix":""}],"container-title":"PLoS genetics","id":"ITEM-1","issue":"6","issued":{"date-parts":[["2009"]]},"language":"eng","page":"e1000529","title":"A flexible and accurate genotype imputation method for the next generation of genome-wide association studies","type":"article-journal","volume":"5"},"uris":["http://www.mendeley.com/documents/?uuid=b0ebe4bb-5505-425a-95dd-fdc5dc32fa13"]}],"mendeley":{"formattedCitation":"[40]","plainTextFormattedCitation":"[40]","previouslyFormattedCitation":"(40)"},"properties":{"noteIndex":0},"schema":"https://github.com/citation-style-language/schema/raw/master/csl-citation.json"}</w:instrText>
      </w:r>
      <w:r w:rsidR="00951646" w:rsidRPr="00591954">
        <w:rPr>
          <w:szCs w:val="24"/>
          <w:lang w:val="en-GB"/>
        </w:rPr>
        <w:fldChar w:fldCharType="separate"/>
      </w:r>
      <w:r w:rsidR="004F23C5" w:rsidRPr="00591954">
        <w:rPr>
          <w:noProof/>
          <w:szCs w:val="24"/>
          <w:lang w:val="en-GB"/>
        </w:rPr>
        <w:t>[40]</w:t>
      </w:r>
      <w:r w:rsidR="00951646" w:rsidRPr="00591954">
        <w:rPr>
          <w:szCs w:val="24"/>
          <w:lang w:val="en-GB"/>
        </w:rPr>
        <w:fldChar w:fldCharType="end"/>
      </w:r>
      <w:r w:rsidR="00951646" w:rsidRPr="00591954">
        <w:rPr>
          <w:szCs w:val="24"/>
          <w:lang w:val="en-GB"/>
        </w:rPr>
        <w:t xml:space="preserve"> with recommended effective population size settings (20,000) and 1000 Genomes phase 1 integrated (v3) genotypes as reference </w:t>
      </w:r>
      <w:r w:rsidR="00951646" w:rsidRPr="00591954">
        <w:rPr>
          <w:szCs w:val="24"/>
          <w:lang w:val="en-GB"/>
        </w:rPr>
        <w:fldChar w:fldCharType="begin" w:fldLock="1"/>
      </w:r>
      <w:r w:rsidR="004F23C5" w:rsidRPr="00591954">
        <w:rPr>
          <w:szCs w:val="24"/>
          <w:lang w:val="en-GB"/>
        </w:rPr>
        <w:instrText>ADDIN CSL_CITATION {"citationItems":[{"id":"ITEM-1","itemData":{"DOI":"10.1534/g3.111.001198","ISBN":"2160-1836 (Electronic)\\n2160-1836 (Linking)","ISSN":"2160-1836","PMID":"22384356","abstract":"Genotype imputation is a statistical technique that is often used to increase the power and resolution of genetic association studies. Imputation methods work by using haplotype patterns in a reference panel to predict unobserved genotypes in a study dataset, and a number of approaches have been proposed for choosing subsets of reference haplotypes that will maximize accuracy in a given study population. These panel selection strategies become harder to apply and interpret as sequencing efforts like the 1000 Genomes Project produce larger and more diverse reference sets, which led us to develop an alternative framework. Our approach is built around a new approximation that uses local sequence similarity to choose a custom reference panel for each study haplotype in each region of the genome. This approximation makes it computationally efficient to use all available reference haplotypes, which allows us to bypass the panel selection step and to improve accuracy at low-frequency variants by capturing unexpected allele sharing among populations. Using data from HapMap 3, we show that our framework produces accurate results in a wide range of human populations. We also use data from the Malaria Genetic Epidemiology Network (MalariaGEN) to provide recommendations for imputation-based studies in Africa. We demonstrate that our approximation improves efficiency in large, sequence-based reference panels, and we discuss general computational strategies for modern reference datasets. Genome-wide association studies will soon be able to harness the power of thousands of reference genomes, and our work provides a practical way for investigators to use this rich information. New methodology from this study is implemented in the IMPUTE2 software package.","author":[{"dropping-particle":"","family":"Howie","given":"Bryan","non-dropping-particle":"","parse-names":false,"suffix":""},{"dropping-particle":"","family":"Marchini","given":"Jonathan","non-dropping-particle":"","parse-names":false,"suffix":""},{"dropping-particle":"","family":"Stephens","given":"Matthew","non-dropping-particle":"","parse-names":false,"suffix":""}],"container-title":"G3","id":"ITEM-1","issue":"6","issued":{"date-parts":[["2011"]]},"page":"457-470","title":"Genotype Imputation with Thousands of Genomes","type":"article-journal","volume":"1"},"uris":["http://www.mendeley.com/documents/?uuid=ce6fc6e7-4917-4057-8d71-bf94e63bcc3a"]}],"mendeley":{"formattedCitation":"[41]","plainTextFormattedCitation":"[41]","previouslyFormattedCitation":"(41)"},"properties":{"noteIndex":0},"schema":"https://github.com/citation-style-language/schema/raw/master/csl-citation.json"}</w:instrText>
      </w:r>
      <w:r w:rsidR="00951646" w:rsidRPr="00591954">
        <w:rPr>
          <w:szCs w:val="24"/>
          <w:lang w:val="en-GB"/>
        </w:rPr>
        <w:fldChar w:fldCharType="separate"/>
      </w:r>
      <w:r w:rsidR="004F23C5" w:rsidRPr="00591954">
        <w:rPr>
          <w:noProof/>
          <w:szCs w:val="24"/>
          <w:lang w:val="en-GB"/>
        </w:rPr>
        <w:t>[41]</w:t>
      </w:r>
      <w:r w:rsidR="00951646" w:rsidRPr="00591954">
        <w:rPr>
          <w:szCs w:val="24"/>
          <w:lang w:val="en-GB"/>
        </w:rPr>
        <w:fldChar w:fldCharType="end"/>
      </w:r>
      <w:r w:rsidR="00951646" w:rsidRPr="00591954">
        <w:rPr>
          <w:szCs w:val="24"/>
          <w:lang w:val="en-GB"/>
        </w:rPr>
        <w:t xml:space="preserve">. The haplotype phasing and imputation </w:t>
      </w:r>
      <w:r w:rsidR="00951646" w:rsidRPr="00591954">
        <w:rPr>
          <w:noProof/>
          <w:szCs w:val="24"/>
          <w:lang w:val="en-GB"/>
        </w:rPr>
        <w:t>was performed</w:t>
      </w:r>
      <w:r w:rsidR="00951646" w:rsidRPr="00591954">
        <w:rPr>
          <w:szCs w:val="24"/>
          <w:lang w:val="en-GB"/>
        </w:rPr>
        <w:t xml:space="preserve"> in separate batches for each of the genotyping datasets.</w:t>
      </w:r>
    </w:p>
    <w:p w14:paraId="446F9B06" w14:textId="77777777" w:rsidR="00951646" w:rsidRPr="00591954" w:rsidRDefault="00951646" w:rsidP="00951646">
      <w:pPr>
        <w:rPr>
          <w:szCs w:val="24"/>
          <w:u w:val="single"/>
          <w:lang w:val="en-GB"/>
        </w:rPr>
      </w:pPr>
    </w:p>
    <w:p w14:paraId="089B0488" w14:textId="1100DF65" w:rsidR="00951646" w:rsidRPr="00591954" w:rsidRDefault="00DD6127" w:rsidP="00951646">
      <w:pPr>
        <w:rPr>
          <w:szCs w:val="24"/>
          <w:lang w:val="en-GB"/>
        </w:rPr>
      </w:pPr>
      <w:r w:rsidRPr="00591954">
        <w:rPr>
          <w:b/>
          <w:szCs w:val="24"/>
          <w:lang w:val="en-GB"/>
        </w:rPr>
        <w:t>Post-imputation quality control and GWAS.</w:t>
      </w:r>
      <w:r w:rsidRPr="00591954">
        <w:rPr>
          <w:szCs w:val="24"/>
          <w:lang w:val="en-GB"/>
        </w:rPr>
        <w:t xml:space="preserve"> </w:t>
      </w:r>
      <w:r w:rsidR="00951646" w:rsidRPr="00591954">
        <w:rPr>
          <w:szCs w:val="24"/>
          <w:lang w:val="en-GB"/>
        </w:rPr>
        <w:t xml:space="preserve">Post-imputation quality control filters were applied first separately for every imputation cohort to remove genotyped variants with low concordance between observed genotype and masked, imputed genotype (IMPUTE2 r2_type0 score &lt;0.90, concordance_type0 &lt;0.90). We then performed further </w:t>
      </w:r>
      <w:r w:rsidR="00951646" w:rsidRPr="00591954">
        <w:rPr>
          <w:szCs w:val="24"/>
          <w:lang w:val="en-GB"/>
        </w:rPr>
        <w:lastRenderedPageBreak/>
        <w:t xml:space="preserve">quality controls on the merged datasets for cases and controls separately, removing variants based on following criteria: i) </w:t>
      </w:r>
      <w:r w:rsidR="00951646" w:rsidRPr="00591954">
        <w:rPr>
          <w:noProof/>
          <w:szCs w:val="24"/>
          <w:lang w:val="en-GB"/>
        </w:rPr>
        <w:t xml:space="preserve">SNPtest </w:t>
      </w:r>
      <w:r w:rsidR="00951646" w:rsidRPr="00591954">
        <w:rPr>
          <w:noProof/>
          <w:szCs w:val="24"/>
          <w:lang w:val="en-GB"/>
        </w:rPr>
        <w:fldChar w:fldCharType="begin" w:fldLock="1"/>
      </w:r>
      <w:r w:rsidR="004F23C5" w:rsidRPr="00591954">
        <w:rPr>
          <w:noProof/>
          <w:szCs w:val="24"/>
          <w:lang w:val="en-GB"/>
        </w:rPr>
        <w:instrText>ADDIN CSL_CITATION {"citationItems":[{"id":"ITEM-1","itemData":{"DOI":"10.1038/ng2088","PMID":"17572673","abstract":"Genome-wide association studies are set to become the method of choice for uncovering the genetic basis of human diseases. A central challenge in this area is the development of powerful multipoint methods that can detect causal variants that have not been directly genotyped. We propose a coherent analysis framework that treats the problem as one involving missing or uncertain genotypes. Central to our approach is a model-based imputation method for inferring genotypes at observed or unobserved SNPs, leading to improved power over existing methods for multipoint association mapping. Using real genome-wide association study data, we show that our approach (i) is accurate and well calibrated, (ii) provides detailed views of associated regions that facilitate follow-up studies and (iii) can be used to validate and correct data at genotyped markers. A notable future use of our method will be to boost power by combining data from genome-wide scans that use different SNP sets.","author":[{"dropping-particle":"","family":"Marchini","given":"Jonathan","non-dropping-particle":"","parse-names":false,"suffix":""},{"dropping-particle":"","family":"Howie","given":"Bryan","non-dropping-particle":"","parse-names":false,"suffix":""},{"dropping-particle":"","family":"Myers","given":"Simon","non-dropping-particle":"","parse-names":false,"suffix":""},{"dropping-particle":"","family":"McVean","given":"Gil","non-dropping-particle":"","parse-names":false,"suffix":""},{"dropping-particle":"","family":"Donnelly","given":"Peter","non-dropping-particle":"","parse-names":false,"suffix":""}],"container-title":"Nature genetics","id":"ITEM-1","issue":"7","issued":{"date-parts":[["2007"]]},"language":"eng","page":"906-913","title":"A new multipoint method for genome-wide association studies by imputation of genotypes","type":"article-journal","volume":"39"},"uris":["http://www.mendeley.com/documents/?uuid=bf095d82-4e4e-4c97-a438-ea6a8059821c"]}],"mendeley":{"formattedCitation":"[42]","plainTextFormattedCitation":"[42]","previouslyFormattedCitation":"(42)"},"properties":{"noteIndex":0},"schema":"https://github.com/citation-style-language/schema/raw/master/csl-citation.json"}</w:instrText>
      </w:r>
      <w:r w:rsidR="00951646" w:rsidRPr="00591954">
        <w:rPr>
          <w:noProof/>
          <w:szCs w:val="24"/>
          <w:lang w:val="en-GB"/>
        </w:rPr>
        <w:fldChar w:fldCharType="separate"/>
      </w:r>
      <w:r w:rsidR="004F23C5" w:rsidRPr="00591954">
        <w:rPr>
          <w:noProof/>
          <w:szCs w:val="24"/>
          <w:lang w:val="en-GB"/>
        </w:rPr>
        <w:t>[42]</w:t>
      </w:r>
      <w:r w:rsidR="00951646" w:rsidRPr="00591954">
        <w:rPr>
          <w:noProof/>
          <w:szCs w:val="24"/>
          <w:lang w:val="en-GB"/>
        </w:rPr>
        <w:fldChar w:fldCharType="end"/>
      </w:r>
      <w:r w:rsidR="00951646" w:rsidRPr="00591954">
        <w:rPr>
          <w:noProof/>
          <w:szCs w:val="24"/>
          <w:lang w:val="en-GB"/>
        </w:rPr>
        <w:t xml:space="preserve"> </w:t>
      </w:r>
      <w:r w:rsidR="00951646" w:rsidRPr="00591954">
        <w:rPr>
          <w:szCs w:val="24"/>
          <w:lang w:val="en-GB"/>
        </w:rPr>
        <w:t xml:space="preserve">info score &lt;0.97; ii) </w:t>
      </w:r>
      <w:r w:rsidR="00951646" w:rsidRPr="00591954">
        <w:rPr>
          <w:noProof/>
          <w:szCs w:val="24"/>
          <w:lang w:val="en-GB"/>
        </w:rPr>
        <w:t>SNPtest</w:t>
      </w:r>
      <w:r w:rsidR="00951646" w:rsidRPr="00591954">
        <w:rPr>
          <w:szCs w:val="24"/>
          <w:lang w:val="en-GB"/>
        </w:rPr>
        <w:t xml:space="preserve"> average_maximum_posterior_call &lt;0.90; iii) MAF &lt;0.01; iv) deviation from Hardy-Weinberg equilibrium (with </w:t>
      </w:r>
      <w:r w:rsidR="00951646" w:rsidRPr="00591954">
        <w:rPr>
          <w:i/>
          <w:szCs w:val="24"/>
          <w:lang w:val="en-GB"/>
        </w:rPr>
        <w:t>P</w:t>
      </w:r>
      <w:r w:rsidR="00951646" w:rsidRPr="00591954">
        <w:rPr>
          <w:szCs w:val="24"/>
          <w:lang w:val="en-GB"/>
        </w:rPr>
        <w:t>&lt;1x10</w:t>
      </w:r>
      <w:r w:rsidR="00951646" w:rsidRPr="00591954">
        <w:rPr>
          <w:szCs w:val="24"/>
          <w:vertAlign w:val="superscript"/>
          <w:lang w:val="en-GB"/>
        </w:rPr>
        <w:t>-6</w:t>
      </w:r>
      <w:r w:rsidR="00951646" w:rsidRPr="00591954">
        <w:rPr>
          <w:szCs w:val="24"/>
          <w:lang w:val="en-GB"/>
        </w:rPr>
        <w:t xml:space="preserve">) in controls only. At </w:t>
      </w:r>
      <w:r w:rsidR="00951646" w:rsidRPr="00591954">
        <w:rPr>
          <w:noProof/>
          <w:szCs w:val="24"/>
          <w:lang w:val="en-GB"/>
        </w:rPr>
        <w:t>individual level</w:t>
      </w:r>
      <w:r w:rsidR="00951646" w:rsidRPr="00591954">
        <w:rPr>
          <w:szCs w:val="24"/>
          <w:lang w:val="en-GB"/>
        </w:rPr>
        <w:t xml:space="preserve">, we removed duplicate samples across datasets (same parameter as in the pre-imputation step) and population outliers, as identified by principal component analysis. Finally, genome-wide association analyses were performed using a linear mixed-model as implemented in FaST-LMM v2.07 </w:t>
      </w:r>
      <w:r w:rsidR="00951646" w:rsidRPr="00591954">
        <w:rPr>
          <w:szCs w:val="24"/>
          <w:lang w:val="en-GB"/>
        </w:rPr>
        <w:fldChar w:fldCharType="begin" w:fldLock="1"/>
      </w:r>
      <w:r w:rsidR="004F23C5" w:rsidRPr="00591954">
        <w:rPr>
          <w:szCs w:val="24"/>
          <w:lang w:val="en-GB"/>
        </w:rPr>
        <w:instrText>ADDIN CSL_CITATION {"citationItems":[{"id":"ITEM-1","itemData":{"DOI":"10.1038/nmeth.1681","ISBN":"1548-7105 (Electronic)\\r1548-7091 (Linking)","ISSN":"15487091","PMID":"21892150","abstract":"We describe factored spectrally transformed linear mixed models (FaST-LMM), an algorithm for genome-wide association studies (GWAS) that scales linearly with cohort size in both run time and memory use. On Wellcome Trust data for 15,000 individuals, FaST-LMM ran an order of magnitude faster than current efficient algorithms. Our algorithm can analyze data for 120,000 individuals in just a few hours, whereas current algorithms fail on data for even 20,000 individuals (http://mscompbio.codeplex.com/).","author":[{"dropping-particle":"","family":"Lippert","given":"Christoph","non-dropping-particle":"","parse-names":false,"suffix":""},{"dropping-particle":"","family":"Listgarten","given":"Jennifer","non-dropping-particle":"","parse-names":false,"suffix":""},{"dropping-particle":"","family":"Liu","given":"Ying","non-dropping-particle":"","parse-names":false,"suffix":""},{"dropping-particle":"","family":"Kadie","given":"Carl M.","non-dropping-particle":"","parse-names":false,"suffix":""},{"dropping-particle":"","family":"Davidson","given":"Robert I.","non-dropping-particle":"","parse-names":false,"suffix":""},{"dropping-particle":"","family":"Heckerman","given":"David","non-dropping-particle":"","parse-names":false,"suffix":""}],"container-title":"Nature Methods","id":"ITEM-1","issue":"10","issued":{"date-parts":[["2011"]]},"page":"833-835","title":"FaST linear mixed models for genome-wide association studies","type":"article-journal","volume":"8"},"uris":["http://www.mendeley.com/documents/?uuid=aa8c51be-195a-43d9-8a41-8dc2e95d500f"]}],"mendeley":{"formattedCitation":"[43]","plainTextFormattedCitation":"[43]","previouslyFormattedCitation":"(43)"},"properties":{"noteIndex":0},"schema":"https://github.com/citation-style-language/schema/raw/master/csl-citation.json"}</w:instrText>
      </w:r>
      <w:r w:rsidR="00951646" w:rsidRPr="00591954">
        <w:rPr>
          <w:szCs w:val="24"/>
          <w:lang w:val="en-GB"/>
        </w:rPr>
        <w:fldChar w:fldCharType="separate"/>
      </w:r>
      <w:r w:rsidR="004F23C5" w:rsidRPr="00591954">
        <w:rPr>
          <w:noProof/>
          <w:szCs w:val="24"/>
          <w:lang w:val="en-GB"/>
        </w:rPr>
        <w:t>[43]</w:t>
      </w:r>
      <w:r w:rsidR="00951646" w:rsidRPr="00591954">
        <w:rPr>
          <w:szCs w:val="24"/>
          <w:lang w:val="en-GB"/>
        </w:rPr>
        <w:fldChar w:fldCharType="end"/>
      </w:r>
      <w:r w:rsidR="00951646" w:rsidRPr="00591954">
        <w:rPr>
          <w:szCs w:val="24"/>
          <w:lang w:val="en-GB"/>
        </w:rPr>
        <w:t>. We used a subset of uncorrelated SNPs (r</w:t>
      </w:r>
      <w:r w:rsidR="00951646" w:rsidRPr="00591954">
        <w:rPr>
          <w:szCs w:val="24"/>
          <w:vertAlign w:val="superscript"/>
          <w:lang w:val="en-GB"/>
        </w:rPr>
        <w:t>2</w:t>
      </w:r>
      <w:r w:rsidR="00951646" w:rsidRPr="00591954">
        <w:rPr>
          <w:szCs w:val="24"/>
          <w:lang w:val="en-GB"/>
        </w:rPr>
        <w:t>&lt;0.4 in a sliding window of 150 SNPs per window and shifting the window by 10 SNPs each time) with high call rate (CR&gt;0.99%), out of all quality filtered SNPs, to generate the relationship matrix for every pair of individuals, which is used by the linear mixed model to correct for population structure.</w:t>
      </w:r>
    </w:p>
    <w:p w14:paraId="3E099698" w14:textId="77777777" w:rsidR="00951646" w:rsidRPr="00591954" w:rsidRDefault="00951646" w:rsidP="00951646">
      <w:pPr>
        <w:tabs>
          <w:tab w:val="left" w:pos="2238"/>
        </w:tabs>
        <w:rPr>
          <w:szCs w:val="24"/>
          <w:u w:val="single"/>
          <w:lang w:val="en-GB"/>
        </w:rPr>
      </w:pPr>
    </w:p>
    <w:p w14:paraId="10E3201C" w14:textId="77777777" w:rsidR="00951646" w:rsidRPr="00591954" w:rsidRDefault="00DD6127" w:rsidP="00951646">
      <w:pPr>
        <w:rPr>
          <w:szCs w:val="24"/>
          <w:lang w:val="en-GB"/>
        </w:rPr>
      </w:pPr>
      <w:r w:rsidRPr="00591954">
        <w:rPr>
          <w:b/>
          <w:szCs w:val="24"/>
          <w:lang w:val="en-GB"/>
        </w:rPr>
        <w:t>GWAS results.</w:t>
      </w:r>
      <w:r w:rsidRPr="00591954">
        <w:rPr>
          <w:szCs w:val="24"/>
          <w:lang w:val="en-GB"/>
        </w:rPr>
        <w:t xml:space="preserve"> </w:t>
      </w:r>
      <w:r w:rsidR="00951646" w:rsidRPr="00591954">
        <w:rPr>
          <w:szCs w:val="24"/>
          <w:lang w:val="en-GB"/>
        </w:rPr>
        <w:t xml:space="preserve">Over 12,500 individuals with epilepsy </w:t>
      </w:r>
      <w:r w:rsidR="00951646" w:rsidRPr="00591954">
        <w:rPr>
          <w:noProof/>
          <w:szCs w:val="24"/>
          <w:lang w:val="en-GB"/>
        </w:rPr>
        <w:t>were recruited</w:t>
      </w:r>
      <w:r w:rsidR="00951646" w:rsidRPr="00591954">
        <w:rPr>
          <w:szCs w:val="24"/>
          <w:lang w:val="en-GB"/>
        </w:rPr>
        <w:t xml:space="preserve"> within the EpiPGX consortium. Sufficiently detailed drug response information was available for 4,876 individuals. After the review of the phenotypic data, SNP genotyping and imputation, 4,135 epilepsy cases (2,489 drug-resistant epilepsy and 1,645 with drug-responsive epilepsy) and 10,695 healthy controls were available for inclusion in the treatment response GWAS. After application of QC criteria, we included a total of 4,049 epilepsy cases (2,423 with drug-resistant epilepsy and 1,626 with drug-responsive epilepsy) and 10,645 healthy controls in the association analysis. After application of marker QC, 5,952,081 SNPs remained in the association analysis. Summary statistics are at </w:t>
      </w:r>
      <w:hyperlink r:id="rId13" w:history="1">
        <w:r w:rsidR="00951646" w:rsidRPr="00591954">
          <w:rPr>
            <w:rStyle w:val="Hyperlink"/>
            <w:color w:val="auto"/>
            <w:szCs w:val="24"/>
            <w:lang w:val="en-GB"/>
          </w:rPr>
          <w:t>http://www.epigad.org</w:t>
        </w:r>
      </w:hyperlink>
      <w:r w:rsidR="00951646" w:rsidRPr="00591954">
        <w:rPr>
          <w:szCs w:val="24"/>
          <w:lang w:val="en-GB"/>
        </w:rPr>
        <w:t xml:space="preserve">.  </w:t>
      </w:r>
    </w:p>
    <w:p w14:paraId="7453924F" w14:textId="77777777" w:rsidR="00951646" w:rsidRPr="00591954" w:rsidRDefault="00951646" w:rsidP="00951646">
      <w:pPr>
        <w:rPr>
          <w:sz w:val="22"/>
          <w:szCs w:val="22"/>
          <w:lang w:val="en-GB" w:eastAsia="de-DE"/>
        </w:rPr>
      </w:pPr>
    </w:p>
    <w:p w14:paraId="4520CD1F" w14:textId="77777777" w:rsidR="00951646" w:rsidRPr="00591954" w:rsidRDefault="00951646" w:rsidP="00951646">
      <w:pPr>
        <w:pStyle w:val="Heading2"/>
        <w:spacing w:before="0" w:after="0"/>
        <w:rPr>
          <w:rFonts w:ascii="Times New Roman" w:hAnsi="Times New Roman"/>
          <w:i w:val="0"/>
          <w:iCs w:val="0"/>
          <w:kern w:val="32"/>
          <w:sz w:val="26"/>
          <w:szCs w:val="26"/>
          <w:lang w:val="en-GB"/>
        </w:rPr>
      </w:pPr>
      <w:r w:rsidRPr="00591954">
        <w:rPr>
          <w:rFonts w:ascii="Times New Roman" w:hAnsi="Times New Roman"/>
          <w:i w:val="0"/>
          <w:iCs w:val="0"/>
          <w:kern w:val="32"/>
          <w:sz w:val="26"/>
          <w:szCs w:val="26"/>
          <w:lang w:val="en-GB"/>
        </w:rPr>
        <w:t>Partitioned heritability analysis for investigation of loci potentially involved in immune regulation in epilepsy</w:t>
      </w:r>
    </w:p>
    <w:p w14:paraId="1669F1CF" w14:textId="5881949B" w:rsidR="00951646" w:rsidRPr="00591954" w:rsidRDefault="00951646" w:rsidP="00951646">
      <w:pPr>
        <w:rPr>
          <w:szCs w:val="24"/>
          <w:lang w:val="en-GB"/>
        </w:rPr>
      </w:pPr>
      <w:r w:rsidRPr="00591954">
        <w:rPr>
          <w:szCs w:val="24"/>
          <w:lang w:val="en-GB"/>
        </w:rPr>
        <w:t>Enrichment of marker genes for specific brain processes or cells in vulnerable regions (</w:t>
      </w:r>
      <w:r w:rsidR="00252425" w:rsidRPr="00591954">
        <w:rPr>
          <w:szCs w:val="24"/>
          <w:lang w:val="en-GB"/>
        </w:rPr>
        <w:t>i.e.,</w:t>
      </w:r>
      <w:r w:rsidRPr="00591954">
        <w:rPr>
          <w:szCs w:val="24"/>
          <w:lang w:val="en-GB"/>
        </w:rPr>
        <w:t xml:space="preserve"> with reduced thickness) in the epilepsies may indicate a causative role of these processes or cell types in the structural differences found on MRI. We hypothesized that this causality would also manifest in the subjects’ genetic sequence. GWAS summary statistics were obtained for </w:t>
      </w:r>
      <w:r w:rsidRPr="00591954">
        <w:rPr>
          <w:szCs w:val="24"/>
          <w:lang w:val="en-GB" w:eastAsia="de-DE"/>
        </w:rPr>
        <w:t xml:space="preserve">susceptibility to epilepsy </w:t>
      </w:r>
      <w:r w:rsidRPr="00591954">
        <w:rPr>
          <w:szCs w:val="24"/>
          <w:lang w:val="en-GB" w:eastAsia="de-DE"/>
        </w:rPr>
        <w:fldChar w:fldCharType="begin" w:fldLock="1"/>
      </w:r>
      <w:r w:rsidR="004F23C5" w:rsidRPr="00591954">
        <w:rPr>
          <w:szCs w:val="24"/>
          <w:lang w:val="en-GB" w:eastAsia="de-DE"/>
        </w:rPr>
        <w:instrText>ADDIN CSL_CITATION {"citationItems":[{"id":"ITEM-1","itemData":{"DOI":"10.1016/S1474-4422(14)70171-1","PMID":"25087078","abstract":"BACKGROUND: The epilepsies are a clinically heterogeneous group of neurological disorders. Despite strong evidence for heritability, genome-wide association studies have had little success in identification of risk loci associated with epilepsy, probably because of relatively small sample sizes and insufficient power. We aimed to identify risk loci through meta-analyses of genome-wide association studies for all epilepsy and the two largest clinical subtypes (genetic generalised epilepsy and focal epilepsy).METHODS: We combined genome-wide association data from 12 cohorts of individuals with epilepsy and controls from population-based datasets. Controls were ethnically matched with cases. We phenotyped individuals with epilepsy into categories of genetic generalised epilepsy, focal epilepsy, or unclassified epilepsy. After standardised filtering for quality control and imputation to account for different genotyping platforms across sites, investigators at each site conducted a linear mixed-model association analysis for each dataset. Combining summary statistics, we conducted fixed-effects meta-analyses of all epilepsy, focal epilepsy, and genetic generalised epilepsy. We set the genome-wide significance threshold at p&lt;1·66 × 10(-8).FINDINGS: We included 8696 cases and 26 157 controls in our analysis. Meta-analysis of the all-epilepsy cohort identified loci at 2q24.3 (p=8·71 × 10(-10)), implicating SCN1A, and at 4p15.1 (p=5·44 × 10(-9)), harbouring PCDH7, which encodes a protocadherin molecule not previously implicated in epilepsy. For the cohort of genetic generalised epilepsy, we noted a single signal at 2p16.1 (p=9·99 × 10(-9)), implicating VRK2 or FANCL. No single nucleotide polymorphism achieved genome-wide significance for focal epilepsy.INTERPRETATION: This meta-analysis describes a new locus not previously implicated in epilepsy and provides further evidence about the genetic architecture of these disorders, with the ultimate aim of assisting in disease classification and prognosis. The data suggest that specific loci can act pleiotropically raising risk for epilepsy broadly, or can have effects limited to a specific epilepsy subtype. Future genetic analyses might benefit from both lumping (ie, grouping of epilepsy types together) or splitting (ie, analysis of specific clinical subtypes).FUNDING: International League Against Epilepsy and multiple governmental and philanthropic agencies.","author":[{"dropping-particle":"","family":"The International League Against Epilepsy Consortium on Complex Epilepsies","given":"","non-dropping-particle":"","parse-names":false,"suffix":""}],"container-title":"Lancet neurology","id":"ITEM-1","issue":"9","issued":{"date-parts":[["2014"]]},"language":"eng","page":"893-903","title":"Genetic determinants of common epilepsies: a meta-analysis of genome-wide association studies","type":"article-journal","volume":"13"},"uris":["http://www.mendeley.com/documents/?uuid=144c4e76-7215-4f05-a30b-d8be7e9cd58b"]}],"mendeley":{"formattedCitation":"[44]","plainTextFormattedCitation":"[44]","previouslyFormattedCitation":"(44)"},"properties":{"noteIndex":0},"schema":"https://github.com/citation-style-language/schema/raw/master/csl-citation.json"}</w:instrText>
      </w:r>
      <w:r w:rsidRPr="00591954">
        <w:rPr>
          <w:szCs w:val="24"/>
          <w:lang w:val="en-GB" w:eastAsia="de-DE"/>
        </w:rPr>
        <w:fldChar w:fldCharType="separate"/>
      </w:r>
      <w:r w:rsidR="004F23C5" w:rsidRPr="00591954">
        <w:rPr>
          <w:noProof/>
          <w:szCs w:val="24"/>
          <w:lang w:val="en-GB" w:eastAsia="de-DE"/>
        </w:rPr>
        <w:t>[44]</w:t>
      </w:r>
      <w:r w:rsidRPr="00591954">
        <w:rPr>
          <w:szCs w:val="24"/>
          <w:lang w:val="en-GB" w:eastAsia="de-DE"/>
        </w:rPr>
        <w:fldChar w:fldCharType="end"/>
      </w:r>
      <w:r w:rsidRPr="00591954">
        <w:rPr>
          <w:szCs w:val="24"/>
          <w:lang w:val="en-GB" w:eastAsia="de-DE"/>
        </w:rPr>
        <w:t xml:space="preserve"> as well as treatment response in epilepsy (from the EpiPGX Consortium, as above)</w:t>
      </w:r>
      <w:r w:rsidRPr="00591954">
        <w:rPr>
          <w:szCs w:val="24"/>
          <w:lang w:val="en-GB"/>
        </w:rPr>
        <w:t xml:space="preserve">. Stratified LD score regression, a method for partitioning heritability across functional genomic annotations, was used to test for enrichment of susceptibility to epilepsy and treatment response, within immune-relevant annotations focusing on state-specific monocyte eQTL data </w:t>
      </w:r>
      <w:r w:rsidRPr="00591954">
        <w:rPr>
          <w:szCs w:val="24"/>
          <w:lang w:val="en-GB"/>
        </w:rPr>
        <w:fldChar w:fldCharType="begin" w:fldLock="1"/>
      </w:r>
      <w:r w:rsidR="004F23C5" w:rsidRPr="00591954">
        <w:rPr>
          <w:szCs w:val="24"/>
          <w:lang w:val="en-GB"/>
        </w:rPr>
        <w:instrText>ADDIN CSL_CITATION {"citationItems":[{"id":"ITEM-1","itemData":{"DOI":"10.1126/science.1246949","PMID":"24604202","abstract":"To systematically investigate the impact of immune stimulation upon regulatory variant activity, we exposed primary monocytes from 432 healthy Europeans to interferon-γ (IFN-γ) or differing durations of lipopolysaccharide and mapped expression quantitative trait loci (eQTLs). More than half of cis-eQTLs identified, involving hundreds of genes and associated pathways, are detected specifically in stimulated monocytes. Induced innate immune activity reveals multiple master regulatory trans-eQTLs including the major histocompatibility complex (MHC), coding variants altering enzyme and receptor function, an IFN-β cytokine network showing temporal specificity, and an interferon regulatory factor 2 (IRF2) transcription factor-modulated network. Induced eQTL are significantly enriched for genome-wide association study loci, identifying context-specific associations to putative causal genes including CARD9, ATM, and IRF8. Thus, applying pathophysiologically relevant immune stimuli assists resolution of functional genetic variants.","author":[{"dropping-particle":"","family":"Fairfax","given":"Benjamin P","non-dropping-particle":"","parse-names":false,"suffix":""},{"dropping-particle":"","family":"Humburg","given":"Peter","non-dropping-particle":"","parse-names":false,"suffix":""},{"dropping-particle":"","family":"Makino","given":"Seiko","non-dropping-particle":"","parse-names":false,"suffix":""},{"dropping-particle":"","family":"Naranbhai","given":"Vivek","non-dropping-particle":"","parse-names":false,"suffix":""},{"dropping-particle":"","family":"Wong","given":"Daniel","non-dropping-particle":"","parse-names":false,"suffix":""},{"dropping-particle":"","family":"Lau","given":"Evelyn","non-dropping-particle":"","parse-names":false,"suffix":""},{"dropping-particle":"","family":"Jostins","given":"Luke","non-dropping-particle":"","parse-names":false,"suffix":""},{"dropping-particle":"","family":"Plant","given":"Katharine","non-dropping-particle":"","parse-names":false,"suffix":""},{"dropping-particle":"","family":"Andrews","given":"Robert","non-dropping-particle":"","parse-names":false,"suffix":""},{"dropping-particle":"","family":"McGee","given":"Chris","non-dropping-particle":"","parse-names":false,"suffix":""},{"dropping-particle":"","family":"Knight","given":"Julian C","non-dropping-particle":"","parse-names":false,"suffix":""}],"container-title":"Science (New York, NY)","id":"ITEM-1","issue":"6175","issued":{"date-parts":[["2014"]]},"language":"eng","page":"1246949","title":"Innate immune activity conditions the effect of regulatory variants upon monocyte gene expression","type":"article-journal","volume":"343"},"uris":["http://www.mendeley.com/documents/?uuid=4a069c74-0bcd-4314-af20-69dd799c0d47"]}],"mendeley":{"formattedCitation":"[45]","plainTextFormattedCitation":"[45]","previouslyFormattedCitation":"(45)"},"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[45]</w:t>
      </w:r>
      <w:r w:rsidRPr="00591954">
        <w:rPr>
          <w:szCs w:val="24"/>
          <w:lang w:val="en-GB"/>
        </w:rPr>
        <w:fldChar w:fldCharType="end"/>
      </w:r>
      <w:r w:rsidRPr="00591954">
        <w:rPr>
          <w:szCs w:val="24"/>
          <w:lang w:val="en-GB"/>
        </w:rPr>
        <w:t xml:space="preserve">. Annotations were added individually to the ‘baseline’ model of 53 annotations provided by Finucane et al. </w:t>
      </w:r>
      <w:r w:rsidRPr="00591954">
        <w:rPr>
          <w:szCs w:val="24"/>
          <w:lang w:val="en-GB"/>
        </w:rPr>
        <w:fldChar w:fldCharType="begin" w:fldLock="1"/>
      </w:r>
      <w:r w:rsidR="004F23C5" w:rsidRPr="00591954">
        <w:rPr>
          <w:szCs w:val="24"/>
          <w:lang w:val="en-GB"/>
        </w:rPr>
        <w:instrText>ADDIN CSL_CITATION {"citationItems":[{"id":"ITEM-1","itemData":{"DOI":"10.1038/ng.3404","PMID":"26414678","abstract":"Recent work has demonstrated that some functional categories of the genome contribute disproportionately to the heritability of complex diseases. Here we analyze a broad set of functional elements, including cell type-specific elements, to estimate their polygenic contributions to heritability in genome-wide association studies (GWAS) of 17 complex diseases and traits with an average sample size of 73,599. To enable this analysis, we introduce a new method, stratified LD score regression, for partitioning heritability from GWAS summary statistics while accounting for linked markers. This new method is computationally tractable at very large sample sizes and leverages genome-wide information. Our findings include a large enrichment of heritability in conserved regions across many traits, a very large immunological disease-specific enrichment of heritability in FANTOM5 enhancers and many cell type-specific enrichments, including significant enrichment of central nervous system cell types in the heritability of body mass index, age at menarche, educational attainment and smoking behavior.","author":[{"dropping-particle":"","family":"Finucane","given":"Hilary K","non-dropping-particle":"","parse-names":false,"suffix":""},{"dropping-particle":"","family":"Bulik-Sullivan","given":"Brendan","non-dropping-particle":"","parse-names":false,"suffix":""},{"dropping-particle":"","family":"Gusev","given":"Alexander","non-dropping-particle":"","parse-names":false,"suffix":""},{"dropping-particle":"","family":"Trynka","given":"Gosia","non-dropping-particle":"","parse-names":false,"suffix":""},{"dropping-particle":"","family":"Reshef","given":"Yakir","non-dropping-particle":"","parse-names":false,"suffix":""},{"dropping-particle":"","family":"Loh","given":"Po-Ru","non-dropping-particle":"","parse-names":false,"suffix":""},{"dropping-particle":"","family":"Anttila","given":"Verneri","non-dropping-particle":"","parse-names":false,"suffix":""},{"dropping-particle":"","family":"Xu","given":"Han","non-dropping-particle":"","parse-names":false,"suffix":""},{"dropping-particle":"","family":"Zang","given":"Chongzhi","non-dropping-particle":"","parse-names":false,"suffix":""},{"dropping-particle":"","family":"Farh","given":"Kyle","non-dropping-particle":"","parse-names":false,"suffix":""},{"dropping-particle":"","family":"Ripke","given":"Stephan","non-dropping-particle":"","parse-names":false,"suffix":""},{"dropping-particle":"","family":"Day","given":"Felix R","non-dropping-particle":"","parse-names":false,"suffix":""},{"dropping-particle":"","family":"Consortium","given":"ReproGen","non-dropping-particle":"","parse-names":false,"suffix":""},{"dropping-particle":"","family":"Consortium","given":"Schizophrenia Working Group of the Psychiatric Genomics","non-dropping-particle":"","parse-names":false,"suffix":""},{"dropping-particle":"","family":"Consortium","given":"RACI","non-dropping-particle":"","parse-names":false,"suffix":""},{"dropping-particle":"","family":"Purcell","given":"Shaun","non-dropping-particle":"","parse-names":false,"suffix":""},{"dropping-particle":"","family":"Stahl","given":"Eli","non-dropping-particle":"","parse-names":false,"suffix":""},{"dropping-particle":"","family":"Lindstrom","given":"Sara","non-dropping-particle":"","parse-names":false,"suffix":""},{"dropping-particle":"","family":"Perry","given":"John R B","non-dropping-particle":"","parse-names":false,"suffix":""},{"dropping-particle":"","family":"Okada","given":"Yukinori","non-dropping-particle":"","parse-names":false,"suffix":""},{"dropping-particle":"","family":"Raychaudhuri","given":"Soumya","non-dropping-particle":"","parse-names":false,"suffix":""},{"dropping-particle":"","family":"Daly","given":"Mark J","non-dropping-particle":"","parse-names":false,"suffix":""},{"dropping-particle":"","family":"Patterson","given":"Nick","non-dropping-particle":"","parse-names":false,"suffix":""},{"dropping-particle":"","family":"Neale","given":"Benjamin M","non-dropping-particle":"","parse-names":false,"suffix":""},{"dropping-particle":"","family":"Price","given":"Alkes L","non-dropping-particle":"","parse-names":false,"suffix":""}],"container-title":"Nature genetics","id":"ITEM-1","issue":"11","issued":{"date-parts":[["2015"]]},"language":"eng","page":"1228-1235","title":"Partitioning heritability by functional annotation using genome-wide association summary statistics","type":"article-journal","volume":"47"},"uris":["http://www.mendeley.com/documents/?uuid=d22becaa-0dfb-420d-aafc-ed51da727008"]}],"mendeley":{"formattedCitation":"[46]","plainTextFormattedCitation":"[46]","previouslyFormattedCitation":"(46)"},"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[46]</w:t>
      </w:r>
      <w:r w:rsidRPr="00591954">
        <w:rPr>
          <w:szCs w:val="24"/>
          <w:lang w:val="en-GB"/>
        </w:rPr>
        <w:fldChar w:fldCharType="end"/>
      </w:r>
      <w:r w:rsidRPr="00591954">
        <w:rPr>
          <w:szCs w:val="24"/>
          <w:lang w:val="en-GB"/>
        </w:rPr>
        <w:t>, which comprises 24 different genome-wide annotations reflecting genetic architecture, such as conserved regions and histone marks. HapMap Project Phase 3 SNPs and 1000 Genome Project European population SNPs were used for the regression and LD reference panel, respectively. Only SNPs with minor allele frequency &gt;5% were used for heritability partitioning. The HLA region was excluded. We report the regression coefficient P-value, which tests whether a given form of annotation contributes significantly positively to SNP heritability (i.e., is enriched) after controlling for the effects of the ‘baseline’ model.</w:t>
      </w:r>
    </w:p>
    <w:p w14:paraId="796E59FA" w14:textId="290E54F0" w:rsidR="00951646" w:rsidRPr="00591954" w:rsidRDefault="00951646" w:rsidP="00951646">
      <w:pPr>
        <w:rPr>
          <w:sz w:val="22"/>
          <w:szCs w:val="22"/>
          <w:lang w:val="en-GB" w:eastAsia="de-DE"/>
        </w:rPr>
      </w:pPr>
    </w:p>
    <w:p w14:paraId="183BF5D3" w14:textId="3A380988" w:rsidR="00DE5668" w:rsidRPr="00591954" w:rsidRDefault="001D7B03" w:rsidP="001D7B03">
      <w:pPr>
        <w:pStyle w:val="Heading3"/>
        <w:rPr>
          <w:lang w:val="en-GB"/>
        </w:rPr>
      </w:pPr>
      <w:r w:rsidRPr="00591954">
        <w:rPr>
          <w:lang w:val="en-GB"/>
        </w:rPr>
        <w:lastRenderedPageBreak/>
        <w:t xml:space="preserve">Section C: Immunostaining of microglia in human brain tissue  </w:t>
      </w:r>
    </w:p>
    <w:p w14:paraId="197ECC7A" w14:textId="77777777" w:rsidR="00951646" w:rsidRPr="00591954" w:rsidRDefault="00951646" w:rsidP="00951646">
      <w:pPr>
        <w:pStyle w:val="Heading2"/>
        <w:spacing w:before="0" w:after="0"/>
        <w:rPr>
          <w:rFonts w:ascii="Times New Roman" w:hAnsi="Times New Roman"/>
          <w:i w:val="0"/>
          <w:iCs w:val="0"/>
          <w:kern w:val="32"/>
          <w:sz w:val="26"/>
          <w:szCs w:val="26"/>
          <w:lang w:val="en-GB"/>
        </w:rPr>
      </w:pPr>
      <w:r w:rsidRPr="00591954">
        <w:rPr>
          <w:rFonts w:ascii="Times New Roman" w:hAnsi="Times New Roman"/>
          <w:i w:val="0"/>
          <w:iCs w:val="0"/>
          <w:kern w:val="32"/>
          <w:sz w:val="26"/>
          <w:szCs w:val="26"/>
          <w:lang w:val="en-GB"/>
        </w:rPr>
        <w:t xml:space="preserve">Distribution of microglia in human brain tissue </w:t>
      </w:r>
    </w:p>
    <w:p w14:paraId="30771327" w14:textId="77777777" w:rsidR="00951646" w:rsidRPr="00591954" w:rsidRDefault="00951646" w:rsidP="00951646">
      <w:pPr>
        <w:rPr>
          <w:szCs w:val="24"/>
          <w:lang w:val="en-GB"/>
        </w:rPr>
      </w:pPr>
      <w:r w:rsidRPr="00591954">
        <w:rPr>
          <w:szCs w:val="24"/>
          <w:lang w:val="en-GB"/>
        </w:rPr>
        <w:t>Formalin-fixed paraffin-embedded tissue blocks were selected from 55 post mortem (PM) cases in the archives of UCL Epilepsy Society Brain and Tissue Bank, Epilepsy Research UK Corsellis Brain Collection and MRC Sudden Death Brain Bank (collected between 1978-2017; median 2015); the PM intervals and fixation times were noted. The project has ethical approval (under NRES 17/SC/0573) and cases had research consent, compliant with the UK Human Tissue Act 2014. The cases comprised three groups: (i) Epilepsy-non lesional (EP-NL, n=18), including cases with idiopathic generalised epilepsy, Dravet Syndrome and cases without a known genetic or syndrome classification but no identified symptomatic cause on detailed post mortem evaluation; (ii) Epilepsy-Lesional (EP-L, n=21), including cases with mesial temporal lobe epilepsy with hippocampal sclerosis (unilateral or bilateral), epilepsy due to malformations of cortical development or perinatal infarct, and post-traumatic epilepsy and (iii) non-epilepsy controls (NEC, n=16). The mean age of death was 47 years in the patients and 51 years in controls; 66% in each group were male. The mean age of onset and duration of epilepsy was 8.2 and 35 years respectively in EP-NL and 13 years and 42 years in EP-L.</w:t>
      </w:r>
    </w:p>
    <w:p w14:paraId="632686CC" w14:textId="468C18B0" w:rsidR="00951646" w:rsidRPr="00591954" w:rsidRDefault="00951646" w:rsidP="00951646">
      <w:pPr>
        <w:rPr>
          <w:szCs w:val="24"/>
          <w:lang w:val="en-GB"/>
        </w:rPr>
      </w:pPr>
      <w:r w:rsidRPr="00591954">
        <w:rPr>
          <w:szCs w:val="24"/>
          <w:lang w:val="en-GB"/>
        </w:rPr>
        <w:t xml:space="preserve">A maximum of 14 regions of interest (ROI) were selected from each case from both hemispheres where available (Fig. </w:t>
      </w:r>
      <w:r w:rsidR="00E277BE" w:rsidRPr="00591954">
        <w:rPr>
          <w:szCs w:val="24"/>
          <w:lang w:val="en-GB"/>
        </w:rPr>
        <w:t>2</w:t>
      </w:r>
      <w:r w:rsidR="00F27891" w:rsidRPr="00591954">
        <w:rPr>
          <w:szCs w:val="24"/>
          <w:lang w:val="en-GB"/>
        </w:rPr>
        <w:t>; Fig. S16</w:t>
      </w:r>
      <w:r w:rsidRPr="00591954">
        <w:rPr>
          <w:szCs w:val="24"/>
          <w:lang w:val="en-GB"/>
        </w:rPr>
        <w:t xml:space="preserve">), as follows: </w:t>
      </w:r>
      <w:r w:rsidRPr="00591954">
        <w:rPr>
          <w:b/>
          <w:szCs w:val="24"/>
          <w:lang w:val="en-GB"/>
        </w:rPr>
        <w:t>ROI 1</w:t>
      </w:r>
      <w:r w:rsidRPr="00591954">
        <w:rPr>
          <w:szCs w:val="24"/>
          <w:lang w:val="en-GB"/>
        </w:rPr>
        <w:t xml:space="preserve"> medial perirhinal/transentorhinal cortex in parahippocampal gyrus (BA35); </w:t>
      </w:r>
      <w:r w:rsidRPr="00591954">
        <w:rPr>
          <w:b/>
          <w:szCs w:val="24"/>
          <w:lang w:val="en-GB"/>
        </w:rPr>
        <w:t>ROI 2</w:t>
      </w:r>
      <w:r w:rsidRPr="00591954">
        <w:rPr>
          <w:szCs w:val="24"/>
          <w:lang w:val="en-GB"/>
        </w:rPr>
        <w:t xml:space="preserve"> temporal pole (BA38); </w:t>
      </w:r>
      <w:r w:rsidRPr="00591954">
        <w:rPr>
          <w:b/>
          <w:szCs w:val="24"/>
          <w:lang w:val="en-GB"/>
        </w:rPr>
        <w:t>ROI 3</w:t>
      </w:r>
      <w:r w:rsidRPr="00591954">
        <w:rPr>
          <w:szCs w:val="24"/>
          <w:lang w:val="en-GB"/>
        </w:rPr>
        <w:t xml:space="preserve">  superior to middle temporal gyrus (BA21/22); </w:t>
      </w:r>
      <w:r w:rsidRPr="00591954">
        <w:rPr>
          <w:b/>
          <w:szCs w:val="24"/>
          <w:lang w:val="en-GB"/>
        </w:rPr>
        <w:t xml:space="preserve">ROI 4 </w:t>
      </w:r>
      <w:r w:rsidRPr="00591954">
        <w:rPr>
          <w:szCs w:val="24"/>
          <w:lang w:val="en-GB"/>
        </w:rPr>
        <w:t xml:space="preserve">insula (BA13/14); </w:t>
      </w:r>
      <w:r w:rsidRPr="00591954">
        <w:rPr>
          <w:b/>
          <w:szCs w:val="24"/>
          <w:lang w:val="en-GB"/>
        </w:rPr>
        <w:t>ROI 5</w:t>
      </w:r>
      <w:r w:rsidRPr="00591954">
        <w:rPr>
          <w:szCs w:val="24"/>
          <w:lang w:val="en-GB"/>
        </w:rPr>
        <w:t xml:space="preserve"> anterior cingulate cortex (BA24); </w:t>
      </w:r>
      <w:r w:rsidRPr="00591954">
        <w:rPr>
          <w:b/>
          <w:szCs w:val="24"/>
          <w:lang w:val="en-GB"/>
        </w:rPr>
        <w:t>ROI 6</w:t>
      </w:r>
      <w:r w:rsidRPr="00591954">
        <w:rPr>
          <w:szCs w:val="24"/>
          <w:lang w:val="en-GB"/>
        </w:rPr>
        <w:t xml:space="preserve"> parietal cortex (BA</w:t>
      </w:r>
      <w:r w:rsidR="0034082B" w:rsidRPr="00591954">
        <w:rPr>
          <w:szCs w:val="24"/>
          <w:lang w:val="en-GB"/>
        </w:rPr>
        <w:t>5/7</w:t>
      </w:r>
      <w:r w:rsidRPr="00591954">
        <w:rPr>
          <w:szCs w:val="24"/>
          <w:lang w:val="en-GB"/>
        </w:rPr>
        <w:t xml:space="preserve">); </w:t>
      </w:r>
      <w:r w:rsidRPr="00591954">
        <w:rPr>
          <w:b/>
          <w:szCs w:val="24"/>
          <w:lang w:val="en-GB"/>
        </w:rPr>
        <w:t>ROI 7</w:t>
      </w:r>
      <w:r w:rsidRPr="00591954">
        <w:rPr>
          <w:szCs w:val="24"/>
          <w:lang w:val="en-GB"/>
        </w:rPr>
        <w:t xml:space="preserve"> occipital cortex (BA17); </w:t>
      </w:r>
      <w:r w:rsidRPr="00591954">
        <w:rPr>
          <w:b/>
          <w:szCs w:val="24"/>
          <w:lang w:val="en-GB"/>
        </w:rPr>
        <w:t>ROI 8</w:t>
      </w:r>
      <w:r w:rsidRPr="00591954">
        <w:rPr>
          <w:szCs w:val="24"/>
          <w:lang w:val="en-GB"/>
        </w:rPr>
        <w:t xml:space="preserve"> anterior frontal cortex F1/F2 (BA6/8); </w:t>
      </w:r>
      <w:r w:rsidRPr="00591954">
        <w:rPr>
          <w:b/>
          <w:szCs w:val="24"/>
          <w:lang w:val="en-GB"/>
        </w:rPr>
        <w:t>ROI 9</w:t>
      </w:r>
      <w:r w:rsidRPr="00591954">
        <w:rPr>
          <w:szCs w:val="24"/>
          <w:lang w:val="en-GB"/>
        </w:rPr>
        <w:t xml:space="preserve"> medial thalamus; </w:t>
      </w:r>
      <w:r w:rsidRPr="00591954">
        <w:rPr>
          <w:b/>
          <w:szCs w:val="24"/>
          <w:lang w:val="en-GB"/>
        </w:rPr>
        <w:t>ROI 10</w:t>
      </w:r>
      <w:r w:rsidRPr="00591954">
        <w:rPr>
          <w:szCs w:val="24"/>
          <w:lang w:val="en-GB"/>
        </w:rPr>
        <w:t xml:space="preserve"> lateral thalamus; </w:t>
      </w:r>
      <w:r w:rsidRPr="00591954">
        <w:rPr>
          <w:b/>
          <w:szCs w:val="24"/>
          <w:lang w:val="en-GB"/>
        </w:rPr>
        <w:t>ROI 11</w:t>
      </w:r>
      <w:r w:rsidRPr="00591954">
        <w:rPr>
          <w:szCs w:val="24"/>
          <w:lang w:val="en-GB"/>
        </w:rPr>
        <w:t xml:space="preserve"> medial pulvinar; </w:t>
      </w:r>
      <w:r w:rsidRPr="00591954">
        <w:rPr>
          <w:b/>
          <w:szCs w:val="24"/>
          <w:lang w:val="en-GB"/>
        </w:rPr>
        <w:t>ROI 12</w:t>
      </w:r>
      <w:r w:rsidRPr="00591954">
        <w:rPr>
          <w:szCs w:val="24"/>
          <w:lang w:val="en-GB"/>
        </w:rPr>
        <w:t xml:space="preserve"> lateral pulvinar; </w:t>
      </w:r>
      <w:r w:rsidRPr="00591954">
        <w:rPr>
          <w:b/>
          <w:szCs w:val="24"/>
          <w:lang w:val="en-GB"/>
        </w:rPr>
        <w:t>ROI 13</w:t>
      </w:r>
      <w:r w:rsidRPr="00591954">
        <w:rPr>
          <w:szCs w:val="24"/>
          <w:lang w:val="en-GB"/>
        </w:rPr>
        <w:t xml:space="preserve"> fronto-basal cortex (BA10/12); and </w:t>
      </w:r>
      <w:r w:rsidRPr="00591954">
        <w:rPr>
          <w:b/>
          <w:szCs w:val="24"/>
          <w:lang w:val="en-GB"/>
        </w:rPr>
        <w:t>ROI 14</w:t>
      </w:r>
      <w:r w:rsidRPr="00591954">
        <w:rPr>
          <w:szCs w:val="24"/>
          <w:lang w:val="en-GB"/>
        </w:rPr>
        <w:t xml:space="preserve"> middle/inferior temporal gyrus (BA20/21). Sections were cut at 5 micron thickness from each block, immunostained with microglial marker Iba1 (1:250; Wako, 4 hour incubation, with swine anti-rabbit secondary, Dako E0353) on the Ventana Discovery XT instrument, using the Ventana DAB Map detection Kit (760-124). For pre-treatment, Ventana CC1 (950-124), equivalent to EDTA buffer, was used for 40 minutes. Slides were haematoxylin counterstained.</w:t>
      </w:r>
    </w:p>
    <w:p w14:paraId="580E32D3" w14:textId="77777777" w:rsidR="00951646" w:rsidRPr="00591954" w:rsidRDefault="00951646" w:rsidP="00951646">
      <w:pPr>
        <w:pStyle w:val="Heading2"/>
        <w:spacing w:before="0" w:after="0"/>
        <w:rPr>
          <w:rFonts w:ascii="Times New Roman" w:hAnsi="Times New Roman"/>
          <w:b w:val="0"/>
          <w:sz w:val="24"/>
          <w:szCs w:val="24"/>
          <w:lang w:val="en-GB"/>
        </w:rPr>
      </w:pPr>
    </w:p>
    <w:p w14:paraId="33C0A604" w14:textId="77777777" w:rsidR="00951646" w:rsidRPr="00591954" w:rsidRDefault="00736591" w:rsidP="00951646">
      <w:pPr>
        <w:rPr>
          <w:szCs w:val="24"/>
          <w:lang w:val="en-GB" w:eastAsia="en-GB"/>
        </w:rPr>
      </w:pPr>
      <w:r w:rsidRPr="00591954">
        <w:rPr>
          <w:b/>
          <w:szCs w:val="24"/>
          <w:lang w:val="en-GB"/>
        </w:rPr>
        <w:t>ROI selection.</w:t>
      </w:r>
      <w:r w:rsidRPr="00591954">
        <w:rPr>
          <w:szCs w:val="24"/>
          <w:lang w:val="en-GB" w:eastAsia="en-GB"/>
        </w:rPr>
        <w:t xml:space="preserve"> </w:t>
      </w:r>
      <w:r w:rsidR="00951646" w:rsidRPr="00591954">
        <w:rPr>
          <w:szCs w:val="24"/>
          <w:lang w:val="en-GB" w:eastAsia="en-GB"/>
        </w:rPr>
        <w:t>Immunostained slides were scanned with a Leica SCN400F digital slide scanner (Leica Microsystems, Wetzlar, Germany) at 40X magnification and ROI selection was carried out with Definiens Tissue Studio (Definiens AG Munich, Germany). The ROI was drawn at the midpoint of the gyrus 2.5mm along the pial surface to a depth of 2mm including only grey matter (Fig. S</w:t>
      </w:r>
      <w:r w:rsidR="00A57A3E" w:rsidRPr="00591954">
        <w:rPr>
          <w:szCs w:val="24"/>
          <w:lang w:val="en-GB" w:eastAsia="en-GB"/>
        </w:rPr>
        <w:t>9</w:t>
      </w:r>
      <w:r w:rsidR="00951646" w:rsidRPr="00591954">
        <w:rPr>
          <w:szCs w:val="24"/>
          <w:lang w:val="en-GB" w:eastAsia="en-GB"/>
        </w:rPr>
        <w:t>). Equivalent area ROI were selected in lateral and medial thalamus and pulvinar. ROI selection was saved on each case.</w:t>
      </w:r>
    </w:p>
    <w:p w14:paraId="00ADA75F" w14:textId="77777777" w:rsidR="00951646" w:rsidRPr="00591954" w:rsidRDefault="00951646" w:rsidP="00951646">
      <w:pPr>
        <w:rPr>
          <w:szCs w:val="24"/>
          <w:lang w:val="en-GB" w:eastAsia="en-GB"/>
        </w:rPr>
      </w:pPr>
    </w:p>
    <w:p w14:paraId="20FA98AB" w14:textId="7E2EE1E3" w:rsidR="00951646" w:rsidRPr="00591954" w:rsidRDefault="00736591" w:rsidP="00951646">
      <w:pPr>
        <w:rPr>
          <w:szCs w:val="24"/>
          <w:lang w:val="en-GB" w:eastAsia="en-GB"/>
        </w:rPr>
      </w:pPr>
      <w:r w:rsidRPr="00591954">
        <w:rPr>
          <w:b/>
          <w:szCs w:val="24"/>
          <w:lang w:val="en-GB"/>
        </w:rPr>
        <w:t>Thresholding.</w:t>
      </w:r>
      <w:r w:rsidRPr="00591954">
        <w:rPr>
          <w:szCs w:val="24"/>
          <w:lang w:val="en-GB" w:eastAsia="en-GB"/>
        </w:rPr>
        <w:t xml:space="preserve"> </w:t>
      </w:r>
      <w:r w:rsidR="00951646" w:rsidRPr="00591954">
        <w:rPr>
          <w:szCs w:val="24"/>
          <w:lang w:val="en-GB" w:eastAsia="en-GB"/>
        </w:rPr>
        <w:t>Definiens software was trained to automatically detect immunostained</w:t>
      </w:r>
      <w:r w:rsidR="002D1D72" w:rsidRPr="00591954">
        <w:rPr>
          <w:szCs w:val="24"/>
          <w:lang w:val="en-GB" w:eastAsia="en-GB"/>
        </w:rPr>
        <w:t xml:space="preserve"> </w:t>
      </w:r>
      <w:r w:rsidR="00951646" w:rsidRPr="00591954">
        <w:rPr>
          <w:szCs w:val="24"/>
          <w:lang w:val="en-GB" w:eastAsia="en-GB"/>
        </w:rPr>
        <w:t>structures corresponding to (i) nuclei (haematoxylin, blue) or (ii) cell body and dendrites (Iba1, brown; Fig. S</w:t>
      </w:r>
      <w:r w:rsidR="00AE01A1" w:rsidRPr="00591954">
        <w:rPr>
          <w:szCs w:val="24"/>
          <w:lang w:val="en-GB" w:eastAsia="en-GB"/>
        </w:rPr>
        <w:t>10</w:t>
      </w:r>
      <w:r w:rsidR="00951646" w:rsidRPr="00591954">
        <w:rPr>
          <w:szCs w:val="24"/>
          <w:lang w:val="en-GB" w:eastAsia="en-GB"/>
        </w:rPr>
        <w:t xml:space="preserve">A). Prior to the final analysis, a set of image analysis algorithms (“solutions”) with specific parameters were tested and optimised on Definiens Tissue Studio in a pilot study. This fixed threshold was then applied to each ROI to identify the chromogen positive areas, which was then represented as a percentage of the total </w:t>
      </w:r>
      <w:r w:rsidR="00951646" w:rsidRPr="00591954">
        <w:rPr>
          <w:szCs w:val="24"/>
          <w:lang w:val="en-GB" w:eastAsia="en-GB"/>
        </w:rPr>
        <w:lastRenderedPageBreak/>
        <w:t>tissue/ROI area. DAB staining was detected and classified into high, medium and low as shown for Iba1 staining (Fig. S</w:t>
      </w:r>
      <w:r w:rsidR="00AE01A1" w:rsidRPr="00591954">
        <w:rPr>
          <w:szCs w:val="24"/>
          <w:lang w:val="en-GB" w:eastAsia="en-GB"/>
        </w:rPr>
        <w:t>10</w:t>
      </w:r>
      <w:r w:rsidR="00951646" w:rsidRPr="00591954">
        <w:rPr>
          <w:szCs w:val="24"/>
          <w:lang w:val="en-GB" w:eastAsia="en-GB"/>
        </w:rPr>
        <w:t xml:space="preserve">B). </w:t>
      </w:r>
      <w:r w:rsidR="0034082B" w:rsidRPr="00591954">
        <w:rPr>
          <w:szCs w:val="24"/>
          <w:lang w:val="en-GB" w:eastAsia="en-GB"/>
        </w:rPr>
        <w:t xml:space="preserve">High intensity </w:t>
      </w:r>
      <w:r w:rsidR="00951646" w:rsidRPr="00591954">
        <w:rPr>
          <w:szCs w:val="24"/>
          <w:lang w:val="en-GB" w:eastAsia="en-GB"/>
        </w:rPr>
        <w:t>labelling was considered representative of positive labelling and selected for analysis. Separate thresholds were set for haematoxylin staining, which allowed identification and exclusion of nuclei. Artefacts (</w:t>
      </w:r>
      <w:r w:rsidR="00252425" w:rsidRPr="00591954">
        <w:rPr>
          <w:szCs w:val="24"/>
          <w:lang w:val="en-GB" w:eastAsia="en-GB"/>
        </w:rPr>
        <w:t>e.g.,</w:t>
      </w:r>
      <w:r w:rsidR="00951646" w:rsidRPr="00591954">
        <w:rPr>
          <w:szCs w:val="24"/>
          <w:lang w:val="en-GB" w:eastAsia="en-GB"/>
        </w:rPr>
        <w:t xml:space="preserve"> breaks in the section) were excluded from the analysis. The total area of staining was then evaluated and expressed as a percentage of the whole region of interest stained for analysis. </w:t>
      </w:r>
    </w:p>
    <w:p w14:paraId="48BF9198" w14:textId="20F218E1" w:rsidR="00951646" w:rsidRPr="00591954" w:rsidRDefault="00951646" w:rsidP="00951646">
      <w:pPr>
        <w:rPr>
          <w:szCs w:val="24"/>
          <w:lang w:val="en-GB" w:eastAsia="de-DE"/>
        </w:rPr>
      </w:pPr>
    </w:p>
    <w:p w14:paraId="05929D10" w14:textId="77777777" w:rsidR="00BA0F99" w:rsidRPr="00591954" w:rsidRDefault="00BA0F99">
      <w:pPr>
        <w:rPr>
          <w:rFonts w:ascii="Times" w:eastAsia="Times" w:hAnsi="Times"/>
          <w:b/>
          <w:lang w:val="en-GB"/>
        </w:rPr>
      </w:pPr>
      <w:r w:rsidRPr="00591954">
        <w:rPr>
          <w:lang w:val="en-GB"/>
        </w:rPr>
        <w:br w:type="page"/>
      </w:r>
    </w:p>
    <w:p w14:paraId="05E05804" w14:textId="186569A5" w:rsidR="00BA0F99" w:rsidRPr="00591954" w:rsidRDefault="00BA0F99" w:rsidP="00BA0F99">
      <w:pPr>
        <w:pStyle w:val="Heading3"/>
        <w:rPr>
          <w:lang w:val="en-GB"/>
        </w:rPr>
      </w:pPr>
      <w:r w:rsidRPr="00591954">
        <w:rPr>
          <w:lang w:val="en-GB"/>
        </w:rPr>
        <w:lastRenderedPageBreak/>
        <w:t>Section D: Murine model of epilepsy</w:t>
      </w:r>
    </w:p>
    <w:p w14:paraId="2692483C" w14:textId="77777777" w:rsidR="00802112" w:rsidRPr="00591954" w:rsidRDefault="00802112" w:rsidP="00951646">
      <w:pPr>
        <w:rPr>
          <w:szCs w:val="24"/>
          <w:lang w:val="en-GB" w:eastAsia="de-DE"/>
        </w:rPr>
      </w:pPr>
    </w:p>
    <w:p w14:paraId="78413F68" w14:textId="77777777" w:rsidR="00951646" w:rsidRPr="00591954" w:rsidRDefault="00951646" w:rsidP="00B4110B">
      <w:pPr>
        <w:pStyle w:val="Heading2"/>
        <w:spacing w:before="0" w:after="0"/>
        <w:rPr>
          <w:rFonts w:ascii="Times New Roman" w:hAnsi="Times New Roman"/>
          <w:i w:val="0"/>
          <w:iCs w:val="0"/>
          <w:kern w:val="32"/>
          <w:sz w:val="26"/>
          <w:szCs w:val="26"/>
          <w:lang w:val="en-GB"/>
        </w:rPr>
      </w:pPr>
      <w:r w:rsidRPr="00591954">
        <w:rPr>
          <w:rFonts w:ascii="Times New Roman" w:hAnsi="Times New Roman"/>
          <w:i w:val="0"/>
          <w:iCs w:val="0"/>
          <w:kern w:val="32"/>
          <w:sz w:val="26"/>
          <w:szCs w:val="26"/>
          <w:lang w:val="en-GB"/>
        </w:rPr>
        <w:t>Microglial manipulation in an experimental murine model of epilepsy</w:t>
      </w:r>
    </w:p>
    <w:p w14:paraId="7A2A705D" w14:textId="2E56F296" w:rsidR="00951646" w:rsidRPr="00591954" w:rsidRDefault="00951646" w:rsidP="00B4110B">
      <w:pPr>
        <w:widowControl w:val="0"/>
        <w:autoSpaceDE w:val="0"/>
        <w:autoSpaceDN w:val="0"/>
        <w:adjustRightInd w:val="0"/>
        <w:rPr>
          <w:szCs w:val="24"/>
          <w:lang w:val="en-GB"/>
        </w:rPr>
      </w:pPr>
      <w:r w:rsidRPr="00591954">
        <w:rPr>
          <w:rFonts w:eastAsia="Cambria"/>
          <w:b/>
          <w:szCs w:val="24"/>
          <w:lang w:val="en-GB" w:eastAsia="de-DE"/>
        </w:rPr>
        <w:t>Animal model of epilepsy.</w:t>
      </w:r>
      <w:r w:rsidRPr="00591954">
        <w:rPr>
          <w:rFonts w:eastAsia="Cambria"/>
          <w:szCs w:val="24"/>
          <w:lang w:val="en-GB" w:eastAsia="de-DE"/>
        </w:rPr>
        <w:t xml:space="preserve"> We used a well-established murine model of epilepsy induced by convulsive status epilepticus (SE) provoked by intra-amygdalar injection of kainic acid in </w:t>
      </w:r>
      <w:r w:rsidRPr="00591954">
        <w:rPr>
          <w:szCs w:val="24"/>
          <w:lang w:val="en-GB"/>
        </w:rPr>
        <w:t xml:space="preserve">C57/BL6N adult male mice (30 g; Charles River, Italy) </w:t>
      </w:r>
      <w:r w:rsidRPr="00591954">
        <w:rPr>
          <w:szCs w:val="24"/>
          <w:lang w:val="en-GB"/>
        </w:rPr>
        <w:fldChar w:fldCharType="begin" w:fldLock="1"/>
      </w:r>
      <w:r w:rsidR="004F23C5" w:rsidRPr="00591954">
        <w:rPr>
          <w:szCs w:val="24"/>
          <w:lang w:val="en-GB"/>
        </w:rPr>
        <w:instrText>ADDIN CSL_CITATION {"citationItems":[{"id":"ITEM-1","itemData":{"DOI":"10.1038/nm.2834","ISBN":"3531402862","ISSN":"10788956","PMID":"22683779","abstract":"Temporal lobe epilepsy is a common, chronic neurological disorder characterized by recurrent spontaneous seizures. MicroRNAs (miRNAs) are small, noncoding RNAs that regulate post-transcriptional expression of protein-coding mRNAs, which may have key roles in the pathogenesis of neurological disorders. In experimental models of prolonged, injurious seizures (status epilepticus) and in human epilepsy, we found upregulation of miR-134, a brain-specific, activity-regulated miRNA that has been implicated in the control of dendritic spine morphology. Silencing of miR-134 expression in vivo using antagomirs reduced hippocampal CA3 pyramidal neuron dendrite spine density by 21% and rendered mice refractory to seizures and hippocampal injury caused by status epilepticus. Depletion of miR-134 after status epilepticus in mice reduced the later occurrence of spontaneous seizures by over 90% and mitigated the attendant pathological features of temporal lobe epilepsy. Thus, silencing miR-134 exerts prolonged seizure-suppressant and neuroprotective actions; determining whether these are anticonvulsant effects or are truly antiepileptogenic effects requires additional experimentation.","author":[{"dropping-particle":"","family":"Jimenez-Mateos","given":"Eva M.","non-dropping-particle":"","parse-names":false,"suffix":""},{"dropping-particle":"","family":"Engel","given":"Tobias","non-dropping-particle":"","parse-names":false,"suffix":""},{"dropping-particle":"","family":"Merino-Serrais","given":"Paula","non-dropping-particle":"","parse-names":false,"suffix":""},{"dropping-particle":"","family":"McKiernan","given":"Ross C.","non-dropping-particle":"","parse-names":false,"suffix":""},{"dropping-particle":"","family":"Tanaka","given":"Katsuhiro","non-dropping-particle":"","parse-names":false,"suffix":""},{"dropping-particle":"","family":"Mouri","given":"Genshin","non-dropping-particle":"","parse-names":false,"suffix":""},{"dropping-particle":"","family":"Sano","given":"Takanori","non-dropping-particle":"","parse-names":false,"suffix":""},{"dropping-particle":"","family":"O'Tuathaigh","given":"Colm","non-dropping-particle":"","parse-names":false,"suffix":""},{"dropping-particle":"","family":"Waddington","given":"John L.","non-dropping-particle":"","parse-names":false,"suffix":""},{"dropping-particle":"","family":"Prenter","given":"Suzanne","non-dropping-particle":"","parse-names":false,"suffix":""},{"dropping-particle":"","family":"Delanty","given":"Norman","non-dropping-particle":"","parse-names":false,"suffix":""},{"dropping-particle":"","family":"Farrell","given":"Michael A.","non-dropping-particle":"","parse-names":false,"suffix":""},{"dropping-particle":"","family":"O'Brien","given":"Donncha F.","non-dropping-particle":"","parse-names":false,"suffix":""},{"dropping-particle":"","family":"Conroy","given":"Ronán M.","non-dropping-particle":"","parse-names":false,"suffix":""},{"dropping-particle":"","family":"Stallings","given":"Raymond L.","non-dropping-particle":"","parse-names":false,"suffix":""},{"dropping-particle":"","family":"Defelipe","given":"Javier","non-dropping-particle":"","parse-names":false,"suffix":""},{"dropping-particle":"","family":"Henshall","given":"David C.","non-dropping-particle":"","parse-names":false,"suffix":""}],"container-title":"Nature Medicine","id":"ITEM-1","issue":"7","issued":{"date-parts":[["2012"]]},"page":"1087-94","title":"Silencing microRNA-134 produces neuroprotective and prolonged seizure-suppressive effects","type":"article-journal","volume":"18"},"uris":["http://www.mendeley.com/documents/?uuid=130ddd8a-2eea-445a-8156-689a2c960711"]},{"id":"ITEM-2","itemData":{"DOI":"10.1016/j.neuron.2015.09.032","ISBN":"1097-4199 (Electronic)\\r0896-6273 (Linking)","ISSN":"10974199","PMID":"26481038","abstract":"The BDNF receptor tyrosine kinase, TrkB, underlies nervous system function in both health and disease. Excessive activation of TrkB caused by status epilepticus promotes development of temporal lobe epilepsy (TLE), revealing TrkB as a therapeutic target for prevention of TLE. To circumvent undesirable consequences of global inhibition of TrkB signaling, we implemented a novel strategy aimed at selective inhibition of the TrkB-activated signaling pathway responsible for TLE. Our studies of a mouse model reveal that phospholipase Cγ1 (PLCγ1) is the dominant signaling effector by which excessive activation of TrkB promotes epilepsy. We designed a novel peptide (pY816) that uncouples TrkB from PLCγ1. Treatment with pY816 following status epilepticus inhibited TLE and prevented anxiety-like disorder yet preserved neuroprotective effects of endogenous TrkB signaling. We provide proof-of-concept evidence for a novel strategy targeting receptor tyrosine signaling and identify a therapeutic with promise for prevention of TLE caused by status epilepticus in humans.","author":[{"dropping-particle":"","family":"Gu","given":"Bin","non-dropping-particle":"","parse-names":false,"suffix":""},{"dropping-particle":"","family":"Huang","given":"Yang Zhong","non-dropping-particle":"","parse-names":false,"suffix":""},{"dropping-particle":"","family":"He","given":"Xiao Ping","non-dropping-particle":"","parse-names":false,"suffix":""},{"dropping-particle":"","family":"Joshi","given":"Rasesh B.","non-dropping-particle":"","parse-names":false,"suffix":""},{"dropping-particle":"","family":"Jang","given":"Wonjo","non-dropping-particle":"","parse-names":false,"suffix":""},{"dropping-particle":"","family":"McNamara","given":"James O.","non-dropping-particle":"","parse-names":false,"suffix":""}],"container-title":"Neuron","id":"ITEM-2","issue":"3","issued":{"date-parts":[["2015"]]},"page":"484-91","title":"A Peptide Uncoupling BDNF Receptor TrkB from Phospholipase Cγ1 Prevents Epilepsy Induced by Status Epilepticus","type":"article-journal","volume":"88"},"uris":["http://www.mendeley.com/documents/?uuid=49238249-34f5-43cc-8eb9-f8849840358b"]},{"id":"ITEM-3","itemData":{"DOI":"10.1016/j.nbd.2016.12.007","ISSN":"1095-953X","PMID":"27939857","abstract":"We recently discovered that forebrain activation of the IL-1 receptor/Toll-like receptor (IL-1R1/TLR4) innate immunity signal plays a pivotal role in neuronal hyperexcitability underlying seizures in rodents. Since this pathway is activated in neurons and glia in human epileptogenic foci, it represents a potential target for developing drugs interfering with the mechanisms of epileptogenesis that lead to spontaneous seizures. The lack of such drugs represents a major unmet clinical need. We tested therefore novel therapies inhibiting the IL-1R1/TLR4 signaling in an established murine model of acquired epilepsy. We used an epigenetic approach by injecting a synthetic mimic of micro(mi)RNA-146a that impairs IL1R1/TLR4 signal transduction, or we blocked receptor activation with antiinflammatory drugs. Both interventions when transiently applied to mice after epilepsy onset, prevented disease progression and dramatically reduced chronic seizure recurrence, while the anticonvulsant drug carbamazepine was ineffective. We conclude that IL-1R1/TLR4 is a novel potential therapeutic target for attaining disease-modifications in patients with diagnosed epilepsy.","author":[{"dropping-particle":"","family":"Iori","given":"Valentina","non-dropping-particle":"","parse-names":false,"suffix":""},{"dropping-particle":"","family":"Iyer","given":"Anand M.","non-dropping-particle":"","parse-names":false,"suffix":""},{"dropping-particle":"","family":"Ravizza","given":"Teresa","non-dropping-particle":"","parse-names":false,"suffix":""},{"dropping-particle":"","family":"Beltrame","given":"Luca","non-dropping-particle":"","parse-names":false,"suffix":""},{"dropping-particle":"","family":"Paracchini","given":"Lara","non-dropping-particle":"","parse-names":false,"suffix":""},{"dropping-particle":"","family":"Marchini","given":"Sergio","non-dropping-particle":"","parse-names":false,"suffix":""},{"dropping-particle":"","family":"Cerovic","given":"Milica","non-dropping-particle":"","parse-names":false,"suffix":""},{"dropping-particle":"","family":"Hill","given":"Cameron","non-dropping-particle":"","parse-names":false,"suffix":""},{"dropping-particle":"","family":"Ferrari","given":"Mariella","non-dropping-particle":"","parse-names":false,"suffix":""},{"dropping-particle":"","family":"Zucchetti","given":"Massimo","non-dropping-particle":"","parse-names":false,"suffix":""},{"dropping-particle":"","family":"Molteni","given":"Monica","non-dropping-particle":"","parse-names":false,"suffix":""},{"dropping-particle":"","family":"Rossetti","given":"Carlo","non-dropping-particle":"","parse-names":false,"suffix":""},{"dropping-particle":"","family":"Brambilla","given":"Riccardo","non-dropping-particle":"","parse-names":false,"suffix":""},{"dropping-particle":"","family":"Steve White","given":"H.","non-dropping-particle":"","parse-names":false,"suffix":""},{"dropping-particle":"","family":"D'Incalci","given":"Maurizio","non-dropping-particle":"","parse-names":false,"suffix":""},{"dropping-particle":"","family":"Aronica","given":"Eleonora","non-dropping-particle":"","parse-names":false,"suffix":""},{"dropping-particle":"","family":"Vezzani","given":"Annamaria","non-dropping-particle":"","parse-names":false,"suffix":""}],"container-title":"Neurobiology of Disease","id":"ITEM-3","issued":{"date-parts":[["2017","3"]]},"language":"eng","page":"12-23","title":"Blockade of the IL-1R1/TLR4 pathway mediates disease-modification therapeutic effects in a model of acquired epilepsy","type":"article-journal","volume":"99"},"uris":["http://www.mendeley.com/documents/?uuid=792ed98d-a7bf-432c-a076-9b08b99fc9cb"]},{"id":"ITEM-4","itemData":{"author":[{"dropping-particle":"","family":"Frigerio","given":"Federica","non-dropping-particle":"","parse-names":false,"suffix":""},{"dropping-particle":"","family":"Pasqualini","given":"Giulia","non-dropping-particle":"","parse-names":false,"suffix":""},{"dropping-particle":"","family":"Craparotta","given":"Ilaria","non-dropping-particle":"","parse-names":false,"suffix":""},{"dropping-particle":"","family":"Marchini","given":"Sergio","non-dropping-particle":"","parse-names":false,"suffix":""},{"dropping-particle":"","family":"Vliet","given":"Erwin A.","non-dropping-particle":"van","parse-names":false,"suffix":""},{"dropping-particle":"","family":"Foerch","given":"Patrick","non-dropping-particle":"","parse-names":false,"suffix":""},{"dropping-particle":"","family":"Vandenplas","given":"Catherine","non-dropping-particle":"","parse-names":false,"suffix":""},{"dropping-particle":"","family":"Leclercq","given":"Karin","non-dropping-particle":"","parse-names":false,"suffix":""},{"dropping-particle":"","family":"Aronica","given":"Eleonora","non-dropping-particle":"","parse-names":false,"suffix":""},{"dropping-particle":"","family":"Porcu","given":"Luca","non-dropping-particle":"","parse-names":false,"suffix":""},{"dropping-particle":"","family":"Pistorius","given":"Kim","non-dropping-particle":"","parse-names":false,"suffix":""},{"dropping-particle":"","family":"Colas","given":"Romain A.","non-dropping-particle":"","parse-names":false,"suffix":""},{"dropping-particle":"V.","family":"Hansen","given":"Trond","non-dropping-particle":"","parse-names":false,"suffix":""},{"dropping-particle":"","family":"Perretti","given":"Mauro","non-dropping-particle":"","parse-names":false,"suffix":""},{"dropping-particle":"","family":"Kaminski","given":"Rafal M.","non-dropping-particle":"","parse-names":false,"suffix":""},{"dropping-particle":"","family":"Dalli","given":"Jesmond","non-dropping-particle":"","parse-names":false,"suffix":""},{"dropping-particle":"","family":"Vezzani","given":"Annamaria","non-dropping-particle":"","parse-names":false,"suffix":""}],"container-title":"Brain : a journal of neurology","id":"ITEM-4","issue":"11","issued":{"date-parts":[["2018"]]},"page":"3130-3143","title":"n-3 docosapentaenoic acid-derived protectin D1 promotes resolution of neuroinflammation and arrests epileptogenesis","type":"article-journal","volume":"141"},"uris":["http://www.mendeley.com/documents/?uuid=1f0bc5fb-439f-4af6-adc0-1acbdc1beddb"]}],"mendeley":{"formattedCitation":"[47–50]","manualFormatting":"(Frigerio et al.,2018; Jimenez-Mateos et al., 2012; Gu et al., 2015; Iori et al., 2017)","plainTextFormattedCitation":"[47–50]","previouslyFormattedCitation":"(47–50)"},"properties":{"noteIndex":0},"schema":"https://github.com/citation-style-language/schema/raw/master/csl-citation.json"}</w:instrText>
      </w:r>
      <w:r w:rsidRPr="00591954">
        <w:rPr>
          <w:szCs w:val="24"/>
          <w:lang w:val="en-GB"/>
        </w:rPr>
        <w:fldChar w:fldCharType="separate"/>
      </w:r>
      <w:r w:rsidR="0022319E" w:rsidRPr="00591954">
        <w:rPr>
          <w:noProof/>
          <w:szCs w:val="24"/>
          <w:lang w:val="en-GB"/>
        </w:rPr>
        <w:t xml:space="preserve">(Frigerio </w:t>
      </w:r>
      <w:r w:rsidR="0022319E" w:rsidRPr="00591954">
        <w:rPr>
          <w:i/>
          <w:noProof/>
          <w:szCs w:val="24"/>
          <w:lang w:val="en-GB"/>
        </w:rPr>
        <w:t>et al.</w:t>
      </w:r>
      <w:r w:rsidR="0022319E" w:rsidRPr="00591954">
        <w:rPr>
          <w:noProof/>
          <w:szCs w:val="24"/>
          <w:lang w:val="en-GB"/>
        </w:rPr>
        <w:t>,</w:t>
      </w:r>
      <w:r w:rsidR="00C35632" w:rsidRPr="00591954">
        <w:rPr>
          <w:noProof/>
          <w:szCs w:val="24"/>
          <w:lang w:val="en-GB"/>
        </w:rPr>
        <w:t>2018</w:t>
      </w:r>
      <w:r w:rsidR="0022319E" w:rsidRPr="00591954">
        <w:rPr>
          <w:noProof/>
          <w:szCs w:val="24"/>
          <w:lang w:val="en-GB"/>
        </w:rPr>
        <w:t xml:space="preserve">; Jimenez-Mateos </w:t>
      </w:r>
      <w:r w:rsidR="0022319E" w:rsidRPr="00591954">
        <w:rPr>
          <w:i/>
          <w:noProof/>
          <w:szCs w:val="24"/>
          <w:lang w:val="en-GB"/>
        </w:rPr>
        <w:t>et al.</w:t>
      </w:r>
      <w:r w:rsidR="0022319E" w:rsidRPr="00591954">
        <w:rPr>
          <w:noProof/>
          <w:szCs w:val="24"/>
          <w:lang w:val="en-GB"/>
        </w:rPr>
        <w:t xml:space="preserve">, 2012; Gu </w:t>
      </w:r>
      <w:r w:rsidR="0022319E" w:rsidRPr="00591954">
        <w:rPr>
          <w:i/>
          <w:noProof/>
          <w:szCs w:val="24"/>
          <w:lang w:val="en-GB"/>
        </w:rPr>
        <w:t>et al.</w:t>
      </w:r>
      <w:r w:rsidR="0022319E" w:rsidRPr="00591954">
        <w:rPr>
          <w:noProof/>
          <w:szCs w:val="24"/>
          <w:lang w:val="en-GB"/>
        </w:rPr>
        <w:t xml:space="preserve">, 2015; Iori </w:t>
      </w:r>
      <w:r w:rsidR="0022319E" w:rsidRPr="00591954">
        <w:rPr>
          <w:i/>
          <w:noProof/>
          <w:szCs w:val="24"/>
          <w:lang w:val="en-GB"/>
        </w:rPr>
        <w:t>et al.</w:t>
      </w:r>
      <w:r w:rsidR="0022319E" w:rsidRPr="00591954">
        <w:rPr>
          <w:noProof/>
          <w:szCs w:val="24"/>
          <w:lang w:val="en-GB"/>
        </w:rPr>
        <w:t>, 2017)</w:t>
      </w:r>
      <w:r w:rsidRPr="00591954">
        <w:rPr>
          <w:szCs w:val="24"/>
          <w:lang w:val="en-GB"/>
        </w:rPr>
        <w:fldChar w:fldCharType="end"/>
      </w:r>
      <w:r w:rsidRPr="00591954">
        <w:rPr>
          <w:szCs w:val="24"/>
          <w:lang w:val="en-GB"/>
        </w:rPr>
        <w:t xml:space="preserve"> </w:t>
      </w:r>
      <w:r w:rsidRPr="00591954">
        <w:rPr>
          <w:rFonts w:eastAsia="Cambria"/>
          <w:szCs w:val="24"/>
          <w:lang w:val="en-GB"/>
        </w:rPr>
        <w:t xml:space="preserve">to explore the importance of microglia in brain structural changes and </w:t>
      </w:r>
      <w:r w:rsidR="0014119D" w:rsidRPr="00591954">
        <w:rPr>
          <w:rFonts w:eastAsia="Cambria"/>
          <w:szCs w:val="24"/>
          <w:lang w:val="en-GB"/>
        </w:rPr>
        <w:t xml:space="preserve">pathologic outcomes </w:t>
      </w:r>
      <w:r w:rsidRPr="00591954">
        <w:rPr>
          <w:rFonts w:eastAsia="Cambria"/>
          <w:szCs w:val="24"/>
          <w:lang w:val="en-GB"/>
        </w:rPr>
        <w:t>developing in mice</w:t>
      </w:r>
      <w:r w:rsidR="00D13752" w:rsidRPr="00591954">
        <w:rPr>
          <w:rFonts w:eastAsia="Cambria"/>
          <w:szCs w:val="24"/>
          <w:lang w:val="en-GB"/>
        </w:rPr>
        <w:t xml:space="preserve"> exposed to SE-induced epileptogenesis</w:t>
      </w:r>
      <w:r w:rsidRPr="00591954">
        <w:rPr>
          <w:szCs w:val="24"/>
          <w:lang w:val="en-GB"/>
        </w:rPr>
        <w:t xml:space="preserve">. </w:t>
      </w:r>
    </w:p>
    <w:p w14:paraId="49259C17" w14:textId="77777777" w:rsidR="00951646" w:rsidRPr="00591954" w:rsidRDefault="00951646" w:rsidP="00B4110B">
      <w:pPr>
        <w:pBdr>
          <w:top w:val="nil"/>
          <w:left w:val="nil"/>
          <w:bottom w:val="nil"/>
          <w:right w:val="nil"/>
          <w:between w:val="nil"/>
        </w:pBdr>
        <w:rPr>
          <w:szCs w:val="24"/>
          <w:lang w:val="en-GB"/>
        </w:rPr>
      </w:pPr>
      <w:r w:rsidRPr="00591954">
        <w:rPr>
          <w:szCs w:val="24"/>
          <w:lang w:val="en-GB"/>
        </w:rPr>
        <w:t xml:space="preserve">In accordance with the ARRIVE guidelines, procedures involving animals and their care were conducted in conformity with the institutional guidelines that are in compliance with national (D.L. n.26, G.U. March 4, 2014) and international guidelines and laws (EEC Council Directive 86/609, OJ L 358, 1, December 12, 1987, Guide for the Care and Use of Laboratory Animals, U.S. National Research Council, 1996), and were reviewed and approved by the intramural ethical committee. </w:t>
      </w:r>
    </w:p>
    <w:p w14:paraId="42E20562" w14:textId="2C8488E2" w:rsidR="00951646" w:rsidRPr="00591954" w:rsidRDefault="00951646" w:rsidP="00B4110B">
      <w:pPr>
        <w:pBdr>
          <w:top w:val="nil"/>
          <w:left w:val="nil"/>
          <w:bottom w:val="nil"/>
          <w:right w:val="nil"/>
          <w:between w:val="nil"/>
        </w:pBdr>
        <w:rPr>
          <w:szCs w:val="24"/>
          <w:lang w:val="en-GB"/>
        </w:rPr>
      </w:pPr>
      <w:r w:rsidRPr="00591954">
        <w:rPr>
          <w:szCs w:val="24"/>
          <w:lang w:val="en-GB"/>
        </w:rPr>
        <w:t xml:space="preserve">Animals were housed at constant temperature (23±1°C) and relative humidity (60±5%) with a fixed 12 hour light-dark cycle and free access to food and water. Mice were housed four/cage until surgery, then they were kept one per cage in an enriched environment with nesting materials </w:t>
      </w:r>
      <w:r w:rsidRPr="00591954">
        <w:rPr>
          <w:szCs w:val="24"/>
          <w:lang w:val="en-GB"/>
        </w:rPr>
        <w:fldChar w:fldCharType="begin" w:fldLock="1"/>
      </w:r>
      <w:r w:rsidR="004F23C5" w:rsidRPr="00591954">
        <w:rPr>
          <w:szCs w:val="24"/>
          <w:lang w:val="en-GB"/>
        </w:rPr>
        <w:instrText>ADDIN CSL_CITATION {"citationID":"12qe5q3h1","citationItems":[{"id":"ITEM-1","itemData":{"ISSN":"1084-2020","PMID":"15775024","abstract":"Modernization of housing and husbandry techniques for rodents has minimized confounding variables. The result has been vastly improved health maintenance and reproducibility of research findings, advances that have decreased the numbers of animals needed to attain statistically significant results. Even though not all aspects of rodent manipulation have been strictly defined, as housing and handling procedures have become increasingly standardized, many animal care personnel have recognized the lack of complexity of the rodents' environment. Concern for this aspect of animal well-being has led many research facilities to provide \"environmental enrichment\" for rodents. Additionally, regulatory agencies in the United States and Europe have also been increasingly concerned about this issue relative to laboratory animal husbandry. However, little is known about the influence such husbandry modifications may have on biological parameters. In this article, laws and guidelines relating to rodent enrichment are reviewed, the natural behaviors of select rodent species are discussed, and an overview of widely used types of enrichment in laboratory rodent management is provided. The literature evaluating effects of rodent enrichment is reviewed both in terms of neurological development and as an experimental variable, and results of a study evaluating the effect of enrichment on immune and physiological parameters are reported. Survey data on current enrichment practices in a large multi-institutional organization are presented, and practical aspects requiring consideration when devising a rodent enrichment program are discussed.","author":[{"dropping-particle":"","family":"Hutchinson","given":"Eric","non-dropping-particle":"","parse-names":false,"suffix":""},{"dropping-particle":"","family":"Avery","given":"Anne","non-dropping-particle":"","parse-names":false,"suffix":""},{"dropping-particle":"","family":"Vandewoude","given":"Sue","non-dropping-particle":"","parse-names":false,"suffix":""}],"container-title":"ILAR journal","id":"ITEM-1","issue":"2","issued":{"date-parts":[["2005"]]},"language":"eng","page":"148-161","title":"Environmental enrichment for laboratory rodents","type":"article-journal","volume":"46"},"uri":["http://zotero.org/groups/1006189/items/MJI74KW3"],"uris":["http://zotero.org/groups/1006189/items/MJI74KW3","http://www.mendeley.com/documents/?uuid=77ae16ce-0897-476d-94fd-2cb701167c80"]}],"mendeley":{"formattedCitation":"[51]","plainTextFormattedCitation":"[51]","previouslyFormattedCitation":"(51)"},"properties":{"formattedCitation":"{\\rtf (Hutchinson {\\i{}et al.}, 2005)}","noteIndex":0,"plainCitation":"(Hutchinson et al., 2005)"},"schema":"https://github.com/citation-style-language/schema/raw/master/csl-citation.json"}</w:instrText>
      </w:r>
      <w:r w:rsidRPr="00591954">
        <w:rPr>
          <w:szCs w:val="24"/>
          <w:lang w:val="en-GB"/>
        </w:rPr>
        <w:fldChar w:fldCharType="separate"/>
      </w:r>
      <w:r w:rsidR="004F23C5" w:rsidRPr="00591954">
        <w:rPr>
          <w:noProof/>
          <w:szCs w:val="24"/>
          <w:lang w:val="en-GB"/>
        </w:rPr>
        <w:t>[51]</w:t>
      </w:r>
      <w:r w:rsidRPr="00591954">
        <w:rPr>
          <w:szCs w:val="24"/>
          <w:lang w:val="en-GB"/>
        </w:rPr>
        <w:fldChar w:fldCharType="end"/>
      </w:r>
      <w:r w:rsidRPr="00591954">
        <w:rPr>
          <w:szCs w:val="24"/>
          <w:lang w:val="en-GB"/>
        </w:rPr>
        <w:t xml:space="preserve">. </w:t>
      </w:r>
      <w:r w:rsidRPr="00591954">
        <w:rPr>
          <w:rFonts w:eastAsia="Cambria"/>
          <w:szCs w:val="24"/>
          <w:lang w:val="en-GB" w:eastAsia="de-DE"/>
        </w:rPr>
        <w:t xml:space="preserve">Briefly, </w:t>
      </w:r>
      <w:r w:rsidRPr="00591954">
        <w:rPr>
          <w:szCs w:val="24"/>
          <w:lang w:val="en-GB"/>
        </w:rPr>
        <w:t xml:space="preserve">mice were implanted under 1.5% isoflurane anaesthesia with a 23-gauge cannula unilaterally positioned on top of the </w:t>
      </w:r>
      <w:r w:rsidRPr="00591954">
        <w:rPr>
          <w:i/>
          <w:szCs w:val="24"/>
          <w:lang w:val="en-GB"/>
        </w:rPr>
        <w:t>dura mater</w:t>
      </w:r>
      <w:r w:rsidRPr="00591954">
        <w:rPr>
          <w:szCs w:val="24"/>
          <w:lang w:val="en-GB"/>
        </w:rPr>
        <w:t xml:space="preserve"> for the intra-amygdala injection of kainic acid (</w:t>
      </w:r>
      <w:r w:rsidRPr="00591954">
        <w:rPr>
          <w:i/>
          <w:szCs w:val="24"/>
          <w:lang w:val="en-GB"/>
        </w:rPr>
        <w:t>from bregma</w:t>
      </w:r>
      <w:r w:rsidRPr="00591954">
        <w:rPr>
          <w:szCs w:val="24"/>
          <w:lang w:val="en-GB"/>
        </w:rPr>
        <w:t xml:space="preserve">, mm: nose bar 0; AP -1.0, L -2.8) </w:t>
      </w:r>
      <w:r w:rsidRPr="00591954">
        <w:rPr>
          <w:szCs w:val="24"/>
          <w:lang w:val="en-GB"/>
        </w:rPr>
        <w:fldChar w:fldCharType="begin" w:fldLock="1"/>
      </w:r>
      <w:r w:rsidR="004F23C5" w:rsidRPr="00591954">
        <w:rPr>
          <w:szCs w:val="24"/>
          <w:lang w:val="en-GB"/>
        </w:rPr>
        <w:instrText>ADDIN CSL_CITATION {"citationItems":[{"id":"ITEM-1","itemData":{"DOI":"10.1016/j.nbd.2016.12.007","ISSN":"1095-953X","PMID":"27939857","abstract":"We recently discovered that forebrain activation of the IL-1 receptor/Toll-like receptor (IL-1R1/TLR4) innate immunity signal plays a pivotal role in neuronal hyperexcitability underlying seizures in rodents. Since this pathway is activated in neurons and glia in human epileptogenic foci, it represents a potential target for developing drugs interfering with the mechanisms of epileptogenesis that lead to spontaneous seizures. The lack of such drugs represents a major unmet clinical need. We tested therefore novel therapies inhibiting the IL-1R1/TLR4 signaling in an established murine model of acquired epilepsy. We used an epigenetic approach by injecting a synthetic mimic of micro(mi)RNA-146a that impairs IL1R1/TLR4 signal transduction, or we blocked receptor activation with antiinflammatory drugs. Both interventions when transiently applied to mice after epilepsy onset, prevented disease progression and dramatically reduced chronic seizure recurrence, while the anticonvulsant drug carbamazepine was ineffective. We conclude that IL-1R1/TLR4 is a novel potential therapeutic target for attaining disease-modifications in patients with diagnosed epilepsy.","author":[{"dropping-particle":"","family":"Iori","given":"Valentina","non-dropping-particle":"","parse-names":false,"suffix":""},{"dropping-particle":"","family":"Iyer","given":"Anand M.","non-dropping-particle":"","parse-names":false,"suffix":""},{"dropping-particle":"","family":"Ravizza","given":"Teresa","non-dropping-particle":"","parse-names":false,"suffix":""},{"dropping-particle":"","family":"Beltrame","given":"Luca","non-dropping-particle":"","parse-names":false,"suffix":""},{"dropping-particle":"","family":"Paracchini","given":"Lara","non-dropping-particle":"","parse-names":false,"suffix":""},{"dropping-particle":"","family":"Marchini","given":"Sergio","non-dropping-particle":"","parse-names":false,"suffix":""},{"dropping-particle":"","family":"Cerovic","given":"Milica","non-dropping-particle":"","parse-names":false,"suffix":""},{"dropping-particle":"","family":"Hill","given":"Cameron","non-dropping-particle":"","parse-names":false,"suffix":""},{"dropping-particle":"","family":"Ferrari","given":"Mariella","non-dropping-particle":"","parse-names":false,"suffix":""},{"dropping-particle":"","family":"Zucchetti","given":"Massimo","non-dropping-particle":"","parse-names":false,"suffix":""},{"dropping-particle":"","family":"Molteni","given":"Monica","non-dropping-particle":"","parse-names":false,"suffix":""},{"dropping-particle":"","family":"Rossetti","given":"Carlo","non-dropping-particle":"","parse-names":false,"suffix":""},{"dropping-particle":"","family":"Brambilla","given":"Riccardo","non-dropping-particle":"","parse-names":false,"suffix":""},{"dropping-particle":"","family":"Steve White","given":"H.","non-dropping-particle":"","parse-names":false,"suffix":""},{"dropping-particle":"","family":"D'Incalci","given":"Maurizio","non-dropping-particle":"","parse-names":false,"suffix":""},{"dropping-particle":"","family":"Aronica","given":"Eleonora","non-dropping-particle":"","parse-names":false,"suffix":""},{"dropping-particle":"","family":"Vezzani","given":"Annamaria","non-dropping-particle":"","parse-names":false,"suffix":""}],"container-title":"Neurobiology of Disease","id":"ITEM-1","issued":{"date-parts":[["2017","3"]]},"language":"eng","page":"12-23","title":"Blockade of the IL-1R1/TLR4 pathway mediates disease-modification therapeutic effects in a model of acquired epilepsy","type":"article-journal","volume":"99"},"uris":["http://www.mendeley.com/documents/?uuid=792ed98d-a7bf-432c-a076-9b08b99fc9cb"]},{"id":"ITEM-2","itemData":{"author":[{"dropping-particle":"","family":"Frigerio","given":"Federica","non-dropping-particle":"","parse-names":false,"suffix":""},{"dropping-particle":"","family":"Pasqualini","given":"Giulia","non-dropping-particle":"","parse-names":false,"suffix":""},{"dropping-particle":"","family":"Craparotta","given":"Ilaria","non-dropping-particle":"","parse-names":false,"suffix":""},{"dropping-particle":"","family":"Marchini","given":"Sergio","non-dropping-particle":"","parse-names":false,"suffix":""},{"dropping-particle":"","family":"Vliet","given":"Erwin A.","non-dropping-particle":"van","parse-names":false,"suffix":""},{"dropping-particle":"","family":"Foerch","given":"Patrick","non-dropping-particle":"","parse-names":false,"suffix":""},{"dropping-particle":"","family":"Vandenplas","given":"Catherine","non-dropping-particle":"","parse-names":false,"suffix":""},{"dropping-particle":"","family":"Leclercq","given":"Karin","non-dropping-particle":"","parse-names":false,"suffix":""},{"dropping-particle":"","family":"Aronica","given":"Eleonora","non-dropping-particle":"","parse-names":false,"suffix":""},{"dropping-particle":"","family":"Porcu","given":"Luca","non-dropping-particle":"","parse-names":false,"suffix":""},{"dropping-particle":"","family":"Pistorius","given":"Kim","non-dropping-particle":"","parse-names":false,"suffix":""},{"dropping-particle":"","family":"Colas","given":"Romain A.","non-dropping-particle":"","parse-names":false,"suffix":""},{"dropping-particle":"V.","family":"Hansen","given":"Trond","non-dropping-particle":"","parse-names":false,"suffix":""},{"dropping-particle":"","family":"Perretti","given":"Mauro","non-dropping-particle":"","parse-names":false,"suffix":""},{"dropping-particle":"","family":"Kaminski","given":"Rafal M.","non-dropping-particle":"","parse-names":false,"suffix":""},{"dropping-particle":"","family":"Dalli","given":"Jesmond","non-dropping-particle":"","parse-names":false,"suffix":""},{"dropping-particle":"","family":"Vezzani","given":"Annamaria","non-dropping-particle":"","parse-names":false,"suffix":""}],"container-title":"Brain : a journal of neurology","id":"ITEM-2","issue":"11","issued":{"date-parts":[["2018"]]},"page":"3130-3143","title":"n-3 docosapentaenoic acid-derived protectin D1 promotes resolution of neuroinflammation and arrests epileptogenesis","type":"article-journal","volume":"141"},"uris":["http://www.mendeley.com/documents/?uuid=1f0bc5fb-439f-4af6-adc0-1acbdc1beddb"]}],"mendeley":{"formattedCitation":"[49,50]","manualFormatting":"(Frigerio et al., 2018.; Iori et al., 2017)","plainTextFormattedCitation":"[49,50]","previouslyFormattedCitation":"(49,50)"},"properties":{"noteIndex":0},"schema":"https://github.com/citation-style-language/schema/raw/master/csl-citation.json"}</w:instrText>
      </w:r>
      <w:r w:rsidRPr="00591954">
        <w:rPr>
          <w:szCs w:val="24"/>
          <w:lang w:val="en-GB"/>
        </w:rPr>
        <w:fldChar w:fldCharType="separate"/>
      </w:r>
      <w:r w:rsidR="0022319E" w:rsidRPr="00591954">
        <w:rPr>
          <w:noProof/>
          <w:szCs w:val="24"/>
          <w:lang w:val="en-GB"/>
        </w:rPr>
        <w:t xml:space="preserve">(Frigerio </w:t>
      </w:r>
      <w:r w:rsidR="0022319E" w:rsidRPr="00591954">
        <w:rPr>
          <w:i/>
          <w:noProof/>
          <w:szCs w:val="24"/>
          <w:lang w:val="en-GB"/>
        </w:rPr>
        <w:t>et al.</w:t>
      </w:r>
      <w:r w:rsidR="0022319E" w:rsidRPr="00591954">
        <w:rPr>
          <w:noProof/>
          <w:szCs w:val="24"/>
          <w:lang w:val="en-GB"/>
        </w:rPr>
        <w:t xml:space="preserve">, </w:t>
      </w:r>
      <w:r w:rsidR="005D1F86" w:rsidRPr="00591954">
        <w:rPr>
          <w:noProof/>
          <w:szCs w:val="24"/>
          <w:lang w:val="en-GB"/>
        </w:rPr>
        <w:t>2018</w:t>
      </w:r>
      <w:r w:rsidR="0022319E" w:rsidRPr="00591954">
        <w:rPr>
          <w:noProof/>
          <w:szCs w:val="24"/>
          <w:lang w:val="en-GB"/>
        </w:rPr>
        <w:t xml:space="preserve">.; Iori </w:t>
      </w:r>
      <w:r w:rsidR="0022319E" w:rsidRPr="00591954">
        <w:rPr>
          <w:i/>
          <w:noProof/>
          <w:szCs w:val="24"/>
          <w:lang w:val="en-GB"/>
        </w:rPr>
        <w:t>et al.</w:t>
      </w:r>
      <w:r w:rsidR="0022319E" w:rsidRPr="00591954">
        <w:rPr>
          <w:noProof/>
          <w:szCs w:val="24"/>
          <w:lang w:val="en-GB"/>
        </w:rPr>
        <w:t>, 2017)</w:t>
      </w:r>
      <w:r w:rsidRPr="00591954">
        <w:rPr>
          <w:szCs w:val="24"/>
          <w:lang w:val="en-GB"/>
        </w:rPr>
        <w:fldChar w:fldCharType="end"/>
      </w:r>
      <w:r w:rsidRPr="00591954">
        <w:rPr>
          <w:szCs w:val="24"/>
          <w:lang w:val="en-GB"/>
        </w:rPr>
        <w:t xml:space="preserve">. A bipolar Teﬂon-insulated stainless-steel depth electrode (60 µm O.D.) was implanted in the dorsal hippocampus </w:t>
      </w:r>
      <w:r w:rsidR="00C74B51" w:rsidRPr="00591954">
        <w:rPr>
          <w:szCs w:val="24"/>
          <w:lang w:val="en-GB"/>
        </w:rPr>
        <w:t xml:space="preserve">contralateral </w:t>
      </w:r>
      <w:r w:rsidRPr="00591954">
        <w:rPr>
          <w:szCs w:val="24"/>
          <w:lang w:val="en-GB"/>
        </w:rPr>
        <w:t>to the injected amygdala (</w:t>
      </w:r>
      <w:r w:rsidRPr="00591954">
        <w:rPr>
          <w:i/>
          <w:szCs w:val="24"/>
          <w:lang w:val="en-GB"/>
        </w:rPr>
        <w:t>from bregma</w:t>
      </w:r>
      <w:r w:rsidRPr="00591954">
        <w:rPr>
          <w:szCs w:val="24"/>
          <w:lang w:val="en-GB"/>
        </w:rPr>
        <w:t xml:space="preserve">, mm: nose bar 0; AP –1.8; L -1.5; -2.0 below </w:t>
      </w:r>
      <w:r w:rsidRPr="00591954">
        <w:rPr>
          <w:i/>
          <w:szCs w:val="24"/>
          <w:lang w:val="en-GB"/>
        </w:rPr>
        <w:t>dura mater</w:t>
      </w:r>
      <w:r w:rsidRPr="00591954">
        <w:rPr>
          <w:szCs w:val="24"/>
          <w:lang w:val="en-GB"/>
        </w:rPr>
        <w:t xml:space="preserve">). Additionally, a cortical surface electrode was implanted onto the </w:t>
      </w:r>
      <w:r w:rsidR="00C74B51" w:rsidRPr="00591954">
        <w:rPr>
          <w:szCs w:val="24"/>
          <w:lang w:val="en-GB"/>
        </w:rPr>
        <w:t>ipsilateral s</w:t>
      </w:r>
      <w:r w:rsidRPr="00591954">
        <w:rPr>
          <w:szCs w:val="24"/>
          <w:lang w:val="en-GB"/>
        </w:rPr>
        <w:t xml:space="preserve">omatosensory cortex. Finally, two screw electrodes were positioned over the nasal sinus and the cerebellum, and used as ground and reference electrodes, respectively. Electrodes were connected to a multipin socket and secured to the skull by acrylic dental cement </w:t>
      </w:r>
      <w:r w:rsidRPr="00591954">
        <w:rPr>
          <w:szCs w:val="24"/>
          <w:lang w:val="en-GB"/>
        </w:rPr>
        <w:fldChar w:fldCharType="begin" w:fldLock="1"/>
      </w:r>
      <w:r w:rsidR="004F23C5" w:rsidRPr="00591954">
        <w:rPr>
          <w:szCs w:val="24"/>
          <w:lang w:val="en-GB"/>
        </w:rPr>
        <w:instrText>ADDIN CSL_CITATION {"citationItems":[{"id":"ITEM-1","itemData":{"DOI":"10.1016/j.nbd.2016.12.007","ISSN":"1095-953X","PMID":"27939857","abstract":"We recently discovered that forebrain activation of the IL-1 receptor/Toll-like receptor (IL-1R1/TLR4) innate immunity signal plays a pivotal role in neuronal hyperexcitability underlying seizures in rodents. Since this pathway is activated in neurons and glia in human epileptogenic foci, it represents a potential target for developing drugs interfering with the mechanisms of epileptogenesis that lead to spontaneous seizures. The lack of such drugs represents a major unmet clinical need. We tested therefore novel therapies inhibiting the IL-1R1/TLR4 signaling in an established murine model of acquired epilepsy. We used an epigenetic approach by injecting a synthetic mimic of micro(mi)RNA-146a that impairs IL1R1/TLR4 signal transduction, or we blocked receptor activation with antiinflammatory drugs. Both interventions when transiently applied to mice after epilepsy onset, prevented disease progression and dramatically reduced chronic seizure recurrence, while the anticonvulsant drug carbamazepine was ineffective. We conclude that IL-1R1/TLR4 is a novel potential therapeutic target for attaining disease-modifications in patients with diagnosed epilepsy.","author":[{"dropping-particle":"","family":"Iori","given":"Valentina","non-dropping-particle":"","parse-names":false,"suffix":""},{"dropping-particle":"","family":"Iyer","given":"Anand M.","non-dropping-particle":"","parse-names":false,"suffix":""},{"dropping-particle":"","family":"Ravizza","given":"Teresa","non-dropping-particle":"","parse-names":false,"suffix":""},{"dropping-particle":"","family":"Beltrame","given":"Luca","non-dropping-particle":"","parse-names":false,"suffix":""},{"dropping-particle":"","family":"Paracchini","given":"Lara","non-dropping-particle":"","parse-names":false,"suffix":""},{"dropping-particle":"","family":"Marchini","given":"Sergio","non-dropping-particle":"","parse-names":false,"suffix":""},{"dropping-particle":"","family":"Cerovic","given":"Milica","non-dropping-particle":"","parse-names":false,"suffix":""},{"dropping-particle":"","family":"Hill","given":"Cameron","non-dropping-particle":"","parse-names":false,"suffix":""},{"dropping-particle":"","family":"Ferrari","given":"Mariella","non-dropping-particle":"","parse-names":false,"suffix":""},{"dropping-particle":"","family":"Zucchetti","given":"Massimo","non-dropping-particle":"","parse-names":false,"suffix":""},{"dropping-particle":"","family":"Molteni","given":"Monica","non-dropping-particle":"","parse-names":false,"suffix":""},{"dropping-particle":"","family":"Rossetti","given":"Carlo","non-dropping-particle":"","parse-names":false,"suffix":""},{"dropping-particle":"","family":"Brambilla","given":"Riccardo","non-dropping-particle":"","parse-names":false,"suffix":""},{"dropping-particle":"","family":"Steve White","given":"H.","non-dropping-particle":"","parse-names":false,"suffix":""},{"dropping-particle":"","family":"D'Incalci","given":"Maurizio","non-dropping-particle":"","parse-names":false,"suffix":""},{"dropping-particle":"","family":"Aronica","given":"Eleonora","non-dropping-particle":"","parse-names":false,"suffix":""},{"dropping-particle":"","family":"Vezzani","given":"Annamaria","non-dropping-particle":"","parse-names":false,"suffix":""}],"container-title":"Neurobiology of Disease","id":"ITEM-1","issued":{"date-parts":[["2017","3"]]},"language":"eng","page":"12-23","title":"Blockade of the IL-1R1/TLR4 pathway mediates disease-modification therapeutic effects in a model of acquired epilepsy","type":"article-journal","volume":"99"},"uris":["http://www.mendeley.com/documents/?uuid=792ed98d-a7bf-432c-a076-9b08b99fc9cb"]},{"id":"ITEM-2","itemData":{"author":[{"dropping-particle":"","family":"Frigerio","given":"Federica","non-dropping-particle":"","parse-names":false,"suffix":""},{"dropping-particle":"","family":"Pasqualini","given":"Giulia","non-dropping-particle":"","parse-names":false,"suffix":""},{"dropping-particle":"","family":"Craparotta","given":"Ilaria","non-dropping-particle":"","parse-names":false,"suffix":""},{"dropping-particle":"","family":"Marchini","given":"Sergio","non-dropping-particle":"","parse-names":false,"suffix":""},{"dropping-particle":"","family":"Vliet","given":"Erwin A.","non-dropping-particle":"van","parse-names":false,"suffix":""},{"dropping-particle":"","family":"Foerch","given":"Patrick","non-dropping-particle":"","parse-names":false,"suffix":""},{"dropping-particle":"","family":"Vandenplas","given":"Catherine","non-dropping-particle":"","parse-names":false,"suffix":""},{"dropping-particle":"","family":"Leclercq","given":"Karin","non-dropping-particle":"","parse-names":false,"suffix":""},{"dropping-particle":"","family":"Aronica","given":"Eleonora","non-dropping-particle":"","parse-names":false,"suffix":""},{"dropping-particle":"","family":"Porcu","given":"Luca","non-dropping-particle":"","parse-names":false,"suffix":""},{"dropping-particle":"","family":"Pistorius","given":"Kim","non-dropping-particle":"","parse-names":false,"suffix":""},{"dropping-particle":"","family":"Colas","given":"Romain A.","non-dropping-particle":"","parse-names":false,"suffix":""},{"dropping-particle":"V.","family":"Hansen","given":"Trond","non-dropping-particle":"","parse-names":false,"suffix":""},{"dropping-particle":"","family":"Perretti","given":"Mauro","non-dropping-particle":"","parse-names":false,"suffix":""},{"dropping-particle":"","family":"Kaminski","given":"Rafal M.","non-dropping-particle":"","parse-names":false,"suffix":""},{"dropping-particle":"","family":"Dalli","given":"Jesmond","non-dropping-particle":"","parse-names":false,"suffix":""},{"dropping-particle":"","family":"Vezzani","given":"Annamaria","non-dropping-particle":"","parse-names":false,"suffix":""}],"container-title":"Brain : a journal of neurology","id":"ITEM-2","issue":"11","issued":{"date-parts":[["2018"]]},"page":"3130-3143","title":"n-3 docosapentaenoic acid-derived protectin D1 promotes resolution of neuroinflammation and arrests epileptogenesis","type":"article-journal","volume":"141"},"uris":["http://www.mendeley.com/documents/?uuid=1f0bc5fb-439f-4af6-adc0-1acbdc1beddb"]}],"mendeley":{"formattedCitation":"[49,50]","manualFormatting":"(Frigerio et al., 2018; Iori et al., 2017)","plainTextFormattedCitation":"[49,50]","previouslyFormattedCitation":"(49,50)"},"properties":{"noteIndex":0},"schema":"https://github.com/citation-style-language/schema/raw/master/csl-citation.json"}</w:instrText>
      </w:r>
      <w:r w:rsidRPr="00591954">
        <w:rPr>
          <w:szCs w:val="24"/>
          <w:lang w:val="en-GB"/>
        </w:rPr>
        <w:fldChar w:fldCharType="separate"/>
      </w:r>
      <w:r w:rsidR="0022319E" w:rsidRPr="00591954">
        <w:rPr>
          <w:noProof/>
          <w:szCs w:val="24"/>
          <w:lang w:val="en-GB"/>
        </w:rPr>
        <w:t xml:space="preserve">(Frigerio </w:t>
      </w:r>
      <w:r w:rsidR="0022319E" w:rsidRPr="00591954">
        <w:rPr>
          <w:i/>
          <w:noProof/>
          <w:szCs w:val="24"/>
          <w:lang w:val="en-GB"/>
        </w:rPr>
        <w:t>et al.</w:t>
      </w:r>
      <w:r w:rsidR="0022319E" w:rsidRPr="00591954">
        <w:rPr>
          <w:noProof/>
          <w:szCs w:val="24"/>
          <w:lang w:val="en-GB"/>
        </w:rPr>
        <w:t xml:space="preserve">, </w:t>
      </w:r>
      <w:r w:rsidR="005D1F86" w:rsidRPr="00591954">
        <w:rPr>
          <w:noProof/>
          <w:szCs w:val="24"/>
          <w:lang w:val="en-GB"/>
        </w:rPr>
        <w:t>2018</w:t>
      </w:r>
      <w:r w:rsidR="0022319E" w:rsidRPr="00591954">
        <w:rPr>
          <w:noProof/>
          <w:szCs w:val="24"/>
          <w:lang w:val="en-GB"/>
        </w:rPr>
        <w:t xml:space="preserve">; Iori </w:t>
      </w:r>
      <w:r w:rsidR="0022319E" w:rsidRPr="00591954">
        <w:rPr>
          <w:i/>
          <w:noProof/>
          <w:szCs w:val="24"/>
          <w:lang w:val="en-GB"/>
        </w:rPr>
        <w:t>et al.</w:t>
      </w:r>
      <w:r w:rsidR="0022319E" w:rsidRPr="00591954">
        <w:rPr>
          <w:noProof/>
          <w:szCs w:val="24"/>
          <w:lang w:val="en-GB"/>
        </w:rPr>
        <w:t>, 2017)</w:t>
      </w:r>
      <w:r w:rsidRPr="00591954">
        <w:rPr>
          <w:szCs w:val="24"/>
          <w:lang w:val="en-GB"/>
        </w:rPr>
        <w:fldChar w:fldCharType="end"/>
      </w:r>
      <w:r w:rsidRPr="00591954">
        <w:rPr>
          <w:szCs w:val="24"/>
          <w:lang w:val="en-GB"/>
        </w:rPr>
        <w:t>.</w:t>
      </w:r>
    </w:p>
    <w:p w14:paraId="73F55112" w14:textId="679CAAA9" w:rsidR="00951646" w:rsidRPr="00591954" w:rsidRDefault="00951646" w:rsidP="00B4110B">
      <w:pPr>
        <w:rPr>
          <w:szCs w:val="24"/>
          <w:lang w:val="en-GB"/>
        </w:rPr>
      </w:pPr>
      <w:r w:rsidRPr="00591954">
        <w:rPr>
          <w:szCs w:val="24"/>
          <w:lang w:val="en-GB"/>
        </w:rPr>
        <w:t xml:space="preserve">One week after surgery, </w:t>
      </w:r>
      <w:r w:rsidR="00252425" w:rsidRPr="00591954">
        <w:rPr>
          <w:szCs w:val="24"/>
          <w:lang w:val="en-GB"/>
        </w:rPr>
        <w:t>freely moving</w:t>
      </w:r>
      <w:r w:rsidRPr="00591954">
        <w:rPr>
          <w:szCs w:val="24"/>
          <w:lang w:val="en-GB"/>
        </w:rPr>
        <w:t xml:space="preserve"> mice were connected to the EEG set up the day before beginning the experiment to record baseline EEG for at least 24 hours. In order to evoke SE, kainic acid (0.3 μg in 0.2 μl; Sigma-Aldrich, S. Louis, MO, USA, #</w:t>
      </w:r>
      <w:hyperlink r:id="rId14" w:history="1">
        <w:r w:rsidRPr="00591954">
          <w:rPr>
            <w:rStyle w:val="Hyperlink"/>
            <w:color w:val="auto"/>
            <w:szCs w:val="24"/>
            <w:lang w:val="en-GB"/>
          </w:rPr>
          <w:t>K0250</w:t>
        </w:r>
      </w:hyperlink>
      <w:r w:rsidRPr="00591954">
        <w:rPr>
          <w:szCs w:val="24"/>
          <w:lang w:val="en-GB"/>
        </w:rPr>
        <w:t>) was dissolved in 0.1 M phosphate-buffered saline (PBS, pH 7.4) and injected</w:t>
      </w:r>
      <w:r w:rsidR="00D13752" w:rsidRPr="00591954">
        <w:rPr>
          <w:szCs w:val="24"/>
          <w:lang w:val="en-GB"/>
        </w:rPr>
        <w:t xml:space="preserve"> unilaterally </w:t>
      </w:r>
      <w:r w:rsidRPr="00591954">
        <w:rPr>
          <w:szCs w:val="24"/>
          <w:lang w:val="en-GB"/>
        </w:rPr>
        <w:t xml:space="preserve">into the basolateral amygdala using a needle protruding 4.1 mm below the implanted cannula </w:t>
      </w:r>
      <w:r w:rsidRPr="00591954">
        <w:rPr>
          <w:szCs w:val="24"/>
          <w:lang w:val="en-GB"/>
        </w:rPr>
        <w:fldChar w:fldCharType="begin" w:fldLock="1"/>
      </w:r>
      <w:r w:rsidR="004F23C5" w:rsidRPr="00591954">
        <w:rPr>
          <w:szCs w:val="24"/>
          <w:lang w:val="en-GB"/>
        </w:rPr>
        <w:instrText>ADDIN CSL_CITATION {"citationItems":[{"id":"ITEM-1","itemData":{"DOI":"10.1016/j.nbd.2016.12.007","ISSN":"1095-953X","PMID":"27939857","abstract":"We recently discovered that forebrain activation of the IL-1 receptor/Toll-like receptor (IL-1R1/TLR4) innate immunity signal plays a pivotal role in neuronal hyperexcitability underlying seizures in rodents. Since this pathway is activated in neurons and glia in human epileptogenic foci, it represents a potential target for developing drugs interfering with the mechanisms of epileptogenesis that lead to spontaneous seizures. The lack of such drugs represents a major unmet clinical need. We tested therefore novel therapies inhibiting the IL-1R1/TLR4 signaling in an established murine model of acquired epilepsy. We used an epigenetic approach by injecting a synthetic mimic of micro(mi)RNA-146a that impairs IL1R1/TLR4 signal transduction, or we blocked receptor activation with antiinflammatory drugs. Both interventions when transiently applied to mice after epilepsy onset, prevented disease progression and dramatically reduced chronic seizure recurrence, while the anticonvulsant drug carbamazepine was ineffective. We conclude that IL-1R1/TLR4 is a novel potential therapeutic target for attaining disease-modifications in patients with diagnosed epilepsy.","author":[{"dropping-particle":"","family":"Iori","given":"Valentina","non-dropping-particle":"","parse-names":false,"suffix":""},{"dropping-particle":"","family":"Iyer","given":"Anand M.","non-dropping-particle":"","parse-names":false,"suffix":""},{"dropping-particle":"","family":"Ravizza","given":"Teresa","non-dropping-particle":"","parse-names":false,"suffix":""},{"dropping-particle":"","family":"Beltrame","given":"Luca","non-dropping-particle":"","parse-names":false,"suffix":""},{"dropping-particle":"","family":"Paracchini","given":"Lara","non-dropping-particle":"","parse-names":false,"suffix":""},{"dropping-particle":"","family":"Marchini","given":"Sergio","non-dropping-particle":"","parse-names":false,"suffix":""},{"dropping-particle":"","family":"Cerovic","given":"Milica","non-dropping-particle":"","parse-names":false,"suffix":""},{"dropping-particle":"","family":"Hill","given":"Cameron","non-dropping-particle":"","parse-names":false,"suffix":""},{"dropping-particle":"","family":"Ferrari","given":"Mariella","non-dropping-particle":"","parse-names":false,"suffix":""},{"dropping-particle":"","family":"Zucchetti","given":"Massimo","non-dropping-particle":"","parse-names":false,"suffix":""},{"dropping-particle":"","family":"Molteni","given":"Monica","non-dropping-particle":"","parse-names":false,"suffix":""},{"dropping-particle":"","family":"Rossetti","given":"Carlo","non-dropping-particle":"","parse-names":false,"suffix":""},{"dropping-particle":"","family":"Brambilla","given":"Riccardo","non-dropping-particle":"","parse-names":false,"suffix":""},{"dropping-particle":"","family":"Steve White","given":"H.","non-dropping-particle":"","parse-names":false,"suffix":""},{"dropping-particle":"","family":"D'Incalci","given":"Maurizio","non-dropping-particle":"","parse-names":false,"suffix":""},{"dropping-particle":"","family":"Aronica","given":"Eleonora","non-dropping-particle":"","parse-names":false,"suffix":""},{"dropping-particle":"","family":"Vezzani","given":"Annamaria","non-dropping-particle":"","parse-names":false,"suffix":""}],"container-title":"Neurobiology of Disease","id":"ITEM-1","issued":{"date-parts":[["2017","3"]]},"language":"eng","page":"12-23","title":"Blockade of the IL-1R1/TLR4 pathway mediates disease-modification therapeutic effects in a model of acquired epilepsy","type":"article-journal","volume":"99"},"uris":["http://www.mendeley.com/documents/?uuid=792ed98d-a7bf-432c-a076-9b08b99fc9cb"]},{"id":"ITEM-2","itemData":{"author":[{"dropping-particle":"","family":"Frigerio","given":"Federica","non-dropping-particle":"","parse-names":false,"suffix":""},{"dropping-particle":"","family":"Pasqualini","given":"Giulia","non-dropping-particle":"","parse-names":false,"suffix":""},{"dropping-particle":"","family":"Craparotta","given":"Ilaria","non-dropping-particle":"","parse-names":false,"suffix":""},{"dropping-particle":"","family":"Marchini","given":"Sergio","non-dropping-particle":"","parse-names":false,"suffix":""},{"dropping-particle":"","family":"Vliet","given":"Erwin A.","non-dropping-particle":"van","parse-names":false,"suffix":""},{"dropping-particle":"","family":"Foerch","given":"Patrick","non-dropping-particle":"","parse-names":false,"suffix":""},{"dropping-particle":"","family":"Vandenplas","given":"Catherine","non-dropping-particle":"","parse-names":false,"suffix":""},{"dropping-particle":"","family":"Leclercq","given":"Karin","non-dropping-particle":"","parse-names":false,"suffix":""},{"dropping-particle":"","family":"Aronica","given":"Eleonora","non-dropping-particle":"","parse-names":false,"suffix":""},{"dropping-particle":"","family":"Porcu","given":"Luca","non-dropping-particle":"","parse-names":false,"suffix":""},{"dropping-particle":"","family":"Pistorius","given":"Kim","non-dropping-particle":"","parse-names":false,"suffix":""},{"dropping-particle":"","family":"Colas","given":"Romain A.","non-dropping-particle":"","parse-names":false,"suffix":""},{"dropping-particle":"V.","family":"Hansen","given":"Trond","non-dropping-particle":"","parse-names":false,"suffix":""},{"dropping-particle":"","family":"Perretti","given":"Mauro","non-dropping-particle":"","parse-names":false,"suffix":""},{"dropping-particle":"","family":"Kaminski","given":"Rafal M.","non-dropping-particle":"","parse-names":false,"suffix":""},{"dropping-particle":"","family":"Dalli","given":"Jesmond","non-dropping-particle":"","parse-names":false,"suffix":""},{"dropping-particle":"","family":"Vezzani","given":"Annamaria","non-dropping-particle":"","parse-names":false,"suffix":""}],"container-title":"Brain : a journal of neurology","id":"ITEM-2","issue":"11","issued":{"date-parts":[["2018"]]},"page":"3130-3143","title":"n-3 docosapentaenoic acid-derived protectin D1 promotes resolution of neuroinflammation and arrests epileptogenesis","type":"article-journal","volume":"141"},"uris":["http://www.mendeley.com/documents/?uuid=1f0bc5fb-439f-4af6-adc0-1acbdc1beddb"]}],"mendeley":{"formattedCitation":"[49,50]","plainTextFormattedCitation":"[49,50]","previouslyFormattedCitation":"(49,50)"},"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[49,50]</w:t>
      </w:r>
      <w:r w:rsidRPr="00591954">
        <w:rPr>
          <w:szCs w:val="24"/>
          <w:lang w:val="en-GB"/>
        </w:rPr>
        <w:fldChar w:fldCharType="end"/>
      </w:r>
      <w:r w:rsidRPr="00591954">
        <w:rPr>
          <w:szCs w:val="24"/>
          <w:lang w:val="en-GB"/>
        </w:rPr>
        <w:t xml:space="preserve">. SE developed after around 10 minutes from injection and was defined by the appearance of continuous spike activity with a frequency &gt;1Hz intermixed with high amplitude and frequency discharges lasting for at least 5 seconds, with a frequency of &gt;8Hz. Spikes were defined as sharp waves with amplitude at least 2.5-fold higher than the standard deviation of baseline signal and duration &lt;100 ms, or as a spike-and-wave with duration &lt;200 ms </w:t>
      </w:r>
      <w:r w:rsidRPr="00591954">
        <w:rPr>
          <w:szCs w:val="24"/>
          <w:lang w:val="en-GB"/>
        </w:rPr>
        <w:fldChar w:fldCharType="begin" w:fldLock="1"/>
      </w:r>
      <w:r w:rsidR="004F23C5" w:rsidRPr="00591954">
        <w:rPr>
          <w:szCs w:val="24"/>
          <w:lang w:val="en-GB"/>
        </w:rPr>
        <w:instrText>ADDIN CSL_CITATION {"citationID":"t82S13qN","citationItems":[{"id":"ITEM-1","itemData":{"DOI":"S0920-1211(04)00222-0 [pii] 10.1016/j.eplepsyres.2004.10.003","abstract":"Prevention of epileptogenesis after brain insults, such as status epilepticus (SE), head trauma, or stroke, remains a challenge. Even if epilepsy cannot be prevented, it would be beneficial if the pathologic process could be modified to result in a less severe disease. We examined whether early discontinuation of SE reduces the risk of epilepsy or results in milder disease. Epileptogenesis was triggered with SE induced by electrical stimulation of the amygdala. Animals (n = 72) were treated with vehicle or diazepam (DZP, 20 mg/kg) 2 h or 3 h after the beginning of SE. Electrode-implanted non-stimulated rats served as controls for histology. All animals underwent continuous long-term video-electroencephalography monitoring 7-9 weeks and 11-15 weeks later to detect the occurrence and severity of spontaneous seizures. As another outcome measure, the severity of hippocampal damage was assessed in histologic sections. In the vehicle group, 94% of animals developed epilepsy. DZP treatment reduced the percentage of epileptic animals to 42% in the 2-h DZP group and to 71% in the 3-h DZP group (p &lt; 0.001 and p &lt; 0.05 compared to the vehicle group, respectively). If epilepsy developed, the seizures were less frequent in DZP-treated animals compared to the vehicle group (median 16.4 seizures/day), particularly in the 2-h DZP group (median 0.4 seizures/day). Finally, if DZP treatment was started 2 h, but not 3 h after SE, the severity of hippocampal cell loss was milder and the density of mossy-fiber sprouting was lower than in the vehicle group. These data indicate that treatment of SE with DZP within 2 h reduces the risk of epilepsy later in life, and if epilepsy develops, it is milder.","author":[{"dropping-particle":"","family":"Pitkanen","given":"A.","non-dropping-particle":"","parse-names":false,"suffix":""},{"dropping-particle":"","family":"Kharatishvili","given":"I.","non-dropping-particle":"","parse-names":false,"suffix":""},{"dropping-particle":"","family":"Narkilahti","given":"S.","non-dropping-particle":"","parse-names":false,"suffix":""},{"dropping-particle":"","family":"Lukasiuk","given":"K.","non-dropping-particle":"","parse-names":false,"suffix":""},{"dropping-particle":"","family":"Nissinen","given":"J.","non-dropping-particle":"","parse-names":false,"suffix":""}],"container-title":"Epilepsy Res","id":"ITEM-1","issued":{"date-parts":[["2005","1"]]},"language":"eng","page":"27-42","title":"Administration of diazepam during status epilepticus reduces development and severity of epilepsy in rat","type":"article-journal","volume":"63"},"uri":["http://zotero.org/groups/1006189/items/KF48MR6Z"],"uris":["http://zotero.org/groups/1006189/items/KF48MR6Z","http://www.mendeley.com/documents/?uuid=86d1b6ed-9137-45d7-b805-8b985341fbac"]},{"id":"ITEM-2","itemData":{"DOI":"10.1016/j.nbd.2016.12.007","ISSN":"1095-953X","PMID":"27939857","abstract":"We recently discovered that forebrain activation of the IL-1 receptor/Toll-like receptor (IL-1R1/TLR4) innate immunity signal plays a pivotal role in neuronal hyperexcitability underlying seizures in rodents. Since this pathway is activated in neurons and glia in human epileptogenic foci, it represents a potential target for developing drugs interfering with the mechanisms of epileptogenesis that lead to spontaneous seizures. The lack of such drugs represents a major unmet clinical need. We tested therefore novel therapies inhibiting the IL-1R1/TLR4 signaling in an established murine model of acquired epilepsy. We used an epigenetic approach by injecting a synthetic mimic of micro(mi)RNA-146a that impairs IL1R1/TLR4 signal transduction, or we blocked receptor activation with antiinflammatory drugs. Both interventions when transiently applied to mice after epilepsy onset, prevented disease progression and dramatically reduced chronic seizure recurrence, while the anticonvulsant drug carbamazepine was ineffective. We conclude that IL-1R1/TLR4 is a novel potential therapeutic target for attaining disease-modifications in patients with diagnosed epilepsy.","author":[{"dropping-particle":"","family":"Iori","given":"Valentina","non-dropping-particle":"","parse-names":false,"suffix":""},{"dropping-particle":"","family":"Iyer","given":"Anand M.","non-dropping-particle":"","parse-names":false,"suffix":""},{"dropping-particle":"","family":"Ravizza","given":"Teresa","non-dropping-particle":"","parse-names":false,"suffix":""},{"dropping-particle":"","family":"Beltrame","given":"Luca","non-dropping-particle":"","parse-names":false,"suffix":""},{"dropping-particle":"","family":"Paracchini","given":"Lara","non-dropping-particle":"","parse-names":false,"suffix":""},{"dropping-particle":"","family":"Marchini","given":"Sergio","non-dropping-particle":"","parse-names":false,"suffix":""},{"dropping-particle":"","family":"Cerovic","given":"Milica","non-dropping-particle":"","parse-names":false,"suffix":""},{"dropping-particle":"","family":"Hill","given":"Cameron","non-dropping-particle":"","parse-names":false,"suffix":""},{"dropping-particle":"","family":"Ferrari","given":"Mariella","non-dropping-particle":"","parse-names":false,"suffix":""},{"dropping-particle":"","family":"Zucchetti","given":"Massimo","non-dropping-particle":"","parse-names":false,"suffix":""},{"dropping-particle":"","family":"Molteni","given":"Monica","non-dropping-particle":"","parse-names":false,"suffix":""},{"dropping-particle":"","family":"Rossetti","given":"Carlo","non-dropping-particle":"","parse-names":false,"suffix":""},{"dropping-particle":"","family":"Brambilla","given":"Riccardo","non-dropping-particle":"","parse-names":false,"suffix":""},{"dropping-particle":"","family":"Steve White","given":"H.","non-dropping-particle":"","parse-names":false,"suffix":""},{"dropping-particle":"","family":"D'Incalci","given":"Maurizio","non-dropping-particle":"","parse-names":false,"suffix":""},{"dropping-particle":"","family":"Aronica","given":"Eleonora","non-dropping-particle":"","parse-names":false,"suffix":""},{"dropping-particle":"","family":"Vezzani","given":"Annamaria","non-dropping-particle":"","parse-names":false,"suffix":""}],"container-title":"Neurobiology of Disease","id":"ITEM-2","issued":{"date-parts":[["2017","3"]]},"language":"eng","page":"12-23","title":"Blockade of the IL-1R1/TLR4 pathway mediates disease-modification therapeutic effects in a model of acquired epilepsy","type":"article-journal","volume":"99"},"uris":["http://www.mendeley.com/documents/?uuid=792ed98d-a7bf-432c-a076-9b08b99fc9cb"]}],"mendeley":{"formattedCitation":"[49,52]","plainTextFormattedCitation":"[49,52]","previouslyFormattedCitation":"(49,52)"},"properties":{"formattedCitation":"{\\rtf (Pitkanen {\\i{}et al.}, 2005)}","noteIndex":0,"plainCitation":"(Pitkanen et al., 2005)"},"schema":"https://github.com/citation-style-language/schema/raw/master/csl-citation.json"}</w:instrText>
      </w:r>
      <w:r w:rsidRPr="00591954">
        <w:rPr>
          <w:szCs w:val="24"/>
          <w:lang w:val="en-GB"/>
        </w:rPr>
        <w:fldChar w:fldCharType="separate"/>
      </w:r>
      <w:r w:rsidR="004F23C5" w:rsidRPr="00591954">
        <w:rPr>
          <w:noProof/>
          <w:szCs w:val="24"/>
          <w:lang w:val="en-GB"/>
        </w:rPr>
        <w:t>[49,52]</w:t>
      </w:r>
      <w:r w:rsidRPr="00591954">
        <w:rPr>
          <w:szCs w:val="24"/>
          <w:lang w:val="en-GB"/>
        </w:rPr>
        <w:fldChar w:fldCharType="end"/>
      </w:r>
      <w:r w:rsidRPr="00591954">
        <w:rPr>
          <w:szCs w:val="24"/>
          <w:lang w:val="en-GB"/>
        </w:rPr>
        <w:t xml:space="preserve">. After 40 minutes from SE onset, mice were injected with diazepam (10 mg/kg, intraperitoneally, i.p.) to </w:t>
      </w:r>
      <w:r w:rsidR="00C35632" w:rsidRPr="00591954">
        <w:rPr>
          <w:szCs w:val="24"/>
          <w:lang w:val="en-GB"/>
        </w:rPr>
        <w:t xml:space="preserve">inhibit motor seizures and </w:t>
      </w:r>
      <w:r w:rsidRPr="00591954">
        <w:rPr>
          <w:szCs w:val="24"/>
          <w:lang w:val="en-GB"/>
        </w:rPr>
        <w:t>improve survival, although EEG-</w:t>
      </w:r>
      <w:r w:rsidR="00D13752" w:rsidRPr="00591954">
        <w:rPr>
          <w:szCs w:val="24"/>
          <w:lang w:val="en-GB"/>
        </w:rPr>
        <w:t>monitored</w:t>
      </w:r>
      <w:r w:rsidRPr="00591954">
        <w:rPr>
          <w:szCs w:val="24"/>
          <w:lang w:val="en-GB"/>
        </w:rPr>
        <w:t xml:space="preserve"> SE was not interrupted. We previously showed in this model that all mice exposed to SE lasting for </w:t>
      </w:r>
      <w:r w:rsidR="00D13752" w:rsidRPr="00591954">
        <w:rPr>
          <w:szCs w:val="24"/>
          <w:lang w:val="en-GB"/>
        </w:rPr>
        <w:t xml:space="preserve">at least </w:t>
      </w:r>
      <w:r w:rsidRPr="00591954">
        <w:rPr>
          <w:szCs w:val="24"/>
          <w:lang w:val="en-GB"/>
        </w:rPr>
        <w:t xml:space="preserve">3 hours develop spontaneous seizures that recur for more than 2 months </w:t>
      </w:r>
      <w:r w:rsidRPr="00591954">
        <w:rPr>
          <w:szCs w:val="24"/>
          <w:lang w:val="en-GB"/>
        </w:rPr>
        <w:fldChar w:fldCharType="begin" w:fldLock="1"/>
      </w:r>
      <w:r w:rsidR="004F23C5" w:rsidRPr="00591954">
        <w:rPr>
          <w:szCs w:val="24"/>
          <w:lang w:val="en-GB"/>
        </w:rPr>
        <w:instrText>ADDIN CSL_CITATION {"citationItems":[{"id":"ITEM-1","itemData":{"DOI":"10.1016/j.nbd.2016.12.007","ISSN":"1095-953X","PMID":"27939857","abstract":"We recently discovered that forebrain activation of the IL-1 receptor/Toll-like receptor (IL-1R1/TLR4) innate immunity signal plays a pivotal role in neuronal hyperexcitability underlying seizures in rodents. Since this pathway is activated in neurons and glia in human epileptogenic foci, it represents a potential target for developing drugs interfering with the mechanisms of epileptogenesis that lead to spontaneous seizures. The lack of such drugs represents a major unmet clinical need. We tested therefore novel therapies inhibiting the IL-1R1/TLR4 signaling in an established murine model of acquired epilepsy. We used an epigenetic approach by injecting a synthetic mimic of micro(mi)RNA-146a that impairs IL1R1/TLR4 signal transduction, or we blocked receptor activation with antiinflammatory drugs. Both interventions when transiently applied to mice after epilepsy onset, prevented disease progression and dramatically reduced chronic seizure recurrence, while the anticonvulsant drug carbamazepine was ineffective. We conclude that IL-1R1/TLR4 is a novel potential therapeutic target for attaining disease-modifications in patients with diagnosed epilepsy.","author":[{"dropping-particle":"","family":"Iori","given":"Valentina","non-dropping-particle":"","parse-names":false,"suffix":""},{"dropping-particle":"","family":"Iyer","given":"Anand M.","non-dropping-particle":"","parse-names":false,"suffix":""},{"dropping-particle":"","family":"Ravizza","given":"Teresa","non-dropping-particle":"","parse-names":false,"suffix":""},{"dropping-particle":"","family":"Beltrame","given":"Luca","non-dropping-particle":"","parse-names":false,"suffix":""},{"dropping-particle":"","family":"Paracchini","given":"Lara","non-dropping-particle":"","parse-names":false,"suffix":""},{"dropping-particle":"","family":"Marchini","given":"Sergio","non-dropping-particle":"","parse-names":false,"suffix":""},{"dropping-particle":"","family":"Cerovic","given":"Milica","non-dropping-particle":"","parse-names":false,"suffix":""},{"dropping-particle":"","family":"Hill","given":"Cameron","non-dropping-particle":"","parse-names":false,"suffix":""},{"dropping-particle":"","family":"Ferrari","given":"Mariella","non-dropping-particle":"","parse-names":false,"suffix":""},{"dropping-particle":"","family":"Zucchetti","given":"Massimo","non-dropping-particle":"","parse-names":false,"suffix":""},{"dropping-particle":"","family":"Molteni","given":"Monica","non-dropping-particle":"","parse-names":false,"suffix":""},{"dropping-particle":"","family":"Rossetti","given":"Carlo","non-dropping-particle":"","parse-names":false,"suffix":""},{"dropping-particle":"","family":"Brambilla","given":"Riccardo","non-dropping-particle":"","parse-names":false,"suffix":""},{"dropping-particle":"","family":"Steve White","given":"H.","non-dropping-particle":"","parse-names":false,"suffix":""},{"dropping-particle":"","family":"D'Incalci","given":"Maurizio","non-dropping-particle":"","parse-names":false,"suffix":""},{"dropping-particle":"","family":"Aronica","given":"Eleonora","non-dropping-particle":"","parse-names":false,"suffix":""},{"dropping-particle":"","family":"Vezzani","given":"Annamaria","non-dropping-particle":"","parse-names":false,"suffix":""}],"container-title":"Neurobiology of Disease","id":"ITEM-1","issued":{"date-parts":[["2017","3"]]},"language":"eng","page":"12-23","title":"Blockade of the IL-1R1/TLR4 pathway mediates disease-modification therapeutic effects in a model of acquired epilepsy","type":"article-journal","volume":"99"},"uris":["http://www.mendeley.com/documents/?uuid=792ed98d-a7bf-432c-a076-9b08b99fc9cb"]}],"mendeley":{"formattedCitation":"[49]","plainTextFormattedCitation":"[49]","previouslyFormattedCitation":"(49)"},"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[49]</w:t>
      </w:r>
      <w:r w:rsidRPr="00591954">
        <w:rPr>
          <w:szCs w:val="24"/>
          <w:lang w:val="en-GB"/>
        </w:rPr>
        <w:fldChar w:fldCharType="end"/>
      </w:r>
      <w:r w:rsidRPr="00591954">
        <w:rPr>
          <w:szCs w:val="24"/>
          <w:lang w:val="en-GB"/>
        </w:rPr>
        <w:t>. SE onset, duration and severity were quantified (</w:t>
      </w:r>
      <w:r w:rsidRPr="00591954">
        <w:rPr>
          <w:rFonts w:eastAsia="Cambria"/>
          <w:szCs w:val="24"/>
          <w:lang w:val="en-GB"/>
        </w:rPr>
        <w:t>Clampfit 9.0, Axon Instruments, Union City, CA, U.S.A</w:t>
      </w:r>
      <w:r w:rsidRPr="00591954">
        <w:rPr>
          <w:szCs w:val="24"/>
          <w:lang w:val="en-GB"/>
        </w:rPr>
        <w:t xml:space="preserve">) as depicted in Fig. </w:t>
      </w:r>
      <w:r w:rsidRPr="00591954">
        <w:rPr>
          <w:szCs w:val="24"/>
          <w:lang w:val="en-GB"/>
        </w:rPr>
        <w:lastRenderedPageBreak/>
        <w:t>S</w:t>
      </w:r>
      <w:r w:rsidR="00C74B51" w:rsidRPr="00591954">
        <w:rPr>
          <w:szCs w:val="24"/>
          <w:lang w:val="en-GB"/>
        </w:rPr>
        <w:t>4A</w:t>
      </w:r>
      <w:r w:rsidRPr="00591954">
        <w:rPr>
          <w:szCs w:val="24"/>
          <w:lang w:val="en-GB"/>
        </w:rPr>
        <w:t>. A group of sham mice was implanted with electrodes and guide cannulae and injected with PBS but were not exposed to SE (n=</w:t>
      </w:r>
      <w:r w:rsidR="00C74B51" w:rsidRPr="00591954">
        <w:rPr>
          <w:szCs w:val="24"/>
          <w:lang w:val="en-GB"/>
        </w:rPr>
        <w:t>16</w:t>
      </w:r>
      <w:r w:rsidRPr="00591954">
        <w:rPr>
          <w:szCs w:val="24"/>
          <w:lang w:val="en-GB"/>
        </w:rPr>
        <w:t>). These mice served as controls for post-mortem analyses (see later).</w:t>
      </w:r>
    </w:p>
    <w:p w14:paraId="253422E4" w14:textId="77777777" w:rsidR="00951646" w:rsidRPr="00591954" w:rsidRDefault="00951646" w:rsidP="00B4110B">
      <w:pPr>
        <w:widowControl w:val="0"/>
        <w:autoSpaceDE w:val="0"/>
        <w:autoSpaceDN w:val="0"/>
        <w:adjustRightInd w:val="0"/>
        <w:rPr>
          <w:szCs w:val="24"/>
          <w:lang w:val="en-GB"/>
        </w:rPr>
      </w:pPr>
    </w:p>
    <w:p w14:paraId="0382FE56" w14:textId="719B4FA0" w:rsidR="00951646" w:rsidRPr="00591954" w:rsidRDefault="00951646" w:rsidP="00B4110B">
      <w:pPr>
        <w:rPr>
          <w:szCs w:val="24"/>
          <w:lang w:val="en-GB"/>
        </w:rPr>
      </w:pPr>
      <w:r w:rsidRPr="00591954">
        <w:rPr>
          <w:b/>
          <w:szCs w:val="24"/>
          <w:lang w:val="en-GB"/>
        </w:rPr>
        <w:t xml:space="preserve">Microglia depletion in </w:t>
      </w:r>
      <w:r w:rsidR="00B02528" w:rsidRPr="00591954">
        <w:rPr>
          <w:b/>
          <w:szCs w:val="24"/>
          <w:lang w:val="en-GB"/>
        </w:rPr>
        <w:t xml:space="preserve">naïve </w:t>
      </w:r>
      <w:r w:rsidRPr="00591954">
        <w:rPr>
          <w:b/>
          <w:szCs w:val="24"/>
          <w:lang w:val="en-GB"/>
        </w:rPr>
        <w:t>mice.</w:t>
      </w:r>
      <w:r w:rsidRPr="00591954">
        <w:rPr>
          <w:szCs w:val="24"/>
          <w:lang w:val="en-GB"/>
        </w:rPr>
        <w:t xml:space="preserve"> The detailed experimental design is depicted in Fig. S</w:t>
      </w:r>
      <w:r w:rsidR="00D13752" w:rsidRPr="00591954">
        <w:rPr>
          <w:szCs w:val="24"/>
          <w:lang w:val="en-GB"/>
        </w:rPr>
        <w:t>1</w:t>
      </w:r>
      <w:r w:rsidR="00B02528" w:rsidRPr="00591954">
        <w:rPr>
          <w:szCs w:val="24"/>
          <w:lang w:val="en-GB"/>
        </w:rPr>
        <w:t>A,B</w:t>
      </w:r>
      <w:r w:rsidRPr="00591954">
        <w:rPr>
          <w:szCs w:val="24"/>
          <w:lang w:val="en-GB"/>
        </w:rPr>
        <w:t xml:space="preserve"> and was based on previous</w:t>
      </w:r>
      <w:r w:rsidR="00B02528" w:rsidRPr="00591954">
        <w:rPr>
          <w:szCs w:val="24"/>
          <w:lang w:val="en-GB"/>
        </w:rPr>
        <w:t xml:space="preserve"> well-established</w:t>
      </w:r>
      <w:r w:rsidRPr="00591954">
        <w:rPr>
          <w:szCs w:val="24"/>
          <w:lang w:val="en-GB"/>
        </w:rPr>
        <w:t xml:space="preserve"> evidence of microglia depletion </w:t>
      </w:r>
      <w:r w:rsidR="00F54887" w:rsidRPr="00591954">
        <w:rPr>
          <w:szCs w:val="24"/>
          <w:lang w:val="en-GB"/>
        </w:rPr>
        <w:t xml:space="preserve">in mice fed with a diet supplemented with PLX3397 </w:t>
      </w:r>
      <w:r w:rsidRPr="00591954">
        <w:rPr>
          <w:szCs w:val="24"/>
          <w:lang w:val="en-GB"/>
        </w:rPr>
        <w:fldChar w:fldCharType="begin" w:fldLock="1"/>
      </w:r>
      <w:r w:rsidR="004F23C5" w:rsidRPr="00591954">
        <w:rPr>
          <w:szCs w:val="24"/>
          <w:lang w:val="en-GB"/>
        </w:rPr>
        <w:instrText>ADDIN CSL_CITATION {"citationItems":[{"id":"ITEM-1","itemData":{"DOI":"10.1016/j.neuron.2014.02.040","ISBN":"1097-4199 (Electronic) 0896-6273 (Linking)","ISSN":"10974199","PMID":"24742461","abstract":"The colony-stimulating factor 1 receptor (CSF1R) is a key regulator of myeloid lineage cells. Genetic loss of the CSF1R blocks the normal population of resident microglia in the brain that originates from the yolk sac during early development. However, the role of CSF1R signaling in microglial homeostasis in the adult brain is largely unknown. To this end, we tested the effects of selective CSF1R inhibitors on microglia in adult mice. Surprisingly, extensive treatment results in elimination of ~99% of all microglia brain-wide, showing that microglia in the adult brain are physiologically dependent upon CSF1R signaling. Mice depleted of microglia show no behavioral or cognitive abnormalities, revealing that microglia are not necessary for these tasks. Finally, we discovered that the microglia-depleted brain completely repopulates with new microglia within 1week of inhibitor cessation. Microglial repopulation throughout the CNS occurs through proliferation of nestin-positive cells that then differentiate into microglia. © 2014 Elsevier Inc.","author":[{"dropping-particle":"","family":"Elmore","given":"Monica R.P.","non-dropping-particle":"","parse-names":false,"suffix":""},{"dropping-particle":"","family":"Najafi","given":"Allison R.","non-dropping-particle":"","parse-names":false,"suffix":""},{"dropping-particle":"","family":"Koike","given":"Maya A.","non-dropping-particle":"","parse-names":false,"suffix":""},{"dropping-particle":"","family":"Dagher","given":"Nabil N.","non-dropping-particle":"","parse-names":false,"suffix":""},{"dropping-particle":"","family":"Spangenberg","given":"Elizabeth E.","non-dropping-particle":"","parse-names":false,"suffix":""},{"dropping-particle":"","family":"Rice","given":"Rachel A.","non-dropping-particle":"","parse-names":false,"suffix":""},{"dropping-particle":"","family":"Kitazawa","given":"Masashi","non-dropping-particle":"","parse-names":false,"suffix":""},{"dropping-particle":"","family":"Matusow","given":"Bernice","non-dropping-particle":"","parse-names":false,"suffix":""},{"dropping-particle":"","family":"Nguyen","given":"Hoa","non-dropping-particle":"","parse-names":false,"suffix":""},{"dropping-particle":"","family":"West","given":"Brian L.","non-dropping-particle":"","parse-names":false,"suffix":""},{"dropping-particle":"","family":"Green","given":"Kim N.","non-dropping-particle":"","parse-names":false,"suffix":""}],"container-title":"Neuron","id":"ITEM-1","issue":"2","issued":{"date-parts":[["2014"]]},"page":"380-97","title":"Colony-stimulating factor 1 receptor signaling is necessary for microglia viability, unmasking a microglia progenitor cell in the adult brain","type":"article-journal","volume":"82"},"uris":["http://www.mendeley.com/documents/?uuid=373176f4-be7e-4bf4-b6e2-9383e47f86e0"]},{"id":"ITEM-2","itemData":{"DOI":"10.1038/ni.3585","ISBN":"1529-2916 (Electronic)1529-2908 (Linking)","ISSN":"15292916","PMID":"27776109","abstract":"Microglia are the resident macrophages of the central nervous system (CNS). Gene expression profiling has identified Sall1, which encodes a transcriptional regulator, as a microglial signature gene. We found that Sall1 was expressed by microglia but not by other members of the mononuclear phagocyte system or by other CNS-resident cells. Using Sall1 for microglia-specific gene targeting, we found that the cytokine receptor CSF1R was involved in the maintenance of adult microglia and that the receptor for the cytokine TGF-β suppressed activation of microglia. We then used the microglia-specific expression of Sall1 to inducibly inactivate the murine Sall1 locus in vivo, which resulted in the conversion of microglia from resting tissue macrophages into inflammatory phagocytes, leading to altered neurogenesis and disturbed tissue homeostasis. Collectively, our results show that transcriptional regulation by Sall1 maintains microglial identity and physiological properties in the CNS and allows microglia-specific manipulation in vivo.","author":[{"dropping-particle":"","family":"Buttgereit","given":"Anne","non-dropping-particle":"","parse-names":false,"suffix":""},{"dropping-particle":"","family":"Lelios","given":"Iva","non-dropping-particle":"","parse-names":false,"suffix":""},{"dropping-particle":"","family":"Yu","given":"Xueyang","non-dropping-particle":"","parse-names":false,"suffix":""},{"dropping-particle":"","family":"Vrohlings","given":"Melissa","non-dropping-particle":"","parse-names":false,"suffix":""},{"dropping-particle":"","family":"Krakoski","given":"Natalie R.","non-dropping-particle":"","parse-names":false,"suffix":""},{"dropping-particle":"","family":"Gautier","given":"Emmanuel L.","non-dropping-particle":"","parse-names":false,"suffix":""},{"dropping-particle":"","family":"Nishinakamura","given":"Ryuichi","non-dropping-particle":"","parse-names":false,"suffix":""},{"dropping-particle":"","family":"Becher","given":"Burkhard","non-dropping-particle":"","parse-names":false,"suffix":""},{"dropping-particle":"","family":"Greter","given":"Melanie","non-dropping-particle":"","parse-names":false,"suffix":""}],"container-title":"Nature Immunology","id":"ITEM-2","issue":"12","issued":{"date-parts":[["2016"]]},"page":"1397-1406","title":"Sall1 is a transcriptional regulator defining microglia identity and function","type":"article-journal","volume":"17"},"uris":["http://www.mendeley.com/documents/?uuid=36787a9c-3bf4-47d9-bf75-d42e9bbdca95"]},{"id":"ITEM-3","itemData":{"DOI":"10.1038/s41593-018-0090-8","ISBN":"4159301800","ISSN":"15461726","PMID":"29472620","abstract":"Newborn microglia rapidly replenish the whole brain after selective elimination of most microglia (&gt;99%) in adult mice. Previous studies reported that repopulated microglia were largely derived from microglial progenitor cells expressing nestin in the brain. However, the origin of these repopulated microglia has been hotly debated. In this study, we investigated the origin of repopulated microglia by a series of fate-mapping approaches. We first excluded the blood origin of repopulated microglia via parabiosis. With different transgenic mouse lines, we then demonstrated that all repopulated microglia were derived from the proliferation of the few surviving microglia (&lt;1%). Despite a transient pattern of nestin expression in newly forming microglia, none of repopulated microglia were derived from nestin-positive non-microglial cells. In summary, we conclude that repopulated microglia are solely derived from residual microglia rather than de novo progenitors, suggesting the absence of microglial progenitor cells in the adult brain.","author":[{"dropping-particle":"","family":"Huang","given":"Yubin","non-dropping-particle":"","parse-names":false,"suffix":""},{"dropping-particle":"","family":"Xu","given":"Zhen","non-dropping-particle":"","parse-names":false,"suffix":""},{"dropping-particle":"","family":"Xiong","given":"Shanshan","non-dropping-particle":"","parse-names":false,"suffix":""},{"dropping-particle":"","family":"Sun","given":"Fangfang","non-dropping-particle":"","parse-names":false,"suffix":""},{"dropping-particle":"","family":"Qin","given":"Guangrong","non-dropping-particle":"","parse-names":false,"suffix":""},{"dropping-particle":"","family":"Hu","given":"Guanglei","non-dropping-particle":"","parse-names":false,"suffix":""},{"dropping-particle":"","family":"Wang","given":"Jingjing","non-dropping-particle":"","parse-names":false,"suffix":""},{"dropping-particle":"","family":"Zhao","given":"Lei","non-dropping-particle":"","parse-names":false,"suffix":""},{"dropping-particle":"","family":"Liang","given":"Yu Xiang","non-dropping-particle":"","parse-names":false,"suffix":""},{"dropping-particle":"","family":"Wu","given":"Tianzhun","non-dropping-particle":"","parse-names":false,"suffix":""},{"dropping-particle":"","family":"Lu","given":"Zhonghua","non-dropping-particle":"","parse-names":false,"suffix":""},{"dropping-particle":"","family":"Humayun","given":"Mark S.","non-dropping-particle":"","parse-names":false,"suffix":""},{"dropping-particle":"","family":"So","given":"Kwok Fai","non-dropping-particle":"","parse-names":false,"suffix":""},{"dropping-particle":"","family":"Pan","given":"Yihang","non-dropping-particle":"","parse-names":false,"suffix":""},{"dropping-particle":"","family":"Li","given":"Ningning","non-dropping-particle":"","parse-names":false,"suffix":""},{"dropping-particle":"","family":"Yuan","given":"Ti Fei","non-dropping-particle":"","parse-names":false,"suffix":""},{"dropping-particle":"","family":"Rao","given":"Yanxia","non-dropping-particle":"","parse-names":false,"suffix":""},{"dropping-particle":"","family":"Peng","given":"Bo","non-dropping-particle":"","parse-names":false,"suffix":""}],"container-title":"Nature Neuroscience","id":"ITEM-3","issue":"4","issued":{"date-parts":[["2018"]]},"page":"530-540","title":"Repopulated microglia are solely derived from the proliferation of residual microglia after acute depletion","type":"article-journal","volume":"21"},"uris":["http://www.mendeley.com/documents/?uuid=7431be1d-cb7e-439e-975b-096ef0733738"]},{"id":"ITEM-4","itemData":{"author":[{"dropping-particle":"","family":"Waltl","given":"Inken","non-dropping-particle":"","parse-names":false,"suffix":""},{"dropping-particle":"","family":"Käufer","given":"Christopher","non-dropping-particle":"","parse-names":false,"suffix":""},{"dropping-particle":"","family":"Gerhauser","given":"Ingo","non-dropping-particle":"","parse-names":false,"suffix":""},{"dropping-particle":"","family":"Chhatbar","given":"Chintan","non-dropping-particle":"","parse-names":false,"suffix":""},{"dropping-particle":"","family":"Ghita","given":"Luca","non-dropping-particle":"","parse-names":false,"suffix":""},{"dropping-particle":"","family":"Kalinke","given":"Ulrich","non-dropping-particle":"","parse-names":false,"suffix":""},{"dropping-particle":"","family":"Löscher","given":"Wolfgang","non-dropping-particle":"","parse-names":false,"suffix":""}],"container-title":"Brain, behavior, and immunity","id":"ITEM-4","issued":{"date-parts":[["2018"]]},"page":"186-204","publisher":"Elsevier","title":"Microglia have a protective role in viral encephalitis-induced seizure development and hippocampal damage","type":"article-journal","volume":"74"},"uris":["http://www.mendeley.com/documents/?uuid=900a5ff3-36f5-4dd2-abf1-eb12dda920f8"]}],"mendeley":{"formattedCitation":"[53–56]","plainTextFormattedCitation":"[53–56]","previouslyFormattedCitation":"(53–56)"},"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[53–56]</w:t>
      </w:r>
      <w:r w:rsidRPr="00591954">
        <w:rPr>
          <w:szCs w:val="24"/>
          <w:lang w:val="en-GB"/>
        </w:rPr>
        <w:fldChar w:fldCharType="end"/>
      </w:r>
      <w:r w:rsidR="00F54887" w:rsidRPr="00591954">
        <w:rPr>
          <w:szCs w:val="24"/>
          <w:lang w:val="en-GB"/>
        </w:rPr>
        <w:t xml:space="preserve">, a Csf1 receptor inhibitor </w:t>
      </w:r>
      <w:r w:rsidR="00B22070" w:rsidRPr="00591954">
        <w:rPr>
          <w:szCs w:val="24"/>
          <w:lang w:val="en-GB"/>
        </w:rPr>
        <w:fldChar w:fldCharType="begin" w:fldLock="1"/>
      </w:r>
      <w:r w:rsidR="004F23C5" w:rsidRPr="00591954">
        <w:rPr>
          <w:szCs w:val="24"/>
          <w:lang w:val="en-GB"/>
        </w:rPr>
        <w:instrText>ADDIN CSL_CITATION {"citationItems":[{"id":"ITEM-1","itemData":{"DOI":"10.1056/NEJMoa1411366","ISBN":"1533-4406 (Electronic)\\r0028-4793 (Linking)","ISSN":"0028-4793","PMID":"26222558","abstract":"BACKGROUND: Expression of the colony-stimulating factor 1 (CSF1) gene is elevated in most tenosynovial giant-cell tumors. This observation has led to the discovery and clinical development of therapy targeting the CSF1 receptor (CSF1R). METHODS: Using x-ray co-crystallography to guide our drug-discovery research, we generated a potent, selective CSF1R inhibitor, PLX3397, that traps the kinase in the autoinhibited conformation. We then conducted a multicenter, phase 1 trial in two parts to analyze this compound. In the first part, we evaluated escalations in the dose of PLX3397 that was administered orally in patients with solid tumors (dose-escalation study). In the second part, we evaluated PLX3397 at the chosen phase 2 dose in an extension cohort of patients with tenosynovial giant-cell tumors (extension study). Pharmacokinetic and tumor responses in the enrolled patients were assessed, and CSF1 in situ hybridization was performed to confirm the mechanism of action of PLX3397 and that the pattern of CSF1 expression was consistent with the pathological features of tenosynovial giant-cell tumor. RESULTS: A total of 41 patients were enrolled in the dose-escalation study, and an additional 23 patients were enrolled in the extension study. The chosen phase 2 dose of PLX3397 was 1000 mg per day. In the extension study, 12 patients with tenosynovial giant-cell tumors had a partial response and 7 patients had stable disease. Responses usually occurred within the first 4 months of treatment, and the median duration of response exceeded 8 months. The most common adverse events included fatigue, change in hair color, nausea, dysgeusia, and periorbital edema; adverse events rarely led to discontinuation of treatment. CONCLUSIONS: Treatment of tenosynovial giant-cell tumors with PLX3397 resulted in a prolonged regression in tumor volume in most patients. (Funded by Plexxikon; ClinicalTrials.gov number, NCT01004861.).","author":[{"dropping-particle":"","family":"Tap","given":"William D.","non-dropping-particle":"","parse-names":false,"suffix":""},{"dropping-particle":"","family":"Wainberg","given":"Zev A.","non-dropping-particle":"","parse-names":false,"suffix":""},{"dropping-particle":"","family":"Anthony","given":"Stephen P.","non-dropping-particle":"","parse-names":false,"suffix":""},{"dropping-particle":"","family":"Ibrahim","given":"Prabha N.","non-dropping-particle":"","parse-names":false,"suffix":""},{"dropping-particle":"","family":"Zhang","given":"Chao","non-dropping-particle":"","parse-names":false,"suffix":""},{"dropping-particle":"","family":"Healey","given":"John H.","non-dropping-particle":"","parse-names":false,"suffix":""},{"dropping-particle":"","family":"Chmielowski","given":"Bartosz","non-dropping-particle":"","parse-names":false,"suffix":""},{"dropping-particle":"","family":"Staddon","given":"Arthur P.","non-dropping-particle":"","parse-names":false,"suffix":""},{"dropping-particle":"","family":"Cohn","given":"Allen Lee","non-dropping-particle":"","parse-names":false,"suffix":""},{"dropping-particle":"","family":"Shapiro","given":"Geoffrey I.","non-dropping-particle":"","parse-names":false,"suffix":""},{"dropping-particle":"","family":"Keedy","given":"Vicki L.","non-dropping-particle":"","parse-names":false,"suffix":""},{"dropping-particle":"","family":"Singh","given":"Arun S.","non-dropping-particle":"","parse-names":false,"suffix":""},{"dropping-particle":"","family":"Puzanov","given":"Igor","non-dropping-particle":"","parse-names":false,"suffix":""},{"dropping-particle":"","family":"Kwak","given":"Eunice L.","non-dropping-particle":"","parse-names":false,"suffix":""},{"dropping-particle":"","family":"Wagner","given":"Andrew J.","non-dropping-particle":"","parse-names":false,"suffix":""},{"dropping-particle":"","family":"Hoff","given":"Daniel D.","non-dropping-particle":"Von","parse-names":false,"suffix":""},{"dropping-particle":"","family":"Weiss","given":"Glen J.","non-dropping-particle":"","parse-names":false,"suffix":""},{"dropping-particle":"","family":"Ramanathan","given":"Ramesh K.","non-dropping-particle":"","parse-names":false,"suffix":""},{"dropping-particle":"","family":"Zhang","given":"Jiazhong","non-dropping-particle":"","parse-names":false,"suffix":""},{"dropping-particle":"","family":"Habets","given":"Gaston","non-dropping-particle":"","parse-names":false,"suffix":""},{"dropping-particle":"","family":"Zhang","given":"Ying","non-dropping-particle":"","parse-names":false,"suffix":""},{"dropping-particle":"","family":"Burton","given":"Elizabeth A.","non-dropping-particle":"","parse-names":false,"suffix":""},{"dropping-particle":"","family":"Visor","given":"Gary","non-dropping-particle":"","parse-names":false,"suffix":""},{"dropping-particle":"","family":"Sanftner","given":"Laura","non-dropping-particle":"","parse-names":false,"suffix":""},{"dropping-particle":"","family":"Severson","given":"Paul","non-dropping-particle":"","parse-names":false,"suffix":""},{"dropping-particle":"","family":"Nguyen","given":"Hoa","non-dropping-particle":"","parse-names":false,"suffix":""},{"dropping-particle":"","family":"Kim","given":"Marie J.","non-dropping-particle":"","parse-names":false,"suffix":""},{"dropping-particle":"","family":"Marimuthu","given":"Adhirai","non-dropping-particle":"","parse-names":false,"suffix":""},{"dropping-particle":"","family":"Tsang","given":"Garson","non-dropping-particle":"","parse-names":false,"suffix":""},{"dropping-particle":"","family":"Shellooe","given":"Rafe","non-dropping-particle":"","parse-names":false,"suffix":""},{"dropping-particle":"","family":"Gee","given":"Carolyn","non-dropping-particle":"","parse-names":false,"suffix":""},{"dropping-particle":"","family":"West","given":"Brian L.","non-dropping-particle":"","parse-names":false,"suffix":""},{"dropping-particle":"","family":"Hirth","given":"Peter","non-dropping-particle":"","parse-names":false,"suffix":""},{"dropping-particle":"","family":"Nolop","given":"Keith","non-dropping-particle":"","parse-names":false,"suffix":""},{"dropping-particle":"","family":"Rijn","given":"Matt","non-dropping-particle":"van de","parse-names":false,"suffix":""},{"dropping-particle":"","family":"Hsu","given":"Henry H.","non-dropping-particle":"","parse-names":false,"suffix":""},{"dropping-particle":"","family":"Peterfy","given":"Charles","non-dropping-particle":"","parse-names":false,"suffix":""},{"dropping-particle":"","family":"Lin","given":"Paul S.","non-dropping-particle":"","parse-names":false,"suffix":""},{"dropping-particle":"","family":"Tong-Starksen","given":"Sandra","non-dropping-particle":"","parse-names":false,"suffix":""},{"dropping-particle":"","family":"Bollag","given":"Gideon","non-dropping-particle":"","parse-names":false,"suffix":""}],"container-title":"New England Journal of Medicine","id":"ITEM-1","issue":"5","issued":{"date-parts":[["2015"]]},"page":"428-37","title":"Structure-Guided Blockade of CSF1R Kinase in Tenosynovial Giant-Cell Tumor","type":"article-journal","volume":"373"},"uris":["http://www.mendeley.com/documents/?uuid=6ab27912-6cc8-451f-bc1e-acf52c23f601"]}],"mendeley":{"formattedCitation":"[57]","plainTextFormattedCitation":"[57]","previouslyFormattedCitation":"(57)"},"properties":{"noteIndex":0},"schema":"https://github.com/citation-style-language/schema/raw/master/csl-citation.json"}</w:instrText>
      </w:r>
      <w:r w:rsidR="00B22070" w:rsidRPr="00591954">
        <w:rPr>
          <w:szCs w:val="24"/>
          <w:lang w:val="en-GB"/>
        </w:rPr>
        <w:fldChar w:fldCharType="separate"/>
      </w:r>
      <w:r w:rsidR="004F23C5" w:rsidRPr="00591954">
        <w:rPr>
          <w:noProof/>
          <w:szCs w:val="24"/>
          <w:lang w:val="en-GB"/>
        </w:rPr>
        <w:t>[57]</w:t>
      </w:r>
      <w:r w:rsidR="00B22070" w:rsidRPr="00591954">
        <w:rPr>
          <w:szCs w:val="24"/>
          <w:lang w:val="en-GB"/>
        </w:rPr>
        <w:fldChar w:fldCharType="end"/>
      </w:r>
      <w:r w:rsidRPr="00591954">
        <w:rPr>
          <w:szCs w:val="24"/>
          <w:lang w:val="en-GB"/>
        </w:rPr>
        <w:t>.</w:t>
      </w:r>
      <w:r w:rsidR="00E2436E" w:rsidRPr="00591954">
        <w:rPr>
          <w:szCs w:val="24"/>
          <w:lang w:val="en-GB"/>
        </w:rPr>
        <w:t xml:space="preserve"> </w:t>
      </w:r>
      <w:r w:rsidRPr="00591954">
        <w:rPr>
          <w:szCs w:val="24"/>
          <w:lang w:val="en-GB"/>
        </w:rPr>
        <w:t>In accordance</w:t>
      </w:r>
      <w:r w:rsidR="00B22070" w:rsidRPr="00591954">
        <w:rPr>
          <w:szCs w:val="24"/>
          <w:lang w:val="en-GB"/>
        </w:rPr>
        <w:t>,</w:t>
      </w:r>
      <w:r w:rsidRPr="00591954">
        <w:rPr>
          <w:szCs w:val="24"/>
          <w:lang w:val="en-GB"/>
        </w:rPr>
        <w:t xml:space="preserve"> we measured &gt;90% microglia depletion in hippocampus and entorhinal cortex of </w:t>
      </w:r>
      <w:r w:rsidR="00B22070" w:rsidRPr="00591954">
        <w:rPr>
          <w:szCs w:val="24"/>
          <w:lang w:val="en-GB"/>
        </w:rPr>
        <w:t xml:space="preserve">naïve </w:t>
      </w:r>
      <w:r w:rsidRPr="00591954">
        <w:rPr>
          <w:szCs w:val="24"/>
          <w:lang w:val="en-GB"/>
        </w:rPr>
        <w:t xml:space="preserve">mice </w:t>
      </w:r>
      <w:r w:rsidR="00D13752" w:rsidRPr="00591954">
        <w:rPr>
          <w:szCs w:val="24"/>
          <w:lang w:val="en-GB"/>
        </w:rPr>
        <w:t>(</w:t>
      </w:r>
      <w:r w:rsidR="00B22070" w:rsidRPr="00591954">
        <w:rPr>
          <w:szCs w:val="24"/>
          <w:lang w:val="en-GB"/>
        </w:rPr>
        <w:t xml:space="preserve">protocol in </w:t>
      </w:r>
      <w:r w:rsidR="00D13752" w:rsidRPr="00591954">
        <w:rPr>
          <w:szCs w:val="24"/>
          <w:lang w:val="en-GB"/>
        </w:rPr>
        <w:t xml:space="preserve">Fig. S1B) </w:t>
      </w:r>
      <w:r w:rsidRPr="00591954">
        <w:rPr>
          <w:szCs w:val="24"/>
          <w:lang w:val="en-GB"/>
        </w:rPr>
        <w:t>fed with medicated diet (</w:t>
      </w:r>
      <w:r w:rsidR="00B22070" w:rsidRPr="00591954">
        <w:rPr>
          <w:szCs w:val="24"/>
          <w:lang w:val="en-GB"/>
        </w:rPr>
        <w:t>standard chow diet AIN-76A, R</w:t>
      </w:r>
      <w:r w:rsidR="00777F52" w:rsidRPr="00591954">
        <w:rPr>
          <w:szCs w:val="24"/>
          <w:lang w:val="en-GB"/>
        </w:rPr>
        <w:t>e</w:t>
      </w:r>
      <w:r w:rsidR="00B22070" w:rsidRPr="00591954">
        <w:rPr>
          <w:szCs w:val="24"/>
          <w:lang w:val="en-GB"/>
        </w:rPr>
        <w:t xml:space="preserve">search Diets, Inc., New Brunswick, NJ, USA </w:t>
      </w:r>
      <w:r w:rsidRPr="00591954">
        <w:rPr>
          <w:szCs w:val="24"/>
          <w:lang w:val="en-GB"/>
        </w:rPr>
        <w:t xml:space="preserve">supplemented with </w:t>
      </w:r>
      <w:r w:rsidR="00B22070" w:rsidRPr="00591954">
        <w:rPr>
          <w:szCs w:val="24"/>
          <w:lang w:val="en-GB"/>
        </w:rPr>
        <w:t xml:space="preserve">290 mg/kg </w:t>
      </w:r>
      <w:r w:rsidRPr="00591954">
        <w:rPr>
          <w:szCs w:val="24"/>
          <w:lang w:val="en-GB"/>
        </w:rPr>
        <w:t>PLX3397</w:t>
      </w:r>
      <w:r w:rsidR="00B22070" w:rsidRPr="00591954">
        <w:rPr>
          <w:szCs w:val="24"/>
          <w:lang w:val="en-GB"/>
        </w:rPr>
        <w:t>;</w:t>
      </w:r>
      <w:r w:rsidR="00B22070" w:rsidRPr="00591954" w:rsidDel="00B22070">
        <w:rPr>
          <w:szCs w:val="24"/>
          <w:lang w:val="en-GB"/>
        </w:rPr>
        <w:t xml:space="preserve"> </w:t>
      </w:r>
      <w:r w:rsidRPr="00591954">
        <w:rPr>
          <w:szCs w:val="24"/>
          <w:lang w:val="en-GB"/>
        </w:rPr>
        <w:t xml:space="preserve">n=5) </w:t>
      </w:r>
      <w:r w:rsidRPr="00591954">
        <w:rPr>
          <w:i/>
          <w:szCs w:val="24"/>
          <w:lang w:val="en-GB"/>
        </w:rPr>
        <w:t>vs</w:t>
      </w:r>
      <w:r w:rsidRPr="00591954">
        <w:rPr>
          <w:szCs w:val="24"/>
          <w:lang w:val="en-GB"/>
        </w:rPr>
        <w:t xml:space="preserve"> </w:t>
      </w:r>
      <w:r w:rsidR="00B22070" w:rsidRPr="00591954">
        <w:rPr>
          <w:szCs w:val="24"/>
          <w:lang w:val="en-GB"/>
        </w:rPr>
        <w:t xml:space="preserve">naïve </w:t>
      </w:r>
      <w:r w:rsidRPr="00591954">
        <w:rPr>
          <w:szCs w:val="24"/>
          <w:lang w:val="en-GB"/>
        </w:rPr>
        <w:t>mice fed with placebo</w:t>
      </w:r>
      <w:r w:rsidR="00B22070" w:rsidRPr="00591954">
        <w:rPr>
          <w:szCs w:val="24"/>
          <w:lang w:val="en-GB"/>
        </w:rPr>
        <w:t xml:space="preserve"> diet</w:t>
      </w:r>
      <w:r w:rsidRPr="00591954">
        <w:rPr>
          <w:szCs w:val="24"/>
          <w:lang w:val="en-GB"/>
        </w:rPr>
        <w:t xml:space="preserve"> (</w:t>
      </w:r>
      <w:r w:rsidR="00B22070" w:rsidRPr="00591954">
        <w:rPr>
          <w:szCs w:val="24"/>
          <w:lang w:val="en-GB"/>
        </w:rPr>
        <w:t>standard chow diet AIN-76A;</w:t>
      </w:r>
      <w:r w:rsidRPr="00591954">
        <w:rPr>
          <w:szCs w:val="24"/>
          <w:lang w:val="en-GB"/>
        </w:rPr>
        <w:t>n=6-8), as assessed by Iba-1 and CD11b quantitative immunohistochemistry (CD11b: P=0.0022; Iba-1: hippocampus P=0.0013, entorhinal cortex P=0.0008</w:t>
      </w:r>
      <w:r w:rsidR="005E0D0B" w:rsidRPr="00591954">
        <w:rPr>
          <w:szCs w:val="24"/>
          <w:lang w:val="en-GB"/>
        </w:rPr>
        <w:t xml:space="preserve">; Mann-Whitney </w:t>
      </w:r>
      <w:r w:rsidRPr="00591954">
        <w:rPr>
          <w:rFonts w:eastAsia="Cambria"/>
          <w:szCs w:val="24"/>
          <w:lang w:val="en-GB"/>
        </w:rPr>
        <w:t>test</w:t>
      </w:r>
      <w:r w:rsidRPr="00591954">
        <w:rPr>
          <w:szCs w:val="24"/>
          <w:lang w:val="en-GB"/>
        </w:rPr>
        <w:t>; Fig. S</w:t>
      </w:r>
      <w:r w:rsidR="007311C2" w:rsidRPr="00591954">
        <w:rPr>
          <w:szCs w:val="24"/>
          <w:lang w:val="en-GB"/>
        </w:rPr>
        <w:t>7</w:t>
      </w:r>
      <w:r w:rsidRPr="00591954">
        <w:rPr>
          <w:szCs w:val="24"/>
          <w:lang w:val="en-GB"/>
        </w:rPr>
        <w:t xml:space="preserve">A). </w:t>
      </w:r>
    </w:p>
    <w:p w14:paraId="6D184622" w14:textId="54D30A56" w:rsidR="00C32684" w:rsidRPr="00591954" w:rsidRDefault="00951646" w:rsidP="00B4110B">
      <w:pPr>
        <w:rPr>
          <w:szCs w:val="24"/>
          <w:lang w:val="en-GB"/>
        </w:rPr>
      </w:pPr>
      <w:r w:rsidRPr="00591954">
        <w:rPr>
          <w:szCs w:val="24"/>
          <w:lang w:val="en-GB"/>
        </w:rPr>
        <w:t xml:space="preserve">Analysis by flow cytometry of inflammatory cells within the brain confirmed that microglia number in PLX3397-supplemented diet fed mice was reduced to 6.5% of the cell number in placebo (non-medicated) diet fed mice (n=2-3; P=0.0001 </w:t>
      </w:r>
      <w:r w:rsidR="00D90146" w:rsidRPr="00591954">
        <w:rPr>
          <w:szCs w:val="24"/>
          <w:lang w:val="en-GB"/>
        </w:rPr>
        <w:t xml:space="preserve">Mann-Whitney </w:t>
      </w:r>
      <w:r w:rsidRPr="00591954">
        <w:rPr>
          <w:rFonts w:eastAsia="Cambria"/>
          <w:szCs w:val="24"/>
          <w:lang w:val="en-GB"/>
        </w:rPr>
        <w:t>test</w:t>
      </w:r>
      <w:r w:rsidRPr="00591954">
        <w:rPr>
          <w:szCs w:val="24"/>
          <w:lang w:val="en-GB"/>
        </w:rPr>
        <w:t>; Fig. S</w:t>
      </w:r>
      <w:r w:rsidR="007311C2" w:rsidRPr="00591954">
        <w:rPr>
          <w:szCs w:val="24"/>
          <w:lang w:val="en-GB"/>
        </w:rPr>
        <w:t>7</w:t>
      </w:r>
      <w:r w:rsidRPr="00591954">
        <w:rPr>
          <w:szCs w:val="24"/>
          <w:lang w:val="en-GB"/>
        </w:rPr>
        <w:t>B). Other immune cells present in the healthy brain in low numbers such as neutrophils, monocytes and lymphocytes, were not significantly affected by the PLX3397 diet (not shown), thus validating this treatment effectively causes microglial depletion (Fig. S</w:t>
      </w:r>
      <w:r w:rsidR="007311C2" w:rsidRPr="00591954">
        <w:rPr>
          <w:szCs w:val="24"/>
          <w:lang w:val="en-GB"/>
        </w:rPr>
        <w:t>7</w:t>
      </w:r>
      <w:r w:rsidR="00D90146" w:rsidRPr="00591954">
        <w:rPr>
          <w:szCs w:val="24"/>
          <w:lang w:val="en-GB"/>
        </w:rPr>
        <w:t>A,</w:t>
      </w:r>
      <w:r w:rsidRPr="00591954">
        <w:rPr>
          <w:szCs w:val="24"/>
          <w:lang w:val="en-GB"/>
        </w:rPr>
        <w:t>B).</w:t>
      </w:r>
      <w:r w:rsidR="002A3ECC" w:rsidRPr="00591954">
        <w:rPr>
          <w:szCs w:val="24"/>
          <w:lang w:val="en-GB"/>
        </w:rPr>
        <w:t xml:space="preserve"> In the same mice, FACS analysis showed a modest effect on circulating macrophages whereas other peripheral leukocyte classes were unaltered [data not shown; see also ref. </w:t>
      </w:r>
      <w:r w:rsidR="002A3ECC" w:rsidRPr="00591954">
        <w:rPr>
          <w:szCs w:val="24"/>
          <w:lang w:val="en-GB"/>
        </w:rPr>
        <w:fldChar w:fldCharType="begin" w:fldLock="1"/>
      </w:r>
      <w:r w:rsidR="004F23C5" w:rsidRPr="00591954">
        <w:rPr>
          <w:szCs w:val="24"/>
          <w:lang w:val="en-GB"/>
        </w:rPr>
        <w:instrText>ADDIN CSL_CITATION {"citationItems":[{"id":"ITEM-1","itemData":{"DOI":"10.1016/j.neuron.2014.02.040","ISBN":"1097-4199 (Electronic) 0896-6273 (Linking)","ISSN":"10974199","PMID":"24742461","abstract":"The colony-stimulating factor 1 receptor (CSF1R) is a key regulator of myeloid lineage cells. Genetic loss of the CSF1R blocks the normal population of resident microglia in the brain that originates from the yolk sac during early development. However, the role of CSF1R signaling in microglial homeostasis in the adult brain is largely unknown. To this end, we tested the effects of selective CSF1R inhibitors on microglia in adult mice. Surprisingly, extensive treatment results in elimination of ~99% of all microglia brain-wide, showing that microglia in the adult brain are physiologically dependent upon CSF1R signaling. Mice depleted of microglia show no behavioral or cognitive abnormalities, revealing that microglia are not necessary for these tasks. Finally, we discovered that the microglia-depleted brain completely repopulates with new microglia within 1week of inhibitor cessation. Microglial repopulation throughout the CNS occurs through proliferation of nestin-positive cells that then differentiate into microglia. © 2014 Elsevier Inc.","author":[{"dropping-particle":"","family":"Elmore","given":"Monica R.P.","non-dropping-particle":"","parse-names":false,"suffix":""},{"dropping-particle":"","family":"Najafi","given":"Allison R.","non-dropping-particle":"","parse-names":false,"suffix":""},{"dropping-particle":"","family":"Koike","given":"Maya A.","non-dropping-particle":"","parse-names":false,"suffix":""},{"dropping-particle":"","family":"Dagher","given":"Nabil N.","non-dropping-particle":"","parse-names":false,"suffix":""},{"dropping-particle":"","family":"Spangenberg","given":"Elizabeth E.","non-dropping-particle":"","parse-names":false,"suffix":""},{"dropping-particle":"","family":"Rice","given":"Rachel A.","non-dropping-particle":"","parse-names":false,"suffix":""},{"dropping-particle":"","family":"Kitazawa","given":"Masashi","non-dropping-particle":"","parse-names":false,"suffix":""},{"dropping-particle":"","family":"Matusow","given":"Bernice","non-dropping-particle":"","parse-names":false,"suffix":""},{"dropping-particle":"","family":"Nguyen","given":"Hoa","non-dropping-particle":"","parse-names":false,"suffix":""},{"dropping-particle":"","family":"West","given":"Brian L.","non-dropping-particle":"","parse-names":false,"suffix":""},{"dropping-particle":"","family":"Green","given":"Kim N.","non-dropping-particle":"","parse-names":false,"suffix":""}],"container-title":"Neuron","id":"ITEM-1","issue":"2","issued":{"date-parts":[["2014"]]},"page":"380-97","title":"Colony-stimulating factor 1 receptor signaling is necessary for microglia viability, unmasking a microglia progenitor cell in the adult brain","type":"article-journal","volume":"82"},"uris":["http://www.mendeley.com/documents/?uuid=373176f4-be7e-4bf4-b6e2-9383e47f86e0"]}],"mendeley":{"formattedCitation":"[53]","plainTextFormattedCitation":"[53]","previouslyFormattedCitation":"(53)"},"properties":{"noteIndex":0},"schema":"https://github.com/citation-style-language/schema/raw/master/csl-citation.json"}</w:instrText>
      </w:r>
      <w:r w:rsidR="002A3ECC" w:rsidRPr="00591954">
        <w:rPr>
          <w:szCs w:val="24"/>
          <w:lang w:val="en-GB"/>
        </w:rPr>
        <w:fldChar w:fldCharType="separate"/>
      </w:r>
      <w:r w:rsidR="004F23C5" w:rsidRPr="00591954">
        <w:rPr>
          <w:noProof/>
          <w:szCs w:val="24"/>
          <w:lang w:val="en-GB"/>
        </w:rPr>
        <w:t>[53]</w:t>
      </w:r>
      <w:r w:rsidR="002A3ECC" w:rsidRPr="00591954">
        <w:rPr>
          <w:szCs w:val="24"/>
          <w:lang w:val="en-GB"/>
        </w:rPr>
        <w:fldChar w:fldCharType="end"/>
      </w:r>
      <w:r w:rsidR="002A3ECC" w:rsidRPr="00591954">
        <w:rPr>
          <w:szCs w:val="24"/>
          <w:lang w:val="en-GB"/>
        </w:rPr>
        <w:t>].</w:t>
      </w:r>
      <w:r w:rsidR="008D24A6" w:rsidRPr="00591954">
        <w:rPr>
          <w:szCs w:val="24"/>
          <w:lang w:val="en-GB"/>
        </w:rPr>
        <w:t xml:space="preserve"> </w:t>
      </w:r>
      <w:r w:rsidR="00C32684" w:rsidRPr="00591954">
        <w:rPr>
          <w:szCs w:val="24"/>
          <w:lang w:val="en-GB"/>
        </w:rPr>
        <w:t xml:space="preserve">Moreover, we found that </w:t>
      </w:r>
      <w:r w:rsidR="00C32684" w:rsidRPr="00591954">
        <w:rPr>
          <w:rFonts w:eastAsia="Cambria"/>
          <w:lang w:val="en-GB"/>
        </w:rPr>
        <w:t>the hippocampal neuronal excitability was unaltered in naive mice depleted of microglia, as assessed in acute hippocampal slices (Fig. S8A, n=5-6 mice/group) or in Xenopous oocytes transfected with hippocampal membranes from microglia depleted mice vs normal mice (Fig. S8B, n=2 mice/group).</w:t>
      </w:r>
      <w:r w:rsidR="00C32684" w:rsidRPr="00591954">
        <w:rPr>
          <w:rFonts w:ascii="Arial" w:eastAsia="ヒラギノ角ゴ Pro W3" w:hAnsi="Arial" w:cs="Arial"/>
          <w:lang w:val="en-GB"/>
        </w:rPr>
        <w:t xml:space="preserve"> </w:t>
      </w:r>
      <w:r w:rsidR="00C32684" w:rsidRPr="00591954">
        <w:rPr>
          <w:rFonts w:eastAsia="ヒラギノ角ゴ Pro W3"/>
          <w:lang w:val="en-GB"/>
        </w:rPr>
        <w:t xml:space="preserve">This is concordant with evidence of similar SE onset, severity and duration in microglia-depleted vs control mice (Fig. S4A). </w:t>
      </w:r>
    </w:p>
    <w:p w14:paraId="574774A5" w14:textId="77777777" w:rsidR="00C32684" w:rsidRPr="00591954" w:rsidRDefault="00C32684" w:rsidP="00B4110B">
      <w:pPr>
        <w:rPr>
          <w:rFonts w:eastAsia="ヒラギノ角ゴ Pro W3"/>
          <w:lang w:val="en-GB"/>
        </w:rPr>
      </w:pPr>
    </w:p>
    <w:p w14:paraId="6B52C62A" w14:textId="62996278" w:rsidR="00C32684" w:rsidRPr="00591954" w:rsidRDefault="00C32684" w:rsidP="00B4110B">
      <w:pPr>
        <w:rPr>
          <w:szCs w:val="24"/>
          <w:lang w:val="en-GB"/>
        </w:rPr>
      </w:pPr>
      <w:r w:rsidRPr="00591954">
        <w:rPr>
          <w:szCs w:val="24"/>
          <w:lang w:val="en-GB"/>
        </w:rPr>
        <w:t xml:space="preserve">The mice undergoing PLX3397 diet grew in weight similarly to placebo diet </w:t>
      </w:r>
      <w:r w:rsidR="00E0017E" w:rsidRPr="00591954">
        <w:rPr>
          <w:szCs w:val="24"/>
          <w:lang w:val="en-GB"/>
        </w:rPr>
        <w:t>-</w:t>
      </w:r>
      <w:r w:rsidRPr="00591954">
        <w:rPr>
          <w:szCs w:val="24"/>
          <w:lang w:val="en-GB"/>
        </w:rPr>
        <w:t xml:space="preserve">ed mice during three weeks of treatment (Placebo, day 1, 25.1±0.2; day 21, 28.2±0.5; PLX, day 1, 24.7±0.5; day 21, 26.7±0.4, n=5-8).   </w:t>
      </w:r>
    </w:p>
    <w:p w14:paraId="58EBE760" w14:textId="77777777" w:rsidR="00C32684" w:rsidRPr="00591954" w:rsidRDefault="00C32684" w:rsidP="00B4110B">
      <w:pPr>
        <w:rPr>
          <w:szCs w:val="24"/>
          <w:lang w:val="en-GB"/>
        </w:rPr>
      </w:pPr>
    </w:p>
    <w:p w14:paraId="39175084" w14:textId="77777777" w:rsidR="00951646" w:rsidRPr="00591954" w:rsidRDefault="00951646" w:rsidP="00B4110B">
      <w:pPr>
        <w:rPr>
          <w:szCs w:val="24"/>
          <w:lang w:val="en-GB"/>
        </w:rPr>
      </w:pPr>
    </w:p>
    <w:p w14:paraId="3EBCA6C4" w14:textId="004C1680" w:rsidR="000E09A5" w:rsidRPr="00591954" w:rsidRDefault="00951646" w:rsidP="00B4110B">
      <w:pPr>
        <w:rPr>
          <w:szCs w:val="24"/>
          <w:lang w:val="en-GB"/>
        </w:rPr>
      </w:pPr>
      <w:r w:rsidRPr="00591954">
        <w:rPr>
          <w:b/>
          <w:szCs w:val="24"/>
          <w:lang w:val="en-GB"/>
        </w:rPr>
        <w:t>Microglia depletion in mice exposed to status epilepticus and developing epilepsy.</w:t>
      </w:r>
      <w:r w:rsidRPr="00591954">
        <w:rPr>
          <w:i/>
          <w:szCs w:val="24"/>
          <w:lang w:val="en-GB"/>
        </w:rPr>
        <w:t xml:space="preserve"> </w:t>
      </w:r>
      <w:r w:rsidRPr="00591954">
        <w:rPr>
          <w:szCs w:val="24"/>
          <w:lang w:val="en-GB"/>
        </w:rPr>
        <w:t>The detailed experimental design is depicted in Fig. S</w:t>
      </w:r>
      <w:r w:rsidR="002A3ECC" w:rsidRPr="00591954">
        <w:rPr>
          <w:szCs w:val="24"/>
          <w:lang w:val="en-GB"/>
        </w:rPr>
        <w:t>1</w:t>
      </w:r>
      <w:r w:rsidRPr="00591954">
        <w:rPr>
          <w:szCs w:val="24"/>
          <w:lang w:val="en-GB"/>
        </w:rPr>
        <w:t xml:space="preserve">A. </w:t>
      </w:r>
      <w:r w:rsidR="000E09A5" w:rsidRPr="00591954">
        <w:rPr>
          <w:szCs w:val="24"/>
          <w:lang w:val="en-GB"/>
        </w:rPr>
        <w:t>Mice to be exposed to SE were fed for three weeks with either a standard chow (placebo non-medicated) diet (n=10) or with the medicated diet</w:t>
      </w:r>
      <w:r w:rsidR="00E0017E" w:rsidRPr="00591954">
        <w:rPr>
          <w:szCs w:val="24"/>
          <w:lang w:val="en-GB"/>
        </w:rPr>
        <w:t xml:space="preserve">, </w:t>
      </w:r>
      <w:r w:rsidR="00252425" w:rsidRPr="00591954">
        <w:rPr>
          <w:szCs w:val="24"/>
          <w:lang w:val="en-GB"/>
        </w:rPr>
        <w:t>i.e.,</w:t>
      </w:r>
      <w:r w:rsidR="000E09A5" w:rsidRPr="00591954">
        <w:rPr>
          <w:szCs w:val="24"/>
          <w:lang w:val="en-GB"/>
        </w:rPr>
        <w:t xml:space="preserve"> supplemented with PLX3397 (n=11), as above described. </w:t>
      </w:r>
    </w:p>
    <w:p w14:paraId="4E78B158" w14:textId="214113DC" w:rsidR="00951646" w:rsidRPr="00591954" w:rsidRDefault="000E09A5" w:rsidP="00B4110B">
      <w:pPr>
        <w:rPr>
          <w:szCs w:val="24"/>
          <w:lang w:val="en-GB"/>
        </w:rPr>
      </w:pPr>
      <w:r w:rsidRPr="00591954">
        <w:rPr>
          <w:szCs w:val="24"/>
          <w:lang w:val="en-GB"/>
        </w:rPr>
        <w:t xml:space="preserve">After two weeks of either placebo or medicated diet, </w:t>
      </w:r>
      <w:r w:rsidR="00951646" w:rsidRPr="00591954">
        <w:rPr>
          <w:szCs w:val="24"/>
          <w:lang w:val="en-GB"/>
        </w:rPr>
        <w:t xml:space="preserve">mice were implanted with electrodes and injection cannula, and after one week from surgery they were exposed to SE (as described above) under the same </w:t>
      </w:r>
      <w:r w:rsidRPr="00591954">
        <w:rPr>
          <w:szCs w:val="24"/>
          <w:lang w:val="en-GB"/>
        </w:rPr>
        <w:t xml:space="preserve">placebo or </w:t>
      </w:r>
      <w:r w:rsidR="00951646" w:rsidRPr="00591954">
        <w:rPr>
          <w:szCs w:val="24"/>
          <w:lang w:val="en-GB"/>
        </w:rPr>
        <w:t>medicated diet regimen. The medicated diet was continued for two additional weeks after SE</w:t>
      </w:r>
      <w:r w:rsidR="00951646" w:rsidRPr="00591954">
        <w:rPr>
          <w:rFonts w:eastAsia="Yu Mincho"/>
          <w:szCs w:val="24"/>
          <w:lang w:val="en-GB"/>
        </w:rPr>
        <w:t xml:space="preserve"> (i.e., for one week after the onset of epilepsy</w:t>
      </w:r>
      <w:r w:rsidR="00C35632" w:rsidRPr="00591954">
        <w:rPr>
          <w:rFonts w:eastAsia="Yu Mincho"/>
          <w:szCs w:val="24"/>
          <w:lang w:val="en-GB"/>
        </w:rPr>
        <w:t xml:space="preserve"> which occurred </w:t>
      </w:r>
      <w:r w:rsidR="00951646" w:rsidRPr="00591954">
        <w:rPr>
          <w:rFonts w:eastAsia="Yu Mincho"/>
          <w:szCs w:val="24"/>
          <w:lang w:val="en-GB"/>
        </w:rPr>
        <w:t>6.2±0.5</w:t>
      </w:r>
      <w:r w:rsidR="00951646" w:rsidRPr="00591954" w:rsidDel="00093765">
        <w:rPr>
          <w:szCs w:val="24"/>
          <w:lang w:val="en-GB"/>
        </w:rPr>
        <w:t xml:space="preserve"> </w:t>
      </w:r>
      <w:r w:rsidR="00951646" w:rsidRPr="00591954">
        <w:rPr>
          <w:szCs w:val="24"/>
          <w:lang w:val="en-GB"/>
        </w:rPr>
        <w:t xml:space="preserve">days post-SE; n=21). At this time, mice under the medicated diet were switched to the non-medicated diet until the end of the experiment (90 days after epilepsy onset). PLX3397 withdrawal allows microglia repopulation within 7 days </w:t>
      </w:r>
      <w:r w:rsidR="00951646" w:rsidRPr="00591954">
        <w:rPr>
          <w:szCs w:val="24"/>
          <w:lang w:val="en-GB"/>
        </w:rPr>
        <w:fldChar w:fldCharType="begin" w:fldLock="1"/>
      </w:r>
      <w:r w:rsidR="004F23C5" w:rsidRPr="00591954">
        <w:rPr>
          <w:szCs w:val="24"/>
          <w:lang w:val="en-GB"/>
        </w:rPr>
        <w:instrText>ADDIN CSL_CITATION {"citationItems":[{"id":"ITEM-1","itemData":{"DOI":"10.1016/j.neuron.2014.02.040","ISBN":"1097-4199 (Electronic) 0896-6273 (Linking)","ISSN":"10974199","PMID":"24742461","abstract":"The colony-stimulating factor 1 receptor (CSF1R) is a key regulator of myeloid lineage cells. Genetic loss of the CSF1R blocks the normal population of resident microglia in the brain that originates from the yolk sac during early development. However, the role of CSF1R signaling in microglial homeostasis in the adult brain is largely unknown. To this end, we tested the effects of selective CSF1R inhibitors on microglia in adult mice. Surprisingly, extensive treatment results in elimination of ~99% of all microglia brain-wide, showing that microglia in the adult brain are physiologically dependent upon CSF1R signaling. Mice depleted of microglia show no behavioral or cognitive abnormalities, revealing that microglia are not necessary for these tasks. Finally, we discovered that the microglia-depleted brain completely repopulates with new microglia within 1week of inhibitor cessation. Microglial repopulation throughout the CNS occurs through proliferation of nestin-positive cells that then differentiate into microglia. © 2014 Elsevier Inc.","author":[{"dropping-particle":"","family":"Elmore","given":"Monica R.P.","non-dropping-particle":"","parse-names":false,"suffix":""},{"dropping-particle":"","family":"Najafi","given":"Allison R.","non-dropping-particle":"","parse-names":false,"suffix":""},{"dropping-particle":"","family":"Koike","given":"Maya A.","non-dropping-particle":"","parse-names":false,"suffix":""},{"dropping-particle":"","family":"Dagher","given":"Nabil N.","non-dropping-particle":"","parse-names":false,"suffix":""},{"dropping-particle":"","family":"Spangenberg","given":"Elizabeth E.","non-dropping-particle":"","parse-names":false,"suffix":""},{"dropping-particle":"","family":"Rice","given":"Rachel A.","non-dropping-particle":"","parse-names":false,"suffix":""},{"dropping-particle":"","family":"Kitazawa","given":"Masashi","non-dropping-particle":"","parse-names":false,"suffix":""},{"dropping-particle":"","family":"Matusow","given":"Bernice","non-dropping-particle":"","parse-names":false,"suffix":""},{"dropping-particle":"","family":"Nguyen","given":"Hoa","non-dropping-particle":"","parse-names":false,"suffix":""},{"dropping-particle":"","family":"West","given":"Brian L.","non-dropping-particle":"","parse-names":false,"suffix":""},{"dropping-particle":"","family":"Green","given":"Kim N.","non-dropping-particle":"","parse-names":false,"suffix":""}],"container-title":"Neuron","id":"ITEM-1","issue":"2","issued":{"date-parts":[["2014"]]},"page":"380-97","title":"Colony-stimulating factor 1 receptor signaling is necessary for microglia viability, unmasking a microglia progenitor cell in the adult brain","type":"article-journal","volume":"82"},"uris":["http://www.mendeley.com/documents/?uuid=373176f4-be7e-4bf4-b6e2-9383e47f86e0"]}],"mendeley":{"formattedCitation":"[53]","plainTextFormattedCitation":"[53]","previouslyFormattedCitation":"(53)"},"properties":{"noteIndex":0},"schema":"https://github.com/citation-style-language/schema/raw/master/csl-citation.json"}</w:instrText>
      </w:r>
      <w:r w:rsidR="00951646" w:rsidRPr="00591954">
        <w:rPr>
          <w:szCs w:val="24"/>
          <w:lang w:val="en-GB"/>
        </w:rPr>
        <w:fldChar w:fldCharType="separate"/>
      </w:r>
      <w:r w:rsidR="004F23C5" w:rsidRPr="00591954">
        <w:rPr>
          <w:noProof/>
          <w:szCs w:val="24"/>
          <w:lang w:val="en-GB"/>
        </w:rPr>
        <w:t>[53]</w:t>
      </w:r>
      <w:r w:rsidR="00951646" w:rsidRPr="00591954">
        <w:rPr>
          <w:szCs w:val="24"/>
          <w:lang w:val="en-GB"/>
        </w:rPr>
        <w:fldChar w:fldCharType="end"/>
      </w:r>
      <w:r w:rsidR="00951646" w:rsidRPr="00591954">
        <w:rPr>
          <w:szCs w:val="24"/>
          <w:lang w:val="en-GB"/>
        </w:rPr>
        <w:t xml:space="preserve"> (</w:t>
      </w:r>
      <w:r w:rsidR="00951646" w:rsidRPr="00591954">
        <w:rPr>
          <w:i/>
          <w:szCs w:val="24"/>
          <w:lang w:val="en-GB"/>
        </w:rPr>
        <w:t>and our own observations</w:t>
      </w:r>
      <w:r w:rsidR="00951646" w:rsidRPr="00591954">
        <w:rPr>
          <w:szCs w:val="24"/>
          <w:lang w:val="en-GB"/>
        </w:rPr>
        <w:t xml:space="preserve">). </w:t>
      </w:r>
      <w:r w:rsidR="00956EE4" w:rsidRPr="00591954">
        <w:rPr>
          <w:szCs w:val="24"/>
          <w:lang w:val="en-GB"/>
        </w:rPr>
        <w:t>C</w:t>
      </w:r>
      <w:r w:rsidR="00951646" w:rsidRPr="00591954">
        <w:rPr>
          <w:szCs w:val="24"/>
          <w:lang w:val="en-GB"/>
        </w:rPr>
        <w:t>ontrol mice w</w:t>
      </w:r>
      <w:r w:rsidR="00956EE4" w:rsidRPr="00591954">
        <w:rPr>
          <w:szCs w:val="24"/>
          <w:lang w:val="en-GB"/>
        </w:rPr>
        <w:t>ere</w:t>
      </w:r>
      <w:r w:rsidR="00951646" w:rsidRPr="00591954">
        <w:rPr>
          <w:szCs w:val="24"/>
          <w:lang w:val="en-GB"/>
        </w:rPr>
        <w:t xml:space="preserve"> handled as experimental mice </w:t>
      </w:r>
      <w:r w:rsidR="00951646" w:rsidRPr="00591954">
        <w:rPr>
          <w:szCs w:val="24"/>
          <w:lang w:val="en-GB"/>
        </w:rPr>
        <w:lastRenderedPageBreak/>
        <w:t xml:space="preserve">but they were exposed to placebo (non-medicated) diet throughout the whole experiment. </w:t>
      </w:r>
      <w:r w:rsidR="00D8743C" w:rsidRPr="00591954">
        <w:rPr>
          <w:szCs w:val="24"/>
          <w:lang w:val="en-GB"/>
        </w:rPr>
        <w:t xml:space="preserve">The mice undergoing PLX3397 </w:t>
      </w:r>
      <w:r w:rsidR="00234BEA" w:rsidRPr="00591954">
        <w:rPr>
          <w:szCs w:val="24"/>
          <w:lang w:val="en-GB"/>
        </w:rPr>
        <w:t xml:space="preserve">or placebo </w:t>
      </w:r>
      <w:r w:rsidR="00D8743C" w:rsidRPr="00591954">
        <w:rPr>
          <w:szCs w:val="24"/>
          <w:lang w:val="en-GB"/>
        </w:rPr>
        <w:t xml:space="preserve">diet </w:t>
      </w:r>
      <w:r w:rsidR="00234BEA" w:rsidRPr="00591954">
        <w:rPr>
          <w:szCs w:val="24"/>
          <w:lang w:val="en-GB"/>
        </w:rPr>
        <w:t xml:space="preserve">undergoing SE </w:t>
      </w:r>
      <w:r w:rsidR="00D8743C" w:rsidRPr="00591954">
        <w:rPr>
          <w:szCs w:val="24"/>
          <w:lang w:val="en-GB"/>
        </w:rPr>
        <w:t>gr</w:t>
      </w:r>
      <w:r w:rsidR="00E44251" w:rsidRPr="00591954">
        <w:rPr>
          <w:szCs w:val="24"/>
          <w:lang w:val="en-GB"/>
        </w:rPr>
        <w:t>ew</w:t>
      </w:r>
      <w:r w:rsidR="00D8743C" w:rsidRPr="00591954">
        <w:rPr>
          <w:szCs w:val="24"/>
          <w:lang w:val="en-GB"/>
        </w:rPr>
        <w:t xml:space="preserve"> in weight similarly during 5 weeks of treatment (Placebo, day 1,</w:t>
      </w:r>
      <w:r w:rsidR="00234BEA" w:rsidRPr="00591954">
        <w:rPr>
          <w:szCs w:val="24"/>
          <w:lang w:val="en-GB"/>
        </w:rPr>
        <w:t xml:space="preserve"> 24.0±1</w:t>
      </w:r>
      <w:r w:rsidR="00D8743C" w:rsidRPr="00591954">
        <w:rPr>
          <w:szCs w:val="24"/>
          <w:lang w:val="en-GB"/>
        </w:rPr>
        <w:t>.2; day 35</w:t>
      </w:r>
      <w:r w:rsidR="00234BEA" w:rsidRPr="00591954">
        <w:rPr>
          <w:szCs w:val="24"/>
          <w:lang w:val="en-GB"/>
        </w:rPr>
        <w:t>, 25.7±1.4</w:t>
      </w:r>
      <w:r w:rsidR="00D8743C" w:rsidRPr="00591954">
        <w:rPr>
          <w:szCs w:val="24"/>
          <w:lang w:val="en-GB"/>
        </w:rPr>
        <w:t>;</w:t>
      </w:r>
      <w:r w:rsidR="00E44251" w:rsidRPr="00591954">
        <w:rPr>
          <w:szCs w:val="24"/>
          <w:lang w:val="en-GB"/>
        </w:rPr>
        <w:t xml:space="preserve"> </w:t>
      </w:r>
      <w:r w:rsidR="00D8743C" w:rsidRPr="00591954">
        <w:rPr>
          <w:szCs w:val="24"/>
          <w:lang w:val="en-GB"/>
        </w:rPr>
        <w:t>PLX, day 1</w:t>
      </w:r>
      <w:r w:rsidR="00234BEA" w:rsidRPr="00591954">
        <w:rPr>
          <w:szCs w:val="24"/>
          <w:lang w:val="en-GB"/>
        </w:rPr>
        <w:t>, 23.3±1.7</w:t>
      </w:r>
      <w:r w:rsidR="00D8743C" w:rsidRPr="00591954">
        <w:rPr>
          <w:szCs w:val="24"/>
          <w:lang w:val="en-GB"/>
        </w:rPr>
        <w:t>; day 35</w:t>
      </w:r>
      <w:r w:rsidR="00234BEA" w:rsidRPr="00591954">
        <w:rPr>
          <w:szCs w:val="24"/>
          <w:lang w:val="en-GB"/>
        </w:rPr>
        <w:t>, 26.2±1.1</w:t>
      </w:r>
      <w:r w:rsidR="00D8743C" w:rsidRPr="00591954">
        <w:rPr>
          <w:szCs w:val="24"/>
          <w:lang w:val="en-GB"/>
        </w:rPr>
        <w:t xml:space="preserve">).   </w:t>
      </w:r>
    </w:p>
    <w:p w14:paraId="07384B33" w14:textId="71B3DD10" w:rsidR="00951646" w:rsidRPr="00591954" w:rsidRDefault="00C35632" w:rsidP="00B4110B">
      <w:pPr>
        <w:rPr>
          <w:szCs w:val="24"/>
          <w:lang w:val="en-GB"/>
        </w:rPr>
      </w:pPr>
      <w:r w:rsidRPr="00591954">
        <w:rPr>
          <w:szCs w:val="24"/>
          <w:lang w:val="en-GB"/>
        </w:rPr>
        <w:t xml:space="preserve">By </w:t>
      </w:r>
      <w:r w:rsidR="00951646" w:rsidRPr="00591954">
        <w:rPr>
          <w:szCs w:val="24"/>
          <w:lang w:val="en-GB"/>
        </w:rPr>
        <w:t xml:space="preserve">3.0 months post-SE, all experimental and control mice developed chronic motor spontaneous seizures as assessed by </w:t>
      </w:r>
      <w:r w:rsidR="002A3ECC" w:rsidRPr="00591954">
        <w:rPr>
          <w:szCs w:val="24"/>
          <w:lang w:val="en-GB"/>
        </w:rPr>
        <w:t xml:space="preserve">35 days of </w:t>
      </w:r>
      <w:r w:rsidR="00951646" w:rsidRPr="00591954">
        <w:rPr>
          <w:szCs w:val="24"/>
          <w:lang w:val="en-GB"/>
        </w:rPr>
        <w:t xml:space="preserve">24/7 EEG monitoring </w:t>
      </w:r>
      <w:r w:rsidR="00951646" w:rsidRPr="00591954">
        <w:rPr>
          <w:szCs w:val="24"/>
          <w:lang w:val="en-GB"/>
        </w:rPr>
        <w:fldChar w:fldCharType="begin" w:fldLock="1"/>
      </w:r>
      <w:r w:rsidR="004F23C5" w:rsidRPr="00591954">
        <w:rPr>
          <w:szCs w:val="24"/>
          <w:lang w:val="en-GB"/>
        </w:rPr>
        <w:instrText>ADDIN CSL_CITATION {"citationItems":[{"id":"ITEM-1","itemData":{"DOI":"10.1016/j.nbd.2016.12.007","ISSN":"1095-953X","PMID":"27939857","abstract":"We recently discovered that forebrain activation of the IL-1 receptor/Toll-like receptor (IL-1R1/TLR4) innate immunity signal plays a pivotal role in neuronal hyperexcitability underlying seizures in rodents. Since this pathway is activated in neurons and glia in human epileptogenic foci, it represents a potential target for developing drugs interfering with the mechanisms of epileptogenesis that lead to spontaneous seizures. The lack of such drugs represents a major unmet clinical need. We tested therefore novel therapies inhibiting the IL-1R1/TLR4 signaling in an established murine model of acquired epilepsy. We used an epigenetic approach by injecting a synthetic mimic of micro(mi)RNA-146a that impairs IL1R1/TLR4 signal transduction, or we blocked receptor activation with antiinflammatory drugs. Both interventions when transiently applied to mice after epilepsy onset, prevented disease progression and dramatically reduced chronic seizure recurrence, while the anticonvulsant drug carbamazepine was ineffective. We conclude that IL-1R1/TLR4 is a novel potential therapeutic target for attaining disease-modifications in patients with diagnosed epilepsy.","author":[{"dropping-particle":"","family":"Iori","given":"Valentina","non-dropping-particle":"","parse-names":false,"suffix":""},{"dropping-particle":"","family":"Iyer","given":"Anand M.","non-dropping-particle":"","parse-names":false,"suffix":""},{"dropping-particle":"","family":"Ravizza","given":"Teresa","non-dropping-particle":"","parse-names":false,"suffix":""},{"dropping-particle":"","family":"Beltrame","given":"Luca","non-dropping-particle":"","parse-names":false,"suffix":""},{"dropping-particle":"","family":"Paracchini","given":"Lara","non-dropping-particle":"","parse-names":false,"suffix":""},{"dropping-particle":"","family":"Marchini","given":"Sergio","non-dropping-particle":"","parse-names":false,"suffix":""},{"dropping-particle":"","family":"Cerovic","given":"Milica","non-dropping-particle":"","parse-names":false,"suffix":""},{"dropping-particle":"","family":"Hill","given":"Cameron","non-dropping-particle":"","parse-names":false,"suffix":""},{"dropping-particle":"","family":"Ferrari","given":"Mariella","non-dropping-particle":"","parse-names":false,"suffix":""},{"dropping-particle":"","family":"Zucchetti","given":"Massimo","non-dropping-particle":"","parse-names":false,"suffix":""},{"dropping-particle":"","family":"Molteni","given":"Monica","non-dropping-particle":"","parse-names":false,"suffix":""},{"dropping-particle":"","family":"Rossetti","given":"Carlo","non-dropping-particle":"","parse-names":false,"suffix":""},{"dropping-particle":"","family":"Brambilla","given":"Riccardo","non-dropping-particle":"","parse-names":false,"suffix":""},{"dropping-particle":"","family":"Steve White","given":"H.","non-dropping-particle":"","parse-names":false,"suffix":""},{"dropping-particle":"","family":"D'Incalci","given":"Maurizio","non-dropping-particle":"","parse-names":false,"suffix":""},{"dropping-particle":"","family":"Aronica","given":"Eleonora","non-dropping-particle":"","parse-names":false,"suffix":""},{"dropping-particle":"","family":"Vezzani","given":"Annamaria","non-dropping-particle":"","parse-names":false,"suffix":""}],"container-title":"Neurobiology of Disease","id":"ITEM-1","issued":{"date-parts":[["2017","3"]]},"language":"eng","page":"12-23","title":"Blockade of the IL-1R1/TLR4 pathway mediates disease-modification therapeutic effects in a model of acquired epilepsy","type":"article-journal","volume":"99"},"uris":["http://www.mendeley.com/documents/?uuid=792ed98d-a7bf-432c-a076-9b08b99fc9cb"]}],"mendeley":{"formattedCitation":"[49]","plainTextFormattedCitation":"[49]","previouslyFormattedCitation":"(49)"},"properties":{"noteIndex":0},"schema":"https://github.com/citation-style-language/schema/raw/master/csl-citation.json"}</w:instrText>
      </w:r>
      <w:r w:rsidR="00951646" w:rsidRPr="00591954">
        <w:rPr>
          <w:szCs w:val="24"/>
          <w:lang w:val="en-GB"/>
        </w:rPr>
        <w:fldChar w:fldCharType="separate"/>
      </w:r>
      <w:r w:rsidR="004F23C5" w:rsidRPr="00591954">
        <w:rPr>
          <w:noProof/>
          <w:szCs w:val="24"/>
          <w:lang w:val="en-GB"/>
        </w:rPr>
        <w:t>[49]</w:t>
      </w:r>
      <w:r w:rsidR="00951646" w:rsidRPr="00591954">
        <w:rPr>
          <w:szCs w:val="24"/>
          <w:lang w:val="en-GB"/>
        </w:rPr>
        <w:fldChar w:fldCharType="end"/>
      </w:r>
      <w:r w:rsidR="00951646" w:rsidRPr="00591954">
        <w:rPr>
          <w:szCs w:val="24"/>
          <w:lang w:val="en-GB"/>
        </w:rPr>
        <w:t xml:space="preserve"> (Fig. S</w:t>
      </w:r>
      <w:r w:rsidR="00993FE2" w:rsidRPr="00591954">
        <w:rPr>
          <w:szCs w:val="24"/>
          <w:lang w:val="en-GB"/>
        </w:rPr>
        <w:t>4</w:t>
      </w:r>
      <w:r w:rsidR="002A3ECC" w:rsidRPr="00591954">
        <w:rPr>
          <w:szCs w:val="24"/>
          <w:lang w:val="en-GB"/>
        </w:rPr>
        <w:t>B</w:t>
      </w:r>
      <w:r w:rsidR="00956EE4" w:rsidRPr="00591954">
        <w:rPr>
          <w:szCs w:val="24"/>
          <w:lang w:val="en-GB"/>
        </w:rPr>
        <w:t>,C; Fig. 3C</w:t>
      </w:r>
      <w:r w:rsidR="00951646" w:rsidRPr="00591954">
        <w:rPr>
          <w:szCs w:val="24"/>
          <w:lang w:val="en-GB"/>
        </w:rPr>
        <w:t xml:space="preserve">). At the end of EEG monitoring, mice </w:t>
      </w:r>
      <w:r w:rsidRPr="00591954">
        <w:rPr>
          <w:szCs w:val="24"/>
          <w:lang w:val="en-GB"/>
        </w:rPr>
        <w:t>underwent behavio</w:t>
      </w:r>
      <w:r w:rsidR="00C9669B" w:rsidRPr="00591954">
        <w:rPr>
          <w:szCs w:val="24"/>
          <w:lang w:val="en-GB"/>
        </w:rPr>
        <w:t>u</w:t>
      </w:r>
      <w:r w:rsidRPr="00591954">
        <w:rPr>
          <w:szCs w:val="24"/>
          <w:lang w:val="en-GB"/>
        </w:rPr>
        <w:t xml:space="preserve">ral testing for memory deficit, then they </w:t>
      </w:r>
      <w:r w:rsidR="00951646" w:rsidRPr="00591954">
        <w:rPr>
          <w:szCs w:val="24"/>
          <w:lang w:val="en-GB"/>
        </w:rPr>
        <w:t xml:space="preserve">were sacrificed for subsequent </w:t>
      </w:r>
      <w:r w:rsidR="00956EE4" w:rsidRPr="00591954">
        <w:rPr>
          <w:szCs w:val="24"/>
          <w:lang w:val="en-GB"/>
        </w:rPr>
        <w:t>post</w:t>
      </w:r>
      <w:r w:rsidR="00E0017E" w:rsidRPr="00591954">
        <w:rPr>
          <w:szCs w:val="24"/>
          <w:lang w:val="en-GB"/>
        </w:rPr>
        <w:t xml:space="preserve"> </w:t>
      </w:r>
      <w:r w:rsidR="00956EE4" w:rsidRPr="00591954">
        <w:rPr>
          <w:szCs w:val="24"/>
          <w:lang w:val="en-GB"/>
        </w:rPr>
        <w:t xml:space="preserve">mortem </w:t>
      </w:r>
      <w:r w:rsidR="00951646" w:rsidRPr="00591954">
        <w:rPr>
          <w:szCs w:val="24"/>
          <w:lang w:val="en-GB"/>
        </w:rPr>
        <w:t xml:space="preserve">brain analysis as described below. </w:t>
      </w:r>
    </w:p>
    <w:p w14:paraId="15A988EB" w14:textId="77777777" w:rsidR="00005991" w:rsidRPr="00591954" w:rsidRDefault="00005991" w:rsidP="00B4110B">
      <w:pPr>
        <w:rPr>
          <w:szCs w:val="24"/>
          <w:lang w:val="en-GB"/>
        </w:rPr>
      </w:pPr>
    </w:p>
    <w:p w14:paraId="23F66B5A" w14:textId="77777777" w:rsidR="00837740" w:rsidRPr="00591954" w:rsidRDefault="00837740" w:rsidP="00B4110B">
      <w:pPr>
        <w:autoSpaceDE w:val="0"/>
        <w:autoSpaceDN w:val="0"/>
        <w:adjustRightInd w:val="0"/>
        <w:rPr>
          <w:b/>
          <w:iCs/>
          <w:szCs w:val="24"/>
          <w:lang w:val="en-GB" w:eastAsia="it-IT"/>
        </w:rPr>
      </w:pPr>
      <w:r w:rsidRPr="00591954">
        <w:rPr>
          <w:b/>
          <w:iCs/>
          <w:szCs w:val="24"/>
          <w:lang w:val="en-GB" w:eastAsia="it-IT"/>
        </w:rPr>
        <w:t>Novel object recognition test (NORT)</w:t>
      </w:r>
    </w:p>
    <w:p w14:paraId="3F811637" w14:textId="21B67FBB" w:rsidR="00837740" w:rsidRPr="00591954" w:rsidRDefault="00837740" w:rsidP="00B4110B">
      <w:pPr>
        <w:autoSpaceDE w:val="0"/>
        <w:autoSpaceDN w:val="0"/>
        <w:adjustRightInd w:val="0"/>
        <w:rPr>
          <w:lang w:val="en-GB" w:eastAsia="it-IT"/>
        </w:rPr>
      </w:pPr>
      <w:r w:rsidRPr="00591954">
        <w:rPr>
          <w:lang w:val="en-GB" w:eastAsia="it-IT"/>
        </w:rPr>
        <w:t xml:space="preserve">At the end of EEG analysis, cognitive performance was tested in epileptic mice fed with placebo or PLX3397-supplemented diet, and sham control mice </w:t>
      </w:r>
      <w:r w:rsidR="00BC351C" w:rsidRPr="00591954">
        <w:rPr>
          <w:lang w:val="en-GB" w:eastAsia="it-IT"/>
        </w:rPr>
        <w:t xml:space="preserve">(Fig. </w:t>
      </w:r>
      <w:r w:rsidR="0077740B" w:rsidRPr="00591954">
        <w:rPr>
          <w:lang w:val="en-GB" w:eastAsia="it-IT"/>
        </w:rPr>
        <w:t>3D</w:t>
      </w:r>
      <w:r w:rsidR="00BC351C" w:rsidRPr="00591954">
        <w:rPr>
          <w:lang w:val="en-GB" w:eastAsia="it-IT"/>
        </w:rPr>
        <w:t>)</w:t>
      </w:r>
      <w:r w:rsidRPr="00591954">
        <w:rPr>
          <w:lang w:val="en-GB" w:eastAsia="it-IT"/>
        </w:rPr>
        <w:t>. Consider</w:t>
      </w:r>
      <w:r w:rsidR="002D1D72" w:rsidRPr="00591954">
        <w:rPr>
          <w:lang w:val="en-GB" w:eastAsia="it-IT"/>
        </w:rPr>
        <w:t xml:space="preserve">ing the </w:t>
      </w:r>
      <w:r w:rsidRPr="00591954">
        <w:rPr>
          <w:lang w:val="en-GB" w:eastAsia="it-IT"/>
        </w:rPr>
        <w:t>natural tendency</w:t>
      </w:r>
      <w:r w:rsidR="002D1D72" w:rsidRPr="00591954">
        <w:rPr>
          <w:lang w:val="en-GB" w:eastAsia="it-IT"/>
        </w:rPr>
        <w:t xml:space="preserve"> of mice</w:t>
      </w:r>
      <w:r w:rsidRPr="00591954">
        <w:rPr>
          <w:lang w:val="en-GB" w:eastAsia="it-IT"/>
        </w:rPr>
        <w:t xml:space="preserve"> to explore novel objects for which they have an innate preference over a familiar one, their ability to recognize a set of novel objects in an otherwise familiar environment was measured as recognition memory</w:t>
      </w:r>
      <w:r w:rsidR="006015BE" w:rsidRPr="00591954">
        <w:rPr>
          <w:lang w:val="en-GB" w:eastAsia="it-IT"/>
        </w:rPr>
        <w:t xml:space="preserve"> </w:t>
      </w:r>
      <w:r w:rsidR="006015BE" w:rsidRPr="00591954">
        <w:rPr>
          <w:noProof/>
          <w:lang w:val="en-GB" w:eastAsia="it-IT"/>
        </w:rPr>
        <w:t>(</w:t>
      </w:r>
      <w:r w:rsidRPr="00591954">
        <w:rPr>
          <w:lang w:val="en-GB" w:eastAsia="it-IT"/>
        </w:rPr>
        <w:fldChar w:fldCharType="begin" w:fldLock="1"/>
      </w:r>
      <w:r w:rsidR="004F23C5" w:rsidRPr="00591954">
        <w:rPr>
          <w:lang w:val="en-GB" w:eastAsia="it-IT"/>
        </w:rPr>
        <w:instrText>ADDIN CSL_CITATION {"citationItems":[{"id":"ITEM-1","itemData":{"DOI":"10.1016/0166-4328(88)90157-X","ISSN":"01664328","abstract":"In this paper we describe a new memory test in rats, based on the differential exploration of familiar and new objects. In a first trial (T1), rats are exposed to one or to two identical objects (samples) and in a second trial, to two dissimilar objects, a familiar (the sample) and a new one. For short intertrial intervals (≈ 1 min), most rats discriminate between the two objects in T2: they spend more time in exploring the new object than the familiar one. This test has several interesting characteristics: (1) it is similar to visual recognition tests wideley used in subhuman primates, this allows interspecies comparisons; (2) it is entirely based on the spontaneous behavior of rats and can be considered as a 'pure' working-memory test completely free of reference memory component; (3) it does not involve primary reinforcement such as food or electric shocks, this makes it comparable to memory tests currently used in man. © 1988.","author":[{"dropping-particle":"","family":"Ennaceur","given":"A.","non-dropping-particle":"","parse-names":false,"suffix":""},{"dropping-particle":"","family":"Delacour","given":"J.","non-dropping-particle":"","parse-names":false,"suffix":""}],"container-title":"Behavioural Brain Research","id":"ITEM-1","issue":"1","issued":{"date-parts":[["1988"]]},"page":"47-59","title":"A new one-trial test for neurobiological studies of memory in rats. 1: Behavioral data","type":"article-journal","volume":"31"},"uris":["http://www.mendeley.com/documents/?uuid=936de172-a667-4a04-ac7d-3c923acc9c0f"]},{"id":"ITEM-2","itemData":{"DOI":"10.1016/j.nbd.2013.03.006","ISSN":"09699961","abstract":"Toll-like receptor 4 (TLR4) activation in neuron and astrocytes by High Mobility Group Box 1 (HMGB1) protein is a key mechanism of seizure generation. HMGB1 also activates the Receptor for Advanced Glycation Endproducts (RAGE), but it was unknown whether RAGE activation contributes to seizures or to HMGB1 proictogenic effects.We found that acute EEG seizures induced by 7. ng intrahippocampal kainic acid (KA) were significantly reduced in Rage-/- mice relative to wild type (Wt) mice. The proictogenic effect of HMGB1 was decreased in Rage-/- mice, but less so, than in Tlr4-/- mice.In a mouse mesial temporal lobe epilepsy (mTLE) model, status epilepticus induced by 200. ng intrahippocampal KA and the onset of the spontaneous epileptic activity were similar in Rage-/-, Tlr4-/- and Wt mice. However, the number of hippocampal paroxysmal episodes and their duration were both decreased in epileptic Rage-/- and Tlr4-/- mice vs Wt mice.All strains of epileptic mice displayed similar cognitive deficits in the novel object recognition test vs the corresponding control mice.CA1 neuronal cell loss was increased in epileptic Rage-/- vs epileptic Wt mice, while granule cell dispersion and doublecortin (DCX)-positive neurons were similarly affected. Notably, DCX neurons were preserved in epileptic Tlr4-/- mice.We did not find compensatory changes in HMGB1-related inflammatory signaling nor in glutamate receptor subunits in Rage-/- and Tlr4-/- naïve mice, except for ~. 20% NR2B subunit reduction in Rage-/- mice.RAGE was induced in neurons, astrocytes and microvessels in human and experimental mTLE hippocampi.We conclude that RAGE contributes to hyperexcitability underlying acute and chronic seizures, as well as to the proictogenic effects of HMGB1. RAGE and TLR4 play different roles in the neuropathologic sequelae developing after status epilepticus.These findings reveal new molecular mechanisms underlying seizures, cell loss and neurogenesis which involve inflammatory pathways upregulated in human epilepsy. © 2013 Elsevier Inc.","author":[{"dropping-particle":"","family":"Iori","given":"Valentina","non-dropping-particle":"","parse-names":false,"suffix":""},{"dropping-particle":"","family":"Maroso","given":"Mattia","non-dropping-particle":"","parse-names":false,"suffix":""},{"dropping-particle":"","family":"Rizzi","given":"Massimo","non-dropping-particle":"","parse-names":false,"suffix":""},{"dropping-particle":"","family":"Iyer","given":"Anand M.","non-dropping-particle":"","parse-names":false,"suffix":""},{"dropping-particle":"","family":"Vertemara","given":"Roberta","non-dropping-particle":"","parse-names":false,"suffix":""},{"dropping-particle":"","family":"Carli","given":"Mirjana","non-dropping-particle":"","parse-names":false,"suffix":""},{"dropping-particle":"","family":"Agresti","given":"Alessandra","non-dropping-particle":"","parse-names":false,"suffix":""},{"dropping-particle":"","family":"Antonelli","given":"Antonella","non-dropping-particle":"","parse-names":false,"suffix":""},{"dropping-particle":"","family":"Bianchi","given":"Marco E.","non-dropping-particle":"","parse-names":false,"suffix":""},{"dropping-particle":"","family":"Aronica","given":"Eleonora","non-dropping-particle":"","parse-names":false,"suffix":""},{"dropping-particle":"","family":"Ravizza","given":"Teresa","non-dropping-particle":"","parse-names":false,"suffix":""},{"dropping-particle":"","family":"Vezzani","given":"Annamaria","non-dropping-particle":"","parse-names":false,"suffix":""}],"container-title":"Neurobiology of Disease","id":"ITEM-2","issue":"102","issued":{"date-parts":[["2013"]]},"page":"114","title":"Receptor for Advanced Glycation Endproducts is upregulated in temporal lobe epilepsy and contributes to experimental seizures","type":"article-journal","volume":"58"},"uris":["http://www.mendeley.com/documents/?uuid=97f1a520-b6c6-4f4b-82c2-99ea146b405c"]}],"mendeley":{"formattedCitation":"[58,59]","manualFormatting":"Ennaceur and Delacour, 1988; Iori et al., 2013)","plainTextFormattedCitation":"[58,59]","previouslyFormattedCitation":"(58,59)"},"properties":{"noteIndex":0},"schema":"https://github.com/citation-style-language/schema/raw/master/csl-citation.json"}</w:instrText>
      </w:r>
      <w:r w:rsidRPr="00591954">
        <w:rPr>
          <w:lang w:val="en-GB" w:eastAsia="it-IT"/>
        </w:rPr>
        <w:fldChar w:fldCharType="separate"/>
      </w:r>
      <w:r w:rsidR="002E53EA" w:rsidRPr="00591954">
        <w:rPr>
          <w:noProof/>
          <w:lang w:val="en-GB" w:eastAsia="it-IT"/>
        </w:rPr>
        <w:t xml:space="preserve">Ennaceur and Delacour, 1988; Iori </w:t>
      </w:r>
      <w:r w:rsidR="002E53EA" w:rsidRPr="00591954">
        <w:rPr>
          <w:i/>
          <w:iCs/>
          <w:noProof/>
          <w:lang w:val="en-GB" w:eastAsia="it-IT"/>
        </w:rPr>
        <w:t>et al.</w:t>
      </w:r>
      <w:r w:rsidR="002E53EA" w:rsidRPr="00591954">
        <w:rPr>
          <w:noProof/>
          <w:lang w:val="en-GB" w:eastAsia="it-IT"/>
        </w:rPr>
        <w:t>, 2013)</w:t>
      </w:r>
      <w:r w:rsidRPr="00591954">
        <w:rPr>
          <w:lang w:val="en-GB" w:eastAsia="it-IT"/>
        </w:rPr>
        <w:fldChar w:fldCharType="end"/>
      </w:r>
      <w:r w:rsidRPr="00591954">
        <w:rPr>
          <w:lang w:val="en-GB" w:eastAsia="it-IT"/>
        </w:rPr>
        <w:t>. The test was performed in the open-square grey arena (40 x 40cm) surrounded by 30 cm high walls. Mouse behaviour was remotely monitored by video. All experiments began between 9:00 and 10:00 am. The experiment was run during three consecutive days. On the first day, named habituation, mice were allowed to explore the arena for 5 minutes to expose them to the unfamiliar environment. On the second day, referred to as familiarization,</w:t>
      </w:r>
      <w:r w:rsidR="002E53EA" w:rsidRPr="00591954">
        <w:rPr>
          <w:lang w:val="en-GB" w:eastAsia="it-IT"/>
        </w:rPr>
        <w:t xml:space="preserve"> </w:t>
      </w:r>
      <w:r w:rsidRPr="00591954">
        <w:rPr>
          <w:lang w:val="en-GB" w:eastAsia="it-IT"/>
        </w:rPr>
        <w:t>mice were placed into the open field for 10 minutes in the presence of two identical objects positioned in internal non-adjacent squares, both 10 cm from the centre of the arena and 20 cm one from one another. On the third day or test, mice were placed for 10 minutes in the open field, which contained one object presented during familiarization (familiar object, F), and a novel unfamiliar object (N). The following objects were randomly used: black plastic cylinders (4 x 5 cm); transparent scintillation vials with white caps (3 x 6 cm); metal cubes (3 x 5 cm); plastic black pyramids (4 x 5 cm). Cumulative exploration time for both objects and for each object separately was recorded. Exploration was defined as sniffing, touching, and stretching the head toward the object with a 2.5 cm maximum distance between the mouse’s nose and the object. During test, time spent exploring N versus F represents a measure of one-</w:t>
      </w:r>
      <w:r w:rsidR="00BC351C" w:rsidRPr="00591954">
        <w:rPr>
          <w:lang w:val="en-GB" w:eastAsia="it-IT"/>
        </w:rPr>
        <w:t>trial recognition memory</w:t>
      </w:r>
      <w:r w:rsidRPr="00591954">
        <w:rPr>
          <w:lang w:val="en-GB" w:eastAsia="it-IT"/>
        </w:rPr>
        <w:t xml:space="preserve">. Time (seconds) spent exploring F and N was expressed as a discrimination index: (N - F)/(N + F). </w:t>
      </w:r>
      <w:r w:rsidR="0077740B" w:rsidRPr="00591954">
        <w:rPr>
          <w:lang w:val="en-GB" w:eastAsia="it-IT"/>
        </w:rPr>
        <w:t>Mice displaying total exploration time &lt;6 sec during the familiari</w:t>
      </w:r>
      <w:r w:rsidR="00E0017E" w:rsidRPr="00591954">
        <w:rPr>
          <w:lang w:val="en-GB" w:eastAsia="it-IT"/>
        </w:rPr>
        <w:t>s</w:t>
      </w:r>
      <w:r w:rsidR="0077740B" w:rsidRPr="00591954">
        <w:rPr>
          <w:lang w:val="en-GB" w:eastAsia="it-IT"/>
        </w:rPr>
        <w:t>ation phase were excluded from the test.</w:t>
      </w:r>
    </w:p>
    <w:p w14:paraId="563E1080" w14:textId="77777777" w:rsidR="00837740" w:rsidRPr="00591954" w:rsidRDefault="00837740" w:rsidP="00B4110B">
      <w:pPr>
        <w:autoSpaceDE w:val="0"/>
        <w:autoSpaceDN w:val="0"/>
        <w:adjustRightInd w:val="0"/>
        <w:rPr>
          <w:szCs w:val="24"/>
          <w:lang w:val="en-GB"/>
        </w:rPr>
      </w:pPr>
    </w:p>
    <w:p w14:paraId="260BD425" w14:textId="77777777" w:rsidR="007D5605" w:rsidRPr="00591954" w:rsidRDefault="007D5605" w:rsidP="00B4110B">
      <w:pPr>
        <w:autoSpaceDE w:val="0"/>
        <w:autoSpaceDN w:val="0"/>
        <w:adjustRightInd w:val="0"/>
        <w:rPr>
          <w:szCs w:val="24"/>
          <w:lang w:val="en-GB"/>
        </w:rPr>
      </w:pPr>
    </w:p>
    <w:p w14:paraId="2ED65A85" w14:textId="77777777" w:rsidR="00951646" w:rsidRPr="00591954" w:rsidRDefault="001346D6" w:rsidP="00B4110B">
      <w:pPr>
        <w:pStyle w:val="Heading2"/>
        <w:spacing w:before="0" w:after="0"/>
        <w:rPr>
          <w:rFonts w:ascii="Times New Roman" w:hAnsi="Times New Roman"/>
          <w:i w:val="0"/>
          <w:iCs w:val="0"/>
          <w:kern w:val="32"/>
          <w:sz w:val="26"/>
          <w:szCs w:val="26"/>
          <w:lang w:val="en-GB"/>
        </w:rPr>
      </w:pPr>
      <w:r w:rsidRPr="00591954">
        <w:rPr>
          <w:rFonts w:ascii="Times New Roman" w:hAnsi="Times New Roman"/>
          <w:i w:val="0"/>
          <w:iCs w:val="0"/>
          <w:kern w:val="32"/>
          <w:sz w:val="26"/>
          <w:szCs w:val="26"/>
          <w:lang w:val="en-GB"/>
        </w:rPr>
        <w:t xml:space="preserve">Post </w:t>
      </w:r>
      <w:r w:rsidR="00951646" w:rsidRPr="00591954">
        <w:rPr>
          <w:rFonts w:ascii="Times New Roman" w:hAnsi="Times New Roman"/>
          <w:i w:val="0"/>
          <w:iCs w:val="0"/>
          <w:kern w:val="32"/>
          <w:sz w:val="26"/>
          <w:szCs w:val="26"/>
          <w:lang w:val="en-GB"/>
        </w:rPr>
        <w:t>mortem brain MRI and image analysis in the experimental murine model of epilepsy</w:t>
      </w:r>
    </w:p>
    <w:p w14:paraId="705B7A4D" w14:textId="77777777" w:rsidR="00951646" w:rsidRPr="00591954" w:rsidRDefault="00951646" w:rsidP="00B4110B">
      <w:pPr>
        <w:rPr>
          <w:szCs w:val="24"/>
          <w:lang w:val="en-GB"/>
        </w:rPr>
      </w:pPr>
      <w:r w:rsidRPr="00591954">
        <w:rPr>
          <w:szCs w:val="24"/>
          <w:lang w:val="en-GB"/>
        </w:rPr>
        <w:t xml:space="preserve">At the end of EEG recordings, </w:t>
      </w:r>
      <w:r w:rsidR="002A3ECC" w:rsidRPr="00591954">
        <w:rPr>
          <w:szCs w:val="24"/>
          <w:lang w:val="en-GB"/>
        </w:rPr>
        <w:t>mice in each experimental group were killed for post</w:t>
      </w:r>
      <w:r w:rsidR="00C9669B" w:rsidRPr="00591954">
        <w:rPr>
          <w:szCs w:val="24"/>
          <w:lang w:val="en-GB"/>
        </w:rPr>
        <w:t xml:space="preserve"> </w:t>
      </w:r>
      <w:r w:rsidR="002A3ECC" w:rsidRPr="00591954">
        <w:rPr>
          <w:szCs w:val="24"/>
          <w:lang w:val="en-GB"/>
        </w:rPr>
        <w:t>mortem MRI analysis</w:t>
      </w:r>
      <w:r w:rsidRPr="00591954">
        <w:rPr>
          <w:szCs w:val="24"/>
          <w:lang w:val="en-GB"/>
        </w:rPr>
        <w:t xml:space="preserve"> and subsequent histological analyses. Mice were deeply anaesthetized by injecting ketamine (75 mg/kg, i.p.) and medetomidine (0.5 mg/kg, i.p.), then perfused via ascending aorta with 50 mM ice-cold PBS, pH 7.4 followed by chilled 4% paraformaldehyde (Merck, Darmstadt, Germany, #104005) in PBS. After transcardial perfusion, the electrodes were carefully removed from the brain, mice were decapitated </w:t>
      </w:r>
      <w:r w:rsidRPr="00591954">
        <w:rPr>
          <w:szCs w:val="24"/>
          <w:lang w:val="en-GB"/>
        </w:rPr>
        <w:lastRenderedPageBreak/>
        <w:t>and the head of the mouse was inserted in a plastic tube, fixed on the mouse-compatible MRI holder with tape, and then immediately scanned.</w:t>
      </w:r>
      <w:r w:rsidR="00C9669B" w:rsidRPr="00591954">
        <w:rPr>
          <w:szCs w:val="24"/>
          <w:lang w:val="en-GB"/>
        </w:rPr>
        <w:t xml:space="preserve"> </w:t>
      </w:r>
    </w:p>
    <w:p w14:paraId="006FE1F3" w14:textId="77777777" w:rsidR="00951646" w:rsidRPr="00591954" w:rsidRDefault="00951646" w:rsidP="00B4110B">
      <w:pPr>
        <w:rPr>
          <w:szCs w:val="24"/>
          <w:lang w:val="en-GB"/>
        </w:rPr>
      </w:pPr>
      <w:r w:rsidRPr="00591954">
        <w:rPr>
          <w:szCs w:val="24"/>
          <w:lang w:val="en-GB"/>
        </w:rPr>
        <w:t>Neuroimaging was performed on a 7T small bore animal scanner (Bruker Biospec, Ettlingen, Germany). Two actively decoupled radio frequency coils were used: a volume coil of 7.2 cm diameter used as the transmitter and a surface coil as the receiver. A 3D rapid acquisition with relaxation enhancement (RARE) T2-weighted sequence was performed to assess anatomic changes. The morphologic images were obtained with a voxel size of 100 x 100 x 100 µm (matrix size 300 x 100 x 120 and field of view 3 x 1 x 1.2 cm); repetition time [TR] = 2500 ms, effective echo time [TE] = 50 ms, and a RARE factor of 16, for 1 average. At the end of MRI procedures, brains were post-fixed for 90 minutes at 4° C, then transferred to 20% sucrose in PBS for 24 hours at 4° C. Then, the brains were immersed in -45°C isopentane for 3 minutes and stored at -80°C until immunohistochemistry was performed.</w:t>
      </w:r>
    </w:p>
    <w:p w14:paraId="5F3BD20F" w14:textId="77777777" w:rsidR="00951646" w:rsidRPr="00591954" w:rsidRDefault="00951646" w:rsidP="00B4110B">
      <w:pPr>
        <w:rPr>
          <w:szCs w:val="24"/>
          <w:lang w:val="en-GB"/>
        </w:rPr>
      </w:pPr>
      <w:r w:rsidRPr="00591954">
        <w:rPr>
          <w:szCs w:val="24"/>
          <w:lang w:val="en-GB"/>
        </w:rPr>
        <w:t xml:space="preserve">MRI images were analysed to measure the volume of selected brain regions and the thickness of cortices involved affected by epilepsy. Measurements were undertaken in the hemisphere ipsilateral to the injected amygdala. </w:t>
      </w:r>
    </w:p>
    <w:p w14:paraId="14F67ECB" w14:textId="432EF2BA" w:rsidR="00951646" w:rsidRPr="00591954" w:rsidRDefault="00951646" w:rsidP="00B4110B">
      <w:pPr>
        <w:rPr>
          <w:szCs w:val="24"/>
          <w:lang w:val="en-GB"/>
        </w:rPr>
      </w:pPr>
      <w:r w:rsidRPr="00591954">
        <w:rPr>
          <w:i/>
          <w:szCs w:val="24"/>
          <w:lang w:val="en-GB"/>
        </w:rPr>
        <w:t>Brain region volume</w:t>
      </w:r>
      <w:r w:rsidRPr="00591954">
        <w:rPr>
          <w:szCs w:val="24"/>
          <w:lang w:val="en-GB"/>
        </w:rPr>
        <w:t xml:space="preserve"> was quantified using the multi-atlas segmentation approach embedded in the ANTs software library </w:t>
      </w:r>
      <w:r w:rsidRPr="00591954">
        <w:rPr>
          <w:szCs w:val="24"/>
          <w:lang w:val="en-GB"/>
        </w:rPr>
        <w:fldChar w:fldCharType="begin" w:fldLock="1"/>
      </w:r>
      <w:r w:rsidR="004F23C5" w:rsidRPr="00591954">
        <w:rPr>
          <w:szCs w:val="24"/>
          <w:lang w:val="en-GB"/>
        </w:rPr>
        <w:instrText>ADDIN CSL_CITATION {"citationItems":[{"id":"ITEM-1","itemData":{"DOI":"10.1016/j.neuroimage.2010.09.025","ISBN":"1095-9572 (Electronic) 1053-8119 (Linking)","ISSN":"10538119","PMID":"20851191","abstract":"The United States National Institutes of Health (NIH) commit significant support to open-source data and software resources in order to foment reproducibility in the biomedical imaging sciences. Here, we report and evaluate a recent product of this commitment: Advanced Neuroimaging Tools (ANTs), which is approaching its 2.0 release. The ANTs open source software library consists of a suite of state-of-the-art image registration, segmentation and template building tools for quantitative morphometric analysis. In this work, we use ANTs to quantify, for the first time, the impact of similarity metrics on the affine and deformable components of a template-based normalization study. We detail the ANTs implementation of three similarity metrics: squared intensity difference, a new and faster cross-correlation, and voxel-wise mutual information. We then use two-fold cross-validation to compare their performance on openly available, manually labeled, T1-weighted MRI brain image data of 40 subjects (UCLA's LPBA40 dataset). We report evaluation results on cortical and whole brain labels for both the affine and deformable components of the registration. Results indicate that the best ANTs methods are competitive with existing brain extraction results (Jaccard = 0.958) and cortical labeling approaches. Mutual information affine mapping combined with cross-correlation diffeomorphic mapping gave the best cortical labeling results (Jaccard = 0.669. ±. 0.022). Furthermore, our two-fold cross-validation allows us to quantify the similarity of templates derived from different subgroups. Our open code, data and evaluation scripts set performance benchmark parameters for this state-of-the-art toolkit. This is the first study to use a consistent transformation framework to provide a reproducible evaluation of the isolated effect of the similarity metric on optimal template construction and brain labeling. © 2010 Elsevier Inc.","author":[{"dropping-particle":"","family":"Avants","given":"Brian B.","non-dropping-particle":"","parse-names":false,"suffix":""},{"dropping-particle":"","family":"Tustison","given":"Nicholas J.","non-dropping-particle":"","parse-names":false,"suffix":""},{"dropping-particle":"","family":"Song","given":"Gang","non-dropping-particle":"","parse-names":false,"suffix":""},{"dropping-particle":"","family":"Cook","given":"Philip A.","non-dropping-particle":"","parse-names":false,"suffix":""},{"dropping-particle":"","family":"Klein","given":"Arno","non-dropping-particle":"","parse-names":false,"suffix":""},{"dropping-particle":"","family":"Gee","given":"James C.","non-dropping-particle":"","parse-names":false,"suffix":""}],"container-title":"NeuroImage","id":"ITEM-1","issue":"3","issued":{"date-parts":[["2011"]]},"page":"2033-44","title":"A reproducible evaluation of ANTs similarity metric performance in brain image registration","type":"article-journal","volume":"54"},"uris":["http://www.mendeley.com/documents/?uuid=a9418b02-b3b0-44bd-8c2c-b6ae98faa653"]},{"id":"ITEM-2","itemData":{"DOI":"10.1109/TPAMI.2012.143","ISBN":"1662-5196 (Electronic)\\n1662-5196 (Linking)","ISSN":"01628828","PMID":"22732662","abstract":"Multi-atlas segmentation is an effective approach for automatically labeling objects of interest in biomedical images. In this approach, multiple expert-segmented example images, called atlases, are registered to a target image, and deformed atlas segmentations are combined using label fusion. Among the proposed label fusion strategies, weighted voting with spatially varying weight distributions derived from atlas-target intensity similarity have been particularly successful. However, one limitation of these strategies is that the weights are computed independently for each atlas, without taking into account the fact that different atlases may produce similar label errors. To address this limitation, we propose a new solution for the label fusion problem in which weighted voting is formulated in terms of minimizing the total expectation of labeling error and in which pairwise dependency between atlases is explicitly modeled as the joint probability of two atlases making a segmentation error at a voxel. This probability is approximated using intensity similarity between a pair of atlases and the target image in the neighborhood of each voxel. We validate our method in two medical image segmentation problems: hippocampus segmentation and hippocampus subfield segmentation in magnetic resonance (MR) images. For both problems, we show consistent and significant improvement over label fusion strategies that assign atlas weights independently.","author":[{"dropping-particle":"","family":"Wang","given":"Hongzhi","non-dropping-particle":"","parse-names":false,"suffix":""},{"dropping-particle":"","family":"Suh","given":"Jung W.","non-dropping-particle":"","parse-names":false,"suffix":""},{"dropping-particle":"","family":"Das","given":"Sandhitsu R.","non-dropping-particle":"","parse-names":false,"suffix":""},{"dropping-particle":"","family":"Pluta","given":"John B.","non-dropping-particle":"","parse-names":false,"suffix":""},{"dropping-particle":"","family":"Craige","given":"Caryne","non-dropping-particle":"","parse-names":false,"suffix":""},{"dropping-particle":"","family":"Yushkevich","given":"Paul A.","non-dropping-particle":"","parse-names":false,"suffix":""}],"container-title":"IEEE Transactions on Pattern Analysis and Machine Intelligence","id":"ITEM-2","issue":"3","issued":{"date-parts":[["2013"]]},"page":"611-23","title":"Multi-atlas segmentation with joint label fusion","type":"article-journal","volume":"35"},"uris":["http://www.mendeley.com/documents/?uuid=d4848559-8cb3-4d04-a9b7-748dcdf152ce"]}],"mendeley":{"formattedCitation":"[60,61]","plainTextFormattedCitation":"[60,61]","previouslyFormattedCitation":"(60,61)"},"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[60,61]</w:t>
      </w:r>
      <w:r w:rsidRPr="00591954">
        <w:rPr>
          <w:szCs w:val="24"/>
          <w:lang w:val="en-GB"/>
        </w:rPr>
        <w:fldChar w:fldCharType="end"/>
      </w:r>
      <w:r w:rsidRPr="00591954">
        <w:rPr>
          <w:szCs w:val="24"/>
          <w:lang w:val="en-GB"/>
        </w:rPr>
        <w:t xml:space="preserve"> (Fig. S</w:t>
      </w:r>
      <w:r w:rsidR="007311C2" w:rsidRPr="00591954">
        <w:rPr>
          <w:szCs w:val="24"/>
          <w:lang w:val="en-GB"/>
        </w:rPr>
        <w:t>5</w:t>
      </w:r>
      <w:r w:rsidRPr="00591954">
        <w:rPr>
          <w:szCs w:val="24"/>
          <w:lang w:val="en-GB"/>
        </w:rPr>
        <w:t xml:space="preserve">). Specifically, five reference brains had 39 brain regions manually identified on every MRI section co-registered on the mouse brain histology atlas </w:t>
      </w:r>
      <w:r w:rsidRPr="00591954">
        <w:rPr>
          <w:szCs w:val="24"/>
          <w:lang w:val="en-GB"/>
        </w:rPr>
        <w:fldChar w:fldCharType="begin" w:fldLock="1"/>
      </w:r>
      <w:r w:rsidR="004F23C5" w:rsidRPr="00591954">
        <w:rPr>
          <w:szCs w:val="24"/>
          <w:lang w:val="en-GB"/>
        </w:rPr>
        <w:instrText>ADDIN CSL_CITATION {"citationItems":[{"id":"ITEM-1","itemData":{"DOI":"10.1016/j.mri.2012.02.010","ISBN":"1873-5894 (Electronic)\\r0730-725X (Linking)","ISSN":"0730725X","PMID":"22464452","abstract":"Although many atlas-based segmentation methods have been developed and validated for the human brain, limited work has been done for the mouse brain. This paper investigated roles of image registration and segmentation model complexity in the mouse brain segmentation. We employed four segmentation models [single atlas, multiatlas, simultaneous truth and performance level estimation (STAPLE) and Markov random field (MRF) via four different image registration algorithms (affine, B-spline free-form deformation (FFD), Demons and large deformation diffeomorphic metric mapping (LDDMM)] for delineating 19 structures from in vivo magnetic resonance microscopy images. We validated their accuracies against manual segmentation. Our results revealed that LDDMM outperformed Demons, FFD and affine in any of the segmentation models. Under the same registration, increasing segmentation model complexity from single atlas to multiatlas, STAPLE or MRF significantly improved the segmentation accuracy. Interestingly, the multiatlas-based segmentation using nonlinear registrations (FFD, Demons and LDDMM) had similar performance to their STAPLE counterparts, while they both outperformed their MRF counterparts. Furthermore, when the single-atlas affine segmentation was used as reference, the improvement due to nonlinear registrations (FFD, Demons and LDDMM) in the single-atlas segmentation model was greater than that due to increasing model complexity (multiatlas, STAPLE and MRF affine segmentation). Hence, we concluded that image registration plays a more crucial role in the atlas-based automatic mouse brain segmentation as compared to model complexity. Multiple atlases with LDDMM can best improve the segmentation accuracy in the mouse brain among all segmentation models tested in this study. © 2012 Elsevier Inc.","author":[{"dropping-particle":"","family":"Bai","given":"Jordan","non-dropping-particle":"","parse-names":false,"suffix":""},{"dropping-particle":"","family":"Trinh","given":"Thi Lan Huong","non-dropping-particle":"","parse-names":false,"suffix":""},{"dropping-particle":"","family":"Chuang","given":"Kai Hsiang","non-dropping-particle":"","parse-names":false,"suffix":""},{"dropping-particle":"","family":"Qiu","given":"Anqi","non-dropping-particle":"","parse-names":false,"suffix":""}],"container-title":"Magnetic Resonance Imaging","id":"ITEM-1","issue":"6","issued":{"date-parts":[["2012"]]},"page":"789-98","title":"Atlas-based automatic mouse brain image segmentation revisited: Model complexity vs. image registration","type":"article-journal","volume":"30"},"uris":["http://www.mendeley.com/documents/?uuid=c4a69a70-52f9-4e73-97c9-d119e0ec2fd6"]}],"mendeley":{"formattedCitation":"[62]","plainTextFormattedCitation":"[62]","previouslyFormattedCitation":"(62)"},"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[62]</w:t>
      </w:r>
      <w:r w:rsidRPr="00591954">
        <w:rPr>
          <w:szCs w:val="24"/>
          <w:lang w:val="en-GB"/>
        </w:rPr>
        <w:fldChar w:fldCharType="end"/>
      </w:r>
      <w:r w:rsidRPr="00591954">
        <w:rPr>
          <w:szCs w:val="24"/>
          <w:lang w:val="en-GB"/>
        </w:rPr>
        <w:t xml:space="preserve"> by Franklin and Paxinos (</w:t>
      </w:r>
      <w:hyperlink r:id="rId15" w:anchor="_ftnref1" w:history="1">
        <w:r w:rsidRPr="00591954">
          <w:rPr>
            <w:rStyle w:val="InternetLink"/>
            <w:color w:val="auto"/>
            <w:szCs w:val="24"/>
            <w:lang w:val="en-GB"/>
          </w:rPr>
          <w:t>http://www.bioeng.nus.edu.sg/cfa/mouse_atlas.html#_ftnref1</w:t>
        </w:r>
      </w:hyperlink>
      <w:r w:rsidRPr="00591954">
        <w:rPr>
          <w:szCs w:val="24"/>
          <w:lang w:val="en-GB"/>
        </w:rPr>
        <w:t xml:space="preserve">). </w:t>
      </w:r>
    </w:p>
    <w:p w14:paraId="4F6ADB8E" w14:textId="1C82887A" w:rsidR="00951646" w:rsidRPr="00591954" w:rsidRDefault="00951646" w:rsidP="00B4110B">
      <w:pPr>
        <w:rPr>
          <w:szCs w:val="24"/>
          <w:lang w:val="en-GB"/>
        </w:rPr>
      </w:pPr>
      <w:r w:rsidRPr="00591954">
        <w:rPr>
          <w:szCs w:val="24"/>
          <w:lang w:val="en-GB"/>
        </w:rPr>
        <w:t xml:space="preserve">The </w:t>
      </w:r>
      <w:r w:rsidRPr="00591954">
        <w:rPr>
          <w:i/>
          <w:szCs w:val="24"/>
          <w:lang w:val="en-GB"/>
        </w:rPr>
        <w:t>thickness of the temporal cortices</w:t>
      </w:r>
      <w:r w:rsidRPr="00591954">
        <w:rPr>
          <w:szCs w:val="24"/>
          <w:lang w:val="en-GB"/>
        </w:rPr>
        <w:t xml:space="preserve"> was assessed by measuring the distance between the external capsule and the brain surface using atlas-based co-registered images covering the full antero-posterior extension of the specific cortical region (Fig. </w:t>
      </w:r>
      <w:r w:rsidR="0077740B" w:rsidRPr="00591954">
        <w:rPr>
          <w:szCs w:val="24"/>
          <w:lang w:val="en-GB"/>
        </w:rPr>
        <w:t>3A</w:t>
      </w:r>
      <w:r w:rsidRPr="00591954">
        <w:rPr>
          <w:szCs w:val="24"/>
          <w:lang w:val="en-GB"/>
        </w:rPr>
        <w:t>; Fig. S</w:t>
      </w:r>
      <w:r w:rsidR="007311C2" w:rsidRPr="00591954">
        <w:rPr>
          <w:szCs w:val="24"/>
          <w:lang w:val="en-GB"/>
        </w:rPr>
        <w:t>6</w:t>
      </w:r>
      <w:r w:rsidRPr="00591954">
        <w:rPr>
          <w:szCs w:val="24"/>
          <w:lang w:val="en-GB"/>
        </w:rPr>
        <w:t>). In each mouse brain, values obtained from each MRI image (n= 45 images/area/mouse) were averaged, providing a single value for each area, and this value was used for statistical analysis.</w:t>
      </w:r>
    </w:p>
    <w:p w14:paraId="5175BE10" w14:textId="77777777" w:rsidR="00951646" w:rsidRPr="00591954" w:rsidRDefault="00951646" w:rsidP="00B4110B">
      <w:pPr>
        <w:rPr>
          <w:b/>
          <w:iCs/>
          <w:szCs w:val="24"/>
          <w:lang w:val="en-GB"/>
        </w:rPr>
      </w:pPr>
    </w:p>
    <w:p w14:paraId="2D093FBC" w14:textId="77777777" w:rsidR="00951646" w:rsidRPr="00591954" w:rsidRDefault="00951646" w:rsidP="00B4110B">
      <w:pPr>
        <w:pStyle w:val="Heading2"/>
        <w:spacing w:before="0" w:after="0"/>
        <w:rPr>
          <w:rFonts w:ascii="Times New Roman" w:hAnsi="Times New Roman"/>
          <w:i w:val="0"/>
          <w:iCs w:val="0"/>
          <w:kern w:val="32"/>
          <w:sz w:val="26"/>
          <w:szCs w:val="26"/>
          <w:lang w:val="en-GB"/>
        </w:rPr>
      </w:pPr>
      <w:r w:rsidRPr="00591954">
        <w:rPr>
          <w:rFonts w:ascii="Times New Roman" w:hAnsi="Times New Roman"/>
          <w:i w:val="0"/>
          <w:iCs w:val="0"/>
          <w:kern w:val="32"/>
          <w:sz w:val="26"/>
          <w:szCs w:val="26"/>
          <w:lang w:val="en-GB"/>
        </w:rPr>
        <w:t>Immunohistochemistry and Nissl staining in the experimental murine model of epilepsy</w:t>
      </w:r>
    </w:p>
    <w:p w14:paraId="56DED38E" w14:textId="77777777" w:rsidR="00951646" w:rsidRPr="00591954" w:rsidRDefault="00951646" w:rsidP="00B4110B">
      <w:pPr>
        <w:widowControl w:val="0"/>
        <w:autoSpaceDE w:val="0"/>
        <w:autoSpaceDN w:val="0"/>
        <w:adjustRightInd w:val="0"/>
        <w:contextualSpacing/>
        <w:rPr>
          <w:szCs w:val="24"/>
          <w:lang w:val="en-GB"/>
        </w:rPr>
      </w:pPr>
      <w:r w:rsidRPr="00591954">
        <w:rPr>
          <w:szCs w:val="24"/>
          <w:lang w:val="en-GB"/>
        </w:rPr>
        <w:t xml:space="preserve">For each brain, serial horizontal slices were cut on a cryostat throughout the temporal extension of the hippocampus (-5.04 to -6.84 mm </w:t>
      </w:r>
      <w:r w:rsidRPr="00591954">
        <w:rPr>
          <w:i/>
          <w:szCs w:val="24"/>
          <w:lang w:val="en-GB"/>
        </w:rPr>
        <w:t>from bregma;</w:t>
      </w:r>
      <w:r w:rsidR="00660E1C" w:rsidRPr="00591954">
        <w:rPr>
          <w:szCs w:val="24"/>
          <w:lang w:val="en-GB"/>
        </w:rPr>
        <w:t xml:space="preserve"> </w:t>
      </w:r>
      <w:r w:rsidRPr="00591954">
        <w:rPr>
          <w:szCs w:val="24"/>
          <w:lang w:val="en-GB"/>
        </w:rPr>
        <w:t xml:space="preserve">http://www.mbl.org/atlas232/atlas232_frame.html). One slice every 8 sections was used for Nissl staining, Iba-1 or CD11b immunoreactivity (5 slices/brain/marker). The remaining sections were collected in PBS and stored at 4°C. </w:t>
      </w:r>
    </w:p>
    <w:p w14:paraId="3D66DAA2" w14:textId="0207DEB5" w:rsidR="00726E30" w:rsidRPr="00591954" w:rsidRDefault="00726E30" w:rsidP="00B4110B">
      <w:pPr>
        <w:autoSpaceDE w:val="0"/>
        <w:autoSpaceDN w:val="0"/>
        <w:adjustRightInd w:val="0"/>
        <w:rPr>
          <w:rFonts w:eastAsia="AdvTimes"/>
          <w:szCs w:val="24"/>
          <w:lang w:val="en-GB"/>
        </w:rPr>
      </w:pPr>
      <w:r w:rsidRPr="00591954">
        <w:rPr>
          <w:szCs w:val="24"/>
          <w:lang w:val="en-GB"/>
        </w:rPr>
        <w:t xml:space="preserve">Quantitative analyses were performed in the hippocampus, entorhinal and perirhinal cortices ipsilateral to the injected amygdala since the histopathology is </w:t>
      </w:r>
      <w:r w:rsidR="002A3ECC" w:rsidRPr="00591954">
        <w:rPr>
          <w:szCs w:val="24"/>
          <w:lang w:val="en-GB"/>
        </w:rPr>
        <w:t xml:space="preserve">mainly </w:t>
      </w:r>
      <w:r w:rsidRPr="00591954">
        <w:rPr>
          <w:szCs w:val="24"/>
          <w:lang w:val="en-GB"/>
        </w:rPr>
        <w:t xml:space="preserve">restricted to the injected hemisphere </w:t>
      </w:r>
      <w:r w:rsidRPr="00591954">
        <w:rPr>
          <w:szCs w:val="24"/>
          <w:lang w:val="en-GB"/>
        </w:rPr>
        <w:fldChar w:fldCharType="begin" w:fldLock="1"/>
      </w:r>
      <w:r w:rsidR="004F23C5" w:rsidRPr="00591954">
        <w:rPr>
          <w:szCs w:val="24"/>
          <w:lang w:val="en-GB"/>
        </w:rPr>
        <w:instrText>ADDIN CSL_CITATION {"citationID":"XrZozq2u","citationItems":[{"id":"ITEM-1","itemData":{"DOI":"10.1016/j.brainres.2008.03.061","ISSN":"0006-8993","PMID":"18455706","abstract":"Mesial temporal lobe epilepsy is the most common, intractable seizure disorder in adults. It is associated with an asymmetric pattern of hippocampal neuron loss within the endfolium (hilus and CA3) and CA1, with limited pathology in extra-hippocampal regions. We previously developed a model of focally-evoked seizure-induced neuronal death using intra-amygdala kainic acid (KA) microinjection and characterized the acute hippocampal pathology. Here, we sought to characterize the full extent of hippocampal and potential extra-hippocampal damage in this model, and the temporal onset of epileptic seizures. Seizure damage assessed at four stereotaxic levels by FluoroJade B staining was most prominent in ipsilateral hippocampal CA3 where it extended from septal to temporal pole. Minor but significant neuronal injury was present in ipsilateral CA1. Extra-hippocampal neuronal damage was generally limited in extent and restricted to the lateral septal nucleus, injected amygdala and select regions of neocortex ipsilateral to the seizure elicitation side. Continuous surface EEG recorded with implanted telemetry units in freely-moving mice detected spontaneous, epileptic seizures by five days post-KA in all mice. Epileptic seizure number averaged 1-4 per day. Hippocampi from epileptic mice 15 days post-KA displayed unilateral CA3 lesions, astrogliosis and increased neuropeptide Y immunoreactivity suggestive of mossy fiber rearrangement. These studies characterize a mouse model of unilateral hippocampal-dominant neuronal damage and short latency epileptogenesis that may be suitable for studying the cell and molecular pathogenesis of human mesial temporal lobe epilepsy.","author":[{"dropping-particle":"","family":"Mouri","given":"Genshin","non-dropping-particle":"","parse-names":false,"suffix":""},{"dropping-particle":"","family":"Jimenez-Mateos","given":"Eva","non-dropping-particle":"","parse-names":false,"suffix":""},{"dropping-particle":"","family":"Engel","given":"Tobias","non-dropping-particle":"","parse-names":false,"suffix":""},{"dropping-particle":"","family":"Dunleavy","given":"Mark","non-dropping-particle":"","parse-names":false,"suffix":""},{"dropping-particle":"","family":"Hatazaki","given":"Seiji","non-dropping-particle":"","parse-names":false,"suffix":""},{"dropping-particle":"","family":"Paucard","given":"Alexia","non-dropping-particle":"","parse-names":false,"suffix":""},{"dropping-particle":"","family":"Matsushima","given":"Satoshi","non-dropping-particle":"","parse-names":false,"suffix":""},{"dropping-particle":"","family":"Taki","given":"Waro","non-dropping-particle":"","parse-names":false,"suffix":""},{"dropping-particle":"","family":"Henshall","given":"David C.","non-dropping-particle":"","parse-names":false,"suffix":""}],"container-title":"Brain Research","id":"ITEM-1","issued":{"date-parts":[["2008","6"]]},"language":"eng","page":"140-151","title":"Unilateral hippocampal CA3-predominant damage and short latency epileptogenesis after intra-amygdala microinjection of kainic acid in mice","type":"article-journal","volume":"1213"},"uri":["http://zotero.org/groups/1006189/items/8DCPB3EJ"],"uris":["http://zotero.org/groups/1006189/items/8DCPB3EJ","http://www.mendeley.com/documents/?uuid=1d1324b9-884a-42a9-894f-7d59f014178f"]},{"id":"ITEM-2","itemData":{"DOI":"10.1016/j.nbd.2016.12.007","ISSN":"1095-953X","PMID":"27939857","abstract":"We recently discovered that forebrain activation of the IL-1 receptor/Toll-like receptor (IL-1R1/TLR4) innate immunity signal plays a pivotal role in neuronal hyperexcitability underlying seizures in rodents. Since this pathway is activated in neurons and glia in human epileptogenic foci, it represents a potential target for developing drugs interfering with the mechanisms of epileptogenesis that lead to spontaneous seizures. The lack of such drugs represents a major unmet clinical need. We tested therefore novel therapies inhibiting the IL-1R1/TLR4 signaling in an established murine model of acquired epilepsy. We used an epigenetic approach by injecting a synthetic mimic of micro(mi)RNA-146a that impairs IL1R1/TLR4 signal transduction, or we blocked receptor activation with antiinflammatory drugs. Both interventions when transiently applied to mice after epilepsy onset, prevented disease progression and dramatically reduced chronic seizure recurrence, while the anticonvulsant drug carbamazepine was ineffective. We conclude that IL-1R1/TLR4 is a novel potential therapeutic target for attaining disease-modifications in patients with diagnosed epilepsy.","author":[{"dropping-particle":"","family":"Iori","given":"Valentina","non-dropping-particle":"","parse-names":false,"suffix":""},{"dropping-particle":"","family":"Iyer","given":"Anand M.","non-dropping-particle":"","parse-names":false,"suffix":""},{"dropping-particle":"","family":"Ravizza","given":"Teresa","non-dropping-particle":"","parse-names":false,"suffix":""},{"dropping-particle":"","family":"Beltrame","given":"Luca","non-dropping-particle":"","parse-names":false,"suffix":""},{"dropping-particle":"","family":"Paracchini","given":"Lara","non-dropping-particle":"","parse-names":false,"suffix":""},{"dropping-particle":"","family":"Marchini","given":"Sergio","non-dropping-particle":"","parse-names":false,"suffix":""},{"dropping-particle":"","family":"Cerovic","given":"Milica","non-dropping-particle":"","parse-names":false,"suffix":""},{"dropping-particle":"","family":"Hill","given":"Cameron","non-dropping-particle":"","parse-names":false,"suffix":""},{"dropping-particle":"","family":"Ferrari","given":"Mariella","non-dropping-particle":"","parse-names":false,"suffix":""},{"dropping-particle":"","family":"Zucchetti","given":"Massimo","non-dropping-particle":"","parse-names":false,"suffix":""},{"dropping-particle":"","family":"Molteni","given":"Monica","non-dropping-particle":"","parse-names":false,"suffix":""},{"dropping-particle":"","family":"Rossetti","given":"Carlo","non-dropping-particle":"","parse-names":false,"suffix":""},{"dropping-particle":"","family":"Brambilla","given":"Riccardo","non-dropping-particle":"","parse-names":false,"suffix":""},{"dropping-particle":"","family":"Steve White","given":"H.","non-dropping-particle":"","parse-names":false,"suffix":""},{"dropping-particle":"","family":"D'Incalci","given":"Maurizio","non-dropping-particle":"","parse-names":false,"suffix":""},{"dropping-particle":"","family":"Aronica","given":"Eleonora","non-dropping-particle":"","parse-names":false,"suffix":""},{"dropping-particle":"","family":"Vezzani","given":"Annamaria","non-dropping-particle":"","parse-names":false,"suffix":""}],"container-title":"Neurobiology of Disease","id":"ITEM-2","issued":{"date-parts":[["2017","3"]]},"language":"eng","page":"12-23","title":"Blockade of the IL-1R1/TLR4 pathway mediates disease-modification therapeutic effects in a model of acquired epilepsy","type":"article-journal","volume":"99"},"uri":["http://zotero.org/groups/1006189/items/UASRZJIG"],"uris":["http://zotero.org/groups/1006189/items/UASRZJIG","http://www.mendeley.com/documents/?uuid=792ed98d-a7bf-432c-a076-9b08b99fc9cb"]}],"mendeley":{"formattedCitation":"[49,63]","plainTextFormattedCitation":"[49,63]","previouslyFormattedCitation":"(49,63)"},"properties":{"formattedCitation":"{\\rtf (Mouri {\\i{}et al.}, 2008; Iori {\\i{}et al.}, 2017)}","noteIndex":0,"plainCitation":"(Mouri et al., 2008; Iori et al., 2017)"},"schema":"https://github.com/citation-style-language/schema/raw/master/csl-citation.json"}</w:instrText>
      </w:r>
      <w:r w:rsidRPr="00591954">
        <w:rPr>
          <w:szCs w:val="24"/>
          <w:lang w:val="en-GB"/>
        </w:rPr>
        <w:fldChar w:fldCharType="separate"/>
      </w:r>
      <w:r w:rsidR="004F23C5" w:rsidRPr="00591954">
        <w:rPr>
          <w:noProof/>
          <w:szCs w:val="24"/>
          <w:lang w:val="en-GB"/>
        </w:rPr>
        <w:t>[49,63]</w:t>
      </w:r>
      <w:r w:rsidRPr="00591954">
        <w:rPr>
          <w:szCs w:val="24"/>
          <w:lang w:val="en-GB"/>
        </w:rPr>
        <w:fldChar w:fldCharType="end"/>
      </w:r>
      <w:r w:rsidRPr="00591954">
        <w:rPr>
          <w:szCs w:val="24"/>
          <w:lang w:val="en-GB"/>
        </w:rPr>
        <w:t xml:space="preserve">. Comparable antero-posterior sections were </w:t>
      </w:r>
      <w:r w:rsidR="00252425" w:rsidRPr="00591954">
        <w:rPr>
          <w:szCs w:val="24"/>
          <w:lang w:val="en-GB"/>
        </w:rPr>
        <w:t>analysed</w:t>
      </w:r>
      <w:r w:rsidRPr="00591954">
        <w:rPr>
          <w:szCs w:val="24"/>
          <w:lang w:val="en-GB"/>
        </w:rPr>
        <w:t xml:space="preserve"> in the various experimental groups. Nissl staining, Iba-1 (1:1000; Wako, Neuss, Germany,  #019-19741) and CD11b (1:1000, Bio-Rad, Milano, Italy, #MCA711) immunostaining were carried out as previously described </w:t>
      </w:r>
      <w:r w:rsidRPr="00591954">
        <w:rPr>
          <w:szCs w:val="24"/>
          <w:lang w:val="en-GB"/>
        </w:rPr>
        <w:fldChar w:fldCharType="begin" w:fldLock="1"/>
      </w:r>
      <w:r w:rsidR="004F23C5" w:rsidRPr="00591954">
        <w:rPr>
          <w:szCs w:val="24"/>
          <w:lang w:val="en-GB"/>
        </w:rPr>
        <w:instrText>ADDIN CSL_CITATION {"citationItems":[{"id":"ITEM-1","itemData":{"author":[{"dropping-particle":"","family":"Frigerio","given":"Federica","non-dropping-particle":"","parse-names":false,"suffix":""},{"dropping-particle":"","family":"Pasqualini","given":"Giulia","non-dropping-particle":"","parse-names":false,"suffix":""},{"dropping-particle":"","family":"Craparotta","given":"Ilaria","non-dropping-particle":"","parse-names":false,"suffix":""},{"dropping-particle":"","family":"Marchini","given":"Sergio","non-dropping-particle":"","parse-names":false,"suffix":""},{"dropping-particle":"","family":"Vliet","given":"Erwin A.","non-dropping-particle":"van","parse-names":false,"suffix":""},{"dropping-particle":"","family":"Foerch","given":"Patrick","non-dropping-particle":"","parse-names":false,"suffix":""},{"dropping-particle":"","family":"Vandenplas","given":"Catherine","non-dropping-particle":"","parse-names":false,"suffix":""},{"dropping-particle":"","family":"Leclercq","given":"Karin","non-dropping-particle":"","parse-names":false,"suffix":""},{"dropping-particle":"","family":"Aronica","given":"Eleonora","non-dropping-particle":"","parse-names":false,"suffix":""},{"dropping-particle":"","family":"Porcu","given":"Luca","non-dropping-particle":"","parse-names":false,"suffix":""},{"dropping-particle":"","family":"Pistorius","given":"Kim","non-dropping-particle":"","parse-names":false,"suffix":""},{"dropping-particle":"","family":"Colas","given":"Romain A.","non-dropping-particle":"","parse-names":false,"suffix":""},{"dropping-particle":"V.","family":"Hansen","given":"Trond","non-dropping-particle":"","parse-names":false,"suffix":""},{"dropping-particle":"","family":"Perretti","given":"Mauro","non-dropping-particle":"","parse-names":false,"suffix":""},{"dropping-particle":"","family":"Kaminski","given":"Rafal M.","non-dropping-particle":"","parse-names":false,"suffix":""},{"dropping-particle":"","family":"Dalli","given":"Jesmond","non-dropping-particle":"","parse-names":false,"suffix":""},{"dropping-particle":"","family":"Vezzani","given":"Annamaria","non-dropping-particle":"","parse-names":false,"suffix":""}],"container-title":"Brain : a journal of neurology","id":"ITEM-1","issue":"11","issued":{"date-parts":[["2018"]]},"page":"3130-3143","title":"n-3 docosapentaenoic acid-derived protectin D1 promotes resolution of neuroinflammation and arrests epileptogenesis","type":"article-journal","volume":"141"},"uris":["http://www.mendeley.com/documents/?uuid=1f0bc5fb-439f-4af6-adc0-1acbdc1beddb"]}],"mendeley":{"formattedCitation":"[50]","manualFormatting":"(Frigerio et al., 2018)","plainTextFormattedCitation":"[50]","previouslyFormattedCitation":"(50)"},"properties":{"noteIndex":0},"schema":"https://github.com/citation-style-language/schema/raw/master/csl-citation.json"}</w:instrText>
      </w:r>
      <w:r w:rsidRPr="00591954">
        <w:rPr>
          <w:szCs w:val="24"/>
          <w:lang w:val="en-GB"/>
        </w:rPr>
        <w:fldChar w:fldCharType="separate"/>
      </w:r>
      <w:r w:rsidRPr="00591954">
        <w:rPr>
          <w:noProof/>
          <w:szCs w:val="24"/>
          <w:lang w:val="en-GB"/>
        </w:rPr>
        <w:t xml:space="preserve">(Frigerio </w:t>
      </w:r>
      <w:r w:rsidRPr="00591954">
        <w:rPr>
          <w:i/>
          <w:noProof/>
          <w:szCs w:val="24"/>
          <w:lang w:val="en-GB"/>
        </w:rPr>
        <w:t>et al.</w:t>
      </w:r>
      <w:r w:rsidRPr="00591954">
        <w:rPr>
          <w:noProof/>
          <w:szCs w:val="24"/>
          <w:lang w:val="en-GB"/>
        </w:rPr>
        <w:t>, 2018)</w:t>
      </w:r>
      <w:r w:rsidRPr="00591954">
        <w:rPr>
          <w:szCs w:val="24"/>
          <w:lang w:val="en-GB"/>
        </w:rPr>
        <w:fldChar w:fldCharType="end"/>
      </w:r>
      <w:r w:rsidRPr="00591954">
        <w:rPr>
          <w:szCs w:val="24"/>
          <w:lang w:val="en-GB"/>
        </w:rPr>
        <w:t xml:space="preserve">. </w:t>
      </w:r>
      <w:r w:rsidRPr="00591954">
        <w:rPr>
          <w:rFonts w:eastAsia="MS Mincho"/>
          <w:szCs w:val="24"/>
          <w:lang w:val="en-GB"/>
        </w:rPr>
        <w:t>Images of the whole hippocampus (Iba-1 and CD11b), entorhinal (Nissl and Iba-1) and perirhinal (Iba-1) cortices were captured in each slice at 20X magnification (Virtual Slider Microscope; Olympus, Germany) and digitized.</w:t>
      </w:r>
      <w:r w:rsidRPr="00591954">
        <w:rPr>
          <w:szCs w:val="24"/>
          <w:lang w:val="en-GB"/>
        </w:rPr>
        <w:t xml:space="preserve"> Image processing was done </w:t>
      </w:r>
      <w:r w:rsidR="007D5605" w:rsidRPr="00591954">
        <w:rPr>
          <w:szCs w:val="24"/>
          <w:lang w:val="en-GB"/>
        </w:rPr>
        <w:t xml:space="preserve">using Fiji software </w:t>
      </w:r>
      <w:r w:rsidR="007D5605" w:rsidRPr="00591954">
        <w:rPr>
          <w:szCs w:val="24"/>
          <w:lang w:val="en-GB"/>
        </w:rPr>
        <w:fldChar w:fldCharType="begin" w:fldLock="1"/>
      </w:r>
      <w:r w:rsidR="004F23C5" w:rsidRPr="00591954">
        <w:rPr>
          <w:szCs w:val="24"/>
          <w:lang w:val="en-GB"/>
        </w:rPr>
        <w:instrText>ADDIN CSL_CITATION {"citationItems":[{"id":"ITEM-1","itemData":{"DOI":"10.1038/nmeth.2019","ISBN":"1548-7105 (Electronic)\\r1548-7091 (Linking)","ISSN":"15487091","PMID":"22743772","abstract":"Fiji is a distribution of the popular open-source software ImageJ focused on biological-image analysis. Fiji uses modern software engineering practices to combine powerful software libraries with a broad range of scripting languages to enable rapid prototyping of image-processing algorithms. Fiji facilitates the transformation of new algorithms into ImageJ plugins that can be shared with end users through an integrated update system. We propose Fiji as a platform for productive collaboration between computer science and biology research communities.","author":[{"dropping-particle":"","family":"Schindelin","given":"Johannes","non-dropping-particle":"","parse-names":false,"suffix":""},{"dropping-particle":"","family":"Arganda-Carreras","given":"Ignacio","non-dropping-particle":"","parse-names":false,"suffix":""},{"dropping-particle":"","family":"Frise","given":"Erwin","non-dropping-particle":"","parse-names":false,"suffix":""},{"dropping-particle":"","family":"Kaynig","given":"Verena","non-dropping-particle":"","parse-names":false,"suffix":""},{"dropping-particle":"","family":"Longair","given":"Mark","non-dropping-particle":"","parse-names":false,"suffix":""},{"dropping-particle":"","family":"Pietzsch","given":"Tobias","non-dropping-particle":"","parse-names":false,"suffix":""},{"dropping-particle":"","family":"Preibisch","given":"Stephan","non-dropping-particle":"","parse-names":false,"suffix":""},{"dropping-particle":"","family":"Rueden","given":"Curtis","non-dropping-particle":"","parse-names":false,"suffix":""},{"dropping-particle":"","family":"Saalfeld","given":"Stephan","non-dropping-particle":"","parse-names":false,"suffix":""},{"dropping-particle":"","family":"Schmid","given":"Benjamin","non-dropping-particle":"","parse-names":false,"suffix":""},{"dropping-particle":"","family":"Tinevez","given":"Jean Yves","non-dropping-particle":"","parse-names":false,"suffix":""},{"dropping-particle":"","family":"White","given":"Daniel James","non-dropping-particle":"","parse-names":false,"suffix":""},{"dropping-particle":"","family":"Hartenstein","given":"Volker","non-dropping-particle":"","parse-names":false,"suffix":""},{"dropping-particle":"","family":"Eliceiri","given":"Kevin","non-dropping-particle":"","parse-names":false,"suffix":""},{"dropping-particle":"","family":"Tomancak","given":"Pavel","non-dropping-particle":"","parse-names":false,"suffix":""},{"dropping-particle":"","family":"Cardona","given":"Albert","non-dropping-particle":"","parse-names":false,"suffix":""}],"container-title":"Nature Methods","id":"ITEM-1","issue":"7","issued":{"date-parts":[["2012"]]},"page":"676-82","title":"Fiji: An open-source platform for biological-image analysis","type":"article-journal","volume":"9"},"uris":["http://www.mendeley.com/documents/?uuid=a89287e4-57ae-46bf-9165-91cf7ee0a673"]}],"mendeley":{"formattedCitation":"[64]","plainTextFormattedCitation":"[64]","previouslyFormattedCitation":"(64)"},"properties":{"noteIndex":0},"schema":"https://github.com/citation-style-language/schema/raw/master/csl-citation.json"}</w:instrText>
      </w:r>
      <w:r w:rsidR="007D5605" w:rsidRPr="00591954">
        <w:rPr>
          <w:szCs w:val="24"/>
          <w:lang w:val="en-GB"/>
        </w:rPr>
        <w:fldChar w:fldCharType="separate"/>
      </w:r>
      <w:r w:rsidR="004F23C5" w:rsidRPr="00591954">
        <w:rPr>
          <w:noProof/>
          <w:szCs w:val="24"/>
          <w:lang w:val="en-GB"/>
        </w:rPr>
        <w:t>[64]</w:t>
      </w:r>
      <w:r w:rsidR="007D5605" w:rsidRPr="00591954">
        <w:rPr>
          <w:szCs w:val="24"/>
          <w:lang w:val="en-GB"/>
        </w:rPr>
        <w:fldChar w:fldCharType="end"/>
      </w:r>
      <w:r w:rsidR="007D5605" w:rsidRPr="00591954">
        <w:rPr>
          <w:szCs w:val="24"/>
          <w:lang w:val="en-GB"/>
        </w:rPr>
        <w:t xml:space="preserve"> </w:t>
      </w:r>
      <w:r w:rsidRPr="00591954">
        <w:rPr>
          <w:szCs w:val="24"/>
          <w:lang w:val="en-GB"/>
        </w:rPr>
        <w:t>by an expert investigator blinded to the sample identity. An algorithm was created to segment and analy</w:t>
      </w:r>
      <w:r w:rsidR="007D5605" w:rsidRPr="00591954">
        <w:rPr>
          <w:szCs w:val="24"/>
          <w:lang w:val="en-GB"/>
        </w:rPr>
        <w:t>s</w:t>
      </w:r>
      <w:r w:rsidRPr="00591954">
        <w:rPr>
          <w:szCs w:val="24"/>
          <w:lang w:val="en-GB"/>
        </w:rPr>
        <w:t xml:space="preserve">e every stained cell </w:t>
      </w:r>
      <w:r w:rsidRPr="00591954">
        <w:rPr>
          <w:rFonts w:eastAsia="AdvTimes"/>
          <w:szCs w:val="24"/>
          <w:lang w:val="en-GB"/>
        </w:rPr>
        <w:t>over the entire brain region considered</w:t>
      </w:r>
      <w:r w:rsidRPr="00591954">
        <w:rPr>
          <w:szCs w:val="24"/>
          <w:lang w:val="en-GB"/>
        </w:rPr>
        <w:t xml:space="preserve">, </w:t>
      </w:r>
      <w:r w:rsidRPr="00591954">
        <w:rPr>
          <w:szCs w:val="24"/>
          <w:lang w:val="en-GB"/>
        </w:rPr>
        <w:lastRenderedPageBreak/>
        <w:t xml:space="preserve">as previously described </w:t>
      </w:r>
      <w:r w:rsidRPr="00591954">
        <w:rPr>
          <w:szCs w:val="24"/>
          <w:lang w:val="en-GB"/>
        </w:rPr>
        <w:fldChar w:fldCharType="begin" w:fldLock="1"/>
      </w:r>
      <w:r w:rsidR="004F23C5" w:rsidRPr="00591954">
        <w:rPr>
          <w:szCs w:val="24"/>
          <w:lang w:val="en-GB"/>
        </w:rPr>
        <w:instrText>ADDIN CSL_CITATION {"citationItems":[{"id":"ITEM-1","itemData":{"DOI":"10.1186/s40635-015-0039-0","ISBN":"4063501500390","ISSN":"2197-425X","PMID":"26215806","abstract":"BACKGROUND:The study of microglia and macrophage (M/M) morphology represents a key tool to understand the functional activation state and the pattern of distribution of these cells in acute brain injury. The identification of reliable quantitative morphological parameters is urgently needed to understand these cell roles in brain injury and to explore strategies aimed at therapeutically manipulating the inflammatory response.\\n\\nMETHODS:We used three different clinically relevant murine models of focal injury, namely, controlled cortical impact brain injury (traumatic brain injury (TBI)) and transient and permanent occlusion of middle cerebral artery (tMCAo and pMCAo, respectively). Twenty-four hours after injury, M/M cells were labeled by CD11b, and ×40 photomicrographs were acquired by unbiased sampling of the lesion core using a motorized stage microscope. Images were processed with Fiji software to obtain shape descriptors.\\n\\nRESULTS:We validated several parameters, including area, perimeter, Feret's diameter (caliper), circularity, aspect ratio, and solidity, providing quantitative information on M/M morphology over wide tissue portions. We showed that the shape descriptors that best represent M/M ramification/elongation are area and perimeter, while circularity and solidity provide information on the ameboid shape. We also provide evidence of the involvement of different populations in local inflammatory events, with macrophages replacing microglia into the lesion core when reperfusion does not occur. Analysis of CD45(high)+ cell morphology, whose shape does not change, did not yield any difference, thus confirming the reliability of the approach.\\n\\nCONCLUSIONS:We have defined specific morphological features that M/M acquire in response to different acute insults by applying a sensitive and readily applicable approach to cell morphological analysis in the brain tissue. Potential application of this method can be extended to all cell types able to change shape following activation, e.g., astrocytes, or to different disease states, including chronic pathologies.","author":[{"dropping-particle":"","family":"Zanier","given":"Elisa R","non-dropping-particle":"","parse-names":false,"suffix":""},{"dropping-particle":"","family":"Fumagalli","given":"Stefano","non-dropping-particle":"","parse-names":false,"suffix":""},{"dropping-particle":"","family":"Perego","given":"Carlo","non-dropping-particle":"","parse-names":false,"suffix":""},{"dropping-particle":"","family":"Pischiutta","given":"Francesca","non-dropping-particle":"","parse-names":false,"suffix":""},{"dropping-particle":"","family":"Simoni","given":"Maria-Grazia","non-dropping-particle":"De","parse-names":false,"suffix":""}],"container-title":"Intensive Care Medicine Experimental","id":"ITEM-1","issue":"1","issued":{"date-parts":[["2015"]]},"page":"39","title":"Shape descriptors of the “never resting” microglia in three different acute brain injury models in mice","type":"article-journal","volume":"3"},"uris":["http://www.mendeley.com/documents/?uuid=67e6014f-a2da-4d27-82d4-8f74f167a14c"]},{"id":"ITEM-2","itemData":{"DOI":"http://dx.doi.org/10.1177/0271678X16647397","ISBN":"1559-7016","ISSN":"0271-678X","PMID":"27165013","abstract":"Mannose-binding lectin is present in the contusion area of traumatic brain-injured patients and in that of traumatic brain-injured mice, where mannose-binding lectin-C exceeds mannose-binding lectin-A. The reduced susceptibility to traumatic brain injury of mannose-binding lectin double knock-out mice (mannose-binding lectin(-/-)) when compared to wild type mice suggests that mannose-binding lectin may be a therapeutic target following traumatic brain injury. Here, we evaluated the effects of a multivalent glycomimetic mannose-binding lectin ligand, Polyman9, following traumatic brain injury in mice. In vitro surface plasmon resonance assay indicated that Polyman9 dose-dependently inhibits the binding to immobilized mannose residues of plasma mannose-binding lectin-C selectively over that of mannose-binding lectin-A. Male C57Bl/6 mice underwent sham/controlled cortical impact traumatic brain injury and intravenous treatment with Polyman9/saline. Ex-vivo surface plasmon resonance studies confirmed that Polyman9 effectively reduces the binding of plasma mannose-binding lectin-C to immobilized mannose residues. In vivo studies up to four weeks post injury, showed that Polyman9 induces significant improvement in sensorimotor deficits (by neuroscore and beam walk), promotes neurogenesis (73% increase in doublecortin immunoreactivity), and astrogliosis (28% increase in glial fibrillary acid protein). Polyman9 administration in brain-injured mannose-binding lectin(-/-) mice had no effect on post-traumatic brain-injured functional deficits, suggestive of the specificity of its neuroprotective effects. The neurobehavioral efficacy of Polyman9 implicates mannose-binding lectin-C as a novel therapeutic target for traumatic brain injury.Copyright © The Author(s) 2016.","author":[{"dropping-particle":"","family":"Blasio","given":"D","non-dropping-particle":"De","parse-names":false,"suffix":""},{"dropping-particle":"","family":"Fumagalli","given":"S","non-dropping-particle":"","parse-names":false,"suffix":""},{"dropping-particle":"","family":"Longhi","given":"L","non-dropping-particle":"","parse-names":false,"suffix":""},{"dropping-particle":"","family":"Orsini","given":"F","non-dropping-particle":"","parse-names":false,"suffix":""},{"dropping-particle":"","family":"Palmioli","given":"A","non-dropping-particle":"","parse-names":false,"suffix":""},{"dropping-particle":"","family":"Stravalaci","given":"M","non-dropping-particle":"","parse-names":false,"suffix":""},{"dropping-particle":"","family":"Vegliante","given":"G","non-dropping-particle":"","parse-names":false,"suffix":""},{"dropping-particle":"","family":"Zanier","given":"E R","non-dropping-particle":"","parse-names":false,"suffix":""},{"dropping-particle":"","family":"Bernardi","given":"A","non-dropping-particle":"","parse-names":false,"suffix":""},{"dropping-particle":"","family":"Gobbi","given":"M","non-dropping-particle":"","parse-names":false,"suffix":""},{"dropping-particle":"","family":"Simoni","given":"M G","non-dropping-particle":"De","parse-names":false,"suffix":""}],"container-title":"Journal of Cerebral Blood Flow &amp; Metabolism","id":"ITEM-2","issue":"3","issued":{"date-parts":[["2016"]]},"page":"938-950","title":"Pharmacological inhibition of mannose-binding lectin ameliorates neurobehavioral dysfunction following experimental traumatic brain injury","type":"article-journal","volume":"37"},"uris":["http://www.mendeley.com/documents/?uuid=a3860a35-ab55-4de4-8bff-f805e2521422"]}],"mendeley":{"formattedCitation":"[65,66]","plainTextFormattedCitation":"[65,66]","previouslyFormattedCitation":"(65,66)"},"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[65,66]</w:t>
      </w:r>
      <w:r w:rsidRPr="00591954">
        <w:rPr>
          <w:szCs w:val="24"/>
          <w:lang w:val="en-GB"/>
        </w:rPr>
        <w:fldChar w:fldCharType="end"/>
      </w:r>
      <w:r w:rsidRPr="00591954">
        <w:rPr>
          <w:szCs w:val="24"/>
          <w:lang w:val="en-GB"/>
        </w:rPr>
        <w:t xml:space="preserve">. Briefly, images were scaled into microns, and the </w:t>
      </w:r>
      <w:r w:rsidRPr="00591954">
        <w:rPr>
          <w:szCs w:val="24"/>
          <w:lang w:val="en-GB" w:eastAsia="it-IT"/>
        </w:rPr>
        <w:t>background subtracted</w:t>
      </w:r>
      <w:r w:rsidRPr="00591954">
        <w:rPr>
          <w:szCs w:val="24"/>
          <w:lang w:val="en-GB"/>
        </w:rPr>
        <w:t xml:space="preserve">. Then an optimised </w:t>
      </w:r>
      <w:r w:rsidRPr="00591954">
        <w:rPr>
          <w:szCs w:val="24"/>
          <w:lang w:val="en-GB" w:eastAsia="en-GB"/>
        </w:rPr>
        <w:t xml:space="preserve">threshold selected in a pilot study was applied </w:t>
      </w:r>
      <w:r w:rsidRPr="00591954">
        <w:rPr>
          <w:szCs w:val="24"/>
          <w:lang w:val="en-GB" w:eastAsia="it-IT"/>
        </w:rPr>
        <w:t>across all the experimental groups</w:t>
      </w:r>
      <w:r w:rsidRPr="00591954">
        <w:rPr>
          <w:szCs w:val="24"/>
          <w:lang w:val="en-GB" w:eastAsia="en-GB"/>
        </w:rPr>
        <w:t xml:space="preserve"> to identify the stained positive area, and the images were </w:t>
      </w:r>
      <w:r w:rsidRPr="00591954">
        <w:rPr>
          <w:szCs w:val="24"/>
          <w:lang w:val="en-GB"/>
        </w:rPr>
        <w:t xml:space="preserve">binarized (Fig. </w:t>
      </w:r>
      <w:r w:rsidR="001D739A" w:rsidRPr="00591954">
        <w:rPr>
          <w:szCs w:val="24"/>
          <w:lang w:val="en-GB"/>
        </w:rPr>
        <w:t>S3A</w:t>
      </w:r>
      <w:r w:rsidRPr="00591954">
        <w:rPr>
          <w:szCs w:val="24"/>
          <w:lang w:val="en-GB"/>
        </w:rPr>
        <w:t>). In order to unequivocally distinguish Nissl-stained neurons</w:t>
      </w:r>
      <w:r w:rsidRPr="00591954">
        <w:rPr>
          <w:rFonts w:eastAsia="AdvTimes"/>
          <w:szCs w:val="24"/>
          <w:lang w:val="en-GB"/>
        </w:rPr>
        <w:t xml:space="preserve"> from glial cells and to count only neuronal cells, we excluded from the counting those</w:t>
      </w:r>
      <w:r w:rsidRPr="00591954">
        <w:rPr>
          <w:szCs w:val="24"/>
          <w:lang w:val="en-GB"/>
        </w:rPr>
        <w:t xml:space="preserve"> </w:t>
      </w:r>
      <w:r w:rsidRPr="00591954">
        <w:rPr>
          <w:rFonts w:eastAsia="AdvTimes"/>
          <w:szCs w:val="24"/>
          <w:lang w:val="en-GB"/>
        </w:rPr>
        <w:t>cells with an area below the cut off value of 25 µm</w:t>
      </w:r>
      <w:r w:rsidRPr="00591954">
        <w:rPr>
          <w:rFonts w:eastAsia="AdvTimes"/>
          <w:szCs w:val="24"/>
          <w:vertAlign w:val="superscript"/>
          <w:lang w:val="en-GB"/>
        </w:rPr>
        <w:t xml:space="preserve">2 </w:t>
      </w:r>
      <w:r w:rsidRPr="00591954">
        <w:rPr>
          <w:rFonts w:eastAsia="AdvTimes"/>
          <w:szCs w:val="24"/>
          <w:lang w:val="en-GB"/>
        </w:rPr>
        <w:t xml:space="preserve">by using Fiji software (Fig. </w:t>
      </w:r>
      <w:r w:rsidR="00F151E2" w:rsidRPr="00591954">
        <w:rPr>
          <w:rFonts w:eastAsia="AdvTimes"/>
          <w:szCs w:val="24"/>
          <w:lang w:val="en-GB"/>
        </w:rPr>
        <w:t>S</w:t>
      </w:r>
      <w:r w:rsidR="001D739A" w:rsidRPr="00591954">
        <w:rPr>
          <w:rFonts w:eastAsia="AdvTimes"/>
          <w:szCs w:val="24"/>
          <w:lang w:val="en-GB"/>
        </w:rPr>
        <w:t>11</w:t>
      </w:r>
      <w:r w:rsidRPr="00591954">
        <w:rPr>
          <w:rFonts w:eastAsia="AdvTimes"/>
          <w:szCs w:val="24"/>
          <w:lang w:val="en-GB"/>
        </w:rPr>
        <w:t xml:space="preserve">), as previously described </w:t>
      </w:r>
      <w:r w:rsidRPr="00591954">
        <w:rPr>
          <w:rFonts w:eastAsia="AdvTimes"/>
          <w:szCs w:val="24"/>
          <w:lang w:val="en-GB"/>
        </w:rPr>
        <w:fldChar w:fldCharType="begin" w:fldLock="1"/>
      </w:r>
      <w:r w:rsidR="004F23C5" w:rsidRPr="00591954">
        <w:rPr>
          <w:rFonts w:eastAsia="AdvTimes"/>
          <w:szCs w:val="24"/>
          <w:lang w:val="en-GB"/>
        </w:rPr>
        <w:instrText>ADDIN CSL_CITATION {"citationItems":[{"id":"ITEM-1","itemData":{"DOI":"http://dx.doi.org/10.1177/0271678X16647397","ISBN":"1559-7016","ISSN":"0271-678X","PMID":"27165013","abstract":"Mannose-binding lectin is present in the contusion area of traumatic brain-injured patients and in that of traumatic brain-injured mice, where mannose-binding lectin-C exceeds mannose-binding lectin-A. The reduced susceptibility to traumatic brain injury of mannose-binding lectin double knock-out mice (mannose-binding lectin(-/-)) when compared to wild type mice suggests that mannose-binding lectin may be a therapeutic target following traumatic brain injury. Here, we evaluated the effects of a multivalent glycomimetic mannose-binding lectin ligand, Polyman9, following traumatic brain injury in mice. In vitro surface plasmon resonance assay indicated that Polyman9 dose-dependently inhibits the binding to immobilized mannose residues of plasma mannose-binding lectin-C selectively over that of mannose-binding lectin-A. Male C57Bl/6 mice underwent sham/controlled cortical impact traumatic brain injury and intravenous treatment with Polyman9/saline. Ex-vivo surface plasmon resonance studies confirmed that Polyman9 effectively reduces the binding of plasma mannose-binding lectin-C to immobilized mannose residues. In vivo studies up to four weeks post injury, showed that Polyman9 induces significant improvement in sensorimotor deficits (by neuroscore and beam walk), promotes neurogenesis (73% increase in doublecortin immunoreactivity), and astrogliosis (28% increase in glial fibrillary acid protein). Polyman9 administration in brain-injured mannose-binding lectin(-/-) mice had no effect on post-traumatic brain-injured functional deficits, suggestive of the specificity of its neuroprotective effects. The neurobehavioral efficacy of Polyman9 implicates mannose-binding lectin-C as a novel therapeutic target for traumatic brain injury.Copyright © The Author(s) 2016.","author":[{"dropping-particle":"","family":"Blasio","given":"D","non-dropping-particle":"De","parse-names":false,"suffix":""},{"dropping-particle":"","family":"Fumagalli","given":"S","non-dropping-particle":"","parse-names":false,"suffix":""},{"dropping-particle":"","family":"Longhi","given":"L","non-dropping-particle":"","parse-names":false,"suffix":""},{"dropping-particle":"","family":"Orsini","given":"F","non-dropping-particle":"","parse-names":false,"suffix":""},{"dropping-particle":"","family":"Palmioli","given":"A","non-dropping-particle":"","parse-names":false,"suffix":""},{"dropping-particle":"","family":"Stravalaci","given":"M","non-dropping-particle":"","parse-names":false,"suffix":""},{"dropping-particle":"","family":"Vegliante","given":"G","non-dropping-particle":"","parse-names":false,"suffix":""},{"dropping-particle":"","family":"Zanier","given":"E R","non-dropping-particle":"","parse-names":false,"suffix":""},{"dropping-particle":"","family":"Bernardi","given":"A","non-dropping-particle":"","parse-names":false,"suffix":""},{"dropping-particle":"","family":"Gobbi","given":"M","non-dropping-particle":"","parse-names":false,"suffix":""},{"dropping-particle":"","family":"Simoni","given":"M G","non-dropping-particle":"De","parse-names":false,"suffix":""}],"container-title":"Journal of Cerebral Blood Flow &amp; Metabolism","id":"ITEM-1","issue":"3","issued":{"date-parts":[["2016"]]},"page":"938-950","title":"Pharmacological inhibition of mannose-binding lectin ameliorates neurobehavioral dysfunction following experimental traumatic brain injury","type":"article-journal","volume":"37"},"uris":["http://www.mendeley.com/documents/?uuid=a3860a35-ab55-4de4-8bff-f805e2521422"]},{"id":"ITEM-2","itemData":{"DOI":"10.1097/CCM.0000000000000399","ISSN":"15300293","abstract":"Objective: Mannose-binding lectin protein is the activator of the lectin complement pathway. Goals were 1) to investigate mannose-binding lectin expression after human and experimental traumatic brain injury induced by controlled cortical impact and 2) to evaluate whether mannose-binding lectin deletion is associated with reduced sequelae after controlled cortical impact. Design: Translational research, combining a human/experimental observational study and a prospective experimental study. Setting: University hospital/research laboratory. PATIENTS AND Subjects: Brain-injured patients, C57Bl/6 mice, and mannose-binding lectin-A and mannose-binding lectin-C double-knockout (-/-) mice. Interventions: Using anti-human mannose-binding lectin antibody, we evaluated mannose-binding lectin expression in tissue samples from six patients who underwent surgery for a cerebral contusion. Immunohistochemistry was also performed on tissues obtained from mice at 30 minutes; 6, 12, 24, 48, and 96 hours; and 1 week after controlled cortical impact using anti-mouse mannose-binding lectin-A and mannose-binding lectin-C antibodies. We evaluated the effects of mannose-binding lectin deletion in wild-type and mannose-binding lectin-A and mannose-binding lectin-C double-knockout mice. Functional outcome was evaluated using the neuroscore and beam walk tests for 4 weeks postinjury (n = 11). Histological injury was evaluated by comparing neuronal cell counts in the cortex adjacent to the contusion (n = 11). Measurements and main results: Following human traumatic brain injury, we observed mannose-binding lectin-positive immunostaining in the injured cortex as early as few hours and up to 5 days postinjury. Similarly in mice, we observed mannose-binding lectin-C-positive immunoreactivity in the injured cortex beginning 30 minutes and persisting up to 1 week postinjury. The extent of mannose-binding lectin-A expression was lower when compared with that of mannose-binding lectin-C. We observed attenuated sensorimotor deficits in mannose-binding lectin (-/-) mice compared with wild-type mice at 2-4 weeks postinjury. Furthermore, we observed reduced cortical cell loss at 5 weeks postinjury in mannose-binding lectin (-/-) mice compared with wild-type mice. Conclusions: Mannose-binding lectin expression was documented after traumatic brain injury. The reduced sequelae associated with mannose-binding lectin absence suggest that mannose-binding lectin modulation might be a potential tar…","author":[{"dropping-particle":"","family":"Longhi","given":"Luca","non-dropping-particle":"","parse-names":false,"suffix":""},{"dropping-particle":"","family":"Orsini","given":"Franca","non-dropping-particle":"","parse-names":false,"suffix":""},{"dropping-particle":"","family":"Blasio","given":"Daiana","non-dropping-particle":"De","parse-names":false,"suffix":""},{"dropping-particle":"","family":"Fumagalli","given":"Stefano","non-dropping-particle":"","parse-names":false,"suffix":""},{"dropping-particle":"","family":"Ortolano","given":"Fabrizio","non-dropping-particle":"","parse-names":false,"suffix":""},{"dropping-particle":"","family":"Locatelli","given":"Marco","non-dropping-particle":"","parse-names":false,"suffix":""},{"dropping-particle":"","family":"Stocchetti","given":"Nino","non-dropping-particle":"","parse-names":false,"suffix":""},{"dropping-particle":"","family":"Simoni","given":"Maria Grazia","non-dropping-particle":"De","parse-names":false,"suffix":""}],"container-title":"Critical Care Medicine","id":"ITEM-2","issue":"8","issued":{"date-parts":[["2014"]]},"page":"1910-8","title":"Mannose-binding lectin is expressed after clinical and experimental traumatic brain injury and its deletion is protective","type":"article-journal","volume":"42"},"uris":["http://www.mendeley.com/documents/?uuid=b9184806-523e-4d7d-b294-d44b14b6dbfd"]}],"mendeley":{"formattedCitation":"[66,67]","plainTextFormattedCitation":"[66,67]","previouslyFormattedCitation":"(66,67)"},"properties":{"noteIndex":0},"schema":"https://github.com/citation-style-language/schema/raw/master/csl-citation.json"}</w:instrText>
      </w:r>
      <w:r w:rsidRPr="00591954">
        <w:rPr>
          <w:rFonts w:eastAsia="AdvTimes"/>
          <w:szCs w:val="24"/>
          <w:lang w:val="en-GB"/>
        </w:rPr>
        <w:fldChar w:fldCharType="separate"/>
      </w:r>
      <w:r w:rsidR="004F23C5" w:rsidRPr="00591954">
        <w:rPr>
          <w:rFonts w:eastAsia="AdvTimes"/>
          <w:noProof/>
          <w:szCs w:val="24"/>
          <w:lang w:val="en-GB"/>
        </w:rPr>
        <w:t>[66,67]</w:t>
      </w:r>
      <w:r w:rsidRPr="00591954">
        <w:rPr>
          <w:rFonts w:eastAsia="AdvTimes"/>
          <w:szCs w:val="24"/>
          <w:lang w:val="en-GB"/>
        </w:rPr>
        <w:fldChar w:fldCharType="end"/>
      </w:r>
      <w:r w:rsidRPr="00591954">
        <w:rPr>
          <w:rFonts w:eastAsia="AdvTimes"/>
          <w:szCs w:val="24"/>
          <w:lang w:val="en-GB"/>
        </w:rPr>
        <w:t xml:space="preserve">. </w:t>
      </w:r>
      <w:r w:rsidRPr="00591954">
        <w:rPr>
          <w:szCs w:val="24"/>
          <w:lang w:val="en-GB"/>
        </w:rPr>
        <w:t>To count the number of Iba-1-immunoreactive microglia cells, we applied a threshold area &gt;</w:t>
      </w:r>
      <w:r w:rsidRPr="00591954">
        <w:rPr>
          <w:rFonts w:eastAsia="AdvTimes"/>
          <w:szCs w:val="24"/>
          <w:lang w:val="en-GB"/>
        </w:rPr>
        <w:t>15 µm</w:t>
      </w:r>
      <w:r w:rsidRPr="00591954">
        <w:rPr>
          <w:rFonts w:eastAsia="AdvTimes"/>
          <w:szCs w:val="24"/>
          <w:vertAlign w:val="superscript"/>
          <w:lang w:val="en-GB"/>
        </w:rPr>
        <w:t>2</w:t>
      </w:r>
      <w:r w:rsidRPr="00591954">
        <w:rPr>
          <w:rFonts w:eastAsia="AdvTimes"/>
          <w:szCs w:val="24"/>
          <w:lang w:val="en-GB"/>
        </w:rPr>
        <w:t>, since this cut off value</w:t>
      </w:r>
      <w:r w:rsidRPr="00591954">
        <w:rPr>
          <w:szCs w:val="24"/>
          <w:lang w:val="en-GB"/>
        </w:rPr>
        <w:t xml:space="preserve"> </w:t>
      </w:r>
      <w:r w:rsidRPr="00591954">
        <w:rPr>
          <w:rFonts w:eastAsia="AdvTimes"/>
          <w:szCs w:val="24"/>
          <w:lang w:val="en-GB"/>
        </w:rPr>
        <w:t>allowed clear select</w:t>
      </w:r>
      <w:r w:rsidR="007D5605" w:rsidRPr="00591954">
        <w:rPr>
          <w:rFonts w:eastAsia="AdvTimes"/>
          <w:szCs w:val="24"/>
          <w:lang w:val="en-GB"/>
        </w:rPr>
        <w:t>ion of</w:t>
      </w:r>
      <w:r w:rsidRPr="00591954">
        <w:rPr>
          <w:rFonts w:eastAsia="AdvTimes"/>
          <w:szCs w:val="24"/>
          <w:lang w:val="en-GB"/>
        </w:rPr>
        <w:t xml:space="preserve"> their cell bodies (Fig. S</w:t>
      </w:r>
      <w:r w:rsidR="001D739A" w:rsidRPr="00591954">
        <w:rPr>
          <w:rFonts w:eastAsia="AdvTimes"/>
          <w:szCs w:val="24"/>
          <w:lang w:val="en-GB"/>
        </w:rPr>
        <w:t>3</w:t>
      </w:r>
      <w:r w:rsidRPr="00591954">
        <w:rPr>
          <w:rFonts w:eastAsia="AdvTimes"/>
          <w:szCs w:val="24"/>
          <w:lang w:val="en-GB"/>
        </w:rPr>
        <w:t xml:space="preserve">A). </w:t>
      </w:r>
      <w:r w:rsidRPr="00591954">
        <w:rPr>
          <w:szCs w:val="24"/>
          <w:lang w:val="en-GB"/>
        </w:rPr>
        <w:t>CD11b immunoreactivity is diffuse</w:t>
      </w:r>
      <w:r w:rsidR="007D5605" w:rsidRPr="00591954">
        <w:rPr>
          <w:szCs w:val="24"/>
          <w:lang w:val="en-GB"/>
        </w:rPr>
        <w:t>;</w:t>
      </w:r>
      <w:r w:rsidR="00C30D66" w:rsidRPr="00591954">
        <w:rPr>
          <w:szCs w:val="24"/>
          <w:lang w:val="en-GB"/>
        </w:rPr>
        <w:t xml:space="preserve"> therefore</w:t>
      </w:r>
      <w:r w:rsidR="007D5605" w:rsidRPr="00591954">
        <w:rPr>
          <w:szCs w:val="24"/>
          <w:lang w:val="en-GB"/>
        </w:rPr>
        <w:t>, the</w:t>
      </w:r>
      <w:r w:rsidRPr="00591954">
        <w:rPr>
          <w:szCs w:val="24"/>
          <w:lang w:val="en-GB"/>
        </w:rPr>
        <w:t xml:space="preserve"> cell body </w:t>
      </w:r>
      <w:r w:rsidR="002A3ECC" w:rsidRPr="00591954">
        <w:rPr>
          <w:szCs w:val="24"/>
          <w:lang w:val="en-GB"/>
        </w:rPr>
        <w:t>is difficult to identify</w:t>
      </w:r>
      <w:r w:rsidRPr="00591954">
        <w:rPr>
          <w:szCs w:val="24"/>
          <w:lang w:val="en-GB"/>
        </w:rPr>
        <w:t>.</w:t>
      </w:r>
      <w:r w:rsidR="002A3ECC" w:rsidRPr="00591954">
        <w:rPr>
          <w:szCs w:val="24"/>
          <w:lang w:val="en-GB"/>
        </w:rPr>
        <w:t xml:space="preserve"> </w:t>
      </w:r>
      <w:r w:rsidR="007D5605" w:rsidRPr="00591954">
        <w:rPr>
          <w:szCs w:val="24"/>
          <w:lang w:val="en-GB"/>
        </w:rPr>
        <w:t>Thus</w:t>
      </w:r>
      <w:r w:rsidRPr="00591954">
        <w:rPr>
          <w:szCs w:val="24"/>
          <w:lang w:val="en-GB"/>
        </w:rPr>
        <w:t>,</w:t>
      </w:r>
      <w:r w:rsidR="007D5605" w:rsidRPr="00591954">
        <w:rPr>
          <w:szCs w:val="24"/>
          <w:lang w:val="en-GB"/>
        </w:rPr>
        <w:t xml:space="preserve"> </w:t>
      </w:r>
      <w:r w:rsidR="002A3ECC" w:rsidRPr="00591954">
        <w:rPr>
          <w:szCs w:val="24"/>
          <w:lang w:val="en-GB"/>
        </w:rPr>
        <w:t>t</w:t>
      </w:r>
      <w:r w:rsidRPr="00591954">
        <w:rPr>
          <w:szCs w:val="24"/>
          <w:lang w:val="en-GB"/>
        </w:rPr>
        <w:t>he total immunoreactive area</w:t>
      </w:r>
      <w:r w:rsidRPr="00591954">
        <w:rPr>
          <w:i/>
          <w:szCs w:val="24"/>
          <w:lang w:val="en-GB"/>
        </w:rPr>
        <w:t xml:space="preserve"> </w:t>
      </w:r>
      <w:r w:rsidRPr="00591954">
        <w:rPr>
          <w:szCs w:val="24"/>
          <w:lang w:val="en-GB"/>
        </w:rPr>
        <w:t xml:space="preserve">was quantified and expressed as percent of positive </w:t>
      </w:r>
      <w:r w:rsidR="002A3ECC" w:rsidRPr="00591954">
        <w:rPr>
          <w:rFonts w:eastAsia="AdvTimes"/>
          <w:szCs w:val="24"/>
          <w:lang w:val="en-GB"/>
        </w:rPr>
        <w:t>µm</w:t>
      </w:r>
      <w:r w:rsidR="002A3ECC" w:rsidRPr="00591954">
        <w:rPr>
          <w:rFonts w:eastAsia="AdvTimes"/>
          <w:szCs w:val="24"/>
          <w:vertAlign w:val="superscript"/>
          <w:lang w:val="en-GB"/>
        </w:rPr>
        <w:t>2</w:t>
      </w:r>
      <w:r w:rsidRPr="00591954">
        <w:rPr>
          <w:szCs w:val="24"/>
          <w:lang w:val="en-GB"/>
        </w:rPr>
        <w:t xml:space="preserve">/total </w:t>
      </w:r>
      <w:r w:rsidR="002A3ECC" w:rsidRPr="00591954">
        <w:rPr>
          <w:rFonts w:eastAsia="AdvTimes"/>
          <w:szCs w:val="24"/>
          <w:lang w:val="en-GB"/>
        </w:rPr>
        <w:t>µm</w:t>
      </w:r>
      <w:r w:rsidR="002A3ECC" w:rsidRPr="00591954">
        <w:rPr>
          <w:rFonts w:eastAsia="AdvTimes"/>
          <w:szCs w:val="24"/>
          <w:vertAlign w:val="superscript"/>
          <w:lang w:val="en-GB"/>
        </w:rPr>
        <w:t>2</w:t>
      </w:r>
      <w:r w:rsidRPr="00591954">
        <w:rPr>
          <w:szCs w:val="24"/>
          <w:lang w:val="en-GB"/>
        </w:rPr>
        <w:t xml:space="preserve">. Once segmented, all cells </w:t>
      </w:r>
      <w:r w:rsidR="007D5605" w:rsidRPr="00591954">
        <w:rPr>
          <w:szCs w:val="24"/>
          <w:lang w:val="en-GB"/>
        </w:rPr>
        <w:t xml:space="preserve">positive </w:t>
      </w:r>
      <w:r w:rsidRPr="00591954">
        <w:rPr>
          <w:szCs w:val="24"/>
          <w:lang w:val="en-GB"/>
        </w:rPr>
        <w:t xml:space="preserve">for Nissl and Iba-1, and </w:t>
      </w:r>
      <w:r w:rsidR="007D5605" w:rsidRPr="00591954">
        <w:rPr>
          <w:szCs w:val="24"/>
          <w:lang w:val="en-GB"/>
        </w:rPr>
        <w:t xml:space="preserve">the </w:t>
      </w:r>
      <w:r w:rsidRPr="00591954">
        <w:rPr>
          <w:szCs w:val="24"/>
          <w:lang w:val="en-GB"/>
        </w:rPr>
        <w:t xml:space="preserve">total </w:t>
      </w:r>
      <w:r w:rsidR="002A3ECC" w:rsidRPr="00591954">
        <w:rPr>
          <w:szCs w:val="24"/>
          <w:lang w:val="en-GB"/>
        </w:rPr>
        <w:t xml:space="preserve">positive </w:t>
      </w:r>
      <w:r w:rsidRPr="00591954">
        <w:rPr>
          <w:szCs w:val="24"/>
          <w:lang w:val="en-GB"/>
        </w:rPr>
        <w:t>area for CD11b</w:t>
      </w:r>
      <w:r w:rsidR="007D5605" w:rsidRPr="00591954">
        <w:rPr>
          <w:szCs w:val="24"/>
          <w:lang w:val="en-GB"/>
        </w:rPr>
        <w:t xml:space="preserve"> labelling</w:t>
      </w:r>
      <w:r w:rsidRPr="00591954">
        <w:rPr>
          <w:szCs w:val="24"/>
          <w:lang w:val="en-GB"/>
        </w:rPr>
        <w:t xml:space="preserve"> were quantified. Data obtained in each slice/brain for each marker were averaged</w:t>
      </w:r>
      <w:r w:rsidR="007D5605" w:rsidRPr="00591954">
        <w:rPr>
          <w:szCs w:val="24"/>
          <w:lang w:val="en-GB"/>
        </w:rPr>
        <w:t>,</w:t>
      </w:r>
      <w:r w:rsidRPr="00591954">
        <w:rPr>
          <w:szCs w:val="24"/>
          <w:lang w:val="en-GB"/>
        </w:rPr>
        <w:t xml:space="preserve"> providing a single value for each animal, and this value was used for statistical analysis. </w:t>
      </w:r>
    </w:p>
    <w:p w14:paraId="2DDE4FD8" w14:textId="77777777" w:rsidR="00726E30" w:rsidRPr="00591954" w:rsidRDefault="00726E30" w:rsidP="00B4110B">
      <w:pPr>
        <w:autoSpaceDE w:val="0"/>
        <w:autoSpaceDN w:val="0"/>
        <w:adjustRightInd w:val="0"/>
        <w:rPr>
          <w:szCs w:val="24"/>
          <w:lang w:val="en-GB"/>
        </w:rPr>
      </w:pPr>
    </w:p>
    <w:p w14:paraId="44A9E6E3" w14:textId="77777777" w:rsidR="00951646" w:rsidRPr="00591954" w:rsidRDefault="00951646" w:rsidP="00B4110B">
      <w:pPr>
        <w:pStyle w:val="Heading2"/>
        <w:spacing w:before="0" w:after="0"/>
        <w:rPr>
          <w:rFonts w:ascii="Times New Roman" w:hAnsi="Times New Roman"/>
          <w:b w:val="0"/>
          <w:i w:val="0"/>
          <w:iCs w:val="0"/>
          <w:sz w:val="26"/>
          <w:szCs w:val="26"/>
          <w:lang w:val="en-GB"/>
        </w:rPr>
      </w:pPr>
      <w:r w:rsidRPr="00591954">
        <w:rPr>
          <w:rFonts w:ascii="Times New Roman" w:hAnsi="Times New Roman"/>
          <w:i w:val="0"/>
          <w:sz w:val="26"/>
          <w:szCs w:val="26"/>
          <w:lang w:val="en-GB"/>
        </w:rPr>
        <w:t>Flow cytometry</w:t>
      </w:r>
    </w:p>
    <w:p w14:paraId="450B6F00" w14:textId="51551616" w:rsidR="00951646" w:rsidRPr="00591954" w:rsidRDefault="00951646" w:rsidP="00B4110B">
      <w:pPr>
        <w:rPr>
          <w:szCs w:val="24"/>
          <w:lang w:val="en-GB"/>
        </w:rPr>
      </w:pPr>
      <w:r w:rsidRPr="00591954">
        <w:rPr>
          <w:szCs w:val="24"/>
          <w:lang w:val="en-GB"/>
        </w:rPr>
        <w:t>Naïve mice were fed for three weeks with a placebo (non-medicated) diet (n=2) or medicated diet (supplemented with PLX3397, n=3). Then mice were anesthetized, perfused with saline and brain tissue removed (experimental design in Fig. S</w:t>
      </w:r>
      <w:r w:rsidR="00C30D66" w:rsidRPr="00591954">
        <w:rPr>
          <w:szCs w:val="24"/>
          <w:lang w:val="en-GB"/>
        </w:rPr>
        <w:t>1</w:t>
      </w:r>
      <w:r w:rsidRPr="00591954">
        <w:rPr>
          <w:szCs w:val="24"/>
          <w:lang w:val="en-GB"/>
        </w:rPr>
        <w:t xml:space="preserve">B). The forebrain was mechanically dissociated, and incubated with 0.4 mg/ml collagenase type IV (Sigma- Aldrich) for 30 minutes at 37°C. After incubation and mechanical dissociation, the homogeneous cell suspension was loaded on a isotonic 90% Percoll gradient and centrifuged for 30 minutes at 4°C at 10,800 rpm to enrich for inflammatory cells and discard myelin debris, as previously described </w:t>
      </w:r>
      <w:r w:rsidRPr="00591954">
        <w:rPr>
          <w:szCs w:val="24"/>
          <w:lang w:val="en-GB"/>
        </w:rPr>
        <w:fldChar w:fldCharType="begin" w:fldLock="1"/>
      </w:r>
      <w:r w:rsidR="004F23C5" w:rsidRPr="00591954">
        <w:rPr>
          <w:szCs w:val="24"/>
          <w:lang w:val="en-GB"/>
        </w:rPr>
        <w:instrText>ADDIN CSL_CITATION {"citationItems":[{"id":"ITEM-1","itemData":{"author":[{"dropping-particle":"","family":"Feo","given":"Donatella","non-dropping-particle":"De","parse-names":false,"suffix":""},{"dropping-particle":"","family":"Merlini","given":"Arianna","non-dropping-particle":"","parse-names":false,"suffix":""},{"dropping-particle":"","family":"Brambilla","given":"Elena","non-dropping-particle":"","parse-names":false,"suffix":""},{"dropping-particle":"","family":"Ottoboni","given":"Linda","non-dropping-particle":"","parse-names":false,"suffix":""},{"dropping-particle":"","family":"Laterza","given":"Cecilia","non-dropping-particle":"","parse-names":false,"suffix":""},{"dropping-particle":"","family":"Menon","given":"Ramesh","non-dropping-particle":"","parse-names":false,"suffix":""},{"dropping-particle":"","family":"Srinivasan","given":"Sundararajan","non-dropping-particle":"","parse-names":false,"suffix":""},{"dropping-particle":"","family":"Farina","given":"Cinthia","non-dropping-particle":"","parse-names":false,"suffix":""},{"dropping-particle":"","family":"Manteiga","given":"Jose Manuel Garcia","non-dropping-particle":"","parse-names":false,"suffix":""},{"dropping-particle":"","family":"Butti","given":"Erica","non-dropping-particle":"","parse-names":false,"suffix":""},{"dropping-particle":"","family":"others","given":"","non-dropping-particle":"","parse-names":false,"suffix":""}],"container-title":"The Journal of clinical investigation","id":"ITEM-1","issue":"11","issued":{"date-parts":[["2017"]]},"page":"3937-3953","publisher":"Am Soc Clin Investig","title":"Neural precursor cell-secreted TGF-β2 redirects inflammatory monocyte-derived cells in CNS autoimmunity","type":"article-journal","volume":"127"},"uris":["http://www.mendeley.com/documents/?uuid=3eeb0b8d-6bbd-4f32-a967-90ed8df26500"]}],"mendeley":{"formattedCitation":"[68]","plainTextFormattedCitation":"[68]","previouslyFormattedCitation":"(68)"},"properties":{"noteIndex":0},"schema":"https://github.com/citation-style-language/schema/raw/master/csl-citation.json"}</w:instrText>
      </w:r>
      <w:r w:rsidRPr="00591954">
        <w:rPr>
          <w:szCs w:val="24"/>
          <w:lang w:val="en-GB"/>
        </w:rPr>
        <w:fldChar w:fldCharType="separate"/>
      </w:r>
      <w:r w:rsidR="004F23C5" w:rsidRPr="00591954">
        <w:rPr>
          <w:noProof/>
          <w:szCs w:val="24"/>
          <w:lang w:val="en-GB"/>
        </w:rPr>
        <w:t>[68]</w:t>
      </w:r>
      <w:r w:rsidRPr="00591954">
        <w:rPr>
          <w:szCs w:val="24"/>
          <w:lang w:val="en-GB"/>
        </w:rPr>
        <w:fldChar w:fldCharType="end"/>
      </w:r>
      <w:r w:rsidRPr="00591954">
        <w:rPr>
          <w:szCs w:val="24"/>
          <w:lang w:val="en-GB"/>
        </w:rPr>
        <w:t>. All harvested cells were then immediately stained and thereafter acquired on the Canto II (Becton Dickinson/BD Biosciences) flow cytometer and analysed with FlowJo software (Tree Star). The following antibodies were employed: CD11b-PE-Cy7 (1:300, BD, clone M1/70), CD45-PB (1:300, Biolegend, clone 30-F11), Ly6C-FITC (1:200, BD, clone AL-21), Ly6G–PerCP-Cy5.5 (1:200, BD, clone 1A8). Live viability was assessed by the Zombie NIR™ Fixable Viability Kit (1:500, Biolegend). Prior to detailed analysis, cells were always gated on single and live cells, by excluding dead cells with the live/dead Zombie NIR™ Fixable Viability Kit (Biolegend). Immune cells were identified as live microglial cells (CD45loCD11b+Ly6G-Ly6C-), monocytes (CD45hiCD11b+Ly6G-Ly6Chi), neutrophils (CD45+CD11b+Ly6G+) and lymphocytes (CD45+CD11b-) as detailed in the gating strategy (Fig. S1</w:t>
      </w:r>
      <w:r w:rsidR="00726E30" w:rsidRPr="00591954">
        <w:rPr>
          <w:szCs w:val="24"/>
          <w:lang w:val="en-GB"/>
        </w:rPr>
        <w:t>2</w:t>
      </w:r>
      <w:r w:rsidRPr="00591954">
        <w:rPr>
          <w:szCs w:val="24"/>
          <w:lang w:val="en-GB"/>
        </w:rPr>
        <w:t>).</w:t>
      </w:r>
    </w:p>
    <w:p w14:paraId="62AE395A" w14:textId="2D19BD08" w:rsidR="00951646" w:rsidRPr="00591954" w:rsidRDefault="00951646" w:rsidP="00B4110B">
      <w:pPr>
        <w:rPr>
          <w:rStyle w:val="Heading2Char"/>
          <w:rFonts w:ascii="Times New Roman" w:hAnsi="Times New Roman"/>
          <w:b w:val="0"/>
          <w:i w:val="0"/>
          <w:sz w:val="24"/>
          <w:szCs w:val="24"/>
          <w:lang w:val="en-GB"/>
        </w:rPr>
      </w:pPr>
    </w:p>
    <w:p w14:paraId="0DE60F37" w14:textId="77777777" w:rsidR="00765F99" w:rsidRPr="00591954" w:rsidRDefault="00765F99" w:rsidP="00B4110B">
      <w:pPr>
        <w:pStyle w:val="Heading2"/>
        <w:spacing w:before="0" w:after="0"/>
        <w:rPr>
          <w:rFonts w:ascii="Times New Roman" w:hAnsi="Times New Roman"/>
          <w:i w:val="0"/>
          <w:sz w:val="26"/>
          <w:szCs w:val="26"/>
          <w:lang w:val="en-GB"/>
        </w:rPr>
      </w:pPr>
      <w:r w:rsidRPr="00591954">
        <w:rPr>
          <w:rFonts w:ascii="Times New Roman" w:hAnsi="Times New Roman"/>
          <w:i w:val="0"/>
          <w:sz w:val="26"/>
          <w:szCs w:val="26"/>
          <w:lang w:val="en-GB"/>
        </w:rPr>
        <w:t>Statistical analysis of mouse model data</w:t>
      </w:r>
    </w:p>
    <w:p w14:paraId="4DE2789D" w14:textId="7A24D138" w:rsidR="00765F99" w:rsidRPr="00591954" w:rsidRDefault="00765F99" w:rsidP="00B4110B">
      <w:pPr>
        <w:spacing w:line="276" w:lineRule="auto"/>
        <w:rPr>
          <w:iCs/>
          <w:szCs w:val="24"/>
          <w:lang w:val="en-GB"/>
        </w:rPr>
      </w:pPr>
      <w:r w:rsidRPr="00591954">
        <w:rPr>
          <w:szCs w:val="24"/>
          <w:lang w:val="en-GB"/>
        </w:rPr>
        <w:t xml:space="preserve">All efforts were made to minimize the number of animals used and their suffering according to the principles of the three Rs (Replacement, Reduction and Refinement; </w:t>
      </w:r>
      <w:hyperlink r:id="rId16" w:history="1">
        <w:r w:rsidRPr="00591954">
          <w:rPr>
            <w:rStyle w:val="Hyperlink"/>
            <w:i/>
            <w:color w:val="auto"/>
            <w:lang w:val="en-GB"/>
          </w:rPr>
          <w:t>https://www.nc3rs.org.uk/the-3rs</w:t>
        </w:r>
      </w:hyperlink>
      <w:r w:rsidRPr="00591954">
        <w:rPr>
          <w:szCs w:val="24"/>
          <w:lang w:val="en-GB"/>
        </w:rPr>
        <w:t xml:space="preserve">). Statistical tests </w:t>
      </w:r>
      <w:r w:rsidRPr="00591954">
        <w:rPr>
          <w:iCs/>
          <w:szCs w:val="24"/>
          <w:lang w:val="en-GB"/>
        </w:rPr>
        <w:t xml:space="preserve">were defined with the assistance of </w:t>
      </w:r>
      <w:r w:rsidRPr="00591954">
        <w:rPr>
          <w:lang w:val="en-GB"/>
        </w:rPr>
        <w:t>a biostatistician (L. Porcu)</w:t>
      </w:r>
      <w:r w:rsidRPr="00591954">
        <w:rPr>
          <w:iCs/>
          <w:szCs w:val="24"/>
          <w:lang w:val="en-GB"/>
        </w:rPr>
        <w:t xml:space="preserve">. </w:t>
      </w:r>
    </w:p>
    <w:p w14:paraId="0439EB64" w14:textId="1F7921B3" w:rsidR="00765F99" w:rsidRPr="00591954" w:rsidRDefault="00765F99" w:rsidP="00B4110B">
      <w:pPr>
        <w:widowControl w:val="0"/>
        <w:autoSpaceDE w:val="0"/>
        <w:autoSpaceDN w:val="0"/>
        <w:adjustRightInd w:val="0"/>
        <w:spacing w:after="120"/>
        <w:contextualSpacing/>
        <w:rPr>
          <w:szCs w:val="24"/>
          <w:lang w:val="en-GB"/>
        </w:rPr>
      </w:pPr>
      <w:r w:rsidRPr="00591954">
        <w:rPr>
          <w:szCs w:val="24"/>
          <w:lang w:val="en-GB"/>
        </w:rPr>
        <w:t xml:space="preserve">Unpaired t test or nonparametric Mann Whitney test for two independent groups, or one-way ANOVA followed by Tukey’s post hoc test for more than two independent groups were used for statistical analyses of SE onset and duration, MRI data, microglial and neuronal cell count, discrimination index in NORT and for electrophysiology experiments in oocytes. Differences were considered significant with a P&lt;0.05. </w:t>
      </w:r>
    </w:p>
    <w:p w14:paraId="3D081253" w14:textId="68EF7225" w:rsidR="00765F99" w:rsidRPr="00591954" w:rsidRDefault="00765F99" w:rsidP="00B4110B">
      <w:pPr>
        <w:spacing w:line="276" w:lineRule="auto"/>
        <w:rPr>
          <w:lang w:val="en-GB"/>
        </w:rPr>
      </w:pPr>
      <w:r w:rsidRPr="00591954">
        <w:rPr>
          <w:lang w:val="en-GB"/>
        </w:rPr>
        <w:lastRenderedPageBreak/>
        <w:t>The temporal distribution of spikes during SE (Fig. S4) and PS amplitudes during extracellular recordings (Fig. S8) were analysed by two-way ANOVA for repeated measures.</w:t>
      </w:r>
      <w:r w:rsidRPr="00591954">
        <w:rPr>
          <w:shd w:val="clear" w:color="auto" w:fill="FDFCFA"/>
          <w:lang w:val="en-GB"/>
        </w:rPr>
        <w:t xml:space="preserve"> Friedman’s two-way nonparametric ANOVA followed by </w:t>
      </w:r>
      <w:r w:rsidRPr="00591954">
        <w:rPr>
          <w:rStyle w:val="st"/>
          <w:lang w:val="en-GB"/>
        </w:rPr>
        <w:t>post</w:t>
      </w:r>
      <w:r w:rsidR="00E0017E" w:rsidRPr="00591954">
        <w:rPr>
          <w:rStyle w:val="st"/>
          <w:lang w:val="en-GB"/>
        </w:rPr>
        <w:t xml:space="preserve"> </w:t>
      </w:r>
      <w:r w:rsidR="00AC50EE" w:rsidRPr="00591954">
        <w:rPr>
          <w:rStyle w:val="st"/>
          <w:lang w:val="en-GB"/>
        </w:rPr>
        <w:t>hoc multiple comparison</w:t>
      </w:r>
      <w:r w:rsidRPr="00591954">
        <w:rPr>
          <w:rStyle w:val="st"/>
          <w:lang w:val="en-GB"/>
        </w:rPr>
        <w:t xml:space="preserve"> test with Bonferroni correction</w:t>
      </w:r>
      <w:r w:rsidRPr="00591954">
        <w:rPr>
          <w:shd w:val="clear" w:color="auto" w:fill="FDFCFA"/>
          <w:lang w:val="en-GB"/>
        </w:rPr>
        <w:t xml:space="preserve"> was used to detect the treatment effect on number of seizures and their </w:t>
      </w:r>
      <w:r w:rsidRPr="00591954">
        <w:rPr>
          <w:lang w:val="en-GB"/>
        </w:rPr>
        <w:t>duration (Fig. 3 and Suppl. Fig. S4)</w:t>
      </w:r>
      <w:r w:rsidRPr="00591954">
        <w:rPr>
          <w:rStyle w:val="st"/>
          <w:lang w:val="en-GB"/>
        </w:rPr>
        <w:t xml:space="preserve">. </w:t>
      </w:r>
      <w:r w:rsidRPr="00591954">
        <w:rPr>
          <w:lang w:val="en-GB"/>
        </w:rPr>
        <w:t xml:space="preserve">Data are presented as individual data points overlying box-and-whisker plots depicting median, interquartile interval, minimum and maximum (n=number of individual samples). </w:t>
      </w:r>
    </w:p>
    <w:p w14:paraId="79B3E06D" w14:textId="77777777" w:rsidR="00765F99" w:rsidRPr="00591954" w:rsidRDefault="00765F99" w:rsidP="00B4110B">
      <w:pPr>
        <w:spacing w:line="276" w:lineRule="auto"/>
        <w:rPr>
          <w:lang w:val="en-GB"/>
        </w:rPr>
      </w:pPr>
      <w:r w:rsidRPr="00591954">
        <w:rPr>
          <w:lang w:val="en-GB"/>
        </w:rPr>
        <w:t>Data were analysed using GraphPad Prism 7.03 (GraphPad Software, USA) for Windows and SAS/STAT software, Version 9.4 of the SAS System for Windows. Copyright © 2016 by SAS Institute Inc., Cary, NC, USA.</w:t>
      </w:r>
    </w:p>
    <w:p w14:paraId="04B5B37B" w14:textId="77777777" w:rsidR="00765F99" w:rsidRPr="00591954" w:rsidRDefault="00765F99" w:rsidP="00765F99">
      <w:pPr>
        <w:rPr>
          <w:lang w:val="en-GB"/>
        </w:rPr>
      </w:pPr>
    </w:p>
    <w:p w14:paraId="7F08906B" w14:textId="77777777" w:rsidR="006C5FFA" w:rsidRPr="00591954" w:rsidRDefault="006C5FFA" w:rsidP="7B450C00">
      <w:pPr>
        <w:jc w:val="both"/>
        <w:rPr>
          <w:rFonts w:ascii="Times" w:hAnsi="Times" w:cs="Times"/>
          <w:shd w:val="clear" w:color="auto" w:fill="FFFFFF"/>
          <w:lang w:val="en-GB"/>
        </w:rPr>
      </w:pPr>
    </w:p>
    <w:p w14:paraId="069965AA" w14:textId="77777777" w:rsidR="00951646" w:rsidRPr="00591954" w:rsidRDefault="00951646" w:rsidP="00951646">
      <w:pPr>
        <w:rPr>
          <w:szCs w:val="24"/>
          <w:lang w:val="en-GB" w:eastAsia="en-GB"/>
        </w:rPr>
      </w:pPr>
    </w:p>
    <w:p w14:paraId="0AFEB857" w14:textId="77777777" w:rsidR="00BC6B6D" w:rsidRPr="00591954" w:rsidRDefault="00BC6B6D">
      <w:pPr>
        <w:rPr>
          <w:rStyle w:val="Heading2Char"/>
          <w:rFonts w:ascii="Times New Roman" w:hAnsi="Times New Roman"/>
          <w:i w:val="0"/>
          <w:sz w:val="26"/>
          <w:szCs w:val="26"/>
          <w:lang w:val="en-GB" w:eastAsia="it-IT"/>
        </w:rPr>
      </w:pPr>
      <w:r w:rsidRPr="00591954">
        <w:rPr>
          <w:rStyle w:val="Heading2Char"/>
          <w:rFonts w:ascii="Times New Roman" w:hAnsi="Times New Roman"/>
          <w:i w:val="0"/>
          <w:sz w:val="26"/>
          <w:szCs w:val="26"/>
          <w:lang w:val="en-GB"/>
        </w:rPr>
        <w:br w:type="page"/>
      </w:r>
    </w:p>
    <w:p w14:paraId="45DDE9EC" w14:textId="02C2ECAF" w:rsidR="00951646" w:rsidRPr="00591954" w:rsidRDefault="00951646" w:rsidP="00EF4AA2">
      <w:pPr>
        <w:pStyle w:val="svarticle"/>
        <w:spacing w:before="0" w:beforeAutospacing="0" w:after="0" w:afterAutospacing="0"/>
        <w:rPr>
          <w:b/>
          <w:bCs/>
          <w:iCs/>
          <w:sz w:val="26"/>
          <w:szCs w:val="26"/>
          <w:lang w:val="en-GB"/>
        </w:rPr>
      </w:pPr>
      <w:r w:rsidRPr="00591954">
        <w:rPr>
          <w:rStyle w:val="Heading2Char"/>
          <w:rFonts w:ascii="Times New Roman" w:hAnsi="Times New Roman"/>
          <w:i w:val="0"/>
          <w:sz w:val="26"/>
          <w:szCs w:val="26"/>
          <w:lang w:val="en-GB"/>
        </w:rPr>
        <w:lastRenderedPageBreak/>
        <w:t>Author lists for group authorships</w:t>
      </w:r>
    </w:p>
    <w:p w14:paraId="6D63E14B" w14:textId="77777777" w:rsidR="00951646" w:rsidRPr="00591954" w:rsidRDefault="00951646" w:rsidP="00951646">
      <w:pPr>
        <w:rPr>
          <w:rFonts w:eastAsia="Cambria"/>
          <w:szCs w:val="24"/>
          <w:lang w:val="en-GB"/>
        </w:rPr>
      </w:pPr>
      <w:r w:rsidRPr="00591954">
        <w:rPr>
          <w:b/>
          <w:szCs w:val="24"/>
          <w:lang w:val="en-GB"/>
        </w:rPr>
        <w:t>EpiPGX Consortium</w:t>
      </w:r>
      <w:r w:rsidR="00EF4AA2" w:rsidRPr="00591954">
        <w:rPr>
          <w:rFonts w:eastAsia="Cambria"/>
          <w:b/>
          <w:szCs w:val="24"/>
          <w:lang w:val="en-GB"/>
        </w:rPr>
        <w:t>:</w:t>
      </w:r>
      <w:r w:rsidRPr="00591954">
        <w:rPr>
          <w:rFonts w:eastAsia="Cambria"/>
          <w:szCs w:val="24"/>
          <w:lang w:val="en-GB"/>
        </w:rPr>
        <w:t xml:space="preserve"> Pauls Auce, MD, Andreja Avbersek, MD, Felicitas Becker, MD, Bianca Berghuis, MD, Ellen Campbell, MB, Antonietta Coppola, MD, PhD, Costin Leu, PhD, Merel Wassenaar, PhD, Stefan Wolking, MD, Gianpiero L Cavalleri, PhD, John Craig, MD, Norman Delanty, FRCPI, Chantal Depondt, PhD, Michael R Johnson, FRCP, Bobby PC Koeleman, PhD, Roland Krause PhD, Wolfram S Kunz, PhD, Holger Lerche, MD, Anthony G Marson, FRCP,  Terence J O’Brien, FRACP, Josemir W Sander, FRCP, Graeme J Sills, PhD, Pasquale Striano, MD, PhD, Federico Zara, PhD,  Sanjay Sisodiya FRCP</w:t>
      </w:r>
    </w:p>
    <w:p w14:paraId="2BC6DCEE" w14:textId="68F28F03" w:rsidR="00BC6B6D" w:rsidRPr="00591954" w:rsidRDefault="00BC6B6D">
      <w:pPr>
        <w:rPr>
          <w:b/>
          <w:lang w:val="en-GB"/>
        </w:rPr>
      </w:pPr>
      <w:r w:rsidRPr="00591954">
        <w:rPr>
          <w:b/>
          <w:lang w:val="en-GB"/>
        </w:rPr>
        <w:br w:type="page"/>
      </w:r>
    </w:p>
    <w:p w14:paraId="3C6559C5" w14:textId="77777777" w:rsidR="00951646" w:rsidRPr="00591954" w:rsidRDefault="00951646" w:rsidP="00951646">
      <w:pPr>
        <w:pStyle w:val="SMSubheading"/>
        <w:rPr>
          <w:b/>
          <w:u w:val="none"/>
          <w:lang w:val="en-GB"/>
        </w:rPr>
      </w:pPr>
    </w:p>
    <w:p w14:paraId="7E66FF1D" w14:textId="77777777" w:rsidR="00B975E7" w:rsidRPr="00591954" w:rsidRDefault="008E298F" w:rsidP="00B975E7">
      <w:pPr>
        <w:widowControl w:val="0"/>
        <w:autoSpaceDE w:val="0"/>
        <w:autoSpaceDN w:val="0"/>
        <w:adjustRightInd w:val="0"/>
        <w:jc w:val="both"/>
        <w:rPr>
          <w:sz w:val="22"/>
          <w:szCs w:val="22"/>
          <w:lang w:val="en-GB"/>
        </w:rPr>
      </w:pPr>
      <w:r w:rsidRPr="00591954">
        <w:rPr>
          <w:noProof/>
          <w:lang w:val="en-GB" w:eastAsia="en-GB"/>
        </w:rPr>
        <w:drawing>
          <wp:inline distT="0" distB="0" distL="0" distR="0" wp14:anchorId="421352A2" wp14:editId="644C3F8D">
            <wp:extent cx="5486400" cy="2848610"/>
            <wp:effectExtent l="0" t="0" r="0" b="0"/>
            <wp:docPr id="997832169"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7">
                      <a:extLst>
                        <a:ext uri="{28A0092B-C50C-407E-A947-70E740481C1C}">
                          <a14:useLocalDpi xmlns:a14="http://schemas.microsoft.com/office/drawing/2010/main" val="0"/>
                        </a:ext>
                      </a:extLst>
                    </a:blip>
                    <a:stretch>
                      <a:fillRect/>
                    </a:stretch>
                  </pic:blipFill>
                  <pic:spPr>
                    <a:xfrm>
                      <a:off x="0" y="0"/>
                      <a:ext cx="5486400" cy="2848610"/>
                    </a:xfrm>
                    <a:prstGeom prst="rect">
                      <a:avLst/>
                    </a:prstGeom>
                  </pic:spPr>
                </pic:pic>
              </a:graphicData>
            </a:graphic>
          </wp:inline>
        </w:drawing>
      </w:r>
    </w:p>
    <w:p w14:paraId="5055F1D9" w14:textId="77777777" w:rsidR="00DD1ED3" w:rsidRPr="00591954" w:rsidRDefault="00DD1ED3" w:rsidP="00B975E7">
      <w:pPr>
        <w:rPr>
          <w:b/>
          <w:szCs w:val="24"/>
          <w:lang w:val="en-GB"/>
        </w:rPr>
      </w:pPr>
    </w:p>
    <w:p w14:paraId="0C2BE47B" w14:textId="77777777" w:rsidR="00B975E7" w:rsidRPr="00591954" w:rsidRDefault="00B975E7" w:rsidP="007D5605">
      <w:pPr>
        <w:jc w:val="both"/>
        <w:rPr>
          <w:i/>
          <w:szCs w:val="24"/>
          <w:lang w:val="en-GB"/>
        </w:rPr>
      </w:pPr>
      <w:r w:rsidRPr="00591954">
        <w:rPr>
          <w:b/>
          <w:szCs w:val="24"/>
          <w:lang w:val="en-GB"/>
        </w:rPr>
        <w:t xml:space="preserve">Fig. S1. </w:t>
      </w:r>
      <w:r w:rsidRPr="00591954">
        <w:rPr>
          <w:i/>
          <w:szCs w:val="24"/>
          <w:lang w:val="en-GB"/>
        </w:rPr>
        <w:t>Schematic representation of the experimental design.</w:t>
      </w:r>
    </w:p>
    <w:p w14:paraId="0AE90393" w14:textId="023769A7" w:rsidR="00B975E7" w:rsidRPr="00591954" w:rsidRDefault="00B975E7" w:rsidP="00ED5E19">
      <w:pPr>
        <w:contextualSpacing/>
        <w:rPr>
          <w:szCs w:val="24"/>
          <w:lang w:val="en-GB"/>
        </w:rPr>
      </w:pPr>
      <w:r w:rsidRPr="00591954">
        <w:rPr>
          <w:b/>
          <w:szCs w:val="24"/>
          <w:lang w:val="en-GB"/>
        </w:rPr>
        <w:t>Panel A</w:t>
      </w:r>
      <w:r w:rsidRPr="00591954">
        <w:rPr>
          <w:szCs w:val="24"/>
          <w:lang w:val="en-GB"/>
        </w:rPr>
        <w:t xml:space="preserve"> depicts the time line of animal preparation for the longitudinal experiment considering DAY 1 as the time of spontaneous seizure (SRS) onset.  The medicated diet (+PLX3397) was given to mice for 28 days before the onset of SRS (DAY 1): this time includes 3 weeks before the induction of status epilepticus (SE) and 1 week after SE onset</w:t>
      </w:r>
      <w:r w:rsidR="00566EE1" w:rsidRPr="00591954">
        <w:rPr>
          <w:szCs w:val="24"/>
          <w:lang w:val="en-GB"/>
        </w:rPr>
        <w:t xml:space="preserve"> (DAY 7)</w:t>
      </w:r>
      <w:r w:rsidRPr="00591954">
        <w:rPr>
          <w:szCs w:val="24"/>
          <w:lang w:val="en-GB"/>
        </w:rPr>
        <w:t xml:space="preserve">. Then, the medicated diet was continued for </w:t>
      </w:r>
      <w:r w:rsidR="007D5605" w:rsidRPr="00591954">
        <w:rPr>
          <w:szCs w:val="24"/>
          <w:lang w:val="en-GB"/>
        </w:rPr>
        <w:t xml:space="preserve">seven </w:t>
      </w:r>
      <w:r w:rsidRPr="00591954">
        <w:rPr>
          <w:szCs w:val="24"/>
          <w:lang w:val="en-GB"/>
        </w:rPr>
        <w:t xml:space="preserve">additional </w:t>
      </w:r>
      <w:r w:rsidR="00566EE1" w:rsidRPr="00591954">
        <w:rPr>
          <w:szCs w:val="24"/>
          <w:lang w:val="en-GB"/>
        </w:rPr>
        <w:t xml:space="preserve">days </w:t>
      </w:r>
      <w:r w:rsidRPr="00591954">
        <w:rPr>
          <w:szCs w:val="24"/>
          <w:lang w:val="en-GB"/>
        </w:rPr>
        <w:t>after SRS onset (</w:t>
      </w:r>
      <w:r w:rsidR="00566EE1" w:rsidRPr="00591954">
        <w:rPr>
          <w:szCs w:val="24"/>
          <w:lang w:val="en-GB"/>
        </w:rPr>
        <w:t xml:space="preserve">until </w:t>
      </w:r>
      <w:r w:rsidRPr="00591954">
        <w:rPr>
          <w:szCs w:val="24"/>
          <w:lang w:val="en-GB"/>
        </w:rPr>
        <w:t>DAY</w:t>
      </w:r>
      <w:r w:rsidR="000A0554" w:rsidRPr="00591954">
        <w:rPr>
          <w:szCs w:val="24"/>
          <w:lang w:val="en-GB"/>
        </w:rPr>
        <w:t xml:space="preserve"> 7)</w:t>
      </w:r>
      <w:r w:rsidRPr="00591954">
        <w:rPr>
          <w:szCs w:val="24"/>
          <w:lang w:val="en-GB"/>
        </w:rPr>
        <w:t xml:space="preserve">, and thereafter the mice were switched to the non-medicated </w:t>
      </w:r>
      <w:r w:rsidR="005B381D" w:rsidRPr="00591954">
        <w:rPr>
          <w:szCs w:val="24"/>
          <w:lang w:val="en-GB"/>
        </w:rPr>
        <w:t xml:space="preserve">placebo </w:t>
      </w:r>
      <w:r w:rsidRPr="00591954">
        <w:rPr>
          <w:szCs w:val="24"/>
          <w:lang w:val="en-GB"/>
        </w:rPr>
        <w:t xml:space="preserve">diet (No PLX3397) until the end of the experiment (DAY 90). Control mice exposed to SE received a placebo non-medicated diet (No PLX3397) throughout the whole experiment. Surgery describes the time of electrode implantation for EEG recordings. EEG was monitored (24/7) </w:t>
      </w:r>
      <w:r w:rsidR="00566EE1" w:rsidRPr="00591954">
        <w:rPr>
          <w:szCs w:val="24"/>
          <w:lang w:val="en-GB"/>
        </w:rPr>
        <w:t xml:space="preserve">at the time intervals </w:t>
      </w:r>
      <w:r w:rsidRPr="00591954">
        <w:rPr>
          <w:szCs w:val="24"/>
          <w:lang w:val="en-GB"/>
        </w:rPr>
        <w:t>indicated in brackets. At the end of the experiment (DAY 90) all mice were sacrificed and their brains were exposed to post-mortem MRI, then processed for histology (see Material and Methods for detail</w:t>
      </w:r>
      <w:r w:rsidRPr="00591954">
        <w:rPr>
          <w:i/>
          <w:szCs w:val="24"/>
          <w:lang w:val="en-GB"/>
        </w:rPr>
        <w:t>s</w:t>
      </w:r>
      <w:r w:rsidRPr="00591954">
        <w:rPr>
          <w:szCs w:val="24"/>
          <w:lang w:val="en-GB"/>
        </w:rPr>
        <w:t xml:space="preserve">). </w:t>
      </w:r>
      <w:r w:rsidR="005B381D" w:rsidRPr="00591954">
        <w:rPr>
          <w:szCs w:val="24"/>
          <w:lang w:val="en-GB"/>
        </w:rPr>
        <w:t>M</w:t>
      </w:r>
      <w:r w:rsidR="00566EE1" w:rsidRPr="00591954">
        <w:rPr>
          <w:szCs w:val="24"/>
          <w:lang w:val="en-GB"/>
        </w:rPr>
        <w:t xml:space="preserve">ice were also exposed to </w:t>
      </w:r>
      <w:r w:rsidR="007D5605" w:rsidRPr="00591954">
        <w:rPr>
          <w:szCs w:val="24"/>
          <w:lang w:val="en-GB"/>
        </w:rPr>
        <w:t xml:space="preserve">the </w:t>
      </w:r>
      <w:r w:rsidR="00566EE1" w:rsidRPr="00591954">
        <w:rPr>
          <w:szCs w:val="24"/>
          <w:lang w:val="en-GB"/>
        </w:rPr>
        <w:t>behavio</w:t>
      </w:r>
      <w:r w:rsidR="007D5605" w:rsidRPr="00591954">
        <w:rPr>
          <w:szCs w:val="24"/>
          <w:lang w:val="en-GB"/>
        </w:rPr>
        <w:t>u</w:t>
      </w:r>
      <w:r w:rsidR="00566EE1" w:rsidRPr="00591954">
        <w:rPr>
          <w:szCs w:val="24"/>
          <w:lang w:val="en-GB"/>
        </w:rPr>
        <w:t>ral test (NORT) before sacrifice (see related text for details).</w:t>
      </w:r>
    </w:p>
    <w:p w14:paraId="283ADD6B" w14:textId="24CD011D" w:rsidR="00B975E7" w:rsidRPr="00591954" w:rsidRDefault="005B381D" w:rsidP="00ED5E19">
      <w:pPr>
        <w:contextualSpacing/>
        <w:rPr>
          <w:szCs w:val="24"/>
          <w:lang w:val="en-GB"/>
        </w:rPr>
      </w:pPr>
      <w:r w:rsidRPr="00591954">
        <w:rPr>
          <w:szCs w:val="24"/>
          <w:lang w:val="en-GB"/>
        </w:rPr>
        <w:t>Corresponding d</w:t>
      </w:r>
      <w:r w:rsidR="00B975E7" w:rsidRPr="00591954">
        <w:rPr>
          <w:szCs w:val="24"/>
          <w:lang w:val="en-GB"/>
        </w:rPr>
        <w:t xml:space="preserve">ata related to this protocol are shown in Fig. </w:t>
      </w:r>
      <w:r w:rsidRPr="00591954">
        <w:rPr>
          <w:szCs w:val="24"/>
          <w:lang w:val="en-GB"/>
        </w:rPr>
        <w:t xml:space="preserve">3 </w:t>
      </w:r>
      <w:r w:rsidR="00B975E7" w:rsidRPr="00591954">
        <w:rPr>
          <w:szCs w:val="24"/>
          <w:lang w:val="en-GB"/>
        </w:rPr>
        <w:t>and Fig. S</w:t>
      </w:r>
      <w:r w:rsidR="00782B8B" w:rsidRPr="00591954">
        <w:rPr>
          <w:szCs w:val="24"/>
          <w:lang w:val="en-GB"/>
        </w:rPr>
        <w:t>4</w:t>
      </w:r>
      <w:r w:rsidR="00B975E7" w:rsidRPr="00591954">
        <w:rPr>
          <w:szCs w:val="24"/>
          <w:lang w:val="en-GB"/>
        </w:rPr>
        <w:t>, S</w:t>
      </w:r>
      <w:r w:rsidR="00782B8B" w:rsidRPr="00591954">
        <w:rPr>
          <w:szCs w:val="24"/>
          <w:lang w:val="en-GB"/>
        </w:rPr>
        <w:t>5</w:t>
      </w:r>
      <w:r w:rsidR="00AC63C1" w:rsidRPr="00591954">
        <w:rPr>
          <w:szCs w:val="24"/>
          <w:lang w:val="en-GB"/>
        </w:rPr>
        <w:t xml:space="preserve"> and</w:t>
      </w:r>
      <w:r w:rsidR="00B975E7" w:rsidRPr="00591954">
        <w:rPr>
          <w:szCs w:val="24"/>
          <w:lang w:val="en-GB"/>
        </w:rPr>
        <w:t xml:space="preserve"> S</w:t>
      </w:r>
      <w:r w:rsidR="007311C2" w:rsidRPr="00591954">
        <w:rPr>
          <w:szCs w:val="24"/>
          <w:lang w:val="en-GB"/>
        </w:rPr>
        <w:t>6</w:t>
      </w:r>
      <w:r w:rsidR="00B975E7" w:rsidRPr="00591954">
        <w:rPr>
          <w:szCs w:val="24"/>
          <w:lang w:val="en-GB"/>
        </w:rPr>
        <w:t>.</w:t>
      </w:r>
    </w:p>
    <w:p w14:paraId="754D227E" w14:textId="047374D7" w:rsidR="00B975E7" w:rsidRPr="00591954" w:rsidRDefault="00B975E7" w:rsidP="00ED5E19">
      <w:pPr>
        <w:contextualSpacing/>
        <w:rPr>
          <w:szCs w:val="24"/>
          <w:lang w:val="en-GB"/>
        </w:rPr>
      </w:pPr>
      <w:r w:rsidRPr="00591954">
        <w:rPr>
          <w:b/>
          <w:szCs w:val="24"/>
          <w:lang w:val="en-GB"/>
        </w:rPr>
        <w:t>Panel B</w:t>
      </w:r>
      <w:r w:rsidRPr="00591954">
        <w:rPr>
          <w:i/>
          <w:szCs w:val="24"/>
          <w:lang w:val="en-GB"/>
        </w:rPr>
        <w:t xml:space="preserve"> </w:t>
      </w:r>
      <w:r w:rsidRPr="00591954">
        <w:rPr>
          <w:szCs w:val="24"/>
          <w:lang w:val="en-GB"/>
        </w:rPr>
        <w:t xml:space="preserve">depicts 21-day treatment duration with medicated (+PLX3397) or </w:t>
      </w:r>
      <w:r w:rsidR="00AC63C1" w:rsidRPr="00591954">
        <w:rPr>
          <w:szCs w:val="24"/>
          <w:lang w:val="en-GB"/>
        </w:rPr>
        <w:t xml:space="preserve">placebo </w:t>
      </w:r>
      <w:r w:rsidRPr="00591954">
        <w:rPr>
          <w:szCs w:val="24"/>
          <w:lang w:val="en-GB"/>
        </w:rPr>
        <w:t xml:space="preserve">non-medicated diet (No PLX3397) of </w:t>
      </w:r>
      <w:r w:rsidR="00AC63C1" w:rsidRPr="00591954">
        <w:rPr>
          <w:szCs w:val="24"/>
          <w:lang w:val="en-GB"/>
        </w:rPr>
        <w:t xml:space="preserve">naïve </w:t>
      </w:r>
      <w:r w:rsidRPr="00591954">
        <w:rPr>
          <w:szCs w:val="24"/>
          <w:lang w:val="en-GB"/>
        </w:rPr>
        <w:t xml:space="preserve">mice (not exposed to SE). At the end of the experiment, mice were sacrificed and their brains were used for </w:t>
      </w:r>
      <w:r w:rsidR="00AC63C1" w:rsidRPr="00591954">
        <w:rPr>
          <w:szCs w:val="24"/>
          <w:lang w:val="en-GB"/>
        </w:rPr>
        <w:t xml:space="preserve">immunohistochemistry (IHC) of microglia markers (Fig. S7A), </w:t>
      </w:r>
      <w:r w:rsidRPr="00591954">
        <w:rPr>
          <w:szCs w:val="24"/>
          <w:lang w:val="en-GB"/>
        </w:rPr>
        <w:t>FACS analysis (Fig. S</w:t>
      </w:r>
      <w:r w:rsidR="007311C2" w:rsidRPr="00591954">
        <w:rPr>
          <w:szCs w:val="24"/>
          <w:lang w:val="en-GB"/>
        </w:rPr>
        <w:t>7</w:t>
      </w:r>
      <w:r w:rsidRPr="00591954">
        <w:rPr>
          <w:szCs w:val="24"/>
          <w:lang w:val="en-GB"/>
        </w:rPr>
        <w:t xml:space="preserve">B) or </w:t>
      </w:r>
      <w:r w:rsidR="00AC63C1" w:rsidRPr="00591954">
        <w:rPr>
          <w:szCs w:val="24"/>
          <w:lang w:val="en-GB"/>
        </w:rPr>
        <w:t xml:space="preserve">for electrophysiological experiments </w:t>
      </w:r>
      <w:r w:rsidRPr="00591954">
        <w:rPr>
          <w:szCs w:val="24"/>
          <w:lang w:val="en-GB"/>
        </w:rPr>
        <w:t>(Fig. S</w:t>
      </w:r>
      <w:r w:rsidR="00AC63C1" w:rsidRPr="00591954">
        <w:rPr>
          <w:szCs w:val="24"/>
          <w:lang w:val="en-GB"/>
        </w:rPr>
        <w:t>8</w:t>
      </w:r>
      <w:r w:rsidRPr="00591954">
        <w:rPr>
          <w:szCs w:val="24"/>
          <w:lang w:val="en-GB"/>
        </w:rPr>
        <w:t>).</w:t>
      </w:r>
    </w:p>
    <w:p w14:paraId="2B3126B3" w14:textId="77777777" w:rsidR="001C0975" w:rsidRPr="00591954" w:rsidRDefault="001C0975" w:rsidP="001C0975">
      <w:pPr>
        <w:pStyle w:val="SMText"/>
        <w:ind w:firstLine="0"/>
        <w:rPr>
          <w:sz w:val="22"/>
          <w:szCs w:val="22"/>
          <w:lang w:val="en-GB"/>
        </w:rPr>
      </w:pPr>
    </w:p>
    <w:p w14:paraId="17A65C4C" w14:textId="77777777" w:rsidR="009A5287" w:rsidRPr="00591954" w:rsidRDefault="008E298F" w:rsidP="00B9440A">
      <w:pPr>
        <w:pStyle w:val="SMText"/>
        <w:rPr>
          <w:sz w:val="22"/>
          <w:szCs w:val="22"/>
          <w:lang w:val="en-GB"/>
        </w:rPr>
      </w:pPr>
      <w:r w:rsidRPr="00591954">
        <w:rPr>
          <w:noProof/>
          <w:lang w:val="en-GB" w:eastAsia="en-GB"/>
        </w:rPr>
        <w:lastRenderedPageBreak/>
        <w:drawing>
          <wp:inline distT="0" distB="0" distL="0" distR="0" wp14:anchorId="4F162315" wp14:editId="415F73A2">
            <wp:extent cx="5486400" cy="3719195"/>
            <wp:effectExtent l="0" t="0" r="0" b="0"/>
            <wp:docPr id="159295112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8">
                      <a:extLst>
                        <a:ext uri="{28A0092B-C50C-407E-A947-70E740481C1C}">
                          <a14:useLocalDpi xmlns:a14="http://schemas.microsoft.com/office/drawing/2010/main" val="0"/>
                        </a:ext>
                      </a:extLst>
                    </a:blip>
                    <a:stretch>
                      <a:fillRect/>
                    </a:stretch>
                  </pic:blipFill>
                  <pic:spPr>
                    <a:xfrm>
                      <a:off x="0" y="0"/>
                      <a:ext cx="5486400" cy="3719195"/>
                    </a:xfrm>
                    <a:prstGeom prst="rect">
                      <a:avLst/>
                    </a:prstGeom>
                  </pic:spPr>
                </pic:pic>
              </a:graphicData>
            </a:graphic>
          </wp:inline>
        </w:drawing>
      </w:r>
    </w:p>
    <w:p w14:paraId="642F9D15" w14:textId="369E89CB" w:rsidR="00C20D54" w:rsidRPr="00591954" w:rsidRDefault="007411A1" w:rsidP="00ED5E19">
      <w:pPr>
        <w:pStyle w:val="Heading2"/>
        <w:spacing w:before="0" w:after="0"/>
        <w:rPr>
          <w:rFonts w:ascii="Times New Roman" w:eastAsia="Arial" w:hAnsi="Times New Roman"/>
          <w:b w:val="0"/>
          <w:i w:val="0"/>
          <w:sz w:val="24"/>
          <w:szCs w:val="24"/>
          <w:lang w:val="en-GB"/>
        </w:rPr>
      </w:pPr>
      <w:r w:rsidRPr="00591954">
        <w:rPr>
          <w:rFonts w:ascii="Times New Roman" w:hAnsi="Times New Roman"/>
          <w:i w:val="0"/>
          <w:sz w:val="24"/>
          <w:szCs w:val="24"/>
          <w:lang w:val="en-GB"/>
        </w:rPr>
        <w:t>Fig. S</w:t>
      </w:r>
      <w:r w:rsidR="007D27F5" w:rsidRPr="00591954">
        <w:rPr>
          <w:rFonts w:ascii="Times New Roman" w:hAnsi="Times New Roman"/>
          <w:i w:val="0"/>
          <w:sz w:val="24"/>
          <w:szCs w:val="24"/>
          <w:lang w:val="en-GB"/>
        </w:rPr>
        <w:t>2</w:t>
      </w:r>
      <w:r w:rsidRPr="00591954">
        <w:rPr>
          <w:rFonts w:ascii="Times New Roman" w:hAnsi="Times New Roman"/>
          <w:i w:val="0"/>
          <w:sz w:val="24"/>
          <w:szCs w:val="24"/>
          <w:lang w:val="en-GB"/>
        </w:rPr>
        <w:t>.</w:t>
      </w:r>
      <w:r w:rsidR="00B42F9C" w:rsidRPr="00591954">
        <w:rPr>
          <w:rFonts w:ascii="Times New Roman" w:hAnsi="Times New Roman"/>
          <w:b w:val="0"/>
          <w:i w:val="0"/>
          <w:sz w:val="24"/>
          <w:szCs w:val="24"/>
          <w:lang w:val="en-GB"/>
        </w:rPr>
        <w:t xml:space="preserve"> </w:t>
      </w:r>
      <w:r w:rsidR="00C20D54" w:rsidRPr="00591954">
        <w:rPr>
          <w:rFonts w:ascii="Times New Roman" w:eastAsia="Arial" w:hAnsi="Times New Roman"/>
          <w:b w:val="0"/>
          <w:sz w:val="24"/>
          <w:szCs w:val="24"/>
          <w:lang w:val="en-GB"/>
        </w:rPr>
        <w:t>Overlaps between microglial gene sets.</w:t>
      </w:r>
      <w:r w:rsidR="00C20D54" w:rsidRPr="00591954">
        <w:rPr>
          <w:rFonts w:ascii="Times New Roman" w:eastAsia="Arial" w:hAnsi="Times New Roman"/>
          <w:b w:val="0"/>
          <w:i w:val="0"/>
          <w:sz w:val="24"/>
          <w:szCs w:val="24"/>
          <w:lang w:val="en-GB"/>
        </w:rPr>
        <w:t xml:space="preserve"> The Jaccard index for each overlapping gene list was calculated by dividing the size of the intersection between two gene lists by the union of the two. Gene lists included modules from: </w:t>
      </w:r>
      <w:r w:rsidR="00C20D54" w:rsidRPr="00591954">
        <w:rPr>
          <w:rFonts w:ascii="Times New Roman" w:hAnsi="Times New Roman"/>
          <w:b w:val="0"/>
          <w:i w:val="0"/>
          <w:sz w:val="24"/>
          <w:szCs w:val="24"/>
          <w:lang w:val="en-GB"/>
        </w:rPr>
        <w:t xml:space="preserve">age/neurodegeneration- and LPS-induced responses from mouse models in Holtman </w:t>
      </w:r>
      <w:r w:rsidR="00C20D54" w:rsidRPr="00591954">
        <w:rPr>
          <w:rFonts w:ascii="Times New Roman" w:hAnsi="Times New Roman"/>
          <w:b w:val="0"/>
          <w:iCs w:val="0"/>
          <w:sz w:val="24"/>
          <w:szCs w:val="24"/>
          <w:lang w:val="en-GB"/>
        </w:rPr>
        <w:t xml:space="preserve">et al. </w:t>
      </w:r>
      <w:r w:rsidR="00C20D54" w:rsidRPr="00591954">
        <w:rPr>
          <w:rFonts w:ascii="Times New Roman" w:hAnsi="Times New Roman"/>
          <w:b w:val="0"/>
          <w:i w:val="0"/>
          <w:sz w:val="24"/>
          <w:szCs w:val="24"/>
          <w:lang w:val="en-GB"/>
        </w:rPr>
        <w:fldChar w:fldCharType="begin" w:fldLock="1"/>
      </w:r>
      <w:r w:rsidR="004F23C5" w:rsidRPr="00591954">
        <w:rPr>
          <w:rFonts w:ascii="Times New Roman" w:hAnsi="Times New Roman"/>
          <w:b w:val="0"/>
          <w:i w:val="0"/>
          <w:sz w:val="24"/>
          <w:szCs w:val="24"/>
          <w:lang w:val="en-GB"/>
        </w:rPr>
        <w:instrText>ADDIN CSL_CITATION {"citationItems":[{"id":"ITEM-1","itemData":{"DOI":"10.1186/s40478-015-0203-5","PMID":"26001565","abstract":"INTRODUCTION: Microglia are tissue macrophages of the central nervous system that monitor brain homeostasis and react upon neuronal damage and stress. Aging and neurodegeneration induce a hypersensitive, pro-inflammatory phenotype, referred to as primed microglia. To determine the gene expression signature of priming, the transcriptomes of microglia in aging, Alzheimer&amp;apos;s disease (AD), and amyotrophic lateral sclerosis (ALS) mouse models were compared using Weighted Gene Co-expression Network Analysis (WGCNA).RESULTS: A highly consistent consensus transcriptional profile of up-regulated genes was identified, which prominently differed from the acute inflammatory gene network induced by lipopolysaccharide (LPS). Where the acute inflammatory network was significantly enriched for NF-κB signaling, the primed microglia profile contained key features related to phagosome, lysosome, antigen presentation, and AD signaling. In addition, specific signatures for aging, AD, and ALS were identified.CONCLUSION: Microglia priming induces a highly conserved transcriptional signature with aging- and disease-specific aspects.","author":[{"dropping-particle":"","family":"Holtman","given":"Inge R","non-dropping-particle":"","parse-names":false,"suffix":""},{"dropping-particle":"","family":"Raj","given":"Divya D","non-dropping-particle":"","parse-names":false,"suffix":""},{"dropping-particle":"","family":"Miller","given":"Jeremy A","non-dropping-particle":"","parse-names":false,"suffix":""},{"dropping-particle":"","family":"Schaafsma","given":"Wandert","non-dropping-particle":"","parse-names":false,"suffix":""},{"dropping-particle":"","family":"Yin","given":"Zhuoran","non-dropping-particle":"","parse-names":false,"suffix":""},{"dropping-particle":"","family":"Brouwer","given":"Nieske","non-dropping-particle":"","parse-names":false,"suffix":""},{"dropping-particle":"","family":"Wes","given":"Paul D","non-dropping-particle":"","parse-names":false,"suffix":""},{"dropping-particle":"","family":"Möller","given":"Thomas","non-dropping-particle":"","parse-names":false,"suffix":""},{"dropping-particle":"","family":"Orre","given":"Marie","non-dropping-particle":"","parse-names":false,"suffix":""},{"dropping-particle":"","family":"Kamphuis","given":"Willem","non-dropping-particle":"","parse-names":false,"suffix":""},{"dropping-particle":"","family":"Hol","given":"Elly M","non-dropping-particle":"","parse-names":false,"suffix":""},{"dropping-particle":"","family":"Boddeke","given":"Erik W G M","non-dropping-particle":"","parse-names":false,"suffix":""},{"dropping-particle":"","family":"Eggen","given":"Bart J L","non-dropping-particle":"","parse-names":false,"suffix":""}],"container-title":"Acta neuropathologica communications","id":"ITEM-1","issued":{"date-parts":[["2015"]]},"language":"eng","page":"31","title":"Induction of a common microglia gene expression signature by aging and neurodegenerative conditions: a co-expression meta-analysis","type":"article-journal","volume":"3"},"uris":["http://www.mendeley.com/documents/?uuid=cad1fc9c-2406-44d1-9e4d-68cad2ff6e0c"]}],"mendeley":{"formattedCitation":"[22]","plainTextFormattedCitation":"[22]","previouslyFormattedCitation":"(22)"},"properties":{"noteIndex":0},"schema":"https://github.com/citation-style-language/schema/raw/master/csl-citation.json"}</w:instrText>
      </w:r>
      <w:r w:rsidR="00C20D54" w:rsidRPr="00591954">
        <w:rPr>
          <w:rFonts w:ascii="Times New Roman" w:hAnsi="Times New Roman"/>
          <w:b w:val="0"/>
          <w:i w:val="0"/>
          <w:sz w:val="24"/>
          <w:szCs w:val="24"/>
          <w:lang w:val="en-GB"/>
        </w:rPr>
        <w:fldChar w:fldCharType="separate"/>
      </w:r>
      <w:r w:rsidR="004F23C5" w:rsidRPr="00591954">
        <w:rPr>
          <w:rFonts w:ascii="Times New Roman" w:hAnsi="Times New Roman"/>
          <w:b w:val="0"/>
          <w:i w:val="0"/>
          <w:noProof/>
          <w:sz w:val="24"/>
          <w:szCs w:val="24"/>
          <w:lang w:val="en-GB"/>
        </w:rPr>
        <w:t>[22]</w:t>
      </w:r>
      <w:r w:rsidR="00C20D54" w:rsidRPr="00591954">
        <w:rPr>
          <w:rFonts w:ascii="Times New Roman" w:hAnsi="Times New Roman"/>
          <w:b w:val="0"/>
          <w:i w:val="0"/>
          <w:sz w:val="24"/>
          <w:szCs w:val="24"/>
          <w:lang w:val="en-GB"/>
        </w:rPr>
        <w:fldChar w:fldCharType="end"/>
      </w:r>
      <w:r w:rsidR="00C20D54" w:rsidRPr="00591954">
        <w:rPr>
          <w:rFonts w:ascii="Times New Roman" w:hAnsi="Times New Roman"/>
          <w:b w:val="0"/>
          <w:i w:val="0"/>
          <w:sz w:val="24"/>
          <w:szCs w:val="24"/>
          <w:lang w:val="en-GB"/>
        </w:rPr>
        <w:t xml:space="preserve">; healthy brain-region-specific mouse microglial modules from Grabert </w:t>
      </w:r>
      <w:r w:rsidR="00C20D54" w:rsidRPr="00591954">
        <w:rPr>
          <w:rFonts w:ascii="Times New Roman" w:hAnsi="Times New Roman"/>
          <w:b w:val="0"/>
          <w:sz w:val="24"/>
          <w:szCs w:val="24"/>
          <w:lang w:val="en-GB"/>
        </w:rPr>
        <w:t>et al.</w:t>
      </w:r>
      <w:r w:rsidR="00C20D54" w:rsidRPr="00591954">
        <w:rPr>
          <w:rFonts w:ascii="Times New Roman" w:hAnsi="Times New Roman"/>
          <w:b w:val="0"/>
          <w:i w:val="0"/>
          <w:iCs w:val="0"/>
          <w:sz w:val="24"/>
          <w:szCs w:val="24"/>
          <w:lang w:val="en-GB"/>
        </w:rPr>
        <w:t xml:space="preserve"> </w:t>
      </w:r>
      <w:r w:rsidR="00C20D54" w:rsidRPr="00591954">
        <w:rPr>
          <w:rFonts w:ascii="Times New Roman" w:hAnsi="Times New Roman"/>
          <w:b w:val="0"/>
          <w:i w:val="0"/>
          <w:iCs w:val="0"/>
          <w:sz w:val="24"/>
          <w:szCs w:val="24"/>
          <w:lang w:val="en-GB"/>
        </w:rPr>
        <w:fldChar w:fldCharType="begin" w:fldLock="1"/>
      </w:r>
      <w:r w:rsidR="004F23C5" w:rsidRPr="00591954">
        <w:rPr>
          <w:rFonts w:ascii="Times New Roman" w:hAnsi="Times New Roman"/>
          <w:b w:val="0"/>
          <w:i w:val="0"/>
          <w:iCs w:val="0"/>
          <w:sz w:val="24"/>
          <w:szCs w:val="24"/>
          <w:lang w:val="en-GB"/>
        </w:rPr>
        <w:instrText>ADDIN CSL_CITATION {"citationItems":[{"id":"ITEM-1","itemData":{"DOI":"10.1038/nn.4222","PMID":"26780511","abstract":"Microglia have critical roles in neural development, homeostasis and neuroinflammation and are increasingly implicated in age-related neurological dysfunction. Neurodegeneration often occurs in disease-specific, spatially restricted patterns, the origins of which are unknown. We performed to our knowledge the first genome-wide analysis of microglia from discrete brain regions across the adult lifespan of the mouse, and found that microglia have distinct region-dependent transcriptional identities and age in a regionally variable manner. In the young adult brain, differences in bioenergetic and immunoregulatory pathways were the major sources of heterogeneity and suggested that cerebellar and hippocampal microglia exist in a more immune-vigilant state. Immune function correlated with regional transcriptional patterns. Augmentation of the distinct cerebellar immunophenotype and a contrasting loss in distinction of the hippocampal phenotype among forebrain regions were key features during aging. Microglial diversity may enable regionally localized homeostatic functions but could also underlie region-specific sensitivities to microglial dysregulation and involvement in age-related neurodegeneration.","author":[{"dropping-particle":"","family":"Grabert","given":"Kathleen","non-dropping-particle":"","parse-names":false,"suffix":""},{"dropping-particle":"","family":"Michoel","given":"Tom","non-dropping-particle":"","parse-names":false,"suffix":""},{"dropping-particle":"","family":"Karavolos","given":"Michail H","non-dropping-particle":"","parse-names":false,"suffix":""},{"dropping-particle":"","family":"Clohisey","given":"Sara","non-dropping-particle":"","parse-names":false,"suffix":""},{"dropping-particle":"","family":"Baillie","given":"J Kenneth","non-dropping-particle":"","parse-names":false,"suffix":""},{"dropping-particle":"","family":"Stevens","given":"Mark P","non-dropping-particle":"","parse-names":false,"suffix":""},{"dropping-particle":"","family":"Freeman","given":"Tom C","non-dropping-particle":"","parse-names":false,"suffix":""},{"dropping-particle":"","family":"Summers","given":"Kim M","non-dropping-particle":"","parse-names":false,"suffix":""},{"dropping-particle":"","family":"McColl","given":"Barry W","non-dropping-particle":"","parse-names":false,"suffix":""}],"container-title":"Nature neuroscience","id":"ITEM-1","issue":"3","issued":{"date-parts":[["2016"]]},"language":"eng","page":"504-516","title":"Microglial brain region-dependent diversity and selective regional sensitivities to aging","type":"article-journal","volume":"19"},"uris":["http://www.mendeley.com/documents/?uuid=cd341c33-4543-4858-9159-54bfba59b4b0"]}],"mendeley":{"formattedCitation":"[23]","plainTextFormattedCitation":"[23]","previouslyFormattedCitation":"(23)"},"properties":{"noteIndex":0},"schema":"https://github.com/citation-style-language/schema/raw/master/csl-citation.json"}</w:instrText>
      </w:r>
      <w:r w:rsidR="00C20D54" w:rsidRPr="00591954">
        <w:rPr>
          <w:rFonts w:ascii="Times New Roman" w:hAnsi="Times New Roman"/>
          <w:b w:val="0"/>
          <w:i w:val="0"/>
          <w:iCs w:val="0"/>
          <w:sz w:val="24"/>
          <w:szCs w:val="24"/>
          <w:lang w:val="en-GB"/>
        </w:rPr>
        <w:fldChar w:fldCharType="separate"/>
      </w:r>
      <w:r w:rsidR="004F23C5" w:rsidRPr="00591954">
        <w:rPr>
          <w:rFonts w:ascii="Times New Roman" w:hAnsi="Times New Roman"/>
          <w:b w:val="0"/>
          <w:i w:val="0"/>
          <w:iCs w:val="0"/>
          <w:noProof/>
          <w:sz w:val="24"/>
          <w:szCs w:val="24"/>
          <w:lang w:val="en-GB"/>
        </w:rPr>
        <w:t>[23]</w:t>
      </w:r>
      <w:r w:rsidR="00C20D54" w:rsidRPr="00591954">
        <w:rPr>
          <w:rFonts w:ascii="Times New Roman" w:hAnsi="Times New Roman"/>
          <w:b w:val="0"/>
          <w:i w:val="0"/>
          <w:iCs w:val="0"/>
          <w:sz w:val="24"/>
          <w:szCs w:val="24"/>
          <w:lang w:val="en-GB"/>
        </w:rPr>
        <w:fldChar w:fldCharType="end"/>
      </w:r>
      <w:r w:rsidR="00C20D54" w:rsidRPr="00591954">
        <w:rPr>
          <w:rFonts w:ascii="Times New Roman" w:hAnsi="Times New Roman"/>
          <w:b w:val="0"/>
          <w:i w:val="0"/>
          <w:sz w:val="24"/>
          <w:szCs w:val="24"/>
          <w:lang w:val="en-GB"/>
        </w:rPr>
        <w:t xml:space="preserve">; homeostatic, early and late response signatures derived from a mouse model of neurodegeneration from Mathys </w:t>
      </w:r>
      <w:r w:rsidR="00C20D54" w:rsidRPr="00591954">
        <w:rPr>
          <w:rFonts w:ascii="Times New Roman" w:hAnsi="Times New Roman"/>
          <w:b w:val="0"/>
          <w:i w:val="0"/>
          <w:iCs w:val="0"/>
          <w:sz w:val="24"/>
          <w:szCs w:val="24"/>
          <w:lang w:val="en-GB"/>
        </w:rPr>
        <w:t xml:space="preserve">et al. </w:t>
      </w:r>
      <w:r w:rsidR="00C20D54" w:rsidRPr="00591954">
        <w:rPr>
          <w:rFonts w:ascii="Times New Roman" w:hAnsi="Times New Roman"/>
          <w:b w:val="0"/>
          <w:i w:val="0"/>
          <w:iCs w:val="0"/>
          <w:sz w:val="24"/>
          <w:szCs w:val="24"/>
          <w:lang w:val="en-GB"/>
        </w:rPr>
        <w:fldChar w:fldCharType="begin" w:fldLock="1"/>
      </w:r>
      <w:r w:rsidR="004F23C5" w:rsidRPr="00591954">
        <w:rPr>
          <w:rFonts w:ascii="Times New Roman" w:hAnsi="Times New Roman"/>
          <w:b w:val="0"/>
          <w:i w:val="0"/>
          <w:iCs w:val="0"/>
          <w:sz w:val="24"/>
          <w:szCs w:val="24"/>
          <w:lang w:val="en-GB"/>
        </w:rPr>
        <w:instrText>ADDIN CSL_CITATION {"citationItems":[{"id":"ITEM-1","itemData":{"DOI":"10.1016/j.celrep.2017.09.039","PMID":"29020624","abstract":"Microglia, the tissue-resident macrophages in the brain, are damage sensors that react to nearly any perturbation, including neurodegenerative diseases such as Alzheimer&amp;apos;s disease (AD). Here, using single-cell RNA sequencing, we determined the transcriptome of more than 1,600 individual microglia cells isolated from the hippocampus of a mouse model of severe neurodegeneration with AD-like phenotypes and of control mice at multiple time points during progression of neurodegeneration. In this neurodegeneration model, we discovered two molecularly distinct reactive microglia phenotypes that are typified by modules of co-regulated type I and type II interferon response genes, respectively. Furthermore, our work identified previously unobserved heterogeneity in the response of microglia to neurodegeneration, discovered disease stage-specific microglia cell states, revealed the trajectory of cellular reprogramming of microglia in response to neurodegeneration, and uncovered the underlying transcriptional programs.","author":[{"dropping-particle":"","family":"Mathys","given":"Hansruedi","non-dropping-particle":"","parse-names":false,"suffix":""},{"dropping-particle":"","family":"Adaikkan","given":"Chinnakkaruppan","non-dropping-particle":"","parse-names":false,"suffix":""},{"dropping-particle":"","family":"Gao","given":"Fan","non-dropping-particle":"","parse-names":false,"suffix":""},{"dropping-particle":"","family":"Young","given":"Jennie Z","non-dropping-particle":"","parse-names":false,"suffix":""},{"dropping-particle":"","family":"Manet","given":"Elodie","non-dropping-particle":"","parse-names":false,"suffix":""},{"dropping-particle":"","family":"Hemberg","given":"Martin","non-dropping-particle":"","parse-names":false,"suffix":""},{"dropping-particle":"","family":"Jager","given":"Philip L","non-dropping-particle":"De","parse-names":false,"suffix":""},{"dropping-particle":"","family":"Ransohoff","given":"Richard M","non-dropping-particle":"","parse-names":false,"suffix":""},{"dropping-particle":"","family":"Regev","given":"Aviv","non-dropping-particle":"","parse-names":false,"suffix":""},{"dropping-particle":"","family":"Tsai","given":"Li-Huei","non-dropping-particle":"","parse-names":false,"suffix":""}],"container-title":"Cell reports","id":"ITEM-1","issue":"2","issued":{"date-parts":[["2017"]]},"language":"eng","page":"366-380","title":"Temporal Tracking of Microglia Activation in Neurodegeneration at Single-Cell Resolution","type":"article-journal","volume":"21"},"uris":["http://www.mendeley.com/documents/?uuid=ada6beb1-1d3f-4a41-b050-b40db6ca49a9"]}],"mendeley":{"formattedCitation":"[24]","plainTextFormattedCitation":"[24]","previouslyFormattedCitation":"(24)"},"properties":{"noteIndex":0},"schema":"https://github.com/citation-style-language/schema/raw/master/csl-citation.json"}</w:instrText>
      </w:r>
      <w:r w:rsidR="00C20D54" w:rsidRPr="00591954">
        <w:rPr>
          <w:rFonts w:ascii="Times New Roman" w:hAnsi="Times New Roman"/>
          <w:b w:val="0"/>
          <w:i w:val="0"/>
          <w:iCs w:val="0"/>
          <w:sz w:val="24"/>
          <w:szCs w:val="24"/>
          <w:lang w:val="en-GB"/>
        </w:rPr>
        <w:fldChar w:fldCharType="separate"/>
      </w:r>
      <w:r w:rsidR="004F23C5" w:rsidRPr="00591954">
        <w:rPr>
          <w:rFonts w:ascii="Times New Roman" w:hAnsi="Times New Roman"/>
          <w:b w:val="0"/>
          <w:i w:val="0"/>
          <w:iCs w:val="0"/>
          <w:noProof/>
          <w:sz w:val="24"/>
          <w:szCs w:val="24"/>
          <w:lang w:val="en-GB"/>
        </w:rPr>
        <w:t>[24]</w:t>
      </w:r>
      <w:r w:rsidR="00C20D54" w:rsidRPr="00591954">
        <w:rPr>
          <w:rFonts w:ascii="Times New Roman" w:hAnsi="Times New Roman"/>
          <w:b w:val="0"/>
          <w:i w:val="0"/>
          <w:iCs w:val="0"/>
          <w:sz w:val="24"/>
          <w:szCs w:val="24"/>
          <w:lang w:val="en-GB"/>
        </w:rPr>
        <w:fldChar w:fldCharType="end"/>
      </w:r>
      <w:r w:rsidR="00C20D54" w:rsidRPr="00591954">
        <w:rPr>
          <w:rFonts w:ascii="Times New Roman" w:hAnsi="Times New Roman"/>
          <w:b w:val="0"/>
          <w:i w:val="0"/>
          <w:sz w:val="24"/>
          <w:szCs w:val="24"/>
          <w:lang w:val="en-GB"/>
        </w:rPr>
        <w:t xml:space="preserve">; activation/de-activation mouse signatures from NeuroExpresso </w:t>
      </w:r>
      <w:r w:rsidR="00C20D54" w:rsidRPr="00591954">
        <w:rPr>
          <w:rFonts w:ascii="Times New Roman" w:hAnsi="Times New Roman"/>
          <w:b w:val="0"/>
          <w:i w:val="0"/>
          <w:sz w:val="24"/>
          <w:szCs w:val="24"/>
          <w:lang w:val="en-GB"/>
        </w:rPr>
        <w:fldChar w:fldCharType="begin" w:fldLock="1"/>
      </w:r>
      <w:r w:rsidR="004F23C5" w:rsidRPr="00591954">
        <w:rPr>
          <w:rFonts w:ascii="Times New Roman" w:hAnsi="Times New Roman"/>
          <w:b w:val="0"/>
          <w:i w:val="0"/>
          <w:sz w:val="24"/>
          <w:szCs w:val="24"/>
          <w:lang w:val="en-GB"/>
        </w:rPr>
        <w:instrText>ADDIN CSL_CITATION {"citationItems":[{"id":"ITEM-1","itemData":{"DOI":"10.1523/ENEURO.0212-17.2017","PMID":"29204516","abstract":"Establishing the molecular diversity of cell types is crucial for the study of the nervous system. We compiled a cross-laboratory database of mouse brain cell type-specific transcriptomes from 36 major cell types from across the mammalian brain using rigorously curated published data from pooled cell type microarray and single-cell RNA-sequencing (RNA-seq) studies. We used these data to identify cell type-specific marker genes, discovering a substantial number of novel markers, many of which we validated using computational and experimental approaches. We further demonstrate that summarized expression of marker gene sets (MGSs) in bulk tissue data can be used to estimate the relative cell type abundance across samples. To facilitate use of this expanding resource, we provide a user-friendly web interface at www.neuroexpresso.org.","author":[{"dropping-particle":"","family":"Mancarci","given":"B Ogan","non-dropping-particle":"","parse-names":false,"suffix":""},{"dropping-particle":"","family":"Toker","given":"Lilah","non-dropping-particle":"","parse-names":false,"suffix":""},{"dropping-particle":"","family":"Tripathy","given":"Shreejoy J","non-dropping-particle":"","parse-names":false,"suffix":""},{"dropping-particle":"","family":"Li","given":"Brenna","non-dropping-particle":"","parse-names":false,"suffix":""},{"dropping-particle":"","family":"Rocco","given":"Brad","non-dropping-particle":"","parse-names":false,"suffix":""},{"dropping-particle":"","family":"Sibille","given":"Etienne","non-dropping-particle":"","parse-names":false,"suffix":""},{"dropping-particle":"","family":"Pavlidis","given":"Paul","non-dropping-particle":"","parse-names":false,"suffix":""}],"container-title":"eNeuro","id":"ITEM-1","issue":"6","issued":{"date-parts":[["2017"]]},"language":"English","page":"ENEURO.0212-17.2017","publisher":"Society for Neuroscience","title":"Cross-Laboratory Analysis of Brain Cell Type Transcriptomes with Applications to Interpretation of Bulk Tissue Data.","type":"article-journal","volume":"4"},"uris":["http://www.mendeley.com/documents/?uuid=227dad1d-cf54-42a5-ac6e-5e52bb0ced72"]}],"mendeley":{"formattedCitation":"[25]","plainTextFormattedCitation":"[25]","previouslyFormattedCitation":"(25)"},"properties":{"noteIndex":0},"schema":"https://github.com/citation-style-language/schema/raw/master/csl-citation.json"}</w:instrText>
      </w:r>
      <w:r w:rsidR="00C20D54" w:rsidRPr="00591954">
        <w:rPr>
          <w:rFonts w:ascii="Times New Roman" w:hAnsi="Times New Roman"/>
          <w:b w:val="0"/>
          <w:i w:val="0"/>
          <w:sz w:val="24"/>
          <w:szCs w:val="24"/>
          <w:lang w:val="en-GB"/>
        </w:rPr>
        <w:fldChar w:fldCharType="separate"/>
      </w:r>
      <w:r w:rsidR="004F23C5" w:rsidRPr="00591954">
        <w:rPr>
          <w:rFonts w:ascii="Times New Roman" w:hAnsi="Times New Roman"/>
          <w:b w:val="0"/>
          <w:i w:val="0"/>
          <w:noProof/>
          <w:sz w:val="24"/>
          <w:szCs w:val="24"/>
          <w:lang w:val="en-GB"/>
        </w:rPr>
        <w:t>[25]</w:t>
      </w:r>
      <w:r w:rsidR="00C20D54" w:rsidRPr="00591954">
        <w:rPr>
          <w:rFonts w:ascii="Times New Roman" w:hAnsi="Times New Roman"/>
          <w:b w:val="0"/>
          <w:i w:val="0"/>
          <w:sz w:val="24"/>
          <w:szCs w:val="24"/>
          <w:lang w:val="en-GB"/>
        </w:rPr>
        <w:fldChar w:fldCharType="end"/>
      </w:r>
      <w:r w:rsidR="00C20D54" w:rsidRPr="00591954">
        <w:rPr>
          <w:rFonts w:ascii="Times New Roman" w:hAnsi="Times New Roman"/>
          <w:b w:val="0"/>
          <w:i w:val="0"/>
          <w:sz w:val="24"/>
          <w:szCs w:val="24"/>
          <w:lang w:val="en-GB"/>
        </w:rPr>
        <w:t xml:space="preserve">; module 18, a microglial module driven by </w:t>
      </w:r>
      <w:r w:rsidR="00C20D54" w:rsidRPr="00591954">
        <w:rPr>
          <w:rFonts w:ascii="Times New Roman" w:hAnsi="Times New Roman"/>
          <w:b w:val="0"/>
          <w:iCs w:val="0"/>
          <w:sz w:val="24"/>
          <w:szCs w:val="24"/>
          <w:lang w:val="en-GB"/>
        </w:rPr>
        <w:t>Csf1r</w:t>
      </w:r>
      <w:r w:rsidR="00C20D54" w:rsidRPr="00591954">
        <w:rPr>
          <w:rFonts w:ascii="Times New Roman" w:hAnsi="Times New Roman"/>
          <w:b w:val="0"/>
          <w:i w:val="0"/>
          <w:sz w:val="24"/>
          <w:szCs w:val="24"/>
          <w:lang w:val="en-GB"/>
        </w:rPr>
        <w:t xml:space="preserve"> and found to be significantly positively correlated with seizure frequency in a chronic epileptic mouse model </w:t>
      </w:r>
      <w:r w:rsidR="00C20D54" w:rsidRPr="00591954">
        <w:rPr>
          <w:rFonts w:ascii="Times New Roman" w:hAnsi="Times New Roman"/>
          <w:b w:val="0"/>
          <w:i w:val="0"/>
          <w:sz w:val="24"/>
          <w:szCs w:val="24"/>
          <w:lang w:val="en-GB"/>
        </w:rPr>
        <w:fldChar w:fldCharType="begin" w:fldLock="1"/>
      </w:r>
      <w:r w:rsidR="004F23C5" w:rsidRPr="00591954">
        <w:rPr>
          <w:rFonts w:ascii="Times New Roman" w:hAnsi="Times New Roman"/>
          <w:b w:val="0"/>
          <w:i w:val="0"/>
          <w:sz w:val="24"/>
          <w:szCs w:val="24"/>
          <w:lang w:val="en-GB"/>
        </w:rPr>
        <w:instrText>ADDIN CSL_CITATION {"citationItems":[{"id":"ITEM-1","itemData":{"DOI":"10.1038/s41467-018-06008-4","ISSN":"2041-1723","abstract":"The identification of drug targets is highly challenging, particularly for diseases of the brain. To address this problem, we developed and experimentally validated a general computational framework for drug target discovery that combines gene regulatory information with causal reasoning (“Causal Reasoning Analytical Framework for Target discovery”—CRAFT). Using a systems genetics approach and starting from gene expression data from the target tissue, CRAFT provides a predictive framework for identifying cell membrane receptors with a direction-specified influence over disease-related gene expression profiles. As proof of concept, we applied CRAFT to epilepsy and predicted the tyrosine kinase receptor Csf1R as a potential therapeutic target. The predicted effect of Csf1R blockade in attenuating epilepsy seizures was validated in three pre-clinical models of epilepsy. These results highlight CRAFT as a systems-level framework for target discovery and suggest Csf1R blockade as a novel therapeutic strategy in epilepsy. CRAFT is applicable to disease settings other than epilepsy.","author":[{"dropping-particle":"","family":"Srivastava","given":"Prashant K","non-dropping-particle":"","parse-names":false,"suffix":""},{"dropping-particle":"van","family":"Eyll","given":"Jonathan","non-dropping-particle":"","parse-names":false,"suffix":""},{"dropping-particle":"","family":"Godard","given":"Patrice","non-dropping-particle":"","parse-names":false,"suffix":""},{"dropping-particle":"","family":"Mazzuferi","given":"Manuela","non-dropping-particle":"","parse-names":false,"suffix":""},{"dropping-particle":"","family":"Delahaye-Duriez","given":"Andree","non-dropping-particle":"","parse-names":false,"suffix":""},{"dropping-particle":"Van","family":"Steenwinckel","given":"Juliette","non-dropping-particle":"","parse-names":false,"suffix":""},{"dropping-particle":"","family":"Gressens","given":"Pierre","non-dropping-particle":"","parse-names":false,"suffix":""},{"dropping-particle":"","family":"Danis","given":"Benedicte","non-dropping-particle":"","parse-names":false,"suffix":""},{"dropping-particle":"","family":"Vandenplas","given":"Catherine","non-dropping-particle":"","parse-names":false,"suffix":""},{"dropping-particle":"","family":"Foerch","given":"Patrik","non-dropping-particle":"","parse-names":false,"suffix":""},{"dropping-particle":"","family":"Leclercq","given":"Karine","non-dropping-particle":"","parse-names":false,"suffix":""},{"dropping-particle":"","family":"Mairet-Coello","given":"Georges","non-dropping-particle":"","parse-names":false,"suffix":""},{"dropping-particle":"","family":"Cardenas","given":"Alvaro","non-dropping-particle":"","parse-names":false,"suffix":""},{"dropping-particle":"","family":"Vanclef","given":"Frederic","non-dropping-particle":"","parse-names":false,"suffix":""},{"dropping-particle":"","family":"Laaniste","given":"Liisi","non-dropping-particle":"","parse-names":false,"suffix":""},{"dropping-particle":"","family":"Niespodziany","given":"Isabelle","non-dropping-particle":"","parse-names":false,"suffix":""},{"dropping-particle":"","family":"Keaney","given":"James","non-dropping-particle":"","parse-names":false,"suffix":""},{"dropping-particle":"","family":"Gasser","given":"Julien","non-dropping-particle":"","parse-names":false,"suffix":""},{"dropping-particle":"","family":"Gillet","given":"Gaelle","non-dropping-particle":"","parse-names":false,"suffix":""},{"dropping-particle":"","family":"Shkura","given":"Kirill","non-dropping-particle":"","parse-names":false,"suffix":""},{"dropping-particle":"","family":"Chong","given":"Seon-Ah","non-dropping-particle":"","parse-names":false,"suffix":""},{"dropping-particle":"","family":"Behmoaras","given":"Jacques","non-dropping-particle":"","parse-names":false,"suffix":""},{"dropping-particle":"","family":"Kadiu","given":"Irena","non-dropping-particle":"","parse-names":false,"suffix":""},{"dropping-particle":"","family":"Petretto","given":"Enrico","non-dropping-particle":"","parse-names":false,"suffix":""},{"dropping-particle":"","family":"Kaminski","given":"Rafal M","non-dropping-particle":"","parse-names":false,"suffix":""},{"dropping-particle":"","family":"Johnson","given":"Michael R","non-dropping-particle":"","parse-names":false,"suffix":""}],"container-title":"Nature Communications","id":"ITEM-1","issue":"1","issued":{"date-parts":[["2018"]]},"page":"3561","title":"A systems-level framework for drug discovery identifies Csf1R as an anti-epileptic drug target","type":"article-journal","volume":"9"},"uris":["http://www.mendeley.com/documents/?uuid=dca64cb3-46e5-4829-9a54-dbb42c79ded5"]}],"mendeley":{"formattedCitation":"[26]","plainTextFormattedCitation":"[26]","previouslyFormattedCitation":"(26)"},"properties":{"noteIndex":0},"schema":"https://github.com/citation-style-language/schema/raw/master/csl-citation.json"}</w:instrText>
      </w:r>
      <w:r w:rsidR="00C20D54" w:rsidRPr="00591954">
        <w:rPr>
          <w:rFonts w:ascii="Times New Roman" w:hAnsi="Times New Roman"/>
          <w:b w:val="0"/>
          <w:i w:val="0"/>
          <w:sz w:val="24"/>
          <w:szCs w:val="24"/>
          <w:lang w:val="en-GB"/>
        </w:rPr>
        <w:fldChar w:fldCharType="separate"/>
      </w:r>
      <w:r w:rsidR="004F23C5" w:rsidRPr="00591954">
        <w:rPr>
          <w:rFonts w:ascii="Times New Roman" w:hAnsi="Times New Roman"/>
          <w:b w:val="0"/>
          <w:i w:val="0"/>
          <w:noProof/>
          <w:sz w:val="24"/>
          <w:szCs w:val="24"/>
          <w:lang w:val="en-GB"/>
        </w:rPr>
        <w:t>[26]</w:t>
      </w:r>
      <w:r w:rsidR="00C20D54" w:rsidRPr="00591954">
        <w:rPr>
          <w:rFonts w:ascii="Times New Roman" w:hAnsi="Times New Roman"/>
          <w:b w:val="0"/>
          <w:i w:val="0"/>
          <w:sz w:val="24"/>
          <w:szCs w:val="24"/>
          <w:lang w:val="en-GB"/>
        </w:rPr>
        <w:fldChar w:fldCharType="end"/>
      </w:r>
      <w:r w:rsidR="00C20D54" w:rsidRPr="00591954">
        <w:rPr>
          <w:rFonts w:ascii="Times New Roman" w:hAnsi="Times New Roman"/>
          <w:b w:val="0"/>
          <w:i w:val="0"/>
          <w:sz w:val="24"/>
          <w:szCs w:val="24"/>
          <w:lang w:val="en-GB"/>
        </w:rPr>
        <w:t xml:space="preserve">; and, finally, inferred microglia states from co-expression network analyses of bulk human RNA sequencing data. </w:t>
      </w:r>
      <w:r w:rsidR="00C20D54" w:rsidRPr="00591954">
        <w:rPr>
          <w:rFonts w:ascii="Times New Roman" w:eastAsia="Arial" w:hAnsi="Times New Roman"/>
          <w:b w:val="0"/>
          <w:i w:val="0"/>
          <w:sz w:val="24"/>
          <w:szCs w:val="24"/>
          <w:lang w:val="en-GB"/>
        </w:rPr>
        <w:t xml:space="preserve"> Asterisks denote a significant overlap between two gene lists (P&lt;0.05/120). Gene overlaps between gene lists were determined using GeneOverlap (</w:t>
      </w:r>
      <w:hyperlink r:id="rId19" w:history="1">
        <w:r w:rsidR="00C20D54" w:rsidRPr="00591954">
          <w:rPr>
            <w:rStyle w:val="Hyperlink"/>
            <w:rFonts w:ascii="Times New Roman" w:eastAsia="Arial" w:hAnsi="Times New Roman"/>
            <w:b w:val="0"/>
            <w:i w:val="0"/>
            <w:color w:val="auto"/>
            <w:sz w:val="24"/>
            <w:szCs w:val="24"/>
            <w:lang w:val="en-GB"/>
          </w:rPr>
          <w:t>https://github.com/shenlab-sinai/geneoverlap</w:t>
        </w:r>
      </w:hyperlink>
      <w:r w:rsidR="00C20D54" w:rsidRPr="00591954">
        <w:rPr>
          <w:rFonts w:ascii="Times New Roman" w:eastAsia="Arial" w:hAnsi="Times New Roman"/>
          <w:b w:val="0"/>
          <w:i w:val="0"/>
          <w:sz w:val="24"/>
          <w:szCs w:val="24"/>
          <w:lang w:val="en-GB"/>
        </w:rPr>
        <w:t>).</w:t>
      </w:r>
    </w:p>
    <w:p w14:paraId="11AA27CB" w14:textId="77777777" w:rsidR="00164590" w:rsidRPr="00591954" w:rsidRDefault="00164590" w:rsidP="00164590">
      <w:pPr>
        <w:rPr>
          <w:rFonts w:eastAsia="Arial"/>
          <w:lang w:val="en-GB"/>
        </w:rPr>
      </w:pPr>
    </w:p>
    <w:p w14:paraId="47C53F35" w14:textId="7CF3B74E" w:rsidR="00164590" w:rsidRPr="00591954" w:rsidRDefault="000E6F6A" w:rsidP="00164590">
      <w:pPr>
        <w:rPr>
          <w:sz w:val="22"/>
          <w:szCs w:val="22"/>
          <w:lang w:val="en-GB"/>
        </w:rPr>
      </w:pPr>
      <w:r w:rsidRPr="00591954">
        <w:rPr>
          <w:noProof/>
          <w:lang w:val="en-GB" w:eastAsia="en-GB"/>
        </w:rPr>
        <w:lastRenderedPageBreak/>
        <w:drawing>
          <wp:inline distT="0" distB="0" distL="0" distR="0" wp14:anchorId="1EB4BD18" wp14:editId="264C6FA7">
            <wp:extent cx="5486400" cy="3227070"/>
            <wp:effectExtent l="0" t="0" r="0" b="0"/>
            <wp:docPr id="58726403" name="Picture 16" descr="Suppl Fig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pic:nvPicPr>
                  <pic:blipFill>
                    <a:blip r:embed="rId20">
                      <a:extLst>
                        <a:ext uri="{28A0092B-C50C-407E-A947-70E740481C1C}">
                          <a14:useLocalDpi xmlns:a14="http://schemas.microsoft.com/office/drawing/2010/main" val="0"/>
                        </a:ext>
                      </a:extLst>
                    </a:blip>
                    <a:stretch>
                      <a:fillRect/>
                    </a:stretch>
                  </pic:blipFill>
                  <pic:spPr>
                    <a:xfrm>
                      <a:off x="0" y="0"/>
                      <a:ext cx="5486400" cy="3227070"/>
                    </a:xfrm>
                    <a:prstGeom prst="rect">
                      <a:avLst/>
                    </a:prstGeom>
                  </pic:spPr>
                </pic:pic>
              </a:graphicData>
            </a:graphic>
          </wp:inline>
        </w:drawing>
      </w:r>
    </w:p>
    <w:p w14:paraId="7516B163" w14:textId="77777777" w:rsidR="00164590" w:rsidRPr="00591954" w:rsidRDefault="00164590" w:rsidP="00164590">
      <w:pPr>
        <w:rPr>
          <w:sz w:val="22"/>
          <w:szCs w:val="22"/>
          <w:lang w:val="en-GB"/>
        </w:rPr>
      </w:pPr>
    </w:p>
    <w:p w14:paraId="02A01AB4" w14:textId="77777777" w:rsidR="00164590" w:rsidRPr="00591954" w:rsidRDefault="00164590" w:rsidP="00164590">
      <w:pPr>
        <w:rPr>
          <w:sz w:val="22"/>
          <w:szCs w:val="22"/>
          <w:lang w:val="en-GB"/>
        </w:rPr>
      </w:pPr>
    </w:p>
    <w:p w14:paraId="532D290E" w14:textId="77777777" w:rsidR="00164590" w:rsidRPr="00591954" w:rsidRDefault="00164590" w:rsidP="00ED5E19">
      <w:pPr>
        <w:autoSpaceDE w:val="0"/>
        <w:autoSpaceDN w:val="0"/>
        <w:adjustRightInd w:val="0"/>
        <w:rPr>
          <w:szCs w:val="24"/>
          <w:lang w:val="en-GB"/>
        </w:rPr>
      </w:pPr>
      <w:r w:rsidRPr="00591954">
        <w:rPr>
          <w:b/>
          <w:szCs w:val="24"/>
          <w:lang w:val="en-GB"/>
        </w:rPr>
        <w:t>Fig. S3</w:t>
      </w:r>
      <w:r w:rsidRPr="00591954">
        <w:rPr>
          <w:szCs w:val="24"/>
          <w:lang w:val="en-GB"/>
        </w:rPr>
        <w:t xml:space="preserve">. </w:t>
      </w:r>
      <w:r w:rsidRPr="00591954">
        <w:rPr>
          <w:i/>
          <w:szCs w:val="24"/>
          <w:lang w:val="en-GB"/>
        </w:rPr>
        <w:t>Quantification of microglia by Iba-1 staining</w:t>
      </w:r>
      <w:r w:rsidRPr="00591954">
        <w:rPr>
          <w:szCs w:val="24"/>
          <w:lang w:val="en-GB"/>
        </w:rPr>
        <w:t xml:space="preserve">. </w:t>
      </w:r>
    </w:p>
    <w:p w14:paraId="068CEABD" w14:textId="77777777" w:rsidR="00164590" w:rsidRPr="00591954" w:rsidRDefault="00164590" w:rsidP="00ED5E19">
      <w:pPr>
        <w:autoSpaceDE w:val="0"/>
        <w:autoSpaceDN w:val="0"/>
        <w:adjustRightInd w:val="0"/>
        <w:rPr>
          <w:szCs w:val="24"/>
          <w:lang w:val="en-GB" w:eastAsia="it-IT"/>
        </w:rPr>
      </w:pPr>
      <w:r w:rsidRPr="00591954">
        <w:rPr>
          <w:b/>
          <w:szCs w:val="24"/>
          <w:lang w:val="en-GB"/>
        </w:rPr>
        <w:t>Panel A</w:t>
      </w:r>
      <w:r w:rsidRPr="00591954">
        <w:rPr>
          <w:szCs w:val="24"/>
          <w:lang w:val="en-GB"/>
        </w:rPr>
        <w:t>: M</w:t>
      </w:r>
      <w:r w:rsidRPr="00591954">
        <w:rPr>
          <w:rFonts w:eastAsia="AdvTimes"/>
          <w:szCs w:val="24"/>
          <w:lang w:val="en-GB"/>
        </w:rPr>
        <w:t xml:space="preserve">icrophotographs of the entorhinal cortex of one representative sham control mouse showing the image analysis to quantify the number Iba-1-positive cells. </w:t>
      </w:r>
      <w:r w:rsidRPr="00591954">
        <w:rPr>
          <w:szCs w:val="24"/>
          <w:lang w:val="en-GB" w:eastAsia="it-IT"/>
        </w:rPr>
        <w:t>The original image (left panel) was scaled to microns, binarized and segmented using Fiji (middle panel). Cells with &gt;15 μm</w:t>
      </w:r>
      <w:r w:rsidRPr="00591954">
        <w:rPr>
          <w:szCs w:val="24"/>
          <w:vertAlign w:val="superscript"/>
          <w:lang w:val="en-GB" w:eastAsia="it-IT"/>
        </w:rPr>
        <w:t>2</w:t>
      </w:r>
      <w:r w:rsidRPr="00591954">
        <w:rPr>
          <w:szCs w:val="24"/>
          <w:lang w:val="en-GB" w:eastAsia="it-IT"/>
        </w:rPr>
        <w:t xml:space="preserve"> area were selected and counted (profiles of selected cells for analysis in the right panel). Scale bar = 50 μm.</w:t>
      </w:r>
    </w:p>
    <w:p w14:paraId="6716074F" w14:textId="42EC26DA" w:rsidR="00164590" w:rsidRPr="00591954" w:rsidRDefault="00164590" w:rsidP="00ED5E19">
      <w:pPr>
        <w:autoSpaceDE w:val="0"/>
        <w:autoSpaceDN w:val="0"/>
        <w:adjustRightInd w:val="0"/>
        <w:rPr>
          <w:bCs/>
          <w:iCs/>
          <w:szCs w:val="24"/>
          <w:lang w:val="en-GB"/>
        </w:rPr>
      </w:pPr>
      <w:r w:rsidRPr="00591954">
        <w:rPr>
          <w:b/>
          <w:szCs w:val="24"/>
          <w:lang w:val="en-GB"/>
        </w:rPr>
        <w:t>Panel B</w:t>
      </w:r>
      <w:r w:rsidRPr="00591954">
        <w:rPr>
          <w:szCs w:val="24"/>
          <w:lang w:val="en-GB"/>
        </w:rPr>
        <w:t xml:space="preserve">: </w:t>
      </w:r>
      <w:r w:rsidRPr="00591954">
        <w:rPr>
          <w:bCs/>
          <w:iCs/>
          <w:szCs w:val="24"/>
          <w:lang w:val="en-GB"/>
        </w:rPr>
        <w:t>Box-and-whisker plots show the number of Iba-1-positive cells, as depicted by median, minimum, maximum and single values in the hippocampus, entorhinal and perirhinal cortices in sham control (left panel), and placebo diet</w:t>
      </w:r>
      <w:r w:rsidR="00D05C66" w:rsidRPr="00591954">
        <w:rPr>
          <w:bCs/>
          <w:iCs/>
          <w:szCs w:val="24"/>
          <w:lang w:val="en-GB"/>
        </w:rPr>
        <w:t>-</w:t>
      </w:r>
      <w:r w:rsidRPr="00591954">
        <w:rPr>
          <w:bCs/>
          <w:iCs/>
          <w:szCs w:val="24"/>
          <w:lang w:val="en-GB"/>
        </w:rPr>
        <w:t xml:space="preserve">fed </w:t>
      </w:r>
      <w:r w:rsidR="00D05C66" w:rsidRPr="00591954">
        <w:rPr>
          <w:bCs/>
          <w:iCs/>
          <w:szCs w:val="24"/>
          <w:lang w:val="en-GB"/>
        </w:rPr>
        <w:t xml:space="preserve">epileptic mice </w:t>
      </w:r>
      <w:r w:rsidRPr="00591954">
        <w:rPr>
          <w:bCs/>
          <w:iCs/>
          <w:szCs w:val="24"/>
          <w:lang w:val="en-GB"/>
        </w:rPr>
        <w:t xml:space="preserve">(right panel) mice. </w:t>
      </w:r>
      <w:r w:rsidR="00D05C66" w:rsidRPr="00591954">
        <w:rPr>
          <w:bCs/>
          <w:iCs/>
          <w:szCs w:val="24"/>
          <w:lang w:val="en-GB"/>
        </w:rPr>
        <w:t>Epileptic m</w:t>
      </w:r>
      <w:r w:rsidRPr="00591954">
        <w:rPr>
          <w:bCs/>
          <w:iCs/>
          <w:szCs w:val="24"/>
          <w:lang w:val="en-GB"/>
        </w:rPr>
        <w:t xml:space="preserve">ice are those reported in Fig. </w:t>
      </w:r>
      <w:r w:rsidR="00D05C66" w:rsidRPr="00591954">
        <w:rPr>
          <w:bCs/>
          <w:iCs/>
          <w:szCs w:val="24"/>
          <w:lang w:val="en-GB"/>
        </w:rPr>
        <w:t>3</w:t>
      </w:r>
      <w:r w:rsidRPr="00591954">
        <w:rPr>
          <w:bCs/>
          <w:iCs/>
          <w:szCs w:val="24"/>
          <w:lang w:val="en-GB"/>
        </w:rPr>
        <w:t>B</w:t>
      </w:r>
      <w:r w:rsidR="00D05C66" w:rsidRPr="00591954">
        <w:rPr>
          <w:bCs/>
          <w:iCs/>
          <w:szCs w:val="24"/>
          <w:lang w:val="en-GB"/>
        </w:rPr>
        <w:t>:</w:t>
      </w:r>
      <w:r w:rsidRPr="00591954">
        <w:rPr>
          <w:bCs/>
          <w:iCs/>
          <w:szCs w:val="24"/>
          <w:lang w:val="en-GB"/>
        </w:rPr>
        <w:t xml:space="preserve"> only 4 out of 8 mice were analy</w:t>
      </w:r>
      <w:r w:rsidR="00D05C66" w:rsidRPr="00591954">
        <w:rPr>
          <w:bCs/>
          <w:iCs/>
          <w:szCs w:val="24"/>
          <w:lang w:val="en-GB"/>
        </w:rPr>
        <w:t>s</w:t>
      </w:r>
      <w:r w:rsidRPr="00591954">
        <w:rPr>
          <w:bCs/>
          <w:iCs/>
          <w:szCs w:val="24"/>
          <w:lang w:val="en-GB"/>
        </w:rPr>
        <w:t>ed for Iba-1 staining based on slices availability. *P=0.0</w:t>
      </w:r>
      <w:r w:rsidR="00D05C66" w:rsidRPr="00591954">
        <w:rPr>
          <w:bCs/>
          <w:iCs/>
          <w:szCs w:val="24"/>
          <w:lang w:val="en-GB"/>
        </w:rPr>
        <w:t>456</w:t>
      </w:r>
      <w:r w:rsidRPr="00591954">
        <w:rPr>
          <w:bCs/>
          <w:iCs/>
          <w:szCs w:val="24"/>
          <w:lang w:val="en-GB"/>
        </w:rPr>
        <w:t>, *</w:t>
      </w:r>
      <w:r w:rsidR="00D05C66" w:rsidRPr="00591954">
        <w:rPr>
          <w:bCs/>
          <w:iCs/>
          <w:szCs w:val="24"/>
          <w:lang w:val="en-GB"/>
        </w:rPr>
        <w:t>*</w:t>
      </w:r>
      <w:r w:rsidRPr="00591954">
        <w:rPr>
          <w:bCs/>
          <w:iCs/>
          <w:szCs w:val="24"/>
          <w:lang w:val="en-GB"/>
        </w:rPr>
        <w:t>P=0.00</w:t>
      </w:r>
      <w:r w:rsidR="00D05C66" w:rsidRPr="00591954">
        <w:rPr>
          <w:bCs/>
          <w:iCs/>
          <w:szCs w:val="24"/>
          <w:lang w:val="en-GB"/>
        </w:rPr>
        <w:t>25</w:t>
      </w:r>
      <w:r w:rsidRPr="00591954">
        <w:rPr>
          <w:bCs/>
          <w:iCs/>
          <w:szCs w:val="24"/>
          <w:lang w:val="en-GB"/>
        </w:rPr>
        <w:t xml:space="preserve"> vs sham hippocampus by</w:t>
      </w:r>
      <w:r w:rsidR="00D05C66" w:rsidRPr="00591954">
        <w:rPr>
          <w:bCs/>
          <w:iCs/>
          <w:szCs w:val="24"/>
          <w:lang w:val="en-GB"/>
        </w:rPr>
        <w:t xml:space="preserve"> ANOVA followed by</w:t>
      </w:r>
      <w:r w:rsidRPr="00591954">
        <w:rPr>
          <w:bCs/>
          <w:iCs/>
          <w:szCs w:val="24"/>
          <w:lang w:val="en-GB"/>
        </w:rPr>
        <w:t xml:space="preserve"> Tukey’s </w:t>
      </w:r>
      <w:r w:rsidR="00D05C66" w:rsidRPr="00591954">
        <w:rPr>
          <w:bCs/>
          <w:iCs/>
          <w:szCs w:val="24"/>
          <w:lang w:val="en-GB"/>
        </w:rPr>
        <w:t xml:space="preserve">post-hoc </w:t>
      </w:r>
      <w:r w:rsidRPr="00591954">
        <w:rPr>
          <w:bCs/>
          <w:iCs/>
          <w:szCs w:val="24"/>
          <w:lang w:val="en-GB"/>
        </w:rPr>
        <w:t>test; #P=0.00</w:t>
      </w:r>
      <w:r w:rsidR="00D05C66" w:rsidRPr="00591954">
        <w:rPr>
          <w:bCs/>
          <w:iCs/>
          <w:szCs w:val="24"/>
          <w:lang w:val="en-GB"/>
        </w:rPr>
        <w:t>61</w:t>
      </w:r>
      <w:r w:rsidRPr="00591954">
        <w:rPr>
          <w:bCs/>
          <w:iCs/>
          <w:szCs w:val="24"/>
          <w:lang w:val="en-GB"/>
        </w:rPr>
        <w:t xml:space="preserve"> vs respective sham by </w:t>
      </w:r>
      <w:r w:rsidR="00D05C66" w:rsidRPr="00591954">
        <w:rPr>
          <w:bCs/>
          <w:iCs/>
          <w:szCs w:val="24"/>
          <w:lang w:val="en-GB"/>
        </w:rPr>
        <w:t xml:space="preserve">Mann-Whitney </w:t>
      </w:r>
      <w:r w:rsidRPr="00591954">
        <w:rPr>
          <w:bCs/>
          <w:iCs/>
          <w:szCs w:val="24"/>
          <w:lang w:val="en-GB"/>
        </w:rPr>
        <w:t>test. Ent Ctx = entorhinal cortex; PRhin Ctx = perirhinal cortex.</w:t>
      </w:r>
    </w:p>
    <w:p w14:paraId="532359CF" w14:textId="77777777" w:rsidR="00164590" w:rsidRPr="00591954" w:rsidRDefault="00164590" w:rsidP="00164590">
      <w:pPr>
        <w:rPr>
          <w:rFonts w:eastAsia="Arial"/>
          <w:lang w:val="en-GB"/>
        </w:rPr>
      </w:pPr>
    </w:p>
    <w:p w14:paraId="0E393A8F" w14:textId="77777777" w:rsidR="00647EB7" w:rsidRPr="00591954" w:rsidRDefault="00647EB7">
      <w:pPr>
        <w:rPr>
          <w:b/>
          <w:bCs/>
          <w:kern w:val="32"/>
          <w:sz w:val="22"/>
          <w:szCs w:val="22"/>
          <w:lang w:val="en-GB"/>
        </w:rPr>
      </w:pPr>
      <w:r w:rsidRPr="00591954">
        <w:rPr>
          <w:sz w:val="22"/>
          <w:szCs w:val="22"/>
          <w:lang w:val="en-GB"/>
        </w:rPr>
        <w:br w:type="page"/>
      </w:r>
    </w:p>
    <w:p w14:paraId="44884A0E" w14:textId="0AEE4DF0" w:rsidR="009A5287" w:rsidRPr="00591954" w:rsidRDefault="009A5287" w:rsidP="00C20D54">
      <w:pPr>
        <w:pStyle w:val="SMHeading"/>
        <w:rPr>
          <w:sz w:val="22"/>
          <w:szCs w:val="22"/>
          <w:lang w:val="en-GB"/>
        </w:rPr>
      </w:pPr>
    </w:p>
    <w:p w14:paraId="123F6A1B" w14:textId="25D64AA7" w:rsidR="00CE4D3A" w:rsidRPr="00591954" w:rsidRDefault="00CE4D3A" w:rsidP="006938AC">
      <w:pPr>
        <w:autoSpaceDE w:val="0"/>
        <w:autoSpaceDN w:val="0"/>
        <w:adjustRightInd w:val="0"/>
        <w:jc w:val="both"/>
        <w:rPr>
          <w:b/>
          <w:szCs w:val="24"/>
          <w:lang w:val="en-GB"/>
        </w:rPr>
      </w:pPr>
      <w:r w:rsidRPr="00591954">
        <w:rPr>
          <w:noProof/>
          <w:lang w:val="en-GB" w:eastAsia="en-GB"/>
        </w:rPr>
        <w:drawing>
          <wp:inline distT="0" distB="0" distL="0" distR="0" wp14:anchorId="28FAAF07" wp14:editId="37D3F406">
            <wp:extent cx="5486400" cy="5205094"/>
            <wp:effectExtent l="0" t="0" r="0" b="1905"/>
            <wp:docPr id="1606421341" name="Picture 4" descr="Suppl Fi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21">
                      <a:extLst>
                        <a:ext uri="{28A0092B-C50C-407E-A947-70E740481C1C}">
                          <a14:useLocalDpi xmlns:a14="http://schemas.microsoft.com/office/drawing/2010/main" val="0"/>
                        </a:ext>
                      </a:extLst>
                    </a:blip>
                    <a:stretch>
                      <a:fillRect/>
                    </a:stretch>
                  </pic:blipFill>
                  <pic:spPr>
                    <a:xfrm>
                      <a:off x="0" y="0"/>
                      <a:ext cx="5486400" cy="5205094"/>
                    </a:xfrm>
                    <a:prstGeom prst="rect">
                      <a:avLst/>
                    </a:prstGeom>
                  </pic:spPr>
                </pic:pic>
              </a:graphicData>
            </a:graphic>
          </wp:inline>
        </w:drawing>
      </w:r>
    </w:p>
    <w:p w14:paraId="2E3A8BB6" w14:textId="5AA1EDF0" w:rsidR="00DC1F09" w:rsidRPr="00591954" w:rsidRDefault="00112C5B" w:rsidP="00ED5E19">
      <w:pPr>
        <w:autoSpaceDE w:val="0"/>
        <w:autoSpaceDN w:val="0"/>
        <w:adjustRightInd w:val="0"/>
        <w:rPr>
          <w:rFonts w:eastAsia="ヒラギノ角ゴ Pro W3"/>
          <w:lang w:val="en-GB"/>
        </w:rPr>
      </w:pPr>
      <w:r w:rsidRPr="00591954">
        <w:rPr>
          <w:b/>
          <w:bCs/>
          <w:lang w:val="en-GB"/>
        </w:rPr>
        <w:t>Fig. S</w:t>
      </w:r>
      <w:r w:rsidR="00134EB1" w:rsidRPr="00591954">
        <w:rPr>
          <w:b/>
          <w:bCs/>
          <w:lang w:val="en-GB"/>
        </w:rPr>
        <w:t>4</w:t>
      </w:r>
      <w:r w:rsidR="00B42F9C" w:rsidRPr="00591954">
        <w:rPr>
          <w:b/>
          <w:bCs/>
          <w:lang w:val="en-GB"/>
        </w:rPr>
        <w:t>.</w:t>
      </w:r>
      <w:r w:rsidR="00B42F9C" w:rsidRPr="00591954">
        <w:rPr>
          <w:lang w:val="en-GB"/>
        </w:rPr>
        <w:t xml:space="preserve"> </w:t>
      </w:r>
      <w:r w:rsidR="006938AC" w:rsidRPr="00591954">
        <w:rPr>
          <w:i/>
          <w:iCs/>
          <w:lang w:val="en-GB"/>
        </w:rPr>
        <w:t>Quantification of status epilepticus by EEG analysis</w:t>
      </w:r>
      <w:r w:rsidR="006938AC" w:rsidRPr="00591954">
        <w:rPr>
          <w:lang w:val="en-GB"/>
        </w:rPr>
        <w:t xml:space="preserve">. </w:t>
      </w:r>
      <w:r w:rsidR="006938AC" w:rsidRPr="00591954">
        <w:rPr>
          <w:b/>
          <w:bCs/>
          <w:lang w:val="en-GB"/>
        </w:rPr>
        <w:t>Panel A</w:t>
      </w:r>
      <w:r w:rsidR="006938AC" w:rsidRPr="00591954">
        <w:rPr>
          <w:lang w:val="en-GB"/>
        </w:rPr>
        <w:t xml:space="preserve">: box-and-whisker plots depicting median, minimum, maximum and single values of status epilepticus (SE) onset and </w:t>
      </w:r>
      <w:r w:rsidR="006938AC" w:rsidRPr="00591954">
        <w:rPr>
          <w:rFonts w:eastAsia="ヒラギノ角ゴ Pro W3"/>
          <w:lang w:val="en-GB"/>
        </w:rPr>
        <w:t>total duration in mice fed with placebo</w:t>
      </w:r>
      <w:r w:rsidR="00E0017E" w:rsidRPr="00591954">
        <w:rPr>
          <w:rFonts w:eastAsia="ヒラギノ角ゴ Pro W3"/>
          <w:lang w:val="en-GB"/>
        </w:rPr>
        <w:t>,</w:t>
      </w:r>
      <w:r w:rsidR="006938AC" w:rsidRPr="00591954">
        <w:rPr>
          <w:rFonts w:eastAsia="ヒラギノ角ゴ Pro W3"/>
          <w:lang w:val="en-GB"/>
        </w:rPr>
        <w:t xml:space="preserve"> non-medicated diet (n=10) or PLX3397-supplemented diet (n=11) </w:t>
      </w:r>
      <w:r w:rsidR="006938AC" w:rsidRPr="00591954">
        <w:rPr>
          <w:lang w:val="en-GB"/>
        </w:rPr>
        <w:t>for 3 weeks before SE induction (same mice as in Fig. 3C).</w:t>
      </w:r>
      <w:r w:rsidR="006938AC" w:rsidRPr="00591954">
        <w:rPr>
          <w:rFonts w:eastAsia="ヒラギノ角ゴ Pro W3"/>
          <w:lang w:val="en-GB"/>
        </w:rPr>
        <w:t xml:space="preserve"> The third </w:t>
      </w:r>
      <w:r w:rsidR="006938AC" w:rsidRPr="00591954">
        <w:rPr>
          <w:lang w:val="en-GB"/>
        </w:rPr>
        <w:t>graph in Panel A shows the</w:t>
      </w:r>
      <w:r w:rsidR="006938AC" w:rsidRPr="00591954">
        <w:rPr>
          <w:b/>
          <w:bCs/>
          <w:lang w:val="en-GB"/>
        </w:rPr>
        <w:t xml:space="preserve"> </w:t>
      </w:r>
      <w:r w:rsidR="006938AC" w:rsidRPr="00591954">
        <w:rPr>
          <w:rFonts w:eastAsia="ヒラギノ角ゴ Pro W3"/>
          <w:lang w:val="en-GB"/>
        </w:rPr>
        <w:t xml:space="preserve">temporal spike distribution during SE. Each point represents the cumulative number of spikes during progressive 1-hour intervals. The dotted line represents the threshold number of spikes/hour (3.600) below which SE ends (inter-spike intervals longer than 1 second). </w:t>
      </w:r>
      <w:r w:rsidR="00DC1F09" w:rsidRPr="00591954">
        <w:rPr>
          <w:rFonts w:eastAsia="ヒラギノ角ゴ Pro W3"/>
          <w:lang w:val="en-GB"/>
        </w:rPr>
        <w:t>No statistical differences were found between placebo and PLX3397 groups (unpaired t-test; two-way ANOVA for repeated measures).</w:t>
      </w:r>
    </w:p>
    <w:p w14:paraId="239D5067" w14:textId="5D9FB560" w:rsidR="00B010B0" w:rsidRPr="00591954" w:rsidRDefault="00B010B0" w:rsidP="00ED5E19">
      <w:pPr>
        <w:widowControl w:val="0"/>
        <w:autoSpaceDE w:val="0"/>
        <w:autoSpaceDN w:val="0"/>
        <w:adjustRightInd w:val="0"/>
        <w:rPr>
          <w:lang w:val="en-GB"/>
        </w:rPr>
      </w:pPr>
      <w:r w:rsidRPr="00591954">
        <w:rPr>
          <w:i/>
          <w:iCs/>
          <w:lang w:val="en-GB"/>
        </w:rPr>
        <w:t xml:space="preserve">Effects of PLX3397 on spontaneous seizures. </w:t>
      </w:r>
      <w:r w:rsidRPr="00591954">
        <w:rPr>
          <w:b/>
          <w:bCs/>
          <w:lang w:val="en-GB"/>
        </w:rPr>
        <w:t>Panels B,C</w:t>
      </w:r>
      <w:r w:rsidRPr="00591954">
        <w:rPr>
          <w:lang w:val="en-GB"/>
        </w:rPr>
        <w:t xml:space="preserve"> report the average daily seizure number </w:t>
      </w:r>
      <w:r w:rsidR="00DC1F09" w:rsidRPr="00591954">
        <w:rPr>
          <w:lang w:val="en-GB"/>
        </w:rPr>
        <w:t xml:space="preserve">(SEM are reported) </w:t>
      </w:r>
      <w:r w:rsidRPr="00591954">
        <w:rPr>
          <w:lang w:val="en-GB"/>
        </w:rPr>
        <w:t>occurring in mice fed with non-medicated diet (</w:t>
      </w:r>
      <w:r w:rsidRPr="00591954">
        <w:rPr>
          <w:b/>
          <w:bCs/>
          <w:lang w:val="en-GB"/>
        </w:rPr>
        <w:t>B</w:t>
      </w:r>
      <w:r w:rsidRPr="00591954">
        <w:rPr>
          <w:lang w:val="en-GB"/>
        </w:rPr>
        <w:t>, Placebo) (n=10) or with the medicated diet supplemented with PLX3397 (</w:t>
      </w:r>
      <w:r w:rsidRPr="00591954">
        <w:rPr>
          <w:b/>
          <w:bCs/>
          <w:lang w:val="en-GB"/>
        </w:rPr>
        <w:t>C</w:t>
      </w:r>
      <w:r w:rsidRPr="00591954">
        <w:rPr>
          <w:lang w:val="en-GB"/>
        </w:rPr>
        <w:t>, n=11)</w:t>
      </w:r>
      <w:r w:rsidR="00DC1F09" w:rsidRPr="00591954">
        <w:rPr>
          <w:lang w:val="en-GB"/>
        </w:rPr>
        <w:t xml:space="preserve"> (same mice as in Fig. 3C)</w:t>
      </w:r>
      <w:r w:rsidRPr="00591954">
        <w:rPr>
          <w:lang w:val="en-GB"/>
        </w:rPr>
        <w:t>. Placebo and medicated diet had the same composition (a standard chow diet, AIN-763 76A, Research Diets, Inc., New Brunswick, NJ, USA) except for the addition of PLX3397 in the medicated diet (see Material and Methods for details).</w:t>
      </w:r>
      <w:r w:rsidRPr="00591954">
        <w:rPr>
          <w:b/>
          <w:bCs/>
          <w:lang w:val="en-GB"/>
        </w:rPr>
        <w:t xml:space="preserve"> </w:t>
      </w:r>
      <w:r w:rsidRPr="00591954">
        <w:rPr>
          <w:lang w:val="en-GB"/>
        </w:rPr>
        <w:t xml:space="preserve">The placebo diet </w:t>
      </w:r>
      <w:r w:rsidRPr="00591954">
        <w:rPr>
          <w:lang w:val="en-GB"/>
        </w:rPr>
        <w:lastRenderedPageBreak/>
        <w:t xml:space="preserve">was given to control mice throughout the experiment duration (B). The medicated diet (C) was initiated 3 weeks before exposing mice to SE and was continued until each mouse experienced the first spontaneous seizure (DAY 1) and for 7 additional days thereafter (experimental design in Fig. S1A). Then, experimental mice were switched to the placebo diet until end of the experiments (day 90). </w:t>
      </w:r>
      <w:r w:rsidR="00261843" w:rsidRPr="00591954">
        <w:rPr>
          <w:lang w:val="en-GB"/>
        </w:rPr>
        <w:t>The two experimental groups did not show statistical difference (see Fig. 3C for details).</w:t>
      </w:r>
    </w:p>
    <w:p w14:paraId="0E153720" w14:textId="2D329738" w:rsidR="00D67550" w:rsidRPr="00591954" w:rsidRDefault="006938AC" w:rsidP="006938AC">
      <w:pPr>
        <w:widowControl w:val="0"/>
        <w:autoSpaceDE w:val="0"/>
        <w:autoSpaceDN w:val="0"/>
        <w:adjustRightInd w:val="0"/>
        <w:jc w:val="both"/>
        <w:rPr>
          <w:sz w:val="22"/>
          <w:szCs w:val="22"/>
          <w:lang w:val="en-GB"/>
        </w:rPr>
      </w:pPr>
      <w:r w:rsidRPr="00591954">
        <w:rPr>
          <w:szCs w:val="24"/>
          <w:lang w:val="en-GB"/>
        </w:rPr>
        <w:br w:type="page"/>
      </w:r>
    </w:p>
    <w:p w14:paraId="5EF08ABC" w14:textId="3BAF90F1" w:rsidR="00D67550" w:rsidRPr="00591954" w:rsidRDefault="00B010B0" w:rsidP="00D67550">
      <w:pPr>
        <w:contextualSpacing/>
        <w:jc w:val="both"/>
        <w:rPr>
          <w:sz w:val="22"/>
          <w:szCs w:val="22"/>
          <w:lang w:val="en-GB"/>
        </w:rPr>
      </w:pPr>
      <w:r w:rsidRPr="00591954">
        <w:rPr>
          <w:noProof/>
          <w:lang w:val="en-GB" w:eastAsia="en-GB"/>
        </w:rPr>
        <w:lastRenderedPageBreak/>
        <w:drawing>
          <wp:inline distT="0" distB="0" distL="0" distR="0" wp14:anchorId="528B526D" wp14:editId="6E65F8FC">
            <wp:extent cx="5477512" cy="7754619"/>
            <wp:effectExtent l="0" t="0" r="0" b="0"/>
            <wp:docPr id="1970608471" name="Picture 17" descr="Suppl Fig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pic:nvPicPr>
                  <pic:blipFill>
                    <a:blip r:embed="rId22">
                      <a:extLst>
                        <a:ext uri="{28A0092B-C50C-407E-A947-70E740481C1C}">
                          <a14:useLocalDpi xmlns:a14="http://schemas.microsoft.com/office/drawing/2010/main" val="0"/>
                        </a:ext>
                      </a:extLst>
                    </a:blip>
                    <a:stretch>
                      <a:fillRect/>
                    </a:stretch>
                  </pic:blipFill>
                  <pic:spPr>
                    <a:xfrm>
                      <a:off x="0" y="0"/>
                      <a:ext cx="5477512" cy="7754619"/>
                    </a:xfrm>
                    <a:prstGeom prst="rect">
                      <a:avLst/>
                    </a:prstGeom>
                  </pic:spPr>
                </pic:pic>
              </a:graphicData>
            </a:graphic>
          </wp:inline>
        </w:drawing>
      </w:r>
    </w:p>
    <w:p w14:paraId="4D072C68" w14:textId="77777777" w:rsidR="00DD1ED3" w:rsidRPr="00591954" w:rsidRDefault="00DD1ED3" w:rsidP="007D5605">
      <w:pPr>
        <w:jc w:val="both"/>
        <w:rPr>
          <w:b/>
          <w:szCs w:val="24"/>
          <w:lang w:val="en-GB"/>
        </w:rPr>
      </w:pPr>
    </w:p>
    <w:p w14:paraId="273F7104" w14:textId="3F88FC70" w:rsidR="00D67550" w:rsidRPr="00591954" w:rsidRDefault="00D67550" w:rsidP="00ED5E19">
      <w:pPr>
        <w:rPr>
          <w:rFonts w:eastAsia="ヒラギノ角ゴ Pro W3"/>
          <w:szCs w:val="24"/>
          <w:lang w:val="en-GB"/>
        </w:rPr>
      </w:pPr>
      <w:r w:rsidRPr="00591954">
        <w:rPr>
          <w:b/>
          <w:szCs w:val="24"/>
          <w:lang w:val="en-GB"/>
        </w:rPr>
        <w:lastRenderedPageBreak/>
        <w:t>Fig. S</w:t>
      </w:r>
      <w:r w:rsidR="00134EB1" w:rsidRPr="00591954">
        <w:rPr>
          <w:b/>
          <w:szCs w:val="24"/>
          <w:lang w:val="en-GB"/>
        </w:rPr>
        <w:t>5</w:t>
      </w:r>
      <w:r w:rsidRPr="00591954">
        <w:rPr>
          <w:b/>
          <w:szCs w:val="24"/>
          <w:lang w:val="en-GB"/>
        </w:rPr>
        <w:t xml:space="preserve">. </w:t>
      </w:r>
      <w:r w:rsidRPr="00591954">
        <w:rPr>
          <w:i/>
          <w:szCs w:val="24"/>
          <w:lang w:val="en-GB"/>
        </w:rPr>
        <w:t>Effects of PLX3397 on brain volumes in epileptic mice</w:t>
      </w:r>
      <w:r w:rsidRPr="00591954">
        <w:rPr>
          <w:szCs w:val="24"/>
          <w:lang w:val="en-GB"/>
        </w:rPr>
        <w:t xml:space="preserve">. Box-and-whisker plots depicting median, minimum, maximum and single values related to the quantification of </w:t>
      </w:r>
      <w:r w:rsidR="0057435B" w:rsidRPr="00591954">
        <w:rPr>
          <w:szCs w:val="24"/>
          <w:lang w:val="en-GB"/>
        </w:rPr>
        <w:t xml:space="preserve">the volumes of </w:t>
      </w:r>
      <w:r w:rsidRPr="00591954">
        <w:rPr>
          <w:szCs w:val="24"/>
          <w:lang w:val="en-GB"/>
        </w:rPr>
        <w:t>lateral ventricle (</w:t>
      </w:r>
      <w:r w:rsidRPr="00591954">
        <w:rPr>
          <w:b/>
          <w:szCs w:val="24"/>
          <w:lang w:val="en-GB"/>
        </w:rPr>
        <w:t>panel A</w:t>
      </w:r>
      <w:r w:rsidR="005720A4" w:rsidRPr="00591954">
        <w:rPr>
          <w:szCs w:val="24"/>
          <w:lang w:val="en-GB"/>
        </w:rPr>
        <w:t>, three sham mice values were discarded because of unusual ventricle enlargement</w:t>
      </w:r>
      <w:r w:rsidRPr="00591954">
        <w:rPr>
          <w:szCs w:val="24"/>
          <w:lang w:val="en-GB"/>
        </w:rPr>
        <w:t>), hippocampus (</w:t>
      </w:r>
      <w:r w:rsidRPr="00591954">
        <w:rPr>
          <w:b/>
          <w:szCs w:val="24"/>
          <w:lang w:val="en-GB"/>
        </w:rPr>
        <w:t>panel B</w:t>
      </w:r>
      <w:r w:rsidRPr="00591954">
        <w:rPr>
          <w:szCs w:val="24"/>
          <w:lang w:val="en-GB"/>
        </w:rPr>
        <w:t>), caudat</w:t>
      </w:r>
      <w:r w:rsidR="0057435B" w:rsidRPr="00591954">
        <w:rPr>
          <w:szCs w:val="24"/>
          <w:lang w:val="en-GB"/>
        </w:rPr>
        <w:t>o</w:t>
      </w:r>
      <w:r w:rsidRPr="00591954">
        <w:rPr>
          <w:szCs w:val="24"/>
          <w:lang w:val="en-GB"/>
        </w:rPr>
        <w:t>-putamen (</w:t>
      </w:r>
      <w:r w:rsidRPr="00591954">
        <w:rPr>
          <w:b/>
          <w:szCs w:val="24"/>
          <w:lang w:val="en-GB"/>
        </w:rPr>
        <w:t>panel C</w:t>
      </w:r>
      <w:r w:rsidRPr="00591954">
        <w:rPr>
          <w:szCs w:val="24"/>
          <w:lang w:val="en-GB"/>
        </w:rPr>
        <w:t>), thalamus (</w:t>
      </w:r>
      <w:r w:rsidRPr="00591954">
        <w:rPr>
          <w:b/>
          <w:szCs w:val="24"/>
          <w:lang w:val="en-GB"/>
        </w:rPr>
        <w:t>panel D</w:t>
      </w:r>
      <w:r w:rsidRPr="00591954">
        <w:rPr>
          <w:szCs w:val="24"/>
          <w:lang w:val="en-GB"/>
        </w:rPr>
        <w:t>), entorhinal (</w:t>
      </w:r>
      <w:r w:rsidRPr="00591954">
        <w:rPr>
          <w:b/>
          <w:szCs w:val="24"/>
          <w:lang w:val="en-GB"/>
        </w:rPr>
        <w:t>panel E</w:t>
      </w:r>
      <w:r w:rsidRPr="00591954">
        <w:rPr>
          <w:szCs w:val="24"/>
          <w:lang w:val="en-GB"/>
        </w:rPr>
        <w:t>) and perirhinal (</w:t>
      </w:r>
      <w:r w:rsidRPr="00591954">
        <w:rPr>
          <w:b/>
          <w:szCs w:val="24"/>
          <w:lang w:val="en-GB"/>
        </w:rPr>
        <w:t>panel F</w:t>
      </w:r>
      <w:r w:rsidRPr="00591954">
        <w:rPr>
          <w:szCs w:val="24"/>
          <w:lang w:val="en-GB"/>
        </w:rPr>
        <w:t>) cortices, as assessed by quantitative post</w:t>
      </w:r>
      <w:r w:rsidR="007D5605" w:rsidRPr="00591954">
        <w:rPr>
          <w:szCs w:val="24"/>
          <w:lang w:val="en-GB"/>
        </w:rPr>
        <w:t xml:space="preserve"> </w:t>
      </w:r>
      <w:r w:rsidRPr="00591954">
        <w:rPr>
          <w:szCs w:val="24"/>
          <w:lang w:val="en-GB"/>
        </w:rPr>
        <w:t xml:space="preserve">mortem MRI performed at the end of </w:t>
      </w:r>
      <w:r w:rsidR="007D5605" w:rsidRPr="00591954">
        <w:rPr>
          <w:szCs w:val="24"/>
          <w:lang w:val="en-GB"/>
        </w:rPr>
        <w:t xml:space="preserve">the </w:t>
      </w:r>
      <w:r w:rsidR="0057435B" w:rsidRPr="00591954">
        <w:rPr>
          <w:szCs w:val="24"/>
          <w:lang w:val="en-GB"/>
        </w:rPr>
        <w:t xml:space="preserve">longitudinal experiment </w:t>
      </w:r>
      <w:r w:rsidRPr="00591954">
        <w:rPr>
          <w:szCs w:val="24"/>
          <w:lang w:val="en-GB"/>
        </w:rPr>
        <w:t>(placebo: n=1</w:t>
      </w:r>
      <w:r w:rsidR="005720A4" w:rsidRPr="00591954">
        <w:rPr>
          <w:szCs w:val="24"/>
          <w:lang w:val="en-GB"/>
        </w:rPr>
        <w:t>8</w:t>
      </w:r>
      <w:r w:rsidRPr="00591954">
        <w:rPr>
          <w:szCs w:val="24"/>
          <w:lang w:val="en-GB"/>
        </w:rPr>
        <w:t>; PLX3397: n=7), and in sham mice (n=</w:t>
      </w:r>
      <w:r w:rsidR="005720A4" w:rsidRPr="00591954">
        <w:rPr>
          <w:szCs w:val="24"/>
          <w:lang w:val="en-GB"/>
        </w:rPr>
        <w:t>13-16</w:t>
      </w:r>
      <w:r w:rsidRPr="00591954">
        <w:rPr>
          <w:szCs w:val="24"/>
          <w:lang w:val="en-GB"/>
        </w:rPr>
        <w:t xml:space="preserve">). </w:t>
      </w:r>
      <w:r w:rsidR="005720A4" w:rsidRPr="00591954">
        <w:rPr>
          <w:szCs w:val="24"/>
          <w:lang w:val="en-GB"/>
        </w:rPr>
        <w:t xml:space="preserve">Grey symbols represent sham (n=5-8) and epileptic mice fed with placebo diet (n=8) run in parallel with mice of Fig 3C (also depicted in Fig. S4). These additional mice were EEG recorded only at terminal disease state (between DAY 55 and 90): they had spontaneous seizure frequency similar to epileptic mice fed with placebo diet of Fig. 3C (see main text for details). </w:t>
      </w:r>
      <w:r w:rsidRPr="00591954">
        <w:rPr>
          <w:szCs w:val="24"/>
          <w:lang w:val="en-GB"/>
        </w:rPr>
        <w:t>MRI images depict representative slices showing the ROI used to quantify the volumes of the various brain regions. Placebo vs sham: lateral ventricle **P=0.000</w:t>
      </w:r>
      <w:r w:rsidR="005720A4" w:rsidRPr="00591954">
        <w:rPr>
          <w:szCs w:val="24"/>
          <w:lang w:val="en-GB"/>
        </w:rPr>
        <w:t>6</w:t>
      </w:r>
      <w:r w:rsidRPr="00591954">
        <w:rPr>
          <w:szCs w:val="24"/>
          <w:lang w:val="en-GB"/>
        </w:rPr>
        <w:t>; entorhinal cortex **P=0.0</w:t>
      </w:r>
      <w:r w:rsidR="005720A4" w:rsidRPr="00591954">
        <w:rPr>
          <w:szCs w:val="24"/>
          <w:lang w:val="en-GB"/>
        </w:rPr>
        <w:t>43; perirhinal cortex *P=0.025</w:t>
      </w:r>
      <w:r w:rsidRPr="00591954">
        <w:rPr>
          <w:szCs w:val="24"/>
          <w:lang w:val="en-GB"/>
        </w:rPr>
        <w:t>. PLX3397 vs sham: lateral ventricle **P=0.</w:t>
      </w:r>
      <w:r w:rsidR="005720A4" w:rsidRPr="00591954">
        <w:rPr>
          <w:szCs w:val="24"/>
          <w:lang w:val="en-GB"/>
        </w:rPr>
        <w:t xml:space="preserve">008 </w:t>
      </w:r>
      <w:r w:rsidRPr="00591954">
        <w:rPr>
          <w:szCs w:val="24"/>
          <w:lang w:val="en-GB"/>
        </w:rPr>
        <w:t xml:space="preserve">by </w:t>
      </w:r>
      <w:r w:rsidR="005720A4" w:rsidRPr="00591954">
        <w:rPr>
          <w:szCs w:val="24"/>
          <w:lang w:val="en-GB"/>
        </w:rPr>
        <w:t xml:space="preserve">ANOVA followed by Tukey’s post-hoc </w:t>
      </w:r>
      <w:r w:rsidRPr="00591954">
        <w:rPr>
          <w:szCs w:val="24"/>
          <w:lang w:val="en-GB"/>
        </w:rPr>
        <w:t xml:space="preserve">test. Scale bars: 1 cm. </w:t>
      </w:r>
      <w:r w:rsidRPr="00591954">
        <w:rPr>
          <w:rFonts w:eastAsia="ヒラギノ角ゴ Pro W3"/>
          <w:szCs w:val="24"/>
          <w:lang w:val="en-GB"/>
        </w:rPr>
        <w:t xml:space="preserve"> </w:t>
      </w:r>
    </w:p>
    <w:p w14:paraId="47DF7B1F" w14:textId="77777777" w:rsidR="00D67550" w:rsidRPr="00591954" w:rsidRDefault="00D67550" w:rsidP="00ED5E19">
      <w:pPr>
        <w:rPr>
          <w:b/>
          <w:bCs/>
          <w:kern w:val="32"/>
          <w:sz w:val="22"/>
          <w:szCs w:val="22"/>
          <w:lang w:val="en-GB"/>
        </w:rPr>
      </w:pPr>
      <w:r w:rsidRPr="00591954">
        <w:rPr>
          <w:sz w:val="22"/>
          <w:szCs w:val="22"/>
          <w:lang w:val="en-GB"/>
        </w:rPr>
        <w:br w:type="page"/>
      </w:r>
    </w:p>
    <w:p w14:paraId="638337D7" w14:textId="66B1524F" w:rsidR="00670299" w:rsidRPr="00591954" w:rsidRDefault="004F69B8" w:rsidP="0045033F">
      <w:pPr>
        <w:pStyle w:val="SMHeading"/>
        <w:rPr>
          <w:sz w:val="22"/>
          <w:szCs w:val="22"/>
          <w:lang w:val="en-GB"/>
        </w:rPr>
      </w:pPr>
      <w:r w:rsidRPr="00591954">
        <w:rPr>
          <w:noProof/>
          <w:lang w:val="en-GB" w:eastAsia="en-GB"/>
        </w:rPr>
        <w:lastRenderedPageBreak/>
        <w:drawing>
          <wp:inline distT="0" distB="0" distL="0" distR="0" wp14:anchorId="01188D59" wp14:editId="1CE8227E">
            <wp:extent cx="5486400" cy="1635125"/>
            <wp:effectExtent l="0" t="0" r="0" b="3175"/>
            <wp:docPr id="183417791" name="Picture 18" descr="Suppl Fi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pic:nvPicPr>
                  <pic:blipFill>
                    <a:blip r:embed="rId23">
                      <a:extLst>
                        <a:ext uri="{28A0092B-C50C-407E-A947-70E740481C1C}">
                          <a14:useLocalDpi xmlns:a14="http://schemas.microsoft.com/office/drawing/2010/main" val="0"/>
                        </a:ext>
                      </a:extLst>
                    </a:blip>
                    <a:stretch>
                      <a:fillRect/>
                    </a:stretch>
                  </pic:blipFill>
                  <pic:spPr>
                    <a:xfrm>
                      <a:off x="0" y="0"/>
                      <a:ext cx="5486400" cy="1635125"/>
                    </a:xfrm>
                    <a:prstGeom prst="rect">
                      <a:avLst/>
                    </a:prstGeom>
                  </pic:spPr>
                </pic:pic>
              </a:graphicData>
            </a:graphic>
          </wp:inline>
        </w:drawing>
      </w:r>
    </w:p>
    <w:p w14:paraId="3C021C4E" w14:textId="77777777" w:rsidR="00DD1ED3" w:rsidRPr="00591954" w:rsidRDefault="00DD1ED3" w:rsidP="007D5605">
      <w:pPr>
        <w:jc w:val="both"/>
        <w:rPr>
          <w:b/>
          <w:szCs w:val="24"/>
          <w:lang w:val="en-GB"/>
        </w:rPr>
      </w:pPr>
    </w:p>
    <w:p w14:paraId="3804B713" w14:textId="3EFEA5F3" w:rsidR="00D67550" w:rsidRPr="00591954" w:rsidRDefault="00D67550" w:rsidP="00ED5E19">
      <w:pPr>
        <w:rPr>
          <w:szCs w:val="24"/>
          <w:lang w:val="en-GB"/>
        </w:rPr>
      </w:pPr>
      <w:r w:rsidRPr="00591954">
        <w:rPr>
          <w:b/>
          <w:szCs w:val="24"/>
          <w:lang w:val="en-GB"/>
        </w:rPr>
        <w:t>Fig. S</w:t>
      </w:r>
      <w:r w:rsidR="00134EB1" w:rsidRPr="00591954">
        <w:rPr>
          <w:b/>
          <w:szCs w:val="24"/>
          <w:lang w:val="en-GB"/>
        </w:rPr>
        <w:t>6</w:t>
      </w:r>
      <w:r w:rsidR="006015BE" w:rsidRPr="00591954">
        <w:rPr>
          <w:b/>
          <w:szCs w:val="24"/>
          <w:lang w:val="en-GB"/>
        </w:rPr>
        <w:t>.</w:t>
      </w:r>
      <w:r w:rsidRPr="00591954">
        <w:rPr>
          <w:b/>
          <w:szCs w:val="24"/>
          <w:lang w:val="en-GB"/>
        </w:rPr>
        <w:t xml:space="preserve"> </w:t>
      </w:r>
      <w:r w:rsidRPr="00591954">
        <w:rPr>
          <w:i/>
          <w:szCs w:val="24"/>
          <w:lang w:val="en-GB"/>
        </w:rPr>
        <w:t>Effects of PLX3397 on perirhinal cortex thickness in epileptic mice</w:t>
      </w:r>
      <w:r w:rsidRPr="00591954">
        <w:rPr>
          <w:szCs w:val="24"/>
          <w:lang w:val="en-GB"/>
        </w:rPr>
        <w:t xml:space="preserve">. Box-and-whisker plots depicting median, minimum, maximum and single values related to the quantification of perirhinal cortex thickness, as assessed by quantitative post-mortem MRI </w:t>
      </w:r>
      <w:r w:rsidR="00925711" w:rsidRPr="00591954">
        <w:rPr>
          <w:szCs w:val="24"/>
          <w:lang w:val="en-GB"/>
        </w:rPr>
        <w:t xml:space="preserve">analysis </w:t>
      </w:r>
      <w:r w:rsidRPr="00591954">
        <w:rPr>
          <w:szCs w:val="24"/>
          <w:lang w:val="en-GB"/>
        </w:rPr>
        <w:t xml:space="preserve">in epileptic mice at the end of </w:t>
      </w:r>
      <w:r w:rsidR="007D5605" w:rsidRPr="00591954">
        <w:rPr>
          <w:szCs w:val="24"/>
          <w:lang w:val="en-GB"/>
        </w:rPr>
        <w:t xml:space="preserve">the </w:t>
      </w:r>
      <w:r w:rsidR="00925711" w:rsidRPr="00591954">
        <w:rPr>
          <w:szCs w:val="24"/>
          <w:lang w:val="en-GB"/>
        </w:rPr>
        <w:t xml:space="preserve">longitudinal experiment in </w:t>
      </w:r>
      <w:r w:rsidRPr="00591954">
        <w:rPr>
          <w:szCs w:val="24"/>
          <w:lang w:val="en-GB"/>
        </w:rPr>
        <w:t>placebo</w:t>
      </w:r>
      <w:r w:rsidR="00925711" w:rsidRPr="00591954">
        <w:rPr>
          <w:szCs w:val="24"/>
          <w:lang w:val="en-GB"/>
        </w:rPr>
        <w:t xml:space="preserve"> </w:t>
      </w:r>
      <w:r w:rsidRPr="00591954">
        <w:rPr>
          <w:szCs w:val="24"/>
          <w:lang w:val="en-GB"/>
        </w:rPr>
        <w:t>non-medicated diet</w:t>
      </w:r>
      <w:r w:rsidR="007D5605" w:rsidRPr="00591954">
        <w:rPr>
          <w:szCs w:val="24"/>
          <w:lang w:val="en-GB"/>
        </w:rPr>
        <w:t xml:space="preserve"> mice</w:t>
      </w:r>
      <w:r w:rsidR="00925711" w:rsidRPr="00591954">
        <w:rPr>
          <w:szCs w:val="24"/>
          <w:lang w:val="en-GB"/>
        </w:rPr>
        <w:t>,</w:t>
      </w:r>
      <w:r w:rsidRPr="00591954">
        <w:rPr>
          <w:szCs w:val="24"/>
          <w:lang w:val="en-GB"/>
        </w:rPr>
        <w:t xml:space="preserve"> n=1</w:t>
      </w:r>
      <w:r w:rsidR="007349ED" w:rsidRPr="00591954">
        <w:rPr>
          <w:szCs w:val="24"/>
          <w:lang w:val="en-GB"/>
        </w:rPr>
        <w:t>8</w:t>
      </w:r>
      <w:r w:rsidRPr="00591954">
        <w:rPr>
          <w:szCs w:val="24"/>
          <w:lang w:val="en-GB"/>
        </w:rPr>
        <w:t>; PLX3397 medicated diet</w:t>
      </w:r>
      <w:r w:rsidR="00925711" w:rsidRPr="00591954">
        <w:rPr>
          <w:szCs w:val="24"/>
          <w:lang w:val="en-GB"/>
        </w:rPr>
        <w:t>,</w:t>
      </w:r>
      <w:r w:rsidRPr="00591954">
        <w:rPr>
          <w:szCs w:val="24"/>
          <w:lang w:val="en-GB"/>
        </w:rPr>
        <w:t xml:space="preserve"> n=7, and sham mice (n=</w:t>
      </w:r>
      <w:r w:rsidR="007349ED" w:rsidRPr="00591954">
        <w:rPr>
          <w:szCs w:val="24"/>
          <w:lang w:val="en-GB"/>
        </w:rPr>
        <w:t>16</w:t>
      </w:r>
      <w:r w:rsidRPr="00591954">
        <w:rPr>
          <w:szCs w:val="24"/>
          <w:lang w:val="en-GB"/>
        </w:rPr>
        <w:t xml:space="preserve">). </w:t>
      </w:r>
      <w:r w:rsidR="007349ED" w:rsidRPr="00591954">
        <w:rPr>
          <w:szCs w:val="24"/>
          <w:lang w:val="en-GB"/>
        </w:rPr>
        <w:t xml:space="preserve">Grey symbols represent sham (n=8) and epileptic mice fed with placebo diet (n=8) run in parallel with experimental mice of Fig 3C (also depicted in Fig. S4). These additional mice </w:t>
      </w:r>
      <w:r w:rsidR="00E0017E" w:rsidRPr="00591954">
        <w:rPr>
          <w:szCs w:val="24"/>
          <w:lang w:val="en-GB"/>
        </w:rPr>
        <w:t>had</w:t>
      </w:r>
      <w:r w:rsidR="007349ED" w:rsidRPr="00591954">
        <w:rPr>
          <w:szCs w:val="24"/>
          <w:lang w:val="en-GB"/>
        </w:rPr>
        <w:t xml:space="preserve"> EEG recorded only at terminal disease state (between DAY 55 and 90): they had spontaneous seizure frequency similar to epileptic mice fed with placebo diet of Fig. 3 (see main text for details). </w:t>
      </w:r>
      <w:r w:rsidRPr="00591954">
        <w:rPr>
          <w:szCs w:val="24"/>
          <w:lang w:val="en-GB"/>
        </w:rPr>
        <w:t>Mice were those described in Fig. S</w:t>
      </w:r>
      <w:r w:rsidR="007311C2" w:rsidRPr="00591954">
        <w:rPr>
          <w:szCs w:val="24"/>
          <w:lang w:val="en-GB"/>
        </w:rPr>
        <w:t>5</w:t>
      </w:r>
      <w:r w:rsidRPr="00591954">
        <w:rPr>
          <w:szCs w:val="24"/>
          <w:lang w:val="en-GB"/>
        </w:rPr>
        <w:t xml:space="preserve"> MRI images depict representative slices showing the ROI used to quantify the cortical thickness. The white line within the ROI was manually drawn to measure the cortical thickness. *P=0.0</w:t>
      </w:r>
      <w:r w:rsidR="007349ED" w:rsidRPr="00591954">
        <w:rPr>
          <w:szCs w:val="24"/>
          <w:lang w:val="en-GB"/>
        </w:rPr>
        <w:t xml:space="preserve">46, **P=0.009 </w:t>
      </w:r>
      <w:r w:rsidRPr="00591954">
        <w:rPr>
          <w:szCs w:val="24"/>
          <w:lang w:val="en-GB"/>
        </w:rPr>
        <w:t xml:space="preserve">vs sham by </w:t>
      </w:r>
      <w:r w:rsidR="007349ED" w:rsidRPr="00591954">
        <w:rPr>
          <w:szCs w:val="24"/>
          <w:lang w:val="en-GB"/>
        </w:rPr>
        <w:t>ANOVA followed by Tukey’s post-hoc test</w:t>
      </w:r>
      <w:r w:rsidRPr="00591954">
        <w:rPr>
          <w:szCs w:val="24"/>
          <w:lang w:val="en-GB"/>
        </w:rPr>
        <w:t xml:space="preserve">. Scale bars: 1 cm. </w:t>
      </w:r>
      <w:r w:rsidRPr="00591954">
        <w:rPr>
          <w:rFonts w:eastAsia="ヒラギノ角ゴ Pro W3"/>
          <w:szCs w:val="24"/>
          <w:lang w:val="en-GB"/>
        </w:rPr>
        <w:t xml:space="preserve"> Ctx = cortex</w:t>
      </w:r>
    </w:p>
    <w:p w14:paraId="27F02C78" w14:textId="77777777" w:rsidR="00CE35C2" w:rsidRPr="00591954" w:rsidRDefault="00CE35C2" w:rsidP="007D5605">
      <w:pPr>
        <w:jc w:val="both"/>
        <w:rPr>
          <w:sz w:val="22"/>
          <w:szCs w:val="22"/>
          <w:lang w:val="en-GB"/>
        </w:rPr>
      </w:pPr>
      <w:r w:rsidRPr="00591954">
        <w:rPr>
          <w:sz w:val="22"/>
          <w:szCs w:val="22"/>
          <w:lang w:val="en-GB"/>
        </w:rPr>
        <w:br w:type="page"/>
      </w:r>
    </w:p>
    <w:p w14:paraId="43E6C5E5" w14:textId="08DFFB37" w:rsidR="00D67550" w:rsidRPr="00591954" w:rsidRDefault="00A82613" w:rsidP="00477182">
      <w:pPr>
        <w:pStyle w:val="SMcaption"/>
        <w:rPr>
          <w:sz w:val="22"/>
          <w:szCs w:val="22"/>
          <w:lang w:val="en-GB"/>
        </w:rPr>
      </w:pPr>
      <w:r w:rsidRPr="00591954">
        <w:rPr>
          <w:noProof/>
          <w:lang w:val="en-GB" w:eastAsia="en-GB"/>
        </w:rPr>
        <w:lastRenderedPageBreak/>
        <w:drawing>
          <wp:inline distT="0" distB="0" distL="0" distR="0" wp14:anchorId="69CAFA73" wp14:editId="117BECB8">
            <wp:extent cx="5486400" cy="5680074"/>
            <wp:effectExtent l="0" t="0" r="0" b="0"/>
            <wp:docPr id="1462668239" name="Picture 19" descr="Suppl Fi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24">
                      <a:extLst>
                        <a:ext uri="{28A0092B-C50C-407E-A947-70E740481C1C}">
                          <a14:useLocalDpi xmlns:a14="http://schemas.microsoft.com/office/drawing/2010/main" val="0"/>
                        </a:ext>
                      </a:extLst>
                    </a:blip>
                    <a:stretch>
                      <a:fillRect/>
                    </a:stretch>
                  </pic:blipFill>
                  <pic:spPr>
                    <a:xfrm>
                      <a:off x="0" y="0"/>
                      <a:ext cx="5486400" cy="5680074"/>
                    </a:xfrm>
                    <a:prstGeom prst="rect">
                      <a:avLst/>
                    </a:prstGeom>
                  </pic:spPr>
                </pic:pic>
              </a:graphicData>
            </a:graphic>
          </wp:inline>
        </w:drawing>
      </w:r>
    </w:p>
    <w:p w14:paraId="0742B4EB" w14:textId="0D8A3CE7" w:rsidR="00CE35C2" w:rsidRPr="00591954" w:rsidRDefault="00CE35C2" w:rsidP="00ED5E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iCs/>
          <w:szCs w:val="24"/>
          <w:lang w:val="en-GB"/>
        </w:rPr>
      </w:pPr>
      <w:r w:rsidRPr="00591954">
        <w:rPr>
          <w:b/>
          <w:szCs w:val="24"/>
          <w:lang w:val="en-GB"/>
        </w:rPr>
        <w:t xml:space="preserve">Fig. </w:t>
      </w:r>
      <w:r w:rsidR="00134EB1" w:rsidRPr="00591954">
        <w:rPr>
          <w:b/>
          <w:szCs w:val="24"/>
          <w:lang w:val="en-GB"/>
        </w:rPr>
        <w:t>S7</w:t>
      </w:r>
      <w:r w:rsidRPr="00591954">
        <w:rPr>
          <w:b/>
          <w:szCs w:val="24"/>
          <w:lang w:val="en-GB"/>
        </w:rPr>
        <w:t>.</w:t>
      </w:r>
      <w:r w:rsidRPr="00591954">
        <w:rPr>
          <w:bCs/>
          <w:szCs w:val="24"/>
          <w:lang w:val="en-GB"/>
        </w:rPr>
        <w:t xml:space="preserve"> </w:t>
      </w:r>
      <w:r w:rsidRPr="00591954">
        <w:rPr>
          <w:bCs/>
          <w:i/>
          <w:iCs/>
          <w:szCs w:val="24"/>
          <w:lang w:val="en-GB"/>
        </w:rPr>
        <w:t xml:space="preserve">Effects of PLX3397-supplemented diet on microglia cell number in the brain of naive mice. </w:t>
      </w:r>
      <w:r w:rsidRPr="00591954">
        <w:rPr>
          <w:b/>
          <w:bCs/>
          <w:iCs/>
          <w:szCs w:val="24"/>
          <w:lang w:val="en-GB"/>
        </w:rPr>
        <w:t>Panel A:</w:t>
      </w:r>
      <w:r w:rsidRPr="00591954">
        <w:rPr>
          <w:bCs/>
          <w:i/>
          <w:iCs/>
          <w:szCs w:val="24"/>
          <w:lang w:val="en-GB"/>
        </w:rPr>
        <w:t xml:space="preserve"> </w:t>
      </w:r>
      <w:r w:rsidRPr="00591954">
        <w:rPr>
          <w:bCs/>
          <w:iCs/>
          <w:szCs w:val="24"/>
          <w:lang w:val="en-GB"/>
        </w:rPr>
        <w:t xml:space="preserve">Representative photomicrographs of CD11b immunostaining in the hippocampus (top row), and Iba-1 immunoreactivity in the hippocampus (middle row) and entorhinal cortex (bottom row) of mice fed with placebo non-medicated diet (n=6-8) or PLX3397-supplemented diet (n=5) for 3 weeks. Box-and-whisker plots show the quantification of the </w:t>
      </w:r>
      <w:r w:rsidR="00F4686C" w:rsidRPr="00591954">
        <w:rPr>
          <w:bCs/>
          <w:iCs/>
          <w:szCs w:val="24"/>
          <w:lang w:val="en-GB"/>
        </w:rPr>
        <w:t xml:space="preserve">percent </w:t>
      </w:r>
      <w:r w:rsidRPr="00591954">
        <w:rPr>
          <w:bCs/>
          <w:iCs/>
          <w:szCs w:val="24"/>
          <w:lang w:val="en-GB"/>
        </w:rPr>
        <w:t xml:space="preserve">area occupied by CD11b signal and the number of Iba-1 positive cells, as depicted by median, minimum, maximum and single values in the hippocampus (top and middle) and entorhinal cortex (bottom). *P=0.0022 (hippocampus CD11b), *P=0.0013 (hippocampus Iba-1), *P=0.0008 (entorhinal cortex) vs placebo by </w:t>
      </w:r>
      <w:r w:rsidR="00E9451E" w:rsidRPr="00591954">
        <w:rPr>
          <w:bCs/>
          <w:iCs/>
          <w:szCs w:val="24"/>
          <w:lang w:val="en-GB"/>
        </w:rPr>
        <w:t>Mann-Whitney</w:t>
      </w:r>
      <w:r w:rsidRPr="00591954">
        <w:rPr>
          <w:bCs/>
          <w:iCs/>
          <w:szCs w:val="24"/>
          <w:lang w:val="en-GB"/>
        </w:rPr>
        <w:t xml:space="preserve"> test. Scale bars: 50 µm. Ctx = cortex; GC = granule cell layers; LMol = stratum lacunosum-molecolare; CA1 = CA1 pyramidal cell layer. </w:t>
      </w:r>
      <w:r w:rsidRPr="00591954">
        <w:rPr>
          <w:b/>
          <w:bCs/>
          <w:iCs/>
          <w:szCs w:val="24"/>
          <w:lang w:val="en-GB"/>
        </w:rPr>
        <w:t>Panel B:</w:t>
      </w:r>
      <w:r w:rsidRPr="00591954">
        <w:rPr>
          <w:bCs/>
          <w:iCs/>
          <w:szCs w:val="24"/>
          <w:lang w:val="en-GB"/>
        </w:rPr>
        <w:t xml:space="preserve"> Flow cytometry analysis on brain immune cells after treatment with PLX3397-supplemented diet. The total cell number of live microglial cells (CD45</w:t>
      </w:r>
      <w:r w:rsidRPr="00591954">
        <w:rPr>
          <w:bCs/>
          <w:iCs/>
          <w:szCs w:val="24"/>
          <w:vertAlign w:val="superscript"/>
          <w:lang w:val="en-GB"/>
        </w:rPr>
        <w:t>lo</w:t>
      </w:r>
      <w:r w:rsidRPr="00591954">
        <w:rPr>
          <w:bCs/>
          <w:iCs/>
          <w:szCs w:val="24"/>
          <w:lang w:val="en-GB"/>
        </w:rPr>
        <w:t xml:space="preserve"> CD11b</w:t>
      </w:r>
      <w:r w:rsidRPr="00591954">
        <w:rPr>
          <w:bCs/>
          <w:iCs/>
          <w:szCs w:val="24"/>
          <w:vertAlign w:val="superscript"/>
          <w:lang w:val="en-GB"/>
        </w:rPr>
        <w:t>+</w:t>
      </w:r>
      <w:r w:rsidRPr="00591954">
        <w:rPr>
          <w:bCs/>
          <w:iCs/>
          <w:szCs w:val="24"/>
          <w:lang w:val="en-GB"/>
        </w:rPr>
        <w:t xml:space="preserve"> Ly6G</w:t>
      </w:r>
      <w:r w:rsidRPr="00591954">
        <w:rPr>
          <w:bCs/>
          <w:iCs/>
          <w:szCs w:val="24"/>
          <w:vertAlign w:val="superscript"/>
          <w:lang w:val="en-GB"/>
        </w:rPr>
        <w:t>-</w:t>
      </w:r>
      <w:r w:rsidRPr="00591954">
        <w:rPr>
          <w:bCs/>
          <w:iCs/>
          <w:szCs w:val="24"/>
          <w:lang w:val="en-GB"/>
        </w:rPr>
        <w:t xml:space="preserve"> Ly6C</w:t>
      </w:r>
      <w:r w:rsidRPr="00591954">
        <w:rPr>
          <w:bCs/>
          <w:iCs/>
          <w:szCs w:val="24"/>
          <w:vertAlign w:val="superscript"/>
          <w:lang w:val="en-GB"/>
        </w:rPr>
        <w:t>-</w:t>
      </w:r>
      <w:r w:rsidRPr="00591954">
        <w:rPr>
          <w:bCs/>
          <w:iCs/>
          <w:szCs w:val="24"/>
          <w:lang w:val="en-GB"/>
        </w:rPr>
        <w:t xml:space="preserve">) in the </w:t>
      </w:r>
      <w:r w:rsidR="00E9451E" w:rsidRPr="00591954">
        <w:rPr>
          <w:bCs/>
          <w:iCs/>
          <w:szCs w:val="24"/>
          <w:lang w:val="en-GB"/>
        </w:rPr>
        <w:t xml:space="preserve">hippocampus </w:t>
      </w:r>
      <w:r w:rsidRPr="00591954">
        <w:rPr>
          <w:bCs/>
          <w:iCs/>
          <w:szCs w:val="24"/>
          <w:lang w:val="en-GB"/>
        </w:rPr>
        <w:t>(</w:t>
      </w:r>
      <w:r w:rsidR="00E9451E" w:rsidRPr="00591954">
        <w:rPr>
          <w:bCs/>
          <w:iCs/>
          <w:szCs w:val="24"/>
          <w:lang w:val="en-GB"/>
        </w:rPr>
        <w:t xml:space="preserve">pooled hippocampi from the two hemispheres/mouse, </w:t>
      </w:r>
      <w:r w:rsidRPr="00591954">
        <w:rPr>
          <w:bCs/>
          <w:iCs/>
          <w:szCs w:val="24"/>
          <w:lang w:val="en-GB"/>
        </w:rPr>
        <w:t xml:space="preserve">n=2-3 mice) is </w:t>
      </w:r>
      <w:r w:rsidRPr="00591954">
        <w:rPr>
          <w:bCs/>
          <w:iCs/>
          <w:szCs w:val="24"/>
          <w:lang w:val="en-GB"/>
        </w:rPr>
        <w:lastRenderedPageBreak/>
        <w:t xml:space="preserve">quantified in the graph and shown in representative plots. Data are shown as box-and-whisker plots depicting the median, minimum, maximum and single values. *P=0.0001 vs placebo by </w:t>
      </w:r>
      <w:r w:rsidR="00E9451E" w:rsidRPr="00591954">
        <w:rPr>
          <w:bCs/>
          <w:iCs/>
          <w:szCs w:val="24"/>
          <w:lang w:val="en-GB"/>
        </w:rPr>
        <w:t xml:space="preserve">Mann-Whitney </w:t>
      </w:r>
      <w:r w:rsidRPr="00591954">
        <w:rPr>
          <w:bCs/>
          <w:iCs/>
          <w:szCs w:val="24"/>
          <w:lang w:val="en-GB"/>
        </w:rPr>
        <w:t xml:space="preserve">test. </w:t>
      </w:r>
    </w:p>
    <w:p w14:paraId="25233CDE" w14:textId="77777777" w:rsidR="00CE35C2" w:rsidRPr="00591954" w:rsidRDefault="00CE35C2" w:rsidP="005B29BD">
      <w:pPr>
        <w:jc w:val="both"/>
        <w:rPr>
          <w:sz w:val="22"/>
          <w:szCs w:val="22"/>
          <w:lang w:val="en-GB"/>
        </w:rPr>
      </w:pPr>
      <w:r w:rsidRPr="00591954">
        <w:rPr>
          <w:sz w:val="22"/>
          <w:szCs w:val="22"/>
          <w:lang w:val="en-GB"/>
        </w:rPr>
        <w:br w:type="page"/>
      </w:r>
    </w:p>
    <w:p w14:paraId="53E2CB8B" w14:textId="13B5257B" w:rsidR="00CE35C2" w:rsidRPr="00591954" w:rsidRDefault="00E609CE" w:rsidP="00477182">
      <w:pPr>
        <w:pStyle w:val="SMcaption"/>
        <w:rPr>
          <w:sz w:val="22"/>
          <w:szCs w:val="22"/>
          <w:lang w:val="en-GB"/>
        </w:rPr>
      </w:pPr>
      <w:r w:rsidRPr="00591954">
        <w:rPr>
          <w:noProof/>
          <w:lang w:val="en-GB" w:eastAsia="en-GB"/>
        </w:rPr>
        <w:lastRenderedPageBreak/>
        <w:drawing>
          <wp:inline distT="0" distB="0" distL="0" distR="0" wp14:anchorId="2BBE2A55" wp14:editId="4A3981FF">
            <wp:extent cx="2725420" cy="4985386"/>
            <wp:effectExtent l="0" t="0" r="0" b="0"/>
            <wp:docPr id="1462725029" name="Picture 20" descr="Supp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pic:nvPicPr>
                  <pic:blipFill>
                    <a:blip r:embed="rId25">
                      <a:extLst>
                        <a:ext uri="{28A0092B-C50C-407E-A947-70E740481C1C}">
                          <a14:useLocalDpi xmlns:a14="http://schemas.microsoft.com/office/drawing/2010/main" val="0"/>
                        </a:ext>
                      </a:extLst>
                    </a:blip>
                    <a:stretch>
                      <a:fillRect/>
                    </a:stretch>
                  </pic:blipFill>
                  <pic:spPr>
                    <a:xfrm>
                      <a:off x="0" y="0"/>
                      <a:ext cx="2725420" cy="4985386"/>
                    </a:xfrm>
                    <a:prstGeom prst="rect">
                      <a:avLst/>
                    </a:prstGeom>
                  </pic:spPr>
                </pic:pic>
              </a:graphicData>
            </a:graphic>
          </wp:inline>
        </w:drawing>
      </w:r>
    </w:p>
    <w:p w14:paraId="3EA7647E" w14:textId="77777777" w:rsidR="00E83CFE" w:rsidRPr="00591954" w:rsidRDefault="00E83CFE" w:rsidP="00477182">
      <w:pPr>
        <w:pStyle w:val="SMcaption"/>
        <w:rPr>
          <w:sz w:val="22"/>
          <w:szCs w:val="22"/>
          <w:lang w:val="en-GB"/>
        </w:rPr>
      </w:pPr>
    </w:p>
    <w:p w14:paraId="261E015D" w14:textId="69380065" w:rsidR="005B7923" w:rsidRPr="00591954" w:rsidRDefault="00E83CFE" w:rsidP="00ED5E19">
      <w:pPr>
        <w:rPr>
          <w:rFonts w:eastAsia="ヒラギノ角ゴ Pro W3"/>
          <w:lang w:val="en-GB"/>
        </w:rPr>
      </w:pPr>
      <w:r w:rsidRPr="00591954">
        <w:rPr>
          <w:b/>
          <w:bCs/>
          <w:lang w:val="en-GB"/>
        </w:rPr>
        <w:t>Fig. S</w:t>
      </w:r>
      <w:r w:rsidR="00134EB1" w:rsidRPr="00591954">
        <w:rPr>
          <w:b/>
          <w:bCs/>
          <w:lang w:val="en-GB"/>
        </w:rPr>
        <w:t>8</w:t>
      </w:r>
      <w:r w:rsidRPr="00591954">
        <w:rPr>
          <w:lang w:val="en-GB"/>
        </w:rPr>
        <w:t xml:space="preserve">. </w:t>
      </w:r>
      <w:r w:rsidR="005B7923" w:rsidRPr="00591954">
        <w:rPr>
          <w:rFonts w:eastAsia="ヒラギノ角ゴ Pro W3"/>
          <w:b/>
          <w:bCs/>
          <w:lang w:val="en-GB"/>
        </w:rPr>
        <w:t>Panel A</w:t>
      </w:r>
      <w:r w:rsidR="005B7923" w:rsidRPr="00591954">
        <w:rPr>
          <w:rFonts w:eastAsia="ヒラギノ角ゴ Pro W3"/>
          <w:lang w:val="en-GB"/>
        </w:rPr>
        <w:t xml:space="preserve">: </w:t>
      </w:r>
      <w:r w:rsidR="005B7923" w:rsidRPr="00591954">
        <w:rPr>
          <w:rFonts w:eastAsia="ヒラギノ角ゴ Pro W3"/>
          <w:i/>
          <w:iCs/>
          <w:lang w:val="en-GB"/>
        </w:rPr>
        <w:t>Extracellular recordings in</w:t>
      </w:r>
      <w:r w:rsidR="005B7923" w:rsidRPr="00591954">
        <w:rPr>
          <w:rFonts w:eastAsia="ヒラギノ角ゴ Pro W3"/>
          <w:sz w:val="28"/>
          <w:szCs w:val="28"/>
          <w:lang w:val="en-GB"/>
        </w:rPr>
        <w:t xml:space="preserve"> </w:t>
      </w:r>
      <w:r w:rsidR="005B7923" w:rsidRPr="00591954">
        <w:rPr>
          <w:rFonts w:eastAsia="ヒラギノ角ゴ Pro W3"/>
          <w:i/>
          <w:iCs/>
          <w:lang w:val="en-GB"/>
        </w:rPr>
        <w:t>acute hippocampal slices.</w:t>
      </w:r>
      <w:r w:rsidR="005B7923" w:rsidRPr="00591954">
        <w:rPr>
          <w:rFonts w:eastAsia="ヒラギノ角ゴ Pro W3"/>
          <w:sz w:val="28"/>
          <w:szCs w:val="28"/>
          <w:lang w:val="en-GB"/>
        </w:rPr>
        <w:t xml:space="preserve"> </w:t>
      </w:r>
      <w:r w:rsidR="005B7923" w:rsidRPr="00591954">
        <w:rPr>
          <w:rFonts w:eastAsia="ヒラギノ角ゴ Pro W3"/>
          <w:lang w:val="en-GB"/>
        </w:rPr>
        <w:t xml:space="preserve">Extracellular recordings of population spikes (PS) evoked in CA1 pyramidal neurons by electrical stimulation of the Schaffer collaterals. The relationship between stimulus intensity, </w:t>
      </w:r>
      <w:r w:rsidR="00252425" w:rsidRPr="00591954">
        <w:rPr>
          <w:rFonts w:eastAsia="ヒラギノ角ゴ Pro W3"/>
          <w:lang w:val="en-GB"/>
        </w:rPr>
        <w:t>i.e.,</w:t>
      </w:r>
      <w:r w:rsidR="005B7923" w:rsidRPr="00591954">
        <w:rPr>
          <w:rFonts w:eastAsia="ヒラギノ角ゴ Pro W3"/>
          <w:lang w:val="en-GB"/>
        </w:rPr>
        <w:t xml:space="preserve"> current input, and PS peak amplitude, </w:t>
      </w:r>
      <w:r w:rsidR="00186BCF" w:rsidRPr="00591954">
        <w:rPr>
          <w:rFonts w:eastAsia="ヒラギノ角ゴ Pro W3"/>
          <w:lang w:val="en-GB"/>
        </w:rPr>
        <w:t>i.e.,</w:t>
      </w:r>
      <w:r w:rsidR="005B7923" w:rsidRPr="00591954">
        <w:rPr>
          <w:rFonts w:eastAsia="ヒラギノ角ゴ Pro W3"/>
          <w:lang w:val="en-GB"/>
        </w:rPr>
        <w:t xml:space="preserve"> neuronal output, is considered as an index of neuronal excitability. Slices from microglia-depleted mice (experimental design in Fig. S1B) showed an input-output curve similar to slices from control mice fed with placebo diet indicating no changes in neuronal excitability. PS amplitudes are shown as percentage of maximal response (mean ± SEM; n=6 slices from 5-6 mice/each group).</w:t>
      </w:r>
      <w:r w:rsidR="005B7923" w:rsidRPr="00591954">
        <w:rPr>
          <w:rFonts w:ascii="Arial" w:eastAsia="ヒラギノ角ゴ Pro W3" w:hAnsi="Arial" w:cs="Arial"/>
          <w:lang w:val="en-GB"/>
        </w:rPr>
        <w:t xml:space="preserve"> </w:t>
      </w:r>
      <w:r w:rsidR="005B7923" w:rsidRPr="00591954">
        <w:rPr>
          <w:rFonts w:eastAsia="ヒラギノ角ゴ Pro W3"/>
          <w:lang w:val="en-GB"/>
        </w:rPr>
        <w:t>Representative traces of PS obtained in response to 24 V stimulation are shown</w:t>
      </w:r>
      <w:r w:rsidR="005B7923" w:rsidRPr="00591954">
        <w:rPr>
          <w:rFonts w:ascii="Arial" w:eastAsia="ヒラギノ角ゴ Pro W3" w:hAnsi="Arial" w:cs="Arial"/>
          <w:lang w:val="en-GB"/>
        </w:rPr>
        <w:t xml:space="preserve">. </w:t>
      </w:r>
      <w:r w:rsidR="005B7923" w:rsidRPr="00591954">
        <w:rPr>
          <w:rFonts w:eastAsia="ヒラギノ角ゴ Pro W3"/>
          <w:i/>
          <w:iCs/>
          <w:lang w:val="en-GB"/>
        </w:rPr>
        <w:t>For methods see</w:t>
      </w:r>
      <w:r w:rsidR="001D205E" w:rsidRPr="00591954">
        <w:rPr>
          <w:rFonts w:eastAsia="ヒラギノ角ゴ Pro W3"/>
          <w:i/>
          <w:iCs/>
          <w:lang w:val="en-GB"/>
        </w:rPr>
        <w:t xml:space="preserve"> Iori et al.</w:t>
      </w:r>
      <w:r w:rsidR="005B7923" w:rsidRPr="00591954">
        <w:rPr>
          <w:rFonts w:eastAsia="ヒラギノ角ゴ Pro W3"/>
          <w:i/>
          <w:iCs/>
          <w:lang w:val="en-GB"/>
        </w:rPr>
        <w:t xml:space="preserve"> </w:t>
      </w:r>
      <w:r w:rsidRPr="00591954">
        <w:rPr>
          <w:rFonts w:eastAsia="ヒラギノ角ゴ Pro W3"/>
          <w:i/>
          <w:iCs/>
          <w:lang w:val="en-GB"/>
        </w:rPr>
        <w:fldChar w:fldCharType="begin" w:fldLock="1"/>
      </w:r>
      <w:r w:rsidR="004F23C5" w:rsidRPr="00591954">
        <w:rPr>
          <w:rFonts w:eastAsia="ヒラギノ角ゴ Pro W3"/>
          <w:i/>
          <w:iCs/>
          <w:lang w:val="en-GB"/>
        </w:rPr>
        <w:instrText>ADDIN CSL_CITATION {"citationItems":[{"id":"ITEM-1","itemData":{"DOI":"10.1016/j.nbd.2016.12.007","ISSN":"1095-953X","PMID":"27939857","abstract":"We recently discovered that forebrain activation of the IL-1 receptor/Toll-like receptor (IL-1R1/TLR4) innate immunity signal plays a pivotal role in neuronal hyperexcitability underlying seizures in rodents. Since this pathway is activated in neurons and glia in human epileptogenic foci, it represents a potential target for developing drugs interfering with the mechanisms of epileptogenesis that lead to spontaneous seizures. The lack of such drugs represents a major unmet clinical need. We tested therefore novel therapies inhibiting the IL-1R1/TLR4 signaling in an established murine model of acquired epilepsy. We used an epigenetic approach by injecting a synthetic mimic of micro(mi)RNA-146a that impairs IL1R1/TLR4 signal transduction, or we blocked receptor activation with antiinflammatory drugs. Both interventions when transiently applied to mice after epilepsy onset, prevented disease progression and dramatically reduced chronic seizure recurrence, while the anticonvulsant drug carbamazepine was ineffective. We conclude that IL-1R1/TLR4 is a novel potential therapeutic target for attaining disease-modifications in patients with diagnosed epilepsy.","author":[{"dropping-particle":"","family":"Iori","given":"Valentina","non-dropping-particle":"","parse-names":false,"suffix":""},{"dropping-particle":"","family":"Iyer","given":"Anand M.","non-dropping-particle":"","parse-names":false,"suffix":""},{"dropping-particle":"","family":"Ravizza","given":"Teresa","non-dropping-particle":"","parse-names":false,"suffix":""},{"dropping-particle":"","family":"Beltrame","given":"Luca","non-dropping-particle":"","parse-names":false,"suffix":""},{"dropping-particle":"","family":"Paracchini","given":"Lara","non-dropping-particle":"","parse-names":false,"suffix":""},{"dropping-particle":"","family":"Marchini","given":"Sergio","non-dropping-particle":"","parse-names":false,"suffix":""},{"dropping-particle":"","family":"Cerovic","given":"Milica","non-dropping-particle":"","parse-names":false,"suffix":""},{"dropping-particle":"","family":"Hill","given":"Cameron","non-dropping-particle":"","parse-names":false,"suffix":""},{"dropping-particle":"","family":"Ferrari","given":"Mariella","non-dropping-particle":"","parse-names":false,"suffix":""},{"dropping-particle":"","family":"Zucchetti","given":"Massimo","non-dropping-particle":"","parse-names":false,"suffix":""},{"dropping-particle":"","family":"Molteni","given":"Monica","non-dropping-particle":"","parse-names":false,"suffix":""},{"dropping-particle":"","family":"Rossetti","given":"Carlo","non-dropping-particle":"","parse-names":false,"suffix":""},{"dropping-particle":"","family":"Brambilla","given":"Riccardo","non-dropping-particle":"","parse-names":false,"suffix":""},{"dropping-particle":"","family":"Steve White","given":"H.","non-dropping-particle":"","parse-names":false,"suffix":""},{"dropping-particle":"","family":"D'Incalci","given":"Maurizio","non-dropping-particle":"","parse-names":false,"suffix":""},{"dropping-particle":"","family":"Aronica","given":"Eleonora","non-dropping-particle":"","parse-names":false,"suffix":""},{"dropping-particle":"","family":"Vezzani","given":"Annamaria","non-dropping-particle":"","parse-names":false,"suffix":""}],"container-title":"Neurobiology of Disease","id":"ITEM-1","issued":{"date-parts":[["2017","3"]]},"language":"eng","page":"12-23","title":"Blockade of the IL-1R1/TLR4 pathway mediates disease-modification therapeutic effects in a model of acquired epilepsy","type":"article-journal","volume":"99"},"suppress-author":1,"uris":["http://www.mendeley.com/documents/?uuid=792ed98d-a7bf-432c-a076-9b08b99fc9cb"]}],"mendeley":{"formattedCitation":"[49]","plainTextFormattedCitation":"[49]","previouslyFormattedCitation":"(49)"},"properties":{"noteIndex":0},"schema":"https://github.com/citation-style-language/schema/raw/master/csl-citation.json"}</w:instrText>
      </w:r>
      <w:r w:rsidRPr="00591954">
        <w:rPr>
          <w:rFonts w:eastAsia="ヒラギノ角ゴ Pro W3"/>
          <w:i/>
          <w:iCs/>
          <w:lang w:val="en-GB"/>
        </w:rPr>
        <w:fldChar w:fldCharType="separate"/>
      </w:r>
      <w:r w:rsidR="004F23C5" w:rsidRPr="00591954">
        <w:rPr>
          <w:rFonts w:eastAsia="ヒラギノ角ゴ Pro W3"/>
          <w:noProof/>
          <w:lang w:val="en-GB"/>
        </w:rPr>
        <w:t>[49]</w:t>
      </w:r>
      <w:r w:rsidRPr="00591954">
        <w:rPr>
          <w:rFonts w:eastAsia="ヒラギノ角ゴ Pro W3"/>
          <w:i/>
          <w:iCs/>
          <w:lang w:val="en-GB"/>
        </w:rPr>
        <w:fldChar w:fldCharType="end"/>
      </w:r>
      <w:r w:rsidR="005B7923" w:rsidRPr="00591954">
        <w:rPr>
          <w:rFonts w:eastAsia="ヒラギノ角ゴ Pro W3"/>
          <w:i/>
          <w:iCs/>
          <w:lang w:val="en-GB"/>
        </w:rPr>
        <w:t>.</w:t>
      </w:r>
    </w:p>
    <w:p w14:paraId="682711F1" w14:textId="45CADC7B" w:rsidR="005B7923" w:rsidRPr="00591954" w:rsidRDefault="005B7923" w:rsidP="00ED5E19">
      <w:pPr>
        <w:rPr>
          <w:rFonts w:eastAsia="ヒラギノ角ゴ Pro W3"/>
          <w:i/>
          <w:iCs/>
          <w:lang w:val="en-GB"/>
        </w:rPr>
      </w:pPr>
      <w:r w:rsidRPr="00591954">
        <w:rPr>
          <w:b/>
          <w:bCs/>
          <w:lang w:val="en-GB"/>
        </w:rPr>
        <w:t xml:space="preserve">Panel B: </w:t>
      </w:r>
      <w:r w:rsidRPr="00591954">
        <w:rPr>
          <w:i/>
          <w:iCs/>
          <w:lang w:val="en-GB"/>
        </w:rPr>
        <w:t>Oocytes microtransplanted with hippocampal membranes</w:t>
      </w:r>
      <w:r w:rsidRPr="00591954">
        <w:rPr>
          <w:lang w:val="en-GB"/>
        </w:rPr>
        <w:t xml:space="preserve"> from </w:t>
      </w:r>
      <w:r w:rsidRPr="00591954">
        <w:rPr>
          <w:rFonts w:eastAsia="ヒラギノ角ゴ Pro W3"/>
          <w:lang w:val="en-GB"/>
        </w:rPr>
        <w:t xml:space="preserve">microglia-depleted mice (experimental design in Fig. S1B) </w:t>
      </w:r>
      <w:r w:rsidRPr="00591954">
        <w:rPr>
          <w:lang w:val="en-GB"/>
        </w:rPr>
        <w:t>or placebo-diet fed mice (n=2 mice/ group; 2 pooled hippocampi/mouse). Box-and-whisker plots depicting median, minimum, maximum and single values show that the GABA current (I</w:t>
      </w:r>
      <w:r w:rsidRPr="00591954">
        <w:rPr>
          <w:vertAlign w:val="subscript"/>
          <w:lang w:val="en-GB"/>
        </w:rPr>
        <w:t>GABA</w:t>
      </w:r>
      <w:r w:rsidRPr="00591954">
        <w:rPr>
          <w:lang w:val="en-GB"/>
        </w:rPr>
        <w:t xml:space="preserve">) expressed as nA in </w:t>
      </w:r>
      <w:r w:rsidRPr="00591954">
        <w:rPr>
          <w:i/>
          <w:iCs/>
          <w:lang w:val="en-GB"/>
        </w:rPr>
        <w:t>Xenopus</w:t>
      </w:r>
      <w:r w:rsidRPr="00591954">
        <w:rPr>
          <w:lang w:val="en-GB"/>
        </w:rPr>
        <w:t xml:space="preserve"> oocytes (n=28 each group) were similar in the two experimental groups. Traces</w:t>
      </w:r>
      <w:r w:rsidRPr="00591954">
        <w:rPr>
          <w:i/>
          <w:iCs/>
          <w:lang w:val="en-GB"/>
        </w:rPr>
        <w:t xml:space="preserve"> </w:t>
      </w:r>
      <w:r w:rsidRPr="00591954">
        <w:rPr>
          <w:lang w:val="en-GB"/>
        </w:rPr>
        <w:t xml:space="preserve">represent currents evoked by GABA (500 µM, 120 s application) in two oocytes transplanted as indicated. The GABA current decay time showed no difference between </w:t>
      </w:r>
      <w:r w:rsidRPr="00591954">
        <w:rPr>
          <w:lang w:val="en-GB"/>
        </w:rPr>
        <w:lastRenderedPageBreak/>
        <w:t>the two experimental groups (placebo mice: T</w:t>
      </w:r>
      <w:r w:rsidRPr="00591954">
        <w:rPr>
          <w:vertAlign w:val="subscript"/>
          <w:lang w:val="en-GB"/>
        </w:rPr>
        <w:t>0.5</w:t>
      </w:r>
      <w:r w:rsidRPr="00591954">
        <w:rPr>
          <w:lang w:val="en-GB"/>
        </w:rPr>
        <w:t xml:space="preserve"> =15.1</w:t>
      </w:r>
      <w:r w:rsidRPr="00591954">
        <w:rPr>
          <w:rFonts w:eastAsia="ヒラギノ角ゴ Pro W3"/>
          <w:lang w:val="en-GB"/>
        </w:rPr>
        <w:t>±</w:t>
      </w:r>
      <w:r w:rsidRPr="00591954">
        <w:rPr>
          <w:lang w:val="en-GB"/>
        </w:rPr>
        <w:t>1.1 s; microglia-depleted mice: T</w:t>
      </w:r>
      <w:r w:rsidRPr="00591954">
        <w:rPr>
          <w:vertAlign w:val="subscript"/>
          <w:lang w:val="en-GB"/>
        </w:rPr>
        <w:t>0.5</w:t>
      </w:r>
      <w:r w:rsidRPr="00591954">
        <w:rPr>
          <w:lang w:val="en-GB"/>
        </w:rPr>
        <w:t xml:space="preserve"> =14.8</w:t>
      </w:r>
      <w:r w:rsidRPr="00591954">
        <w:rPr>
          <w:rFonts w:eastAsia="ヒラギノ角ゴ Pro W3"/>
          <w:lang w:val="en-GB"/>
        </w:rPr>
        <w:t>±</w:t>
      </w:r>
      <w:r w:rsidRPr="00591954">
        <w:rPr>
          <w:lang w:val="en-GB"/>
        </w:rPr>
        <w:t>1.3 s).</w:t>
      </w:r>
      <w:r w:rsidRPr="00591954">
        <w:rPr>
          <w:rFonts w:eastAsia="ヒラギノ角ゴ Pro W3"/>
          <w:i/>
          <w:iCs/>
          <w:lang w:val="en-GB"/>
        </w:rPr>
        <w:t xml:space="preserve"> </w:t>
      </w:r>
      <w:r w:rsidRPr="00591954">
        <w:rPr>
          <w:rFonts w:eastAsia="ヒラギノ角ゴ Pro W3"/>
          <w:lang w:val="en-GB"/>
        </w:rPr>
        <w:t>For methods see</w:t>
      </w:r>
      <w:r w:rsidR="00EB07FC" w:rsidRPr="00591954">
        <w:rPr>
          <w:rFonts w:eastAsia="ヒラギノ角ゴ Pro W3"/>
          <w:lang w:val="en-GB"/>
        </w:rPr>
        <w:t xml:space="preserve"> Roseti</w:t>
      </w:r>
      <w:r w:rsidR="00EB07FC" w:rsidRPr="00591954">
        <w:rPr>
          <w:rFonts w:eastAsia="ヒラギノ角ゴ Pro W3"/>
          <w:i/>
          <w:iCs/>
          <w:lang w:val="en-GB"/>
        </w:rPr>
        <w:t xml:space="preserve"> et al.</w:t>
      </w:r>
      <w:r w:rsidRPr="00591954">
        <w:rPr>
          <w:rFonts w:eastAsia="ヒラギノ角ゴ Pro W3"/>
          <w:i/>
          <w:iCs/>
          <w:lang w:val="en-GB"/>
        </w:rPr>
        <w:t xml:space="preserve"> </w:t>
      </w:r>
      <w:r w:rsidRPr="00591954">
        <w:rPr>
          <w:rFonts w:eastAsia="ヒラギノ角ゴ Pro W3"/>
          <w:i/>
          <w:iCs/>
          <w:lang w:val="en-GB"/>
        </w:rPr>
        <w:fldChar w:fldCharType="begin" w:fldLock="1"/>
      </w:r>
      <w:r w:rsidR="004F23C5" w:rsidRPr="00591954">
        <w:rPr>
          <w:rFonts w:eastAsia="ヒラギノ角ゴ Pro W3"/>
          <w:i/>
          <w:iCs/>
          <w:lang w:val="en-GB"/>
        </w:rPr>
        <w:instrText>ADDIN CSL_CITATION {"citationItems":[{"id":"ITEM-1","itemData":{"DOI":"10.1016/j.nbd.2015.07.003","ISSN":"1095953X","abstract":"Temporal lobe epilepsy (TLE) is the most prevalent form of adult focal onset epilepsy often associated with drug-resistant seizures. Numerous studies suggest that neuroinflammatory processes are pathologic hallmarks of both experimental and human epilepsy. In particular, the interleukin (IL)-1β/IL-1 receptor type 1 (R1) axis is activated in epileptogenic tissue, where it contributes significantly to the generation and recurrence of seizures in animal models. In this study, we investigated whether IL-1β affects the GABA-evoked currents (IGABA) in TLE tissue from humans. Given the limited availability of fresh human brain specimens, we used the \"microtransplantation\" method of injecting Xenopus oocytes with membranes from surgically resected hippocampal and cortical tissue from 21 patients with TLE and hippocampal sclerosis (HS), hippocampal tissue from five patients with TLE without HS, and autoptic and surgical brain specimens from 15 controls without epilepsy. We report the novel finding that pathophysiological concentrations of IL-1β decreased the IGABA amplitude by up to 30% in specimens from patients with TLE with or without HS, but not in control tissues. This effect was reproduced by patch-clamp recordings on neurons in entorhinal cortex slices from rats with chronic epilepsy, and was not observed in control slices. In TLE specimens from humans, the IL-1β effect was mediated by IL-1R1 and PKC. We also showed that IL-1R1 and IRAK1, the proximal kinase mediating the IL-1R1 signaling, are both up-regulated in the TLE compared with control specimens, thus supporting the idea that the IL-1β/IL-R1 axis is activated in human epilepsy. Our findings suggest a novel mechanism possibly underlying the ictogenic action of IL-1β, thus suggesting that this cytokine contributes to seizure generation in human TLE by reducing GABA-mediated neurotransmission.","author":[{"dropping-particle":"","family":"Roseti","given":"Cristina","non-dropping-particle":"","parse-names":false,"suffix":""},{"dropping-particle":"","family":"Vliet","given":"Erwin A.","non-dropping-particle":"van","parse-names":false,"suffix":""},{"dropping-particle":"","family":"Cifelli","given":"Pierangelo","non-dropping-particle":"","parse-names":false,"suffix":""},{"dropping-particle":"","family":"Ruffolo","given":"Gabriele","non-dropping-particle":"","parse-names":false,"suffix":""},{"dropping-particle":"","family":"Baayen","given":"Johannes C.","non-dropping-particle":"","parse-names":false,"suffix":""},{"dropping-particle":"","family":"Castro","given":"Maria Amalia","non-dropping-particle":"Di","parse-names":false,"suffix":""},{"dropping-particle":"","family":"Bertollini","given":"Cristina","non-dropping-particle":"","parse-names":false,"suffix":""},{"dropping-particle":"","family":"Limatola","given":"Cristina","non-dropping-particle":"","parse-names":false,"suffix":""},{"dropping-particle":"","family":"Aronica","given":"Eleonora","non-dropping-particle":"","parse-names":false,"suffix":""},{"dropping-particle":"","family":"Vezzani","given":"Annamaria","non-dropping-particle":"","parse-names":false,"suffix":""},{"dropping-particle":"","family":"Palma","given":"Eleonora","non-dropping-particle":"","parse-names":false,"suffix":""}],"container-title":"Neurobiology of Disease","id":"ITEM-1","issued":{"date-parts":[["2015"]]},"page":"311-320","title":"GABAA currents are decreased by IL-1β in epileptogenic tissue of patients with temporal lobe epilepsy: Implications for ictogenesis","type":"article-journal","volume":"82"},"suppress-author":1,"uris":["http://www.mendeley.com/documents/?uuid=891ef318-6d08-4167-9f9b-c7ebefaf0e0a"]}],"mendeley":{"formattedCitation":"[69]","plainTextFormattedCitation":"[69]","previouslyFormattedCitation":"(69)"},"properties":{"noteIndex":0},"schema":"https://github.com/citation-style-language/schema/raw/master/csl-citation.json"}</w:instrText>
      </w:r>
      <w:r w:rsidRPr="00591954">
        <w:rPr>
          <w:rFonts w:eastAsia="ヒラギノ角ゴ Pro W3"/>
          <w:i/>
          <w:iCs/>
          <w:lang w:val="en-GB"/>
        </w:rPr>
        <w:fldChar w:fldCharType="separate"/>
      </w:r>
      <w:r w:rsidR="004F23C5" w:rsidRPr="00591954">
        <w:rPr>
          <w:rFonts w:eastAsia="ヒラギノ角ゴ Pro W3"/>
          <w:noProof/>
          <w:lang w:val="en-GB"/>
        </w:rPr>
        <w:t>[69]</w:t>
      </w:r>
      <w:r w:rsidRPr="00591954">
        <w:rPr>
          <w:rFonts w:eastAsia="ヒラギノ角ゴ Pro W3"/>
          <w:i/>
          <w:iCs/>
          <w:lang w:val="en-GB"/>
        </w:rPr>
        <w:fldChar w:fldCharType="end"/>
      </w:r>
      <w:r w:rsidRPr="00591954">
        <w:rPr>
          <w:rFonts w:eastAsia="ヒラギノ角ゴ Pro W3"/>
          <w:i/>
          <w:iCs/>
          <w:lang w:val="en-GB"/>
        </w:rPr>
        <w:t>.</w:t>
      </w:r>
    </w:p>
    <w:p w14:paraId="4ED7C4BE" w14:textId="382BE6DA" w:rsidR="00C7726E" w:rsidRPr="00591954" w:rsidRDefault="00C7726E" w:rsidP="00ED5E19">
      <w:pPr>
        <w:rPr>
          <w:rFonts w:eastAsia="ヒラギノ角ゴ Pro W3"/>
          <w:iCs/>
          <w:lang w:val="en-GB"/>
        </w:rPr>
      </w:pPr>
      <w:r w:rsidRPr="00591954">
        <w:rPr>
          <w:rFonts w:eastAsia="ヒラギノ角ゴ Pro W3"/>
          <w:iCs/>
          <w:lang w:val="en-GB"/>
        </w:rPr>
        <w:t xml:space="preserve">Statistical analysis of data was done using </w:t>
      </w:r>
      <w:r w:rsidRPr="00591954">
        <w:rPr>
          <w:lang w:val="en-GB"/>
        </w:rPr>
        <w:t>two-way ANOVA for repeated measures</w:t>
      </w:r>
      <w:r w:rsidRPr="00591954">
        <w:rPr>
          <w:rFonts w:eastAsia="ヒラギノ角ゴ Pro W3"/>
          <w:iCs/>
          <w:lang w:val="en-GB"/>
        </w:rPr>
        <w:t xml:space="preserve"> </w:t>
      </w:r>
      <w:r w:rsidR="003E6CB6" w:rsidRPr="00591954">
        <w:rPr>
          <w:rFonts w:eastAsia="ヒラギノ角ゴ Pro W3"/>
          <w:iCs/>
          <w:lang w:val="en-GB"/>
        </w:rPr>
        <w:t>(</w:t>
      </w:r>
      <w:r w:rsidRPr="00591954">
        <w:rPr>
          <w:rFonts w:eastAsia="ヒラギノ角ゴ Pro W3"/>
          <w:iCs/>
          <w:lang w:val="en-GB"/>
        </w:rPr>
        <w:t>A) and Mann Whitney test (B).</w:t>
      </w:r>
    </w:p>
    <w:p w14:paraId="36C71D2D" w14:textId="52102338" w:rsidR="00E83CFE" w:rsidRPr="00591954" w:rsidRDefault="00E83CFE" w:rsidP="00ED5E19">
      <w:pPr>
        <w:autoSpaceDE w:val="0"/>
        <w:autoSpaceDN w:val="0"/>
        <w:adjustRightInd w:val="0"/>
        <w:rPr>
          <w:rFonts w:eastAsia="ヒラギノ角ゴ Pro W3"/>
          <w:szCs w:val="24"/>
          <w:lang w:val="en-GB"/>
        </w:rPr>
      </w:pPr>
    </w:p>
    <w:p w14:paraId="0FB7144D" w14:textId="77777777" w:rsidR="00E83CFE" w:rsidRPr="00591954" w:rsidRDefault="00E83CFE" w:rsidP="005B29BD">
      <w:pPr>
        <w:jc w:val="both"/>
        <w:rPr>
          <w:szCs w:val="24"/>
          <w:lang w:val="en-GB"/>
        </w:rPr>
      </w:pPr>
      <w:r w:rsidRPr="00591954">
        <w:rPr>
          <w:szCs w:val="24"/>
          <w:lang w:val="en-GB"/>
        </w:rPr>
        <w:br w:type="page"/>
      </w:r>
    </w:p>
    <w:p w14:paraId="7D92965A" w14:textId="77777777" w:rsidR="00E83CFE" w:rsidRPr="00591954" w:rsidRDefault="008E298F" w:rsidP="00477182">
      <w:pPr>
        <w:pStyle w:val="SMcaption"/>
        <w:rPr>
          <w:sz w:val="22"/>
          <w:szCs w:val="22"/>
          <w:lang w:val="en-GB"/>
        </w:rPr>
      </w:pPr>
      <w:r w:rsidRPr="00591954">
        <w:rPr>
          <w:noProof/>
          <w:lang w:val="en-GB" w:eastAsia="en-GB"/>
        </w:rPr>
        <w:lastRenderedPageBreak/>
        <w:drawing>
          <wp:inline distT="0" distB="0" distL="0" distR="0" wp14:anchorId="1114B9BC" wp14:editId="73896285">
            <wp:extent cx="5486400" cy="4176395"/>
            <wp:effectExtent l="0" t="0" r="0" b="0"/>
            <wp:docPr id="699503559"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a:blip r:embed="rId26">
                      <a:extLst>
                        <a:ext uri="{28A0092B-C50C-407E-A947-70E740481C1C}">
                          <a14:useLocalDpi xmlns:a14="http://schemas.microsoft.com/office/drawing/2010/main" val="0"/>
                        </a:ext>
                      </a:extLst>
                    </a:blip>
                    <a:stretch>
                      <a:fillRect/>
                    </a:stretch>
                  </pic:blipFill>
                  <pic:spPr>
                    <a:xfrm>
                      <a:off x="0" y="0"/>
                      <a:ext cx="5486400" cy="4176395"/>
                    </a:xfrm>
                    <a:prstGeom prst="rect">
                      <a:avLst/>
                    </a:prstGeom>
                  </pic:spPr>
                </pic:pic>
              </a:graphicData>
            </a:graphic>
          </wp:inline>
        </w:drawing>
      </w:r>
    </w:p>
    <w:p w14:paraId="7B9EE65D" w14:textId="77777777" w:rsidR="00DD1ED3" w:rsidRPr="00591954" w:rsidRDefault="00DD1ED3" w:rsidP="00A22BB5">
      <w:pPr>
        <w:spacing w:after="160"/>
        <w:rPr>
          <w:b/>
          <w:szCs w:val="24"/>
          <w:lang w:val="en-GB"/>
        </w:rPr>
      </w:pPr>
    </w:p>
    <w:p w14:paraId="19F87EBD" w14:textId="77777777" w:rsidR="00E83CFE" w:rsidRPr="00591954" w:rsidRDefault="00E83CFE" w:rsidP="00ED5E19">
      <w:pPr>
        <w:spacing w:after="160"/>
        <w:rPr>
          <w:szCs w:val="24"/>
          <w:lang w:val="en-GB"/>
        </w:rPr>
      </w:pPr>
      <w:r w:rsidRPr="00591954">
        <w:rPr>
          <w:b/>
          <w:szCs w:val="24"/>
          <w:lang w:val="en-GB"/>
        </w:rPr>
        <w:t>Fig. S</w:t>
      </w:r>
      <w:r w:rsidR="00134EB1" w:rsidRPr="00591954">
        <w:rPr>
          <w:b/>
          <w:szCs w:val="24"/>
          <w:lang w:val="en-GB"/>
        </w:rPr>
        <w:t>9</w:t>
      </w:r>
      <w:r w:rsidRPr="00591954">
        <w:rPr>
          <w:b/>
          <w:szCs w:val="24"/>
          <w:lang w:val="en-GB"/>
        </w:rPr>
        <w:t xml:space="preserve">. </w:t>
      </w:r>
      <w:r w:rsidRPr="00591954">
        <w:rPr>
          <w:i/>
          <w:szCs w:val="24"/>
          <w:lang w:val="en-GB"/>
        </w:rPr>
        <w:t xml:space="preserve">Human immunolabelled post mortem tissue ROI placement. </w:t>
      </w:r>
      <w:r w:rsidRPr="00591954">
        <w:rPr>
          <w:szCs w:val="24"/>
          <w:lang w:val="en-GB"/>
        </w:rPr>
        <w:t>Temporal lobe T1-T2 section of a post mortem case immunostained with Iba1 (brown). ROI (blue region) was placed midway between the crown and the crest 2.5mm along the pial surface to a depth of 2mm including only grey matter avoiding tissue artefacts. Counterstain = haematoxylin. Scale bar = 2mm.</w:t>
      </w:r>
    </w:p>
    <w:p w14:paraId="6D22E35C" w14:textId="77777777" w:rsidR="00E83CFE" w:rsidRPr="00591954" w:rsidRDefault="00E83CFE">
      <w:pPr>
        <w:rPr>
          <w:sz w:val="22"/>
          <w:szCs w:val="22"/>
          <w:lang w:val="en-GB"/>
        </w:rPr>
      </w:pPr>
      <w:r w:rsidRPr="00591954">
        <w:rPr>
          <w:sz w:val="22"/>
          <w:szCs w:val="22"/>
          <w:lang w:val="en-GB"/>
        </w:rPr>
        <w:br w:type="page"/>
      </w:r>
    </w:p>
    <w:p w14:paraId="6E79444B" w14:textId="77777777" w:rsidR="00E83CFE" w:rsidRPr="00591954" w:rsidRDefault="008E298F" w:rsidP="00477182">
      <w:pPr>
        <w:pStyle w:val="SMcaption"/>
        <w:rPr>
          <w:sz w:val="22"/>
          <w:szCs w:val="22"/>
          <w:lang w:val="en-GB"/>
        </w:rPr>
      </w:pPr>
      <w:r w:rsidRPr="00591954">
        <w:rPr>
          <w:noProof/>
          <w:lang w:val="en-GB" w:eastAsia="en-GB"/>
        </w:rPr>
        <w:lastRenderedPageBreak/>
        <w:drawing>
          <wp:inline distT="0" distB="0" distL="0" distR="0" wp14:anchorId="479E7A1A" wp14:editId="688FB83D">
            <wp:extent cx="5486400" cy="2611120"/>
            <wp:effectExtent l="0" t="0" r="0" b="0"/>
            <wp:docPr id="2043994569"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ic:nvPicPr>
                  <pic:blipFill>
                    <a:blip r:embed="rId27">
                      <a:extLst>
                        <a:ext uri="{28A0092B-C50C-407E-A947-70E740481C1C}">
                          <a14:useLocalDpi xmlns:a14="http://schemas.microsoft.com/office/drawing/2010/main" val="0"/>
                        </a:ext>
                      </a:extLst>
                    </a:blip>
                    <a:stretch>
                      <a:fillRect/>
                    </a:stretch>
                  </pic:blipFill>
                  <pic:spPr>
                    <a:xfrm>
                      <a:off x="0" y="0"/>
                      <a:ext cx="5486400" cy="2611120"/>
                    </a:xfrm>
                    <a:prstGeom prst="rect">
                      <a:avLst/>
                    </a:prstGeom>
                  </pic:spPr>
                </pic:pic>
              </a:graphicData>
            </a:graphic>
          </wp:inline>
        </w:drawing>
      </w:r>
    </w:p>
    <w:p w14:paraId="3D3DE576" w14:textId="77777777" w:rsidR="0091126C" w:rsidRPr="00591954" w:rsidRDefault="0091126C" w:rsidP="005B29BD">
      <w:pPr>
        <w:jc w:val="both"/>
        <w:rPr>
          <w:b/>
          <w:szCs w:val="24"/>
          <w:lang w:val="en-GB"/>
        </w:rPr>
      </w:pPr>
    </w:p>
    <w:p w14:paraId="0A98AF38" w14:textId="77777777" w:rsidR="00E83CFE" w:rsidRPr="00591954" w:rsidRDefault="00E83CFE" w:rsidP="00ED5E19">
      <w:pPr>
        <w:rPr>
          <w:i/>
          <w:szCs w:val="24"/>
          <w:lang w:val="en-GB"/>
        </w:rPr>
      </w:pPr>
      <w:r w:rsidRPr="00591954">
        <w:rPr>
          <w:b/>
          <w:szCs w:val="24"/>
          <w:lang w:val="en-GB"/>
        </w:rPr>
        <w:t>Fig. S</w:t>
      </w:r>
      <w:r w:rsidR="00134EB1" w:rsidRPr="00591954">
        <w:rPr>
          <w:b/>
          <w:szCs w:val="24"/>
          <w:lang w:val="en-GB"/>
        </w:rPr>
        <w:t>10</w:t>
      </w:r>
      <w:r w:rsidRPr="00591954">
        <w:rPr>
          <w:b/>
          <w:szCs w:val="24"/>
          <w:lang w:val="en-GB"/>
        </w:rPr>
        <w:t xml:space="preserve">. </w:t>
      </w:r>
      <w:r w:rsidRPr="00591954">
        <w:rPr>
          <w:i/>
          <w:szCs w:val="24"/>
          <w:lang w:val="en-GB"/>
        </w:rPr>
        <w:t xml:space="preserve">Human immunolabelled post mortem tissue ROI analysis. </w:t>
      </w:r>
    </w:p>
    <w:p w14:paraId="1E86B889" w14:textId="77777777" w:rsidR="00E83CFE" w:rsidRPr="00591954" w:rsidRDefault="00E83CFE" w:rsidP="00ED5E19">
      <w:pPr>
        <w:rPr>
          <w:szCs w:val="24"/>
          <w:lang w:val="en-GB"/>
        </w:rPr>
      </w:pPr>
      <w:r w:rsidRPr="00591954">
        <w:rPr>
          <w:b/>
          <w:szCs w:val="24"/>
          <w:lang w:val="en-GB"/>
        </w:rPr>
        <w:t>Panel A:</w:t>
      </w:r>
      <w:r w:rsidRPr="00591954">
        <w:rPr>
          <w:szCs w:val="24"/>
          <w:lang w:val="en-GB"/>
        </w:rPr>
        <w:t xml:space="preserve"> Iba-immunostained (brown) slides were scanned with a Leica SCN400F digital slide scanner (Leica Microsystems, Wetzlar, Germany) at 40x magnification and analysed with Definiens Tissue Studio software 3.6 (Definiens AG, Munich, Germany). </w:t>
      </w:r>
    </w:p>
    <w:p w14:paraId="3162144C" w14:textId="77777777" w:rsidR="00E83CFE" w:rsidRPr="00591954" w:rsidRDefault="00E83CFE" w:rsidP="00ED5E19">
      <w:pPr>
        <w:rPr>
          <w:szCs w:val="24"/>
          <w:lang w:val="en-GB"/>
        </w:rPr>
      </w:pPr>
      <w:r w:rsidRPr="00591954">
        <w:rPr>
          <w:b/>
          <w:szCs w:val="24"/>
          <w:lang w:val="en-GB"/>
        </w:rPr>
        <w:t>Panel B:</w:t>
      </w:r>
      <w:r w:rsidRPr="00591954">
        <w:rPr>
          <w:szCs w:val="24"/>
          <w:lang w:val="en-GB"/>
        </w:rPr>
        <w:t xml:space="preserve"> DAB staining was detected and classified into high (red), medium (orange) and low (yellow) as shown for Iba1 staining. </w:t>
      </w:r>
      <w:r w:rsidR="0034082B" w:rsidRPr="00591954">
        <w:rPr>
          <w:szCs w:val="24"/>
          <w:lang w:val="en-GB"/>
        </w:rPr>
        <w:t xml:space="preserve">High intensity labelling only (red) </w:t>
      </w:r>
      <w:r w:rsidRPr="00591954">
        <w:rPr>
          <w:szCs w:val="24"/>
          <w:lang w:val="en-GB"/>
        </w:rPr>
        <w:t>was selected for analysis as representative of positive labelling. Separate thresholds were set for haematoxylin staining which allowed identification and exclusion of nuclei. Artefacts were</w:t>
      </w:r>
      <w:r w:rsidR="005B29BD" w:rsidRPr="00591954">
        <w:rPr>
          <w:szCs w:val="24"/>
          <w:lang w:val="en-GB"/>
        </w:rPr>
        <w:t xml:space="preserve"> </w:t>
      </w:r>
      <w:r w:rsidRPr="00591954">
        <w:rPr>
          <w:szCs w:val="24"/>
          <w:lang w:val="en-GB"/>
        </w:rPr>
        <w:t xml:space="preserve">excluded from the analysis. Scale bar = 50µm. </w:t>
      </w:r>
    </w:p>
    <w:p w14:paraId="1AB167C0" w14:textId="77777777" w:rsidR="00E83CFE" w:rsidRPr="00591954" w:rsidRDefault="00E83CFE">
      <w:pPr>
        <w:rPr>
          <w:sz w:val="22"/>
          <w:szCs w:val="22"/>
          <w:lang w:val="en-GB"/>
        </w:rPr>
      </w:pPr>
      <w:r w:rsidRPr="00591954">
        <w:rPr>
          <w:sz w:val="22"/>
          <w:szCs w:val="22"/>
          <w:lang w:val="en-GB"/>
        </w:rPr>
        <w:br w:type="page"/>
      </w:r>
    </w:p>
    <w:p w14:paraId="22E5F6CF" w14:textId="77777777" w:rsidR="00E83CFE" w:rsidRPr="00591954" w:rsidRDefault="008E298F" w:rsidP="00477182">
      <w:pPr>
        <w:pStyle w:val="SMcaption"/>
        <w:rPr>
          <w:sz w:val="22"/>
          <w:szCs w:val="22"/>
          <w:lang w:val="en-GB"/>
        </w:rPr>
      </w:pPr>
      <w:r w:rsidRPr="00591954">
        <w:rPr>
          <w:noProof/>
          <w:sz w:val="22"/>
          <w:szCs w:val="22"/>
          <w:lang w:val="en-GB" w:eastAsia="en-GB"/>
        </w:rPr>
        <w:lastRenderedPageBreak/>
        <w:drawing>
          <wp:inline distT="0" distB="0" distL="0" distR="0" wp14:anchorId="2CA27F3B" wp14:editId="70F7B9BF">
            <wp:extent cx="2892425" cy="3806825"/>
            <wp:effectExtent l="0" t="0" r="0" b="0"/>
            <wp:docPr id="11"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28">
                      <a:extLst>
                        <a:ext uri="{28A0092B-C50C-407E-A947-70E740481C1C}">
                          <a14:useLocalDpi xmlns:a14="http://schemas.microsoft.com/office/drawing/2010/main" val="0"/>
                        </a:ext>
                      </a:extLst>
                    </a:blip>
                    <a:srcRect l="17577" t="30357" r="20055" b="23357"/>
                    <a:stretch>
                      <a:fillRect/>
                    </a:stretch>
                  </pic:blipFill>
                  <pic:spPr bwMode="auto">
                    <a:xfrm>
                      <a:off x="0" y="0"/>
                      <a:ext cx="2892425" cy="3806825"/>
                    </a:xfrm>
                    <a:prstGeom prst="rect">
                      <a:avLst/>
                    </a:prstGeom>
                    <a:noFill/>
                    <a:ln>
                      <a:noFill/>
                    </a:ln>
                  </pic:spPr>
                </pic:pic>
              </a:graphicData>
            </a:graphic>
          </wp:inline>
        </w:drawing>
      </w:r>
    </w:p>
    <w:p w14:paraId="6B3A36AB" w14:textId="77777777" w:rsidR="00E83CFE" w:rsidRPr="00591954" w:rsidRDefault="00E83CFE" w:rsidP="00ED5E19">
      <w:pPr>
        <w:rPr>
          <w:rFonts w:eastAsia="AdvTimes"/>
          <w:szCs w:val="24"/>
          <w:lang w:val="en-GB"/>
        </w:rPr>
      </w:pPr>
      <w:r w:rsidRPr="00591954">
        <w:rPr>
          <w:b/>
          <w:szCs w:val="24"/>
          <w:lang w:val="en-GB"/>
        </w:rPr>
        <w:t>Fig. S1</w:t>
      </w:r>
      <w:r w:rsidR="00134EB1" w:rsidRPr="00591954">
        <w:rPr>
          <w:b/>
          <w:szCs w:val="24"/>
          <w:lang w:val="en-GB"/>
        </w:rPr>
        <w:t>1</w:t>
      </w:r>
      <w:r w:rsidRPr="00591954">
        <w:rPr>
          <w:b/>
          <w:szCs w:val="24"/>
          <w:lang w:val="en-GB"/>
        </w:rPr>
        <w:t xml:space="preserve">. </w:t>
      </w:r>
      <w:r w:rsidRPr="00591954">
        <w:rPr>
          <w:i/>
          <w:szCs w:val="24"/>
          <w:lang w:val="en-GB"/>
        </w:rPr>
        <w:t>Quantification of neuronal cell loss by Nissl staining</w:t>
      </w:r>
      <w:r w:rsidRPr="00591954">
        <w:rPr>
          <w:szCs w:val="24"/>
          <w:lang w:val="en-GB"/>
        </w:rPr>
        <w:t xml:space="preserve">. </w:t>
      </w:r>
      <w:r w:rsidRPr="00591954">
        <w:rPr>
          <w:rFonts w:eastAsia="AdvTimes"/>
          <w:szCs w:val="24"/>
          <w:lang w:val="en-GB"/>
        </w:rPr>
        <w:t>Representative microphotograph showing Nissl staining in the entorhinal cortex of a sham control mouse. To distinguish neurons from glia, we segmented</w:t>
      </w:r>
      <w:r w:rsidRPr="00591954">
        <w:rPr>
          <w:szCs w:val="24"/>
          <w:lang w:val="en-GB"/>
        </w:rPr>
        <w:t xml:space="preserve"> every </w:t>
      </w:r>
      <w:r w:rsidRPr="00591954">
        <w:rPr>
          <w:rFonts w:eastAsia="AdvTimes"/>
          <w:szCs w:val="24"/>
          <w:lang w:val="en-GB"/>
        </w:rPr>
        <w:t>cell over the entire entorhinal cortex slice by excluding those cells with an area below the cut-off value of 25 µm</w:t>
      </w:r>
      <w:r w:rsidRPr="00591954">
        <w:rPr>
          <w:rFonts w:eastAsia="AdvTimes"/>
          <w:szCs w:val="24"/>
          <w:vertAlign w:val="superscript"/>
          <w:lang w:val="en-GB"/>
        </w:rPr>
        <w:t>2</w:t>
      </w:r>
      <w:r w:rsidRPr="00591954">
        <w:rPr>
          <w:rFonts w:eastAsia="AdvTimes"/>
          <w:szCs w:val="24"/>
          <w:lang w:val="en-GB"/>
        </w:rPr>
        <w:t>, by using Fiji software. Using this procedure, only neurons were counted (black profile), while glial cells (red arrows) were excluded from the quantitative analysis.</w:t>
      </w:r>
    </w:p>
    <w:p w14:paraId="3350254C" w14:textId="77777777" w:rsidR="00BC6523" w:rsidRPr="00591954" w:rsidRDefault="00BC6523">
      <w:pPr>
        <w:rPr>
          <w:sz w:val="22"/>
          <w:szCs w:val="22"/>
          <w:lang w:val="en-GB"/>
        </w:rPr>
      </w:pPr>
    </w:p>
    <w:p w14:paraId="24B3B319" w14:textId="77777777" w:rsidR="00BC6523" w:rsidRPr="00591954" w:rsidRDefault="00BC6523">
      <w:pPr>
        <w:rPr>
          <w:sz w:val="22"/>
          <w:szCs w:val="22"/>
          <w:lang w:val="en-GB"/>
        </w:rPr>
      </w:pPr>
    </w:p>
    <w:p w14:paraId="1CEA7B6F" w14:textId="77777777" w:rsidR="00BC6523" w:rsidRPr="00591954" w:rsidRDefault="00BC6523">
      <w:pPr>
        <w:rPr>
          <w:sz w:val="22"/>
          <w:szCs w:val="22"/>
          <w:lang w:val="en-GB"/>
        </w:rPr>
      </w:pPr>
    </w:p>
    <w:p w14:paraId="6A8E1163" w14:textId="77777777" w:rsidR="00BC6523" w:rsidRPr="00591954" w:rsidRDefault="00BC6523">
      <w:pPr>
        <w:rPr>
          <w:sz w:val="22"/>
          <w:szCs w:val="22"/>
          <w:lang w:val="en-GB"/>
        </w:rPr>
      </w:pPr>
    </w:p>
    <w:p w14:paraId="673DE86A" w14:textId="77777777" w:rsidR="00BC6523" w:rsidRPr="00591954" w:rsidRDefault="00BC6523">
      <w:pPr>
        <w:rPr>
          <w:sz w:val="22"/>
          <w:szCs w:val="22"/>
          <w:lang w:val="en-GB"/>
        </w:rPr>
      </w:pPr>
    </w:p>
    <w:p w14:paraId="4D0A2876" w14:textId="77777777" w:rsidR="00BC6523" w:rsidRPr="00591954" w:rsidRDefault="00BC6523">
      <w:pPr>
        <w:rPr>
          <w:sz w:val="22"/>
          <w:szCs w:val="22"/>
          <w:lang w:val="en-GB"/>
        </w:rPr>
      </w:pPr>
    </w:p>
    <w:p w14:paraId="19BF1DAC" w14:textId="77777777" w:rsidR="00BC6523" w:rsidRPr="00591954" w:rsidRDefault="00BC6523">
      <w:pPr>
        <w:rPr>
          <w:sz w:val="22"/>
          <w:szCs w:val="22"/>
          <w:lang w:val="en-GB"/>
        </w:rPr>
      </w:pPr>
    </w:p>
    <w:p w14:paraId="53E20B0D" w14:textId="77777777" w:rsidR="00BC6523" w:rsidRPr="00591954" w:rsidRDefault="00BC6523">
      <w:pPr>
        <w:rPr>
          <w:sz w:val="22"/>
          <w:szCs w:val="22"/>
          <w:lang w:val="en-GB"/>
        </w:rPr>
      </w:pPr>
    </w:p>
    <w:p w14:paraId="21CEDB13" w14:textId="77777777" w:rsidR="00BC6523" w:rsidRPr="00591954" w:rsidRDefault="00BC6523">
      <w:pPr>
        <w:rPr>
          <w:sz w:val="22"/>
          <w:szCs w:val="22"/>
          <w:lang w:val="en-GB"/>
        </w:rPr>
      </w:pPr>
    </w:p>
    <w:p w14:paraId="17B72A37" w14:textId="77777777" w:rsidR="00BC6523" w:rsidRPr="00591954" w:rsidRDefault="00BC6523">
      <w:pPr>
        <w:rPr>
          <w:sz w:val="22"/>
          <w:szCs w:val="22"/>
          <w:lang w:val="en-GB"/>
        </w:rPr>
      </w:pPr>
    </w:p>
    <w:p w14:paraId="68DB504D" w14:textId="77777777" w:rsidR="00BC6523" w:rsidRPr="00591954" w:rsidRDefault="00BC6523">
      <w:pPr>
        <w:rPr>
          <w:sz w:val="22"/>
          <w:szCs w:val="22"/>
          <w:lang w:val="en-GB"/>
        </w:rPr>
      </w:pPr>
    </w:p>
    <w:p w14:paraId="40A48F63" w14:textId="77777777" w:rsidR="00BC6523" w:rsidRPr="00591954" w:rsidRDefault="00BC6523">
      <w:pPr>
        <w:rPr>
          <w:sz w:val="22"/>
          <w:szCs w:val="22"/>
          <w:lang w:val="en-GB"/>
        </w:rPr>
      </w:pPr>
    </w:p>
    <w:p w14:paraId="041D94A5" w14:textId="77777777" w:rsidR="00BC6523" w:rsidRPr="00591954" w:rsidRDefault="00BC6523">
      <w:pPr>
        <w:rPr>
          <w:sz w:val="22"/>
          <w:szCs w:val="22"/>
          <w:lang w:val="en-GB"/>
        </w:rPr>
      </w:pPr>
    </w:p>
    <w:p w14:paraId="7DDC42F2" w14:textId="77777777" w:rsidR="00BC6523" w:rsidRPr="00591954" w:rsidRDefault="00BC6523">
      <w:pPr>
        <w:rPr>
          <w:sz w:val="22"/>
          <w:szCs w:val="22"/>
          <w:lang w:val="en-GB"/>
        </w:rPr>
      </w:pPr>
    </w:p>
    <w:p w14:paraId="06014949" w14:textId="77777777" w:rsidR="00BC6523" w:rsidRPr="00591954" w:rsidRDefault="00BC6523">
      <w:pPr>
        <w:rPr>
          <w:sz w:val="22"/>
          <w:szCs w:val="22"/>
          <w:lang w:val="en-GB"/>
        </w:rPr>
      </w:pPr>
    </w:p>
    <w:p w14:paraId="7A65234C" w14:textId="77777777" w:rsidR="00BC6523" w:rsidRPr="00591954" w:rsidRDefault="00BC6523">
      <w:pPr>
        <w:rPr>
          <w:sz w:val="22"/>
          <w:szCs w:val="22"/>
          <w:lang w:val="en-GB"/>
        </w:rPr>
      </w:pPr>
    </w:p>
    <w:p w14:paraId="15081A24" w14:textId="77777777" w:rsidR="00BC6523" w:rsidRPr="00591954" w:rsidRDefault="00BC6523">
      <w:pPr>
        <w:rPr>
          <w:sz w:val="22"/>
          <w:szCs w:val="22"/>
          <w:lang w:val="en-GB"/>
        </w:rPr>
      </w:pPr>
    </w:p>
    <w:p w14:paraId="72DF908C" w14:textId="77777777" w:rsidR="00BC6523" w:rsidRPr="00591954" w:rsidRDefault="00BC6523">
      <w:pPr>
        <w:rPr>
          <w:sz w:val="22"/>
          <w:szCs w:val="22"/>
          <w:lang w:val="en-GB"/>
        </w:rPr>
      </w:pPr>
    </w:p>
    <w:p w14:paraId="05B930EA" w14:textId="77777777" w:rsidR="00BC6523" w:rsidRPr="00591954" w:rsidRDefault="00BC6523">
      <w:pPr>
        <w:rPr>
          <w:sz w:val="22"/>
          <w:szCs w:val="22"/>
          <w:lang w:val="en-GB"/>
        </w:rPr>
      </w:pPr>
    </w:p>
    <w:p w14:paraId="2C9643C5" w14:textId="77777777" w:rsidR="00BC6523" w:rsidRPr="00591954" w:rsidRDefault="00BC6523">
      <w:pPr>
        <w:rPr>
          <w:sz w:val="22"/>
          <w:szCs w:val="22"/>
          <w:lang w:val="en-GB"/>
        </w:rPr>
      </w:pPr>
    </w:p>
    <w:p w14:paraId="1BB2B057" w14:textId="77777777" w:rsidR="00BC6523" w:rsidRPr="00591954" w:rsidRDefault="00BC6523">
      <w:pPr>
        <w:rPr>
          <w:sz w:val="22"/>
          <w:szCs w:val="22"/>
          <w:lang w:val="en-GB"/>
        </w:rPr>
      </w:pPr>
    </w:p>
    <w:p w14:paraId="7B7E0AB6" w14:textId="77777777" w:rsidR="00BC6523" w:rsidRPr="00591954" w:rsidRDefault="00BC6523">
      <w:pPr>
        <w:rPr>
          <w:sz w:val="22"/>
          <w:szCs w:val="22"/>
          <w:lang w:val="en-GB"/>
        </w:rPr>
      </w:pPr>
    </w:p>
    <w:p w14:paraId="2D6DD5E3" w14:textId="276B9183" w:rsidR="00E83CFE" w:rsidRPr="00591954" w:rsidRDefault="00C57F87" w:rsidP="00477182">
      <w:pPr>
        <w:pStyle w:val="SMcaption"/>
        <w:rPr>
          <w:sz w:val="22"/>
          <w:szCs w:val="22"/>
          <w:lang w:val="en-GB"/>
        </w:rPr>
      </w:pPr>
      <w:r w:rsidRPr="00591954">
        <w:rPr>
          <w:noProof/>
          <w:lang w:val="en-GB" w:eastAsia="en-GB"/>
        </w:rPr>
        <w:drawing>
          <wp:inline distT="0" distB="0" distL="0" distR="0" wp14:anchorId="0C1B283C" wp14:editId="5E633FF4">
            <wp:extent cx="5486400" cy="1116330"/>
            <wp:effectExtent l="0" t="0" r="0" b="1270"/>
            <wp:docPr id="1144768490" name="Picture 21" descr="Suppl Fi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pic:nvPicPr>
                  <pic:blipFill>
                    <a:blip r:embed="rId29">
                      <a:extLst>
                        <a:ext uri="{28A0092B-C50C-407E-A947-70E740481C1C}">
                          <a14:useLocalDpi xmlns:a14="http://schemas.microsoft.com/office/drawing/2010/main" val="0"/>
                        </a:ext>
                      </a:extLst>
                    </a:blip>
                    <a:stretch>
                      <a:fillRect/>
                    </a:stretch>
                  </pic:blipFill>
                  <pic:spPr>
                    <a:xfrm>
                      <a:off x="0" y="0"/>
                      <a:ext cx="5486400" cy="1116330"/>
                    </a:xfrm>
                    <a:prstGeom prst="rect">
                      <a:avLst/>
                    </a:prstGeom>
                  </pic:spPr>
                </pic:pic>
              </a:graphicData>
            </a:graphic>
          </wp:inline>
        </w:drawing>
      </w:r>
    </w:p>
    <w:p w14:paraId="69B34359" w14:textId="77777777" w:rsidR="00BC6523" w:rsidRPr="00591954" w:rsidRDefault="00BC6523" w:rsidP="00626BB4">
      <w:pPr>
        <w:rPr>
          <w:b/>
          <w:szCs w:val="24"/>
          <w:lang w:val="en-GB"/>
        </w:rPr>
      </w:pPr>
    </w:p>
    <w:p w14:paraId="1D2B9E07" w14:textId="77777777" w:rsidR="00BC6523" w:rsidRPr="00591954" w:rsidRDefault="00BC6523" w:rsidP="005B29BD">
      <w:pPr>
        <w:jc w:val="both"/>
        <w:rPr>
          <w:b/>
          <w:szCs w:val="24"/>
          <w:lang w:val="en-GB"/>
        </w:rPr>
      </w:pPr>
    </w:p>
    <w:p w14:paraId="2D5A2D37" w14:textId="77777777" w:rsidR="00626BB4" w:rsidRPr="00591954" w:rsidRDefault="00626BB4" w:rsidP="00ED5E19">
      <w:pPr>
        <w:rPr>
          <w:szCs w:val="24"/>
          <w:lang w:val="en-GB"/>
        </w:rPr>
      </w:pPr>
      <w:r w:rsidRPr="00591954">
        <w:rPr>
          <w:b/>
          <w:szCs w:val="24"/>
          <w:lang w:val="en-GB"/>
        </w:rPr>
        <w:t>Fig. S1</w:t>
      </w:r>
      <w:r w:rsidR="00BC6523" w:rsidRPr="00591954">
        <w:rPr>
          <w:b/>
          <w:szCs w:val="24"/>
          <w:lang w:val="en-GB"/>
        </w:rPr>
        <w:t>2</w:t>
      </w:r>
      <w:r w:rsidRPr="00591954">
        <w:rPr>
          <w:b/>
          <w:szCs w:val="24"/>
          <w:lang w:val="en-GB"/>
        </w:rPr>
        <w:t xml:space="preserve">. </w:t>
      </w:r>
      <w:r w:rsidRPr="00591954">
        <w:rPr>
          <w:i/>
          <w:szCs w:val="24"/>
          <w:lang w:val="en-GB"/>
        </w:rPr>
        <w:t xml:space="preserve">Gating strategy for CNS-resident myeloid cells. </w:t>
      </w:r>
      <w:r w:rsidRPr="00591954">
        <w:rPr>
          <w:szCs w:val="24"/>
          <w:lang w:val="en-GB"/>
        </w:rPr>
        <w:t>Cells were first gated on size and singularity (not shown) followed by live/dead exclusion to identify live cells (Live/Dead APC-Cy7 negative) for further analysis. Live CD45+ cells were gated on co-expression of CD11b and Ly6G to identify neutrophils. Ly6G-CD45+CD11b+ cells defined as "myeloid cells" were gated on expression of Ly6C to identify monocyte-derived cells. CD45+CD11b+Ly6G-L6C- were gated for expression levels of CD45 and CD11b to identify CD45loCD11b+Ly6G-L6C (microglia) and CD45hiCD11b+Ly6G-L6C- (macrophages).</w:t>
      </w:r>
    </w:p>
    <w:p w14:paraId="77855312" w14:textId="77777777" w:rsidR="00626BB4" w:rsidRPr="00591954" w:rsidRDefault="00626BB4">
      <w:pPr>
        <w:rPr>
          <w:sz w:val="22"/>
          <w:szCs w:val="22"/>
          <w:lang w:val="en-GB"/>
        </w:rPr>
      </w:pPr>
      <w:r w:rsidRPr="00591954">
        <w:rPr>
          <w:sz w:val="22"/>
          <w:szCs w:val="22"/>
          <w:lang w:val="en-GB"/>
        </w:rPr>
        <w:br w:type="page"/>
      </w:r>
    </w:p>
    <w:p w14:paraId="50D0CD4D" w14:textId="77777777" w:rsidR="00571134" w:rsidRPr="00591954" w:rsidRDefault="00571134" w:rsidP="00681629">
      <w:pPr>
        <w:pStyle w:val="Heading2"/>
        <w:spacing w:before="0"/>
        <w:jc w:val="both"/>
        <w:rPr>
          <w:rFonts w:ascii="Times New Roman" w:hAnsi="Times New Roman"/>
          <w:i w:val="0"/>
          <w:sz w:val="24"/>
          <w:szCs w:val="24"/>
          <w:lang w:val="en-GB"/>
        </w:rPr>
      </w:pPr>
      <w:r w:rsidRPr="00591954">
        <w:rPr>
          <w:noProof/>
          <w:lang w:val="en-GB" w:eastAsia="en-GB"/>
        </w:rPr>
        <w:lastRenderedPageBreak/>
        <w:drawing>
          <wp:inline distT="0" distB="0" distL="0" distR="0" wp14:anchorId="7D38538E" wp14:editId="257BC715">
            <wp:extent cx="5486400" cy="3058795"/>
            <wp:effectExtent l="0" t="0" r="0" b="1905"/>
            <wp:docPr id="116647997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30">
                      <a:extLst>
                        <a:ext uri="{28A0092B-C50C-407E-A947-70E740481C1C}">
                          <a14:useLocalDpi xmlns:a14="http://schemas.microsoft.com/office/drawing/2010/main" val="0"/>
                        </a:ext>
                      </a:extLst>
                    </a:blip>
                    <a:stretch>
                      <a:fillRect/>
                    </a:stretch>
                  </pic:blipFill>
                  <pic:spPr>
                    <a:xfrm>
                      <a:off x="0" y="0"/>
                      <a:ext cx="5486400" cy="3058795"/>
                    </a:xfrm>
                    <a:prstGeom prst="rect">
                      <a:avLst/>
                    </a:prstGeom>
                  </pic:spPr>
                </pic:pic>
              </a:graphicData>
            </a:graphic>
          </wp:inline>
        </w:drawing>
      </w:r>
    </w:p>
    <w:p w14:paraId="00F53FC4" w14:textId="48FACE73" w:rsidR="00594235" w:rsidRPr="00591954" w:rsidRDefault="00571134" w:rsidP="00ED5E19">
      <w:pPr>
        <w:pStyle w:val="Heading2"/>
        <w:spacing w:before="0"/>
        <w:rPr>
          <w:rFonts w:ascii="Times New Roman" w:hAnsi="Times New Roman"/>
          <w:b w:val="0"/>
          <w:i w:val="0"/>
          <w:sz w:val="24"/>
          <w:szCs w:val="24"/>
          <w:lang w:val="en-GB"/>
        </w:rPr>
      </w:pPr>
      <w:r w:rsidRPr="00591954">
        <w:rPr>
          <w:rFonts w:ascii="Times New Roman" w:hAnsi="Times New Roman"/>
          <w:bCs w:val="0"/>
          <w:i w:val="0"/>
          <w:iCs w:val="0"/>
          <w:sz w:val="24"/>
          <w:szCs w:val="24"/>
          <w:lang w:val="en-GB"/>
        </w:rPr>
        <w:t>Fig. S</w:t>
      </w:r>
      <w:r w:rsidR="00A114CC" w:rsidRPr="00591954">
        <w:rPr>
          <w:rFonts w:ascii="Times New Roman" w:hAnsi="Times New Roman"/>
          <w:bCs w:val="0"/>
          <w:i w:val="0"/>
          <w:iCs w:val="0"/>
          <w:sz w:val="24"/>
          <w:szCs w:val="24"/>
          <w:lang w:val="en-GB"/>
        </w:rPr>
        <w:t>13</w:t>
      </w:r>
      <w:r w:rsidRPr="00591954">
        <w:rPr>
          <w:rFonts w:ascii="Times New Roman" w:hAnsi="Times New Roman"/>
          <w:bCs w:val="0"/>
          <w:i w:val="0"/>
          <w:iCs w:val="0"/>
          <w:sz w:val="24"/>
          <w:szCs w:val="24"/>
          <w:lang w:val="en-GB"/>
        </w:rPr>
        <w:t xml:space="preserve">. </w:t>
      </w:r>
      <w:r w:rsidRPr="00591954">
        <w:rPr>
          <w:rFonts w:ascii="Times New Roman" w:hAnsi="Times New Roman"/>
          <w:b w:val="0"/>
          <w:bCs w:val="0"/>
          <w:iCs w:val="0"/>
          <w:sz w:val="24"/>
          <w:szCs w:val="24"/>
          <w:lang w:val="en-GB"/>
        </w:rPr>
        <w:t>Agreement between RNAseq and SSMI</w:t>
      </w:r>
      <w:r w:rsidR="00A114CC" w:rsidRPr="00591954">
        <w:rPr>
          <w:rFonts w:ascii="Times New Roman" w:hAnsi="Times New Roman"/>
          <w:b w:val="0"/>
          <w:bCs w:val="0"/>
          <w:iCs w:val="0"/>
          <w:sz w:val="24"/>
          <w:szCs w:val="24"/>
          <w:lang w:val="en-GB"/>
        </w:rPr>
        <w:t>-</w:t>
      </w:r>
      <w:r w:rsidRPr="00591954">
        <w:rPr>
          <w:rFonts w:ascii="Times New Roman" w:hAnsi="Times New Roman"/>
          <w:b w:val="0"/>
          <w:bCs w:val="0"/>
          <w:iCs w:val="0"/>
          <w:sz w:val="24"/>
          <w:szCs w:val="24"/>
          <w:lang w:val="en-GB"/>
        </w:rPr>
        <w:t xml:space="preserve">based cell type </w:t>
      </w:r>
      <w:r w:rsidR="00A114CC" w:rsidRPr="00591954">
        <w:rPr>
          <w:rFonts w:ascii="Times New Roman" w:hAnsi="Times New Roman"/>
          <w:b w:val="0"/>
          <w:bCs w:val="0"/>
          <w:iCs w:val="0"/>
          <w:sz w:val="24"/>
          <w:szCs w:val="24"/>
          <w:lang w:val="en-GB"/>
        </w:rPr>
        <w:t>deconvolution</w:t>
      </w:r>
      <w:r w:rsidRPr="00591954">
        <w:rPr>
          <w:rFonts w:ascii="Times New Roman" w:hAnsi="Times New Roman"/>
          <w:b w:val="0"/>
          <w:bCs w:val="0"/>
          <w:iCs w:val="0"/>
          <w:sz w:val="24"/>
          <w:szCs w:val="24"/>
          <w:lang w:val="en-GB"/>
        </w:rPr>
        <w:t>.</w:t>
      </w:r>
      <w:r w:rsidRPr="00591954">
        <w:rPr>
          <w:rFonts w:ascii="Times New Roman" w:hAnsi="Times New Roman"/>
          <w:b w:val="0"/>
          <w:i w:val="0"/>
          <w:sz w:val="24"/>
          <w:szCs w:val="24"/>
          <w:lang w:val="en-GB"/>
        </w:rPr>
        <w:t xml:space="preserve"> The x-axis shows the </w:t>
      </w:r>
      <w:r w:rsidR="00A114CC" w:rsidRPr="00591954">
        <w:rPr>
          <w:rFonts w:ascii="Times New Roman" w:hAnsi="Times New Roman"/>
          <w:b w:val="0"/>
          <w:i w:val="0"/>
          <w:sz w:val="24"/>
          <w:szCs w:val="24"/>
          <w:lang w:val="en-GB"/>
        </w:rPr>
        <w:t>S</w:t>
      </w:r>
      <w:r w:rsidRPr="00591954">
        <w:rPr>
          <w:rFonts w:ascii="Times New Roman" w:hAnsi="Times New Roman"/>
          <w:b w:val="0"/>
          <w:i w:val="0"/>
          <w:sz w:val="24"/>
          <w:szCs w:val="24"/>
          <w:lang w:val="en-GB"/>
        </w:rPr>
        <w:t xml:space="preserve">caden-based cell type fraction estimate using RNAseq data, while the y-axis shows the estimate </w:t>
      </w:r>
      <w:r w:rsidR="00594235" w:rsidRPr="00591954">
        <w:rPr>
          <w:rFonts w:ascii="Times New Roman" w:hAnsi="Times New Roman"/>
          <w:b w:val="0"/>
          <w:i w:val="0"/>
          <w:sz w:val="24"/>
          <w:szCs w:val="24"/>
          <w:lang w:val="en-GB"/>
        </w:rPr>
        <w:t xml:space="preserve">for the same 92 samples </w:t>
      </w:r>
      <w:r w:rsidRPr="00591954">
        <w:rPr>
          <w:rFonts w:ascii="Times New Roman" w:hAnsi="Times New Roman"/>
          <w:b w:val="0"/>
          <w:i w:val="0"/>
          <w:sz w:val="24"/>
          <w:szCs w:val="24"/>
          <w:lang w:val="en-GB"/>
        </w:rPr>
        <w:t>using re-scaled microarray intensities (SSMI) as input. Spearman rank correlation</w:t>
      </w:r>
      <w:r w:rsidR="00594235" w:rsidRPr="00591954">
        <w:rPr>
          <w:rFonts w:ascii="Times New Roman" w:hAnsi="Times New Roman"/>
          <w:b w:val="0"/>
          <w:i w:val="0"/>
          <w:sz w:val="24"/>
          <w:szCs w:val="24"/>
          <w:lang w:val="en-GB"/>
        </w:rPr>
        <w:t>s:</w:t>
      </w:r>
      <w:r w:rsidRPr="00591954">
        <w:rPr>
          <w:rFonts w:ascii="Times New Roman" w:hAnsi="Times New Roman"/>
          <w:b w:val="0"/>
          <w:i w:val="0"/>
          <w:sz w:val="24"/>
          <w:szCs w:val="24"/>
          <w:lang w:val="en-GB"/>
        </w:rPr>
        <w:t xml:space="preserve"> </w:t>
      </w:r>
      <w:r w:rsidR="00594235" w:rsidRPr="00591954">
        <w:rPr>
          <w:rFonts w:ascii="Times New Roman" w:hAnsi="Times New Roman"/>
          <w:b w:val="0"/>
          <w:i w:val="0"/>
          <w:sz w:val="24"/>
          <w:szCs w:val="24"/>
          <w:lang w:val="en-GB"/>
        </w:rPr>
        <w:t xml:space="preserve"> Astrocytes (0.95), Endothelial (0.80), </w:t>
      </w:r>
      <w:r w:rsidR="000B39C8" w:rsidRPr="00591954">
        <w:rPr>
          <w:rFonts w:ascii="Times New Roman" w:hAnsi="Times New Roman"/>
          <w:b w:val="0"/>
          <w:i w:val="0"/>
          <w:sz w:val="24"/>
          <w:szCs w:val="24"/>
          <w:lang w:val="en-GB"/>
        </w:rPr>
        <w:t>Excitatory Neurons (</w:t>
      </w:r>
      <w:r w:rsidR="00594235" w:rsidRPr="00591954">
        <w:rPr>
          <w:rFonts w:ascii="Times New Roman" w:hAnsi="Times New Roman"/>
          <w:b w:val="0"/>
          <w:i w:val="0"/>
          <w:sz w:val="24"/>
          <w:szCs w:val="24"/>
          <w:lang w:val="en-GB"/>
        </w:rPr>
        <w:t>ExNeurons</w:t>
      </w:r>
      <w:r w:rsidR="000B39C8" w:rsidRPr="00591954">
        <w:rPr>
          <w:rFonts w:ascii="Times New Roman" w:hAnsi="Times New Roman"/>
          <w:b w:val="0"/>
          <w:i w:val="0"/>
          <w:sz w:val="24"/>
          <w:szCs w:val="24"/>
          <w:lang w:val="en-GB"/>
        </w:rPr>
        <w:t>)</w:t>
      </w:r>
      <w:r w:rsidR="00594235" w:rsidRPr="00591954">
        <w:rPr>
          <w:rFonts w:ascii="Times New Roman" w:hAnsi="Times New Roman"/>
          <w:b w:val="0"/>
          <w:i w:val="0"/>
          <w:sz w:val="24"/>
          <w:szCs w:val="24"/>
          <w:lang w:val="en-GB"/>
        </w:rPr>
        <w:t xml:space="preserve"> (0.87), </w:t>
      </w:r>
      <w:r w:rsidR="000B39C8" w:rsidRPr="00591954">
        <w:rPr>
          <w:rFonts w:ascii="Times New Roman" w:hAnsi="Times New Roman"/>
          <w:b w:val="0"/>
          <w:i w:val="0"/>
          <w:sz w:val="24"/>
          <w:szCs w:val="24"/>
          <w:lang w:val="en-GB"/>
        </w:rPr>
        <w:t>Inhibitor Neurons (</w:t>
      </w:r>
      <w:r w:rsidR="00594235" w:rsidRPr="00591954">
        <w:rPr>
          <w:rFonts w:ascii="Times New Roman" w:hAnsi="Times New Roman"/>
          <w:b w:val="0"/>
          <w:i w:val="0"/>
          <w:sz w:val="24"/>
          <w:szCs w:val="24"/>
          <w:lang w:val="en-GB"/>
        </w:rPr>
        <w:t>InNeurons</w:t>
      </w:r>
      <w:r w:rsidR="000B39C8" w:rsidRPr="00591954">
        <w:rPr>
          <w:rFonts w:ascii="Times New Roman" w:hAnsi="Times New Roman"/>
          <w:b w:val="0"/>
          <w:i w:val="0"/>
          <w:sz w:val="24"/>
          <w:szCs w:val="24"/>
          <w:lang w:val="en-GB"/>
        </w:rPr>
        <w:t>)</w:t>
      </w:r>
      <w:r w:rsidR="00594235" w:rsidRPr="00591954">
        <w:rPr>
          <w:rFonts w:ascii="Times New Roman" w:hAnsi="Times New Roman"/>
          <w:b w:val="0"/>
          <w:i w:val="0"/>
          <w:sz w:val="24"/>
          <w:szCs w:val="24"/>
          <w:lang w:val="en-GB"/>
        </w:rPr>
        <w:t xml:space="preserve"> (0.64), Microglia (0.90), Oligodendrocytes (0.97), OPC (0.83) and Unknown (0.82).</w:t>
      </w:r>
    </w:p>
    <w:p w14:paraId="092A0604" w14:textId="77777777" w:rsidR="00594235" w:rsidRPr="00591954" w:rsidRDefault="00594235">
      <w:pPr>
        <w:rPr>
          <w:b/>
          <w:bCs/>
          <w:iCs/>
          <w:szCs w:val="24"/>
          <w:lang w:val="en-GB"/>
        </w:rPr>
      </w:pPr>
      <w:r w:rsidRPr="00591954">
        <w:rPr>
          <w:i/>
          <w:szCs w:val="24"/>
          <w:lang w:val="en-GB"/>
        </w:rPr>
        <w:br w:type="page"/>
      </w:r>
    </w:p>
    <w:p w14:paraId="496202EB" w14:textId="77777777" w:rsidR="00594235" w:rsidRPr="00591954" w:rsidRDefault="00594235" w:rsidP="00681629">
      <w:pPr>
        <w:pStyle w:val="Heading2"/>
        <w:spacing w:before="0"/>
        <w:jc w:val="both"/>
        <w:rPr>
          <w:rFonts w:ascii="Times New Roman" w:hAnsi="Times New Roman"/>
          <w:i w:val="0"/>
          <w:sz w:val="24"/>
          <w:szCs w:val="24"/>
          <w:lang w:val="en-GB"/>
        </w:rPr>
      </w:pPr>
      <w:r w:rsidRPr="00591954">
        <w:rPr>
          <w:noProof/>
          <w:lang w:val="en-GB" w:eastAsia="en-GB"/>
        </w:rPr>
        <w:lastRenderedPageBreak/>
        <w:drawing>
          <wp:inline distT="0" distB="0" distL="0" distR="0" wp14:anchorId="0E5960E0" wp14:editId="4BF0D833">
            <wp:extent cx="5486400" cy="3049841"/>
            <wp:effectExtent l="0" t="0" r="0" b="0"/>
            <wp:docPr id="145071536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31">
                      <a:extLst>
                        <a:ext uri="{28A0092B-C50C-407E-A947-70E740481C1C}">
                          <a14:useLocalDpi xmlns:a14="http://schemas.microsoft.com/office/drawing/2010/main" val="0"/>
                        </a:ext>
                      </a:extLst>
                    </a:blip>
                    <a:stretch>
                      <a:fillRect/>
                    </a:stretch>
                  </pic:blipFill>
                  <pic:spPr>
                    <a:xfrm>
                      <a:off x="0" y="0"/>
                      <a:ext cx="5486400" cy="3049841"/>
                    </a:xfrm>
                    <a:prstGeom prst="rect">
                      <a:avLst/>
                    </a:prstGeom>
                  </pic:spPr>
                </pic:pic>
              </a:graphicData>
            </a:graphic>
          </wp:inline>
        </w:drawing>
      </w:r>
    </w:p>
    <w:p w14:paraId="5016DBB2" w14:textId="04DA3A45" w:rsidR="006347B3" w:rsidRPr="00591954" w:rsidRDefault="00594235" w:rsidP="00020323">
      <w:pPr>
        <w:pStyle w:val="Heading2"/>
        <w:spacing w:before="0"/>
        <w:rPr>
          <w:rFonts w:ascii="Times New Roman" w:hAnsi="Times New Roman"/>
          <w:b w:val="0"/>
          <w:i w:val="0"/>
          <w:sz w:val="24"/>
          <w:szCs w:val="24"/>
          <w:lang w:val="en-GB"/>
        </w:rPr>
      </w:pPr>
      <w:r w:rsidRPr="00591954">
        <w:rPr>
          <w:rFonts w:ascii="Times New Roman" w:hAnsi="Times New Roman"/>
          <w:bCs w:val="0"/>
          <w:i w:val="0"/>
          <w:iCs w:val="0"/>
          <w:sz w:val="24"/>
          <w:szCs w:val="24"/>
          <w:lang w:val="en-GB"/>
        </w:rPr>
        <w:t>Fig. S</w:t>
      </w:r>
      <w:r w:rsidR="00193547" w:rsidRPr="00591954">
        <w:rPr>
          <w:rFonts w:ascii="Times New Roman" w:hAnsi="Times New Roman"/>
          <w:bCs w:val="0"/>
          <w:i w:val="0"/>
          <w:iCs w:val="0"/>
          <w:sz w:val="24"/>
          <w:szCs w:val="24"/>
          <w:lang w:val="en-GB"/>
        </w:rPr>
        <w:t>14</w:t>
      </w:r>
      <w:r w:rsidRPr="00591954">
        <w:rPr>
          <w:rFonts w:ascii="Times New Roman" w:hAnsi="Times New Roman"/>
          <w:bCs w:val="0"/>
          <w:i w:val="0"/>
          <w:iCs w:val="0"/>
          <w:sz w:val="24"/>
          <w:szCs w:val="24"/>
          <w:lang w:val="en-GB"/>
        </w:rPr>
        <w:t xml:space="preserve">. </w:t>
      </w:r>
      <w:r w:rsidRPr="00591954">
        <w:rPr>
          <w:rFonts w:ascii="Times New Roman" w:hAnsi="Times New Roman"/>
          <w:b w:val="0"/>
          <w:bCs w:val="0"/>
          <w:iCs w:val="0"/>
          <w:sz w:val="24"/>
          <w:szCs w:val="24"/>
          <w:lang w:val="en-GB"/>
        </w:rPr>
        <w:t>Agreement between SSMI</w:t>
      </w:r>
      <w:r w:rsidR="00193547" w:rsidRPr="00591954">
        <w:rPr>
          <w:rFonts w:ascii="Times New Roman" w:hAnsi="Times New Roman"/>
          <w:b w:val="0"/>
          <w:bCs w:val="0"/>
          <w:iCs w:val="0"/>
          <w:sz w:val="24"/>
          <w:szCs w:val="24"/>
          <w:lang w:val="en-GB"/>
        </w:rPr>
        <w:t>-based</w:t>
      </w:r>
      <w:r w:rsidRPr="00591954">
        <w:rPr>
          <w:rFonts w:ascii="Times New Roman" w:hAnsi="Times New Roman"/>
          <w:b w:val="0"/>
          <w:bCs w:val="0"/>
          <w:iCs w:val="0"/>
          <w:sz w:val="24"/>
          <w:szCs w:val="24"/>
          <w:lang w:val="en-GB"/>
        </w:rPr>
        <w:t xml:space="preserve"> </w:t>
      </w:r>
      <w:r w:rsidR="00193547" w:rsidRPr="00591954">
        <w:rPr>
          <w:rFonts w:ascii="Times New Roman" w:hAnsi="Times New Roman"/>
          <w:b w:val="0"/>
          <w:bCs w:val="0"/>
          <w:iCs w:val="0"/>
          <w:sz w:val="24"/>
          <w:szCs w:val="24"/>
          <w:lang w:val="en-GB"/>
        </w:rPr>
        <w:t xml:space="preserve">predicted </w:t>
      </w:r>
      <w:r w:rsidRPr="00591954">
        <w:rPr>
          <w:rFonts w:ascii="Times New Roman" w:hAnsi="Times New Roman"/>
          <w:b w:val="0"/>
          <w:bCs w:val="0"/>
          <w:iCs w:val="0"/>
          <w:sz w:val="24"/>
          <w:szCs w:val="24"/>
          <w:lang w:val="en-GB"/>
        </w:rPr>
        <w:t>cell type fractions</w:t>
      </w:r>
      <w:r w:rsidR="000D665D" w:rsidRPr="00591954">
        <w:rPr>
          <w:rFonts w:ascii="Times New Roman" w:hAnsi="Times New Roman"/>
          <w:b w:val="0"/>
          <w:bCs w:val="0"/>
          <w:iCs w:val="0"/>
          <w:sz w:val="24"/>
          <w:szCs w:val="24"/>
          <w:lang w:val="en-GB"/>
        </w:rPr>
        <w:t xml:space="preserve"> and </w:t>
      </w:r>
      <w:r w:rsidR="00193547" w:rsidRPr="00591954">
        <w:rPr>
          <w:rFonts w:ascii="Times New Roman" w:hAnsi="Times New Roman"/>
          <w:b w:val="0"/>
          <w:bCs w:val="0"/>
          <w:iCs w:val="0"/>
          <w:sz w:val="24"/>
          <w:szCs w:val="24"/>
          <w:lang w:val="en-GB"/>
        </w:rPr>
        <w:t xml:space="preserve">expression of cell type </w:t>
      </w:r>
      <w:r w:rsidR="000D665D" w:rsidRPr="00591954">
        <w:rPr>
          <w:rFonts w:ascii="Times New Roman" w:hAnsi="Times New Roman"/>
          <w:b w:val="0"/>
          <w:bCs w:val="0"/>
          <w:iCs w:val="0"/>
          <w:sz w:val="24"/>
          <w:szCs w:val="24"/>
          <w:lang w:val="en-GB"/>
        </w:rPr>
        <w:t>marker genes</w:t>
      </w:r>
      <w:r w:rsidRPr="00591954">
        <w:rPr>
          <w:rFonts w:ascii="Times New Roman" w:hAnsi="Times New Roman"/>
          <w:b w:val="0"/>
          <w:bCs w:val="0"/>
          <w:iCs w:val="0"/>
          <w:sz w:val="24"/>
          <w:szCs w:val="24"/>
          <w:lang w:val="en-GB"/>
        </w:rPr>
        <w:t>.</w:t>
      </w:r>
      <w:r w:rsidR="00193547" w:rsidRPr="00591954">
        <w:rPr>
          <w:rFonts w:ascii="Times New Roman" w:hAnsi="Times New Roman"/>
          <w:b w:val="0"/>
          <w:bCs w:val="0"/>
          <w:iCs w:val="0"/>
          <w:sz w:val="24"/>
          <w:szCs w:val="24"/>
          <w:lang w:val="en-GB"/>
        </w:rPr>
        <w:t xml:space="preserve"> </w:t>
      </w:r>
      <w:r w:rsidRPr="00591954">
        <w:rPr>
          <w:rFonts w:ascii="Times New Roman" w:hAnsi="Times New Roman"/>
          <w:b w:val="0"/>
          <w:i w:val="0"/>
          <w:sz w:val="24"/>
          <w:szCs w:val="24"/>
          <w:lang w:val="en-GB"/>
        </w:rPr>
        <w:t xml:space="preserve">The x-axis shows the </w:t>
      </w:r>
      <w:r w:rsidR="00193547" w:rsidRPr="00591954">
        <w:rPr>
          <w:rFonts w:ascii="Times New Roman" w:hAnsi="Times New Roman"/>
          <w:b w:val="0"/>
          <w:i w:val="0"/>
          <w:sz w:val="24"/>
          <w:szCs w:val="24"/>
          <w:lang w:val="en-GB"/>
        </w:rPr>
        <w:t>S</w:t>
      </w:r>
      <w:r w:rsidRPr="00591954">
        <w:rPr>
          <w:rFonts w:ascii="Times New Roman" w:hAnsi="Times New Roman"/>
          <w:b w:val="0"/>
          <w:i w:val="0"/>
          <w:sz w:val="24"/>
          <w:szCs w:val="24"/>
          <w:lang w:val="en-GB"/>
        </w:rPr>
        <w:t xml:space="preserve">caden-based cell type fraction estimate using </w:t>
      </w:r>
      <w:r w:rsidR="000D665D" w:rsidRPr="00591954">
        <w:rPr>
          <w:rFonts w:ascii="Times New Roman" w:hAnsi="Times New Roman"/>
          <w:b w:val="0"/>
          <w:i w:val="0"/>
          <w:sz w:val="24"/>
          <w:szCs w:val="24"/>
          <w:lang w:val="en-GB"/>
        </w:rPr>
        <w:t>SSMI</w:t>
      </w:r>
      <w:r w:rsidRPr="00591954">
        <w:rPr>
          <w:rFonts w:ascii="Times New Roman" w:hAnsi="Times New Roman"/>
          <w:b w:val="0"/>
          <w:i w:val="0"/>
          <w:sz w:val="24"/>
          <w:szCs w:val="24"/>
          <w:lang w:val="en-GB"/>
        </w:rPr>
        <w:t xml:space="preserve"> data, while the y-axis shows the </w:t>
      </w:r>
      <w:r w:rsidR="000D665D" w:rsidRPr="00591954">
        <w:rPr>
          <w:rFonts w:ascii="Times New Roman" w:hAnsi="Times New Roman"/>
          <w:b w:val="0"/>
          <w:i w:val="0"/>
          <w:sz w:val="24"/>
          <w:szCs w:val="24"/>
          <w:lang w:val="en-GB"/>
        </w:rPr>
        <w:t>log2(SSMI) of cell type marker genes</w:t>
      </w:r>
      <w:r w:rsidRPr="00591954">
        <w:rPr>
          <w:rFonts w:ascii="Times New Roman" w:hAnsi="Times New Roman"/>
          <w:b w:val="0"/>
          <w:i w:val="0"/>
          <w:sz w:val="24"/>
          <w:szCs w:val="24"/>
          <w:lang w:val="en-GB"/>
        </w:rPr>
        <w:t>. Spearman rank correlations:  Astrocytes (0.9</w:t>
      </w:r>
      <w:r w:rsidR="000D665D" w:rsidRPr="00591954">
        <w:rPr>
          <w:rFonts w:ascii="Times New Roman" w:hAnsi="Times New Roman"/>
          <w:b w:val="0"/>
          <w:i w:val="0"/>
          <w:sz w:val="24"/>
          <w:szCs w:val="24"/>
          <w:lang w:val="en-GB"/>
        </w:rPr>
        <w:t>0</w:t>
      </w:r>
      <w:r w:rsidRPr="00591954">
        <w:rPr>
          <w:rFonts w:ascii="Times New Roman" w:hAnsi="Times New Roman"/>
          <w:b w:val="0"/>
          <w:i w:val="0"/>
          <w:sz w:val="24"/>
          <w:szCs w:val="24"/>
          <w:lang w:val="en-GB"/>
        </w:rPr>
        <w:t>), Endothelial (0.</w:t>
      </w:r>
      <w:r w:rsidR="000D665D" w:rsidRPr="00591954">
        <w:rPr>
          <w:rFonts w:ascii="Times New Roman" w:hAnsi="Times New Roman"/>
          <w:b w:val="0"/>
          <w:i w:val="0"/>
          <w:sz w:val="24"/>
          <w:szCs w:val="24"/>
          <w:lang w:val="en-GB"/>
        </w:rPr>
        <w:t>63</w:t>
      </w:r>
      <w:r w:rsidRPr="00591954">
        <w:rPr>
          <w:rFonts w:ascii="Times New Roman" w:hAnsi="Times New Roman"/>
          <w:b w:val="0"/>
          <w:i w:val="0"/>
          <w:sz w:val="24"/>
          <w:szCs w:val="24"/>
          <w:lang w:val="en-GB"/>
        </w:rPr>
        <w:t>), ExNeurons (0.</w:t>
      </w:r>
      <w:r w:rsidR="000D665D" w:rsidRPr="00591954">
        <w:rPr>
          <w:rFonts w:ascii="Times New Roman" w:hAnsi="Times New Roman"/>
          <w:b w:val="0"/>
          <w:i w:val="0"/>
          <w:sz w:val="24"/>
          <w:szCs w:val="24"/>
          <w:lang w:val="en-GB"/>
        </w:rPr>
        <w:t>28</w:t>
      </w:r>
      <w:r w:rsidRPr="00591954">
        <w:rPr>
          <w:rFonts w:ascii="Times New Roman" w:hAnsi="Times New Roman"/>
          <w:b w:val="0"/>
          <w:i w:val="0"/>
          <w:sz w:val="24"/>
          <w:szCs w:val="24"/>
          <w:lang w:val="en-GB"/>
        </w:rPr>
        <w:t>), InNeurons (0.</w:t>
      </w:r>
      <w:r w:rsidR="000D665D" w:rsidRPr="00591954">
        <w:rPr>
          <w:rFonts w:ascii="Times New Roman" w:hAnsi="Times New Roman"/>
          <w:b w:val="0"/>
          <w:i w:val="0"/>
          <w:sz w:val="24"/>
          <w:szCs w:val="24"/>
          <w:lang w:val="en-GB"/>
        </w:rPr>
        <w:t>58</w:t>
      </w:r>
      <w:r w:rsidRPr="00591954">
        <w:rPr>
          <w:rFonts w:ascii="Times New Roman" w:hAnsi="Times New Roman"/>
          <w:b w:val="0"/>
          <w:i w:val="0"/>
          <w:sz w:val="24"/>
          <w:szCs w:val="24"/>
          <w:lang w:val="en-GB"/>
        </w:rPr>
        <w:t>), Microglia (0.</w:t>
      </w:r>
      <w:r w:rsidR="000D665D" w:rsidRPr="00591954">
        <w:rPr>
          <w:rFonts w:ascii="Times New Roman" w:hAnsi="Times New Roman"/>
          <w:b w:val="0"/>
          <w:i w:val="0"/>
          <w:sz w:val="24"/>
          <w:szCs w:val="24"/>
          <w:lang w:val="en-GB"/>
        </w:rPr>
        <w:t>74</w:t>
      </w:r>
      <w:r w:rsidRPr="00591954">
        <w:rPr>
          <w:rFonts w:ascii="Times New Roman" w:hAnsi="Times New Roman"/>
          <w:b w:val="0"/>
          <w:i w:val="0"/>
          <w:sz w:val="24"/>
          <w:szCs w:val="24"/>
          <w:lang w:val="en-GB"/>
        </w:rPr>
        <w:t>), Oligodendrocytes (0.9</w:t>
      </w:r>
      <w:r w:rsidR="000D665D" w:rsidRPr="00591954">
        <w:rPr>
          <w:rFonts w:ascii="Times New Roman" w:hAnsi="Times New Roman"/>
          <w:b w:val="0"/>
          <w:i w:val="0"/>
          <w:sz w:val="24"/>
          <w:szCs w:val="24"/>
          <w:lang w:val="en-GB"/>
        </w:rPr>
        <w:t>4</w:t>
      </w:r>
      <w:r w:rsidRPr="00591954">
        <w:rPr>
          <w:rFonts w:ascii="Times New Roman" w:hAnsi="Times New Roman"/>
          <w:b w:val="0"/>
          <w:i w:val="0"/>
          <w:sz w:val="24"/>
          <w:szCs w:val="24"/>
          <w:lang w:val="en-GB"/>
        </w:rPr>
        <w:t>)</w:t>
      </w:r>
      <w:r w:rsidR="000D665D" w:rsidRPr="00591954">
        <w:rPr>
          <w:rFonts w:ascii="Times New Roman" w:hAnsi="Times New Roman"/>
          <w:b w:val="0"/>
          <w:i w:val="0"/>
          <w:sz w:val="24"/>
          <w:szCs w:val="24"/>
          <w:lang w:val="en-GB"/>
        </w:rPr>
        <w:t xml:space="preserve"> and</w:t>
      </w:r>
      <w:r w:rsidRPr="00591954">
        <w:rPr>
          <w:rFonts w:ascii="Times New Roman" w:hAnsi="Times New Roman"/>
          <w:b w:val="0"/>
          <w:i w:val="0"/>
          <w:sz w:val="24"/>
          <w:szCs w:val="24"/>
          <w:lang w:val="en-GB"/>
        </w:rPr>
        <w:t xml:space="preserve"> OPC (0.</w:t>
      </w:r>
      <w:r w:rsidR="000D665D" w:rsidRPr="00591954">
        <w:rPr>
          <w:rFonts w:ascii="Times New Roman" w:hAnsi="Times New Roman"/>
          <w:b w:val="0"/>
          <w:i w:val="0"/>
          <w:sz w:val="24"/>
          <w:szCs w:val="24"/>
          <w:lang w:val="en-GB"/>
        </w:rPr>
        <w:t>58</w:t>
      </w:r>
      <w:r w:rsidRPr="00591954">
        <w:rPr>
          <w:rFonts w:ascii="Times New Roman" w:hAnsi="Times New Roman"/>
          <w:b w:val="0"/>
          <w:i w:val="0"/>
          <w:sz w:val="24"/>
          <w:szCs w:val="24"/>
          <w:lang w:val="en-GB"/>
        </w:rPr>
        <w:t>)</w:t>
      </w:r>
      <w:r w:rsidR="000D665D" w:rsidRPr="00591954">
        <w:rPr>
          <w:rFonts w:ascii="Times New Roman" w:hAnsi="Times New Roman"/>
          <w:b w:val="0"/>
          <w:i w:val="0"/>
          <w:sz w:val="24"/>
          <w:szCs w:val="24"/>
          <w:lang w:val="en-GB"/>
        </w:rPr>
        <w:t>.</w:t>
      </w:r>
      <w:r w:rsidRPr="00591954">
        <w:rPr>
          <w:rFonts w:ascii="Times New Roman" w:hAnsi="Times New Roman"/>
          <w:b w:val="0"/>
          <w:i w:val="0"/>
          <w:sz w:val="24"/>
          <w:szCs w:val="24"/>
          <w:lang w:val="en-GB"/>
        </w:rPr>
        <w:t xml:space="preserve"> </w:t>
      </w:r>
    </w:p>
    <w:p w14:paraId="7EBD6EBA" w14:textId="77777777" w:rsidR="006347B3" w:rsidRPr="00591954" w:rsidRDefault="006347B3">
      <w:pPr>
        <w:rPr>
          <w:bCs/>
          <w:iCs/>
          <w:szCs w:val="24"/>
          <w:lang w:val="en-GB"/>
        </w:rPr>
      </w:pPr>
      <w:r w:rsidRPr="00591954">
        <w:rPr>
          <w:b/>
          <w:i/>
          <w:szCs w:val="24"/>
          <w:lang w:val="en-GB"/>
        </w:rPr>
        <w:br w:type="page"/>
      </w:r>
    </w:p>
    <w:p w14:paraId="7015036A" w14:textId="546EBB7A" w:rsidR="00594235" w:rsidRPr="00591954" w:rsidRDefault="006347B3" w:rsidP="00594235">
      <w:pPr>
        <w:pStyle w:val="Heading2"/>
        <w:spacing w:before="0"/>
        <w:jc w:val="both"/>
        <w:rPr>
          <w:rFonts w:ascii="Times New Roman" w:hAnsi="Times New Roman"/>
          <w:b w:val="0"/>
          <w:i w:val="0"/>
          <w:sz w:val="24"/>
          <w:szCs w:val="24"/>
          <w:lang w:val="en-GB"/>
        </w:rPr>
      </w:pPr>
      <w:r w:rsidRPr="00591954">
        <w:rPr>
          <w:noProof/>
          <w:lang w:val="en-GB" w:eastAsia="en-GB"/>
        </w:rPr>
        <w:lastRenderedPageBreak/>
        <w:drawing>
          <wp:inline distT="0" distB="0" distL="0" distR="0" wp14:anchorId="478D7BC7" wp14:editId="65760B8D">
            <wp:extent cx="5486400" cy="4621528"/>
            <wp:effectExtent l="0" t="0" r="0" b="1270"/>
            <wp:docPr id="111178779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32">
                      <a:extLst>
                        <a:ext uri="{28A0092B-C50C-407E-A947-70E740481C1C}">
                          <a14:useLocalDpi xmlns:a14="http://schemas.microsoft.com/office/drawing/2010/main" val="0"/>
                        </a:ext>
                      </a:extLst>
                    </a:blip>
                    <a:stretch>
                      <a:fillRect/>
                    </a:stretch>
                  </pic:blipFill>
                  <pic:spPr>
                    <a:xfrm>
                      <a:off x="0" y="0"/>
                      <a:ext cx="5486400" cy="4621528"/>
                    </a:xfrm>
                    <a:prstGeom prst="rect">
                      <a:avLst/>
                    </a:prstGeom>
                  </pic:spPr>
                </pic:pic>
              </a:graphicData>
            </a:graphic>
          </wp:inline>
        </w:drawing>
      </w:r>
    </w:p>
    <w:p w14:paraId="08B14C9E" w14:textId="77777777" w:rsidR="006347B3" w:rsidRPr="00591954" w:rsidRDefault="006347B3" w:rsidP="00681629">
      <w:pPr>
        <w:pStyle w:val="Heading2"/>
        <w:spacing w:before="0"/>
        <w:jc w:val="both"/>
        <w:rPr>
          <w:rFonts w:ascii="Times New Roman" w:hAnsi="Times New Roman"/>
          <w:i w:val="0"/>
          <w:sz w:val="24"/>
          <w:szCs w:val="24"/>
          <w:lang w:val="en-GB"/>
        </w:rPr>
      </w:pPr>
    </w:p>
    <w:p w14:paraId="2255F9DC" w14:textId="77777777" w:rsidR="00F27891" w:rsidRPr="00591954" w:rsidRDefault="006347B3" w:rsidP="00020323">
      <w:pPr>
        <w:pStyle w:val="Heading2"/>
        <w:spacing w:before="0"/>
        <w:rPr>
          <w:rFonts w:ascii="Times New Roman" w:hAnsi="Times New Roman"/>
          <w:b w:val="0"/>
          <w:bCs w:val="0"/>
          <w:iCs w:val="0"/>
          <w:sz w:val="24"/>
          <w:szCs w:val="24"/>
          <w:lang w:val="en-GB"/>
        </w:rPr>
      </w:pPr>
      <w:r w:rsidRPr="00591954">
        <w:rPr>
          <w:rFonts w:ascii="Times New Roman" w:hAnsi="Times New Roman"/>
          <w:bCs w:val="0"/>
          <w:i w:val="0"/>
          <w:iCs w:val="0"/>
          <w:sz w:val="24"/>
          <w:szCs w:val="24"/>
          <w:lang w:val="en-GB"/>
        </w:rPr>
        <w:t>Fig. S</w:t>
      </w:r>
      <w:r w:rsidR="00193547" w:rsidRPr="00591954">
        <w:rPr>
          <w:rFonts w:ascii="Times New Roman" w:hAnsi="Times New Roman"/>
          <w:bCs w:val="0"/>
          <w:i w:val="0"/>
          <w:iCs w:val="0"/>
          <w:sz w:val="24"/>
          <w:szCs w:val="24"/>
          <w:lang w:val="en-GB"/>
        </w:rPr>
        <w:t>15</w:t>
      </w:r>
      <w:r w:rsidRPr="00591954">
        <w:rPr>
          <w:rFonts w:ascii="Times New Roman" w:hAnsi="Times New Roman"/>
          <w:bCs w:val="0"/>
          <w:i w:val="0"/>
          <w:iCs w:val="0"/>
          <w:sz w:val="24"/>
          <w:szCs w:val="24"/>
          <w:lang w:val="en-GB"/>
        </w:rPr>
        <w:t xml:space="preserve">. </w:t>
      </w:r>
      <w:r w:rsidRPr="00591954">
        <w:rPr>
          <w:rFonts w:ascii="Times New Roman" w:hAnsi="Times New Roman"/>
          <w:b w:val="0"/>
          <w:bCs w:val="0"/>
          <w:iCs w:val="0"/>
          <w:sz w:val="24"/>
          <w:szCs w:val="24"/>
          <w:lang w:val="en-GB"/>
        </w:rPr>
        <w:t xml:space="preserve">Agreement between </w:t>
      </w:r>
      <w:r w:rsidR="00C90515" w:rsidRPr="00591954">
        <w:rPr>
          <w:rFonts w:ascii="Times New Roman" w:hAnsi="Times New Roman"/>
          <w:b w:val="0"/>
          <w:bCs w:val="0"/>
          <w:iCs w:val="0"/>
          <w:sz w:val="24"/>
          <w:szCs w:val="24"/>
          <w:lang w:val="en-GB"/>
        </w:rPr>
        <w:t>t-values when using only the 12</w:t>
      </w:r>
      <w:r w:rsidR="00126A46" w:rsidRPr="00591954">
        <w:rPr>
          <w:rFonts w:ascii="Times New Roman" w:hAnsi="Times New Roman"/>
          <w:b w:val="0"/>
          <w:bCs w:val="0"/>
          <w:iCs w:val="0"/>
          <w:sz w:val="24"/>
          <w:szCs w:val="24"/>
          <w:lang w:val="en-GB"/>
        </w:rPr>
        <w:t>27</w:t>
      </w:r>
      <w:r w:rsidR="00C90515" w:rsidRPr="00591954">
        <w:rPr>
          <w:rFonts w:ascii="Times New Roman" w:hAnsi="Times New Roman"/>
          <w:b w:val="0"/>
          <w:bCs w:val="0"/>
          <w:iCs w:val="0"/>
          <w:sz w:val="24"/>
          <w:szCs w:val="24"/>
          <w:lang w:val="en-GB"/>
        </w:rPr>
        <w:t xml:space="preserve"> samples in the left hemisphere (X-axis) and all 1628 samples in both hemispheres (Y-axis). </w:t>
      </w:r>
    </w:p>
    <w:p w14:paraId="79D4BEEB" w14:textId="77777777" w:rsidR="00F27891" w:rsidRPr="00591954" w:rsidRDefault="00F27891">
      <w:pPr>
        <w:rPr>
          <w:i/>
          <w:szCs w:val="24"/>
          <w:lang w:val="en-GB"/>
        </w:rPr>
      </w:pPr>
      <w:r w:rsidRPr="00591954">
        <w:rPr>
          <w:b/>
          <w:bCs/>
          <w:iCs/>
          <w:szCs w:val="24"/>
          <w:lang w:val="en-GB"/>
        </w:rPr>
        <w:br w:type="page"/>
      </w:r>
    </w:p>
    <w:p w14:paraId="63E35581" w14:textId="77777777" w:rsidR="00F27891" w:rsidRPr="00591954" w:rsidRDefault="00F27891" w:rsidP="00F27891">
      <w:pPr>
        <w:pStyle w:val="Heading2"/>
        <w:spacing w:before="0"/>
        <w:jc w:val="center"/>
        <w:rPr>
          <w:rFonts w:ascii="Times New Roman" w:hAnsi="Times New Roman"/>
          <w:i w:val="0"/>
          <w:sz w:val="24"/>
          <w:szCs w:val="24"/>
          <w:lang w:val="en-GB"/>
        </w:rPr>
      </w:pPr>
      <w:r w:rsidRPr="00591954">
        <w:rPr>
          <w:rFonts w:ascii="Times New Roman" w:hAnsi="Times New Roman"/>
          <w:i w:val="0"/>
          <w:noProof/>
          <w:sz w:val="24"/>
          <w:szCs w:val="24"/>
          <w:lang w:val="en-GB"/>
        </w:rPr>
        <w:lastRenderedPageBreak/>
        <w:drawing>
          <wp:inline distT="0" distB="0" distL="0" distR="0" wp14:anchorId="1BDBAC62" wp14:editId="4A3BE3FD">
            <wp:extent cx="4283242" cy="6186905"/>
            <wp:effectExtent l="0" t="0" r="0" b="0"/>
            <wp:docPr id="1" name="Picture 1" descr="A picture containing text, metalware, cha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metalware, chain&#10;&#10;Description automatically generated"/>
                    <pic:cNvPicPr/>
                  </pic:nvPicPr>
                  <pic:blipFill>
                    <a:blip r:embed="rId33"/>
                    <a:stretch>
                      <a:fillRect/>
                    </a:stretch>
                  </pic:blipFill>
                  <pic:spPr>
                    <a:xfrm>
                      <a:off x="0" y="0"/>
                      <a:ext cx="4289703" cy="6196238"/>
                    </a:xfrm>
                    <a:prstGeom prst="rect">
                      <a:avLst/>
                    </a:prstGeom>
                  </pic:spPr>
                </pic:pic>
              </a:graphicData>
            </a:graphic>
          </wp:inline>
        </w:drawing>
      </w:r>
    </w:p>
    <w:p w14:paraId="4E4E58D0" w14:textId="666F53AF" w:rsidR="00F27891" w:rsidRPr="00591954" w:rsidRDefault="00F27891" w:rsidP="00F27891">
      <w:pPr>
        <w:pStyle w:val="Heading2"/>
        <w:rPr>
          <w:rFonts w:ascii="Times New Roman" w:hAnsi="Times New Roman"/>
          <w:i w:val="0"/>
          <w:sz w:val="24"/>
          <w:szCs w:val="24"/>
          <w:lang w:val="en-GB"/>
        </w:rPr>
      </w:pPr>
      <w:r w:rsidRPr="00591954">
        <w:rPr>
          <w:rFonts w:ascii="Times New Roman" w:hAnsi="Times New Roman"/>
          <w:i w:val="0"/>
          <w:sz w:val="24"/>
          <w:szCs w:val="24"/>
          <w:lang w:val="en-GB"/>
        </w:rPr>
        <w:t>Fig. S16: Overlap of cortical regions and neuropathology ROIs.</w:t>
      </w:r>
      <w:r w:rsidR="005E3794" w:rsidRPr="00591954">
        <w:rPr>
          <w:rFonts w:ascii="Times New Roman" w:hAnsi="Times New Roman"/>
          <w:i w:val="0"/>
          <w:sz w:val="24"/>
          <w:szCs w:val="24"/>
          <w:lang w:val="en-GB"/>
        </w:rPr>
        <w:br/>
      </w:r>
      <w:r w:rsidRPr="00591954">
        <w:rPr>
          <w:rFonts w:ascii="Times New Roman" w:hAnsi="Times New Roman"/>
          <w:b w:val="0"/>
          <w:bCs w:val="0"/>
          <w:i w:val="0"/>
          <w:sz w:val="24"/>
          <w:szCs w:val="24"/>
          <w:lang w:val="en-GB"/>
        </w:rPr>
        <w:t xml:space="preserve">Iba1 immunolabelling shown in 7 Brodmann areas in each hemisphere, colour coded for the mean percentage labelling index in the three groups: Epilepsy Non-Lesional (EP-NL), Epilepsy-Lesional (EP-L) and non-epilepsy controls (NEC). The cortex is </w:t>
      </w:r>
      <w:r w:rsidR="00D4786F" w:rsidRPr="00591954">
        <w:rPr>
          <w:rFonts w:ascii="Times New Roman" w:hAnsi="Times New Roman"/>
          <w:b w:val="0"/>
          <w:bCs w:val="0"/>
          <w:i w:val="0"/>
          <w:sz w:val="24"/>
          <w:szCs w:val="24"/>
          <w:lang w:val="en-GB"/>
        </w:rPr>
        <w:t xml:space="preserve">shaded in different </w:t>
      </w:r>
      <w:r w:rsidR="00252425" w:rsidRPr="00591954">
        <w:rPr>
          <w:rFonts w:ascii="Times New Roman" w:hAnsi="Times New Roman"/>
          <w:b w:val="0"/>
          <w:bCs w:val="0"/>
          <w:i w:val="0"/>
          <w:sz w:val="24"/>
          <w:szCs w:val="24"/>
          <w:lang w:val="en-GB"/>
        </w:rPr>
        <w:t>grey</w:t>
      </w:r>
      <w:r w:rsidR="00D4786F" w:rsidRPr="00591954">
        <w:rPr>
          <w:rFonts w:ascii="Times New Roman" w:hAnsi="Times New Roman"/>
          <w:b w:val="0"/>
          <w:bCs w:val="0"/>
          <w:i w:val="0"/>
          <w:sz w:val="24"/>
          <w:szCs w:val="24"/>
          <w:lang w:val="en-GB"/>
        </w:rPr>
        <w:t xml:space="preserve"> scales to indicate vulnerable (light </w:t>
      </w:r>
      <w:r w:rsidR="00252425" w:rsidRPr="00591954">
        <w:rPr>
          <w:rFonts w:ascii="Times New Roman" w:hAnsi="Times New Roman"/>
          <w:b w:val="0"/>
          <w:bCs w:val="0"/>
          <w:i w:val="0"/>
          <w:sz w:val="24"/>
          <w:szCs w:val="24"/>
          <w:lang w:val="en-GB"/>
        </w:rPr>
        <w:t>grey</w:t>
      </w:r>
      <w:r w:rsidR="00D4786F" w:rsidRPr="00591954">
        <w:rPr>
          <w:rFonts w:ascii="Times New Roman" w:hAnsi="Times New Roman"/>
          <w:b w:val="0"/>
          <w:bCs w:val="0"/>
          <w:i w:val="0"/>
          <w:sz w:val="24"/>
          <w:szCs w:val="24"/>
          <w:lang w:val="en-GB"/>
        </w:rPr>
        <w:t xml:space="preserve">) and relatively protected (dark </w:t>
      </w:r>
      <w:r w:rsidR="00252425" w:rsidRPr="00591954">
        <w:rPr>
          <w:rFonts w:ascii="Times New Roman" w:hAnsi="Times New Roman"/>
          <w:b w:val="0"/>
          <w:bCs w:val="0"/>
          <w:i w:val="0"/>
          <w:sz w:val="24"/>
          <w:szCs w:val="24"/>
          <w:lang w:val="en-GB"/>
        </w:rPr>
        <w:t>grey</w:t>
      </w:r>
      <w:r w:rsidR="00D4786F" w:rsidRPr="00591954">
        <w:rPr>
          <w:rFonts w:ascii="Times New Roman" w:hAnsi="Times New Roman"/>
          <w:b w:val="0"/>
          <w:bCs w:val="0"/>
          <w:i w:val="0"/>
          <w:sz w:val="24"/>
          <w:szCs w:val="24"/>
          <w:lang w:val="en-GB"/>
        </w:rPr>
        <w:t>) regions.</w:t>
      </w:r>
      <w:r w:rsidRPr="00591954">
        <w:rPr>
          <w:rFonts w:ascii="Times New Roman" w:hAnsi="Times New Roman"/>
          <w:b w:val="0"/>
          <w:bCs w:val="0"/>
          <w:i w:val="0"/>
          <w:sz w:val="24"/>
          <w:szCs w:val="24"/>
          <w:lang w:val="en-GB"/>
        </w:rPr>
        <w:t xml:space="preserve">  </w:t>
      </w:r>
    </w:p>
    <w:p w14:paraId="7560F53C" w14:textId="61E878A9" w:rsidR="00681629" w:rsidRPr="00591954" w:rsidRDefault="00571134" w:rsidP="00F27891">
      <w:pPr>
        <w:pStyle w:val="Heading2"/>
        <w:spacing w:before="0"/>
        <w:rPr>
          <w:rFonts w:ascii="Times New Roman" w:hAnsi="Times New Roman"/>
          <w:b w:val="0"/>
          <w:i w:val="0"/>
          <w:sz w:val="24"/>
          <w:szCs w:val="24"/>
          <w:lang w:val="en-GB"/>
        </w:rPr>
      </w:pPr>
      <w:r w:rsidRPr="00591954">
        <w:rPr>
          <w:rFonts w:ascii="Times New Roman" w:hAnsi="Times New Roman"/>
          <w:i w:val="0"/>
          <w:sz w:val="24"/>
          <w:szCs w:val="24"/>
          <w:lang w:val="en-GB"/>
        </w:rPr>
        <w:br w:type="page"/>
      </w:r>
      <w:r w:rsidR="00681629" w:rsidRPr="00591954">
        <w:rPr>
          <w:rFonts w:ascii="Times New Roman" w:hAnsi="Times New Roman"/>
          <w:i w:val="0"/>
          <w:sz w:val="24"/>
          <w:szCs w:val="24"/>
          <w:lang w:val="en-GB"/>
        </w:rPr>
        <w:lastRenderedPageBreak/>
        <w:t>Table S1.</w:t>
      </w:r>
      <w:r w:rsidR="00681629" w:rsidRPr="00591954">
        <w:rPr>
          <w:rFonts w:ascii="Times New Roman" w:hAnsi="Times New Roman"/>
          <w:b w:val="0"/>
          <w:i w:val="0"/>
          <w:sz w:val="24"/>
          <w:szCs w:val="24"/>
          <w:lang w:val="en-GB"/>
        </w:rPr>
        <w:t xml:space="preserve"> </w:t>
      </w:r>
      <w:r w:rsidR="00681629" w:rsidRPr="00591954">
        <w:rPr>
          <w:rFonts w:ascii="Times New Roman" w:hAnsi="Times New Roman"/>
          <w:i w:val="0"/>
          <w:sz w:val="24"/>
          <w:szCs w:val="24"/>
          <w:lang w:val="en-GB"/>
        </w:rPr>
        <w:t>Data from the original ENIGMA-Epilepsy study (</w:t>
      </w:r>
      <w:r w:rsidR="00BE1A39" w:rsidRPr="00591954">
        <w:rPr>
          <w:rFonts w:ascii="Times New Roman" w:hAnsi="Times New Roman"/>
          <w:i w:val="0"/>
          <w:sz w:val="24"/>
          <w:szCs w:val="24"/>
          <w:lang w:val="en-GB"/>
        </w:rPr>
        <w:t xml:space="preserve">Whelan et </w:t>
      </w:r>
      <w:r w:rsidR="00BE1A39" w:rsidRPr="00591954">
        <w:rPr>
          <w:rFonts w:ascii="Times New Roman" w:hAnsi="Times New Roman"/>
          <w:sz w:val="24"/>
          <w:szCs w:val="24"/>
          <w:lang w:val="en-GB"/>
        </w:rPr>
        <w:t>al.</w:t>
      </w:r>
      <w:r w:rsidR="00BE1A39" w:rsidRPr="00591954">
        <w:rPr>
          <w:rFonts w:ascii="Times New Roman" w:hAnsi="Times New Roman"/>
          <w:i w:val="0"/>
          <w:sz w:val="24"/>
          <w:szCs w:val="24"/>
          <w:lang w:val="en-GB"/>
        </w:rPr>
        <w:t xml:space="preserve"> 2018</w:t>
      </w:r>
      <w:r w:rsidR="00681629" w:rsidRPr="00591954">
        <w:rPr>
          <w:rFonts w:ascii="Times New Roman" w:hAnsi="Times New Roman"/>
          <w:i w:val="0"/>
          <w:sz w:val="24"/>
          <w:szCs w:val="24"/>
          <w:lang w:val="en-GB"/>
        </w:rPr>
        <w:t xml:space="preserve">), listing human brain regions categorized here as ‘vulnerable’ </w:t>
      </w:r>
      <w:r w:rsidR="001332CF" w:rsidRPr="00591954">
        <w:rPr>
          <w:rFonts w:ascii="Times New Roman" w:hAnsi="Times New Roman"/>
          <w:i w:val="0"/>
          <w:sz w:val="24"/>
          <w:szCs w:val="24"/>
          <w:lang w:val="en-GB"/>
        </w:rPr>
        <w:t xml:space="preserve">(red) </w:t>
      </w:r>
      <w:r w:rsidR="00681629" w:rsidRPr="00591954">
        <w:rPr>
          <w:rFonts w:ascii="Times New Roman" w:hAnsi="Times New Roman"/>
          <w:i w:val="0"/>
          <w:sz w:val="24"/>
          <w:szCs w:val="24"/>
          <w:lang w:val="en-GB"/>
        </w:rPr>
        <w:t>or ‘relatively protected’</w:t>
      </w:r>
      <w:r w:rsidR="001332CF" w:rsidRPr="00591954">
        <w:rPr>
          <w:rFonts w:ascii="Times New Roman" w:hAnsi="Times New Roman"/>
          <w:i w:val="0"/>
          <w:sz w:val="24"/>
          <w:szCs w:val="24"/>
          <w:lang w:val="en-GB"/>
        </w:rPr>
        <w:t xml:space="preserve"> (green)</w:t>
      </w:r>
      <w:r w:rsidR="00681629" w:rsidRPr="00591954">
        <w:rPr>
          <w:rFonts w:ascii="Times New Roman" w:hAnsi="Times New Roman"/>
          <w:i w:val="0"/>
          <w:sz w:val="24"/>
          <w:szCs w:val="24"/>
          <w:lang w:val="en-GB"/>
        </w:rPr>
        <w:t>.</w:t>
      </w:r>
    </w:p>
    <w:tbl>
      <w:tblPr>
        <w:tblW w:w="8532" w:type="dxa"/>
        <w:tblInd w:w="108" w:type="dxa"/>
        <w:tblLook w:val="04A0" w:firstRow="1" w:lastRow="0" w:firstColumn="1" w:lastColumn="0" w:noHBand="0" w:noVBand="1"/>
      </w:tblPr>
      <w:tblGrid>
        <w:gridCol w:w="3040"/>
        <w:gridCol w:w="2160"/>
        <w:gridCol w:w="2260"/>
        <w:gridCol w:w="268"/>
        <w:gridCol w:w="268"/>
        <w:gridCol w:w="268"/>
        <w:gridCol w:w="268"/>
      </w:tblGrid>
      <w:tr w:rsidR="00591954" w:rsidRPr="00591954" w14:paraId="41CA5511" w14:textId="0C8A9A47" w:rsidTr="001332CF">
        <w:trPr>
          <w:trHeight w:val="340"/>
        </w:trPr>
        <w:tc>
          <w:tcPr>
            <w:tcW w:w="3040" w:type="dxa"/>
            <w:tcBorders>
              <w:top w:val="nil"/>
              <w:left w:val="nil"/>
              <w:bottom w:val="single" w:sz="4" w:space="0" w:color="auto"/>
              <w:right w:val="single" w:sz="4" w:space="0" w:color="auto"/>
            </w:tcBorders>
            <w:shd w:val="clear" w:color="auto" w:fill="auto"/>
            <w:noWrap/>
            <w:vAlign w:val="bottom"/>
            <w:hideMark/>
          </w:tcPr>
          <w:p w14:paraId="23ACFF13" w14:textId="77777777" w:rsidR="001332CF" w:rsidRPr="00591954" w:rsidRDefault="001332CF" w:rsidP="00F36BB1">
            <w:pPr>
              <w:rPr>
                <w:rFonts w:ascii="Calibri" w:hAnsi="Calibri"/>
                <w:szCs w:val="24"/>
                <w:lang w:val="en-GB"/>
              </w:rPr>
            </w:pPr>
            <w:r w:rsidRPr="00591954">
              <w:rPr>
                <w:rFonts w:ascii="Calibri" w:hAnsi="Calibri"/>
                <w:szCs w:val="24"/>
                <w:lang w:val="en-GB"/>
              </w:rPr>
              <w:t>ROI</w:t>
            </w:r>
          </w:p>
        </w:tc>
        <w:tc>
          <w:tcPr>
            <w:tcW w:w="2160" w:type="dxa"/>
            <w:tcBorders>
              <w:top w:val="nil"/>
              <w:left w:val="nil"/>
              <w:bottom w:val="single" w:sz="4" w:space="0" w:color="auto"/>
              <w:right w:val="nil"/>
            </w:tcBorders>
            <w:shd w:val="clear" w:color="auto" w:fill="auto"/>
            <w:noWrap/>
            <w:vAlign w:val="bottom"/>
            <w:hideMark/>
          </w:tcPr>
          <w:p w14:paraId="40322DC4" w14:textId="77777777" w:rsidR="001332CF" w:rsidRPr="00591954" w:rsidRDefault="001332CF" w:rsidP="00F36BB1">
            <w:pPr>
              <w:rPr>
                <w:rFonts w:ascii="Calibri" w:hAnsi="Calibri"/>
                <w:szCs w:val="24"/>
                <w:lang w:val="en-GB"/>
              </w:rPr>
            </w:pPr>
            <w:r w:rsidRPr="00591954">
              <w:rPr>
                <w:rFonts w:ascii="Calibri" w:hAnsi="Calibri"/>
                <w:szCs w:val="24"/>
                <w:lang w:val="en-GB"/>
              </w:rPr>
              <w:t>ENIGMA-Eps (left)</w:t>
            </w:r>
          </w:p>
        </w:tc>
        <w:tc>
          <w:tcPr>
            <w:tcW w:w="2260" w:type="dxa"/>
            <w:tcBorders>
              <w:top w:val="nil"/>
              <w:left w:val="nil"/>
              <w:bottom w:val="single" w:sz="4" w:space="0" w:color="auto"/>
              <w:right w:val="nil"/>
            </w:tcBorders>
            <w:shd w:val="clear" w:color="auto" w:fill="auto"/>
            <w:noWrap/>
            <w:vAlign w:val="bottom"/>
            <w:hideMark/>
          </w:tcPr>
          <w:p w14:paraId="601286CD" w14:textId="77777777" w:rsidR="001332CF" w:rsidRPr="00591954" w:rsidRDefault="001332CF" w:rsidP="00F36BB1">
            <w:pPr>
              <w:rPr>
                <w:rFonts w:ascii="Calibri" w:hAnsi="Calibri"/>
                <w:szCs w:val="24"/>
                <w:lang w:val="en-GB"/>
              </w:rPr>
            </w:pPr>
            <w:r w:rsidRPr="00591954">
              <w:rPr>
                <w:rFonts w:ascii="Calibri" w:hAnsi="Calibri"/>
                <w:szCs w:val="24"/>
                <w:lang w:val="en-GB"/>
              </w:rPr>
              <w:t>ENIGMA-Eps (right)</w:t>
            </w:r>
          </w:p>
        </w:tc>
        <w:tc>
          <w:tcPr>
            <w:tcW w:w="268" w:type="dxa"/>
            <w:tcBorders>
              <w:top w:val="nil"/>
              <w:left w:val="nil"/>
              <w:bottom w:val="single" w:sz="4" w:space="0" w:color="auto"/>
              <w:right w:val="nil"/>
            </w:tcBorders>
          </w:tcPr>
          <w:p w14:paraId="3C4D48F8" w14:textId="77777777" w:rsidR="001332CF" w:rsidRPr="00591954" w:rsidRDefault="001332CF" w:rsidP="00F36BB1">
            <w:pPr>
              <w:rPr>
                <w:rFonts w:ascii="Calibri" w:hAnsi="Calibri"/>
                <w:szCs w:val="24"/>
                <w:lang w:val="en-GB"/>
              </w:rPr>
            </w:pPr>
          </w:p>
        </w:tc>
        <w:tc>
          <w:tcPr>
            <w:tcW w:w="268" w:type="dxa"/>
            <w:tcBorders>
              <w:top w:val="nil"/>
              <w:left w:val="nil"/>
              <w:bottom w:val="single" w:sz="4" w:space="0" w:color="auto"/>
              <w:right w:val="nil"/>
            </w:tcBorders>
          </w:tcPr>
          <w:p w14:paraId="7BF52E41" w14:textId="77777777" w:rsidR="001332CF" w:rsidRPr="00591954" w:rsidRDefault="001332CF" w:rsidP="00F36BB1">
            <w:pPr>
              <w:rPr>
                <w:rFonts w:ascii="Calibri" w:hAnsi="Calibri"/>
                <w:szCs w:val="24"/>
                <w:lang w:val="en-GB"/>
              </w:rPr>
            </w:pPr>
          </w:p>
        </w:tc>
        <w:tc>
          <w:tcPr>
            <w:tcW w:w="268" w:type="dxa"/>
            <w:tcBorders>
              <w:top w:val="nil"/>
              <w:left w:val="nil"/>
              <w:bottom w:val="single" w:sz="4" w:space="0" w:color="auto"/>
              <w:right w:val="nil"/>
            </w:tcBorders>
          </w:tcPr>
          <w:p w14:paraId="07FC5D7E" w14:textId="77777777" w:rsidR="001332CF" w:rsidRPr="00591954" w:rsidRDefault="001332CF" w:rsidP="00F36BB1">
            <w:pPr>
              <w:rPr>
                <w:rFonts w:ascii="Calibri" w:hAnsi="Calibri"/>
                <w:szCs w:val="24"/>
                <w:lang w:val="en-GB"/>
              </w:rPr>
            </w:pPr>
          </w:p>
        </w:tc>
        <w:tc>
          <w:tcPr>
            <w:tcW w:w="268" w:type="dxa"/>
            <w:tcBorders>
              <w:top w:val="nil"/>
              <w:left w:val="nil"/>
              <w:bottom w:val="single" w:sz="4" w:space="0" w:color="auto"/>
              <w:right w:val="nil"/>
            </w:tcBorders>
          </w:tcPr>
          <w:p w14:paraId="779B5135" w14:textId="77777777" w:rsidR="001332CF" w:rsidRPr="00591954" w:rsidRDefault="001332CF" w:rsidP="00F36BB1">
            <w:pPr>
              <w:rPr>
                <w:rFonts w:ascii="Calibri" w:hAnsi="Calibri"/>
                <w:szCs w:val="24"/>
                <w:lang w:val="en-GB"/>
              </w:rPr>
            </w:pPr>
          </w:p>
        </w:tc>
      </w:tr>
      <w:tr w:rsidR="00591954" w:rsidRPr="00591954" w14:paraId="29DAA427" w14:textId="1C87656D" w:rsidTr="001332CF">
        <w:trPr>
          <w:trHeight w:val="320"/>
        </w:trPr>
        <w:tc>
          <w:tcPr>
            <w:tcW w:w="3040" w:type="dxa"/>
            <w:tcBorders>
              <w:top w:val="single" w:sz="4" w:space="0" w:color="auto"/>
              <w:left w:val="nil"/>
              <w:bottom w:val="nil"/>
              <w:right w:val="single" w:sz="4" w:space="0" w:color="auto"/>
            </w:tcBorders>
            <w:shd w:val="clear" w:color="auto" w:fill="auto"/>
            <w:noWrap/>
            <w:vAlign w:val="bottom"/>
            <w:hideMark/>
          </w:tcPr>
          <w:p w14:paraId="0A2E4AEA" w14:textId="77777777" w:rsidR="001332CF" w:rsidRPr="00591954" w:rsidRDefault="001332CF" w:rsidP="00F36BB1">
            <w:pPr>
              <w:rPr>
                <w:rFonts w:ascii="Calibri" w:hAnsi="Calibri"/>
                <w:szCs w:val="24"/>
                <w:u w:val="single"/>
                <w:lang w:val="en-GB"/>
              </w:rPr>
            </w:pPr>
            <w:r w:rsidRPr="00591954">
              <w:rPr>
                <w:rFonts w:ascii="Calibri" w:hAnsi="Calibri"/>
                <w:szCs w:val="24"/>
                <w:u w:val="single"/>
                <w:lang w:val="en-GB"/>
              </w:rPr>
              <w:t>precentral</w:t>
            </w:r>
          </w:p>
        </w:tc>
        <w:tc>
          <w:tcPr>
            <w:tcW w:w="2160" w:type="dxa"/>
            <w:tcBorders>
              <w:top w:val="single" w:sz="4" w:space="0" w:color="auto"/>
              <w:left w:val="nil"/>
              <w:bottom w:val="nil"/>
              <w:right w:val="nil"/>
            </w:tcBorders>
            <w:shd w:val="clear" w:color="000000" w:fill="FFC7CE"/>
            <w:noWrap/>
            <w:vAlign w:val="bottom"/>
            <w:hideMark/>
          </w:tcPr>
          <w:p w14:paraId="74E1C553"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1.82E-18</w:t>
            </w:r>
          </w:p>
        </w:tc>
        <w:tc>
          <w:tcPr>
            <w:tcW w:w="2260" w:type="dxa"/>
            <w:tcBorders>
              <w:top w:val="single" w:sz="4" w:space="0" w:color="auto"/>
              <w:left w:val="nil"/>
              <w:bottom w:val="nil"/>
              <w:right w:val="nil"/>
            </w:tcBorders>
            <w:shd w:val="clear" w:color="000000" w:fill="FFC7CE"/>
            <w:noWrap/>
            <w:vAlign w:val="bottom"/>
            <w:hideMark/>
          </w:tcPr>
          <w:p w14:paraId="145C093A"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8.85E-20</w:t>
            </w:r>
          </w:p>
        </w:tc>
        <w:tc>
          <w:tcPr>
            <w:tcW w:w="268" w:type="dxa"/>
            <w:tcBorders>
              <w:top w:val="single" w:sz="4" w:space="0" w:color="auto"/>
              <w:left w:val="nil"/>
              <w:bottom w:val="nil"/>
              <w:right w:val="nil"/>
            </w:tcBorders>
            <w:shd w:val="clear" w:color="000000" w:fill="FFC7CE"/>
          </w:tcPr>
          <w:p w14:paraId="114AD427" w14:textId="77777777" w:rsidR="001332CF" w:rsidRPr="00591954" w:rsidRDefault="001332CF" w:rsidP="00F36BB1">
            <w:pPr>
              <w:jc w:val="right"/>
              <w:rPr>
                <w:rFonts w:ascii="Calibri" w:hAnsi="Calibri"/>
                <w:szCs w:val="24"/>
                <w:lang w:val="en-GB"/>
              </w:rPr>
            </w:pPr>
          </w:p>
        </w:tc>
        <w:tc>
          <w:tcPr>
            <w:tcW w:w="268" w:type="dxa"/>
            <w:tcBorders>
              <w:top w:val="single" w:sz="4" w:space="0" w:color="auto"/>
              <w:left w:val="nil"/>
              <w:bottom w:val="nil"/>
              <w:right w:val="nil"/>
            </w:tcBorders>
            <w:shd w:val="clear" w:color="000000" w:fill="FFC7CE"/>
          </w:tcPr>
          <w:p w14:paraId="7EB98F91" w14:textId="77777777" w:rsidR="001332CF" w:rsidRPr="00591954" w:rsidRDefault="001332CF" w:rsidP="00F36BB1">
            <w:pPr>
              <w:jc w:val="right"/>
              <w:rPr>
                <w:rFonts w:ascii="Calibri" w:hAnsi="Calibri"/>
                <w:szCs w:val="24"/>
                <w:lang w:val="en-GB"/>
              </w:rPr>
            </w:pPr>
          </w:p>
        </w:tc>
        <w:tc>
          <w:tcPr>
            <w:tcW w:w="268" w:type="dxa"/>
            <w:tcBorders>
              <w:top w:val="single" w:sz="4" w:space="0" w:color="auto"/>
              <w:left w:val="nil"/>
              <w:bottom w:val="nil"/>
              <w:right w:val="nil"/>
            </w:tcBorders>
            <w:shd w:val="clear" w:color="000000" w:fill="FFC7CE"/>
          </w:tcPr>
          <w:p w14:paraId="2FC59EBE" w14:textId="77777777" w:rsidR="001332CF" w:rsidRPr="00591954" w:rsidRDefault="001332CF" w:rsidP="00F36BB1">
            <w:pPr>
              <w:jc w:val="right"/>
              <w:rPr>
                <w:rFonts w:ascii="Calibri" w:hAnsi="Calibri"/>
                <w:szCs w:val="24"/>
                <w:lang w:val="en-GB"/>
              </w:rPr>
            </w:pPr>
          </w:p>
        </w:tc>
        <w:tc>
          <w:tcPr>
            <w:tcW w:w="268" w:type="dxa"/>
            <w:tcBorders>
              <w:top w:val="single" w:sz="4" w:space="0" w:color="auto"/>
              <w:left w:val="nil"/>
              <w:bottom w:val="nil"/>
              <w:right w:val="nil"/>
            </w:tcBorders>
            <w:shd w:val="clear" w:color="000000" w:fill="FFC7CE"/>
          </w:tcPr>
          <w:p w14:paraId="4B67BC9C" w14:textId="77777777" w:rsidR="001332CF" w:rsidRPr="00591954" w:rsidRDefault="001332CF" w:rsidP="00F36BB1">
            <w:pPr>
              <w:jc w:val="right"/>
              <w:rPr>
                <w:rFonts w:ascii="Calibri" w:hAnsi="Calibri"/>
                <w:szCs w:val="24"/>
                <w:lang w:val="en-GB"/>
              </w:rPr>
            </w:pPr>
          </w:p>
        </w:tc>
      </w:tr>
      <w:tr w:rsidR="00591954" w:rsidRPr="00591954" w14:paraId="1DB2EA5A" w14:textId="65BB817D" w:rsidTr="001332CF">
        <w:trPr>
          <w:trHeight w:val="320"/>
        </w:trPr>
        <w:tc>
          <w:tcPr>
            <w:tcW w:w="3040" w:type="dxa"/>
            <w:tcBorders>
              <w:top w:val="nil"/>
              <w:left w:val="nil"/>
              <w:bottom w:val="nil"/>
              <w:right w:val="single" w:sz="4" w:space="0" w:color="auto"/>
            </w:tcBorders>
            <w:shd w:val="clear" w:color="auto" w:fill="auto"/>
            <w:noWrap/>
            <w:vAlign w:val="bottom"/>
            <w:hideMark/>
          </w:tcPr>
          <w:p w14:paraId="43D83AD8" w14:textId="77777777" w:rsidR="001332CF" w:rsidRPr="00591954" w:rsidRDefault="001332CF" w:rsidP="00F36BB1">
            <w:pPr>
              <w:rPr>
                <w:rFonts w:ascii="Calibri" w:hAnsi="Calibri"/>
                <w:szCs w:val="24"/>
                <w:u w:val="single"/>
                <w:lang w:val="en-GB"/>
              </w:rPr>
            </w:pPr>
            <w:proofErr w:type="spellStart"/>
            <w:r w:rsidRPr="00591954">
              <w:rPr>
                <w:rFonts w:ascii="Calibri" w:hAnsi="Calibri"/>
                <w:szCs w:val="24"/>
                <w:u w:val="single"/>
                <w:lang w:val="en-GB"/>
              </w:rPr>
              <w:t>caudalmiddlefrontal</w:t>
            </w:r>
            <w:proofErr w:type="spellEnd"/>
          </w:p>
        </w:tc>
        <w:tc>
          <w:tcPr>
            <w:tcW w:w="2160" w:type="dxa"/>
            <w:tcBorders>
              <w:top w:val="nil"/>
              <w:left w:val="nil"/>
              <w:bottom w:val="nil"/>
              <w:right w:val="nil"/>
            </w:tcBorders>
            <w:shd w:val="clear" w:color="000000" w:fill="FFC7CE"/>
            <w:noWrap/>
            <w:vAlign w:val="bottom"/>
            <w:hideMark/>
          </w:tcPr>
          <w:p w14:paraId="5CD55CBC"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2.11E-15</w:t>
            </w:r>
          </w:p>
        </w:tc>
        <w:tc>
          <w:tcPr>
            <w:tcW w:w="2260" w:type="dxa"/>
            <w:tcBorders>
              <w:top w:val="nil"/>
              <w:left w:val="nil"/>
              <w:bottom w:val="nil"/>
              <w:right w:val="nil"/>
            </w:tcBorders>
            <w:shd w:val="clear" w:color="000000" w:fill="FFC7CE"/>
            <w:noWrap/>
            <w:vAlign w:val="bottom"/>
            <w:hideMark/>
          </w:tcPr>
          <w:p w14:paraId="00537B6E"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2.09E-09</w:t>
            </w:r>
          </w:p>
        </w:tc>
        <w:tc>
          <w:tcPr>
            <w:tcW w:w="268" w:type="dxa"/>
            <w:tcBorders>
              <w:top w:val="nil"/>
              <w:left w:val="nil"/>
              <w:bottom w:val="nil"/>
              <w:right w:val="nil"/>
            </w:tcBorders>
            <w:shd w:val="clear" w:color="000000" w:fill="FFC7CE"/>
          </w:tcPr>
          <w:p w14:paraId="656389ED"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36AF2A0E"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78ED3692"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3F5376ED" w14:textId="77777777" w:rsidR="001332CF" w:rsidRPr="00591954" w:rsidRDefault="001332CF" w:rsidP="00F36BB1">
            <w:pPr>
              <w:jc w:val="right"/>
              <w:rPr>
                <w:rFonts w:ascii="Calibri" w:hAnsi="Calibri"/>
                <w:szCs w:val="24"/>
                <w:lang w:val="en-GB"/>
              </w:rPr>
            </w:pPr>
          </w:p>
        </w:tc>
      </w:tr>
      <w:tr w:rsidR="00591954" w:rsidRPr="00591954" w14:paraId="482DD7BF" w14:textId="00062D8E" w:rsidTr="001332CF">
        <w:trPr>
          <w:trHeight w:val="320"/>
        </w:trPr>
        <w:tc>
          <w:tcPr>
            <w:tcW w:w="3040" w:type="dxa"/>
            <w:tcBorders>
              <w:top w:val="nil"/>
              <w:left w:val="nil"/>
              <w:bottom w:val="nil"/>
              <w:right w:val="single" w:sz="4" w:space="0" w:color="auto"/>
            </w:tcBorders>
            <w:shd w:val="clear" w:color="auto" w:fill="auto"/>
            <w:noWrap/>
            <w:vAlign w:val="bottom"/>
            <w:hideMark/>
          </w:tcPr>
          <w:p w14:paraId="73D54BCC"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superiorparietal</w:t>
            </w:r>
            <w:proofErr w:type="spellEnd"/>
          </w:p>
        </w:tc>
        <w:tc>
          <w:tcPr>
            <w:tcW w:w="2160" w:type="dxa"/>
            <w:tcBorders>
              <w:top w:val="nil"/>
              <w:left w:val="nil"/>
              <w:bottom w:val="nil"/>
              <w:right w:val="nil"/>
            </w:tcBorders>
            <w:shd w:val="clear" w:color="000000" w:fill="E2EFDA"/>
            <w:noWrap/>
            <w:vAlign w:val="bottom"/>
            <w:hideMark/>
          </w:tcPr>
          <w:p w14:paraId="4D50CB32"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1.78E-04</w:t>
            </w:r>
          </w:p>
        </w:tc>
        <w:tc>
          <w:tcPr>
            <w:tcW w:w="2260" w:type="dxa"/>
            <w:tcBorders>
              <w:top w:val="nil"/>
              <w:left w:val="nil"/>
              <w:bottom w:val="nil"/>
              <w:right w:val="nil"/>
            </w:tcBorders>
            <w:shd w:val="clear" w:color="000000" w:fill="E2EFDA"/>
            <w:noWrap/>
            <w:vAlign w:val="bottom"/>
            <w:hideMark/>
          </w:tcPr>
          <w:p w14:paraId="2F9026D0"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8.13E-04</w:t>
            </w:r>
          </w:p>
        </w:tc>
        <w:tc>
          <w:tcPr>
            <w:tcW w:w="268" w:type="dxa"/>
            <w:tcBorders>
              <w:top w:val="nil"/>
              <w:left w:val="nil"/>
              <w:bottom w:val="nil"/>
              <w:right w:val="nil"/>
            </w:tcBorders>
            <w:shd w:val="clear" w:color="000000" w:fill="E2EFDA"/>
          </w:tcPr>
          <w:p w14:paraId="080E50B2"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283A614F"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62B3CE03"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26F32734" w14:textId="77777777" w:rsidR="001332CF" w:rsidRPr="00591954" w:rsidRDefault="001332CF" w:rsidP="00F36BB1">
            <w:pPr>
              <w:jc w:val="right"/>
              <w:rPr>
                <w:rFonts w:ascii="Calibri" w:hAnsi="Calibri"/>
                <w:szCs w:val="24"/>
                <w:lang w:val="en-GB"/>
              </w:rPr>
            </w:pPr>
          </w:p>
        </w:tc>
      </w:tr>
      <w:tr w:rsidR="00591954" w:rsidRPr="00591954" w14:paraId="153577F0" w14:textId="5933AEC3" w:rsidTr="001332CF">
        <w:trPr>
          <w:trHeight w:val="320"/>
        </w:trPr>
        <w:tc>
          <w:tcPr>
            <w:tcW w:w="3040" w:type="dxa"/>
            <w:tcBorders>
              <w:top w:val="nil"/>
              <w:left w:val="nil"/>
              <w:bottom w:val="nil"/>
              <w:right w:val="single" w:sz="4" w:space="0" w:color="auto"/>
            </w:tcBorders>
            <w:shd w:val="clear" w:color="auto" w:fill="auto"/>
            <w:noWrap/>
            <w:vAlign w:val="bottom"/>
            <w:hideMark/>
          </w:tcPr>
          <w:p w14:paraId="21BAA097" w14:textId="77777777" w:rsidR="001332CF" w:rsidRPr="00591954" w:rsidRDefault="001332CF" w:rsidP="00F36BB1">
            <w:pPr>
              <w:rPr>
                <w:rFonts w:ascii="Calibri" w:hAnsi="Calibri"/>
                <w:szCs w:val="24"/>
                <w:u w:val="single"/>
                <w:lang w:val="en-GB"/>
              </w:rPr>
            </w:pPr>
            <w:r w:rsidRPr="00591954">
              <w:rPr>
                <w:rFonts w:ascii="Calibri" w:hAnsi="Calibri"/>
                <w:szCs w:val="24"/>
                <w:u w:val="single"/>
                <w:lang w:val="en-GB"/>
              </w:rPr>
              <w:t>paracentral</w:t>
            </w:r>
          </w:p>
        </w:tc>
        <w:tc>
          <w:tcPr>
            <w:tcW w:w="2160" w:type="dxa"/>
            <w:tcBorders>
              <w:top w:val="nil"/>
              <w:left w:val="nil"/>
              <w:bottom w:val="nil"/>
              <w:right w:val="nil"/>
            </w:tcBorders>
            <w:shd w:val="clear" w:color="000000" w:fill="FFC7CE"/>
            <w:noWrap/>
            <w:vAlign w:val="bottom"/>
            <w:hideMark/>
          </w:tcPr>
          <w:p w14:paraId="5D6A005F"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2.05E-06</w:t>
            </w:r>
          </w:p>
        </w:tc>
        <w:tc>
          <w:tcPr>
            <w:tcW w:w="2260" w:type="dxa"/>
            <w:tcBorders>
              <w:top w:val="nil"/>
              <w:left w:val="nil"/>
              <w:bottom w:val="nil"/>
              <w:right w:val="nil"/>
            </w:tcBorders>
            <w:shd w:val="clear" w:color="000000" w:fill="FFC7CE"/>
            <w:noWrap/>
            <w:vAlign w:val="bottom"/>
            <w:hideMark/>
          </w:tcPr>
          <w:p w14:paraId="469D2230"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2.19E-09</w:t>
            </w:r>
          </w:p>
        </w:tc>
        <w:tc>
          <w:tcPr>
            <w:tcW w:w="268" w:type="dxa"/>
            <w:tcBorders>
              <w:top w:val="nil"/>
              <w:left w:val="nil"/>
              <w:bottom w:val="nil"/>
              <w:right w:val="nil"/>
            </w:tcBorders>
            <w:shd w:val="clear" w:color="000000" w:fill="FFC7CE"/>
          </w:tcPr>
          <w:p w14:paraId="2EC44383"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3A5EB5CF"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5E718909"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44A2F902" w14:textId="77777777" w:rsidR="001332CF" w:rsidRPr="00591954" w:rsidRDefault="001332CF" w:rsidP="00F36BB1">
            <w:pPr>
              <w:jc w:val="right"/>
              <w:rPr>
                <w:rFonts w:ascii="Calibri" w:hAnsi="Calibri"/>
                <w:szCs w:val="24"/>
                <w:lang w:val="en-GB"/>
              </w:rPr>
            </w:pPr>
          </w:p>
        </w:tc>
      </w:tr>
      <w:tr w:rsidR="00591954" w:rsidRPr="00591954" w14:paraId="7EE3EF6F" w14:textId="3B379A4B" w:rsidTr="001332CF">
        <w:trPr>
          <w:trHeight w:val="320"/>
        </w:trPr>
        <w:tc>
          <w:tcPr>
            <w:tcW w:w="3040" w:type="dxa"/>
            <w:tcBorders>
              <w:top w:val="nil"/>
              <w:left w:val="nil"/>
              <w:bottom w:val="nil"/>
              <w:right w:val="single" w:sz="4" w:space="0" w:color="auto"/>
            </w:tcBorders>
            <w:shd w:val="clear" w:color="auto" w:fill="auto"/>
            <w:noWrap/>
            <w:vAlign w:val="bottom"/>
            <w:hideMark/>
          </w:tcPr>
          <w:p w14:paraId="3F46E643" w14:textId="77777777" w:rsidR="001332CF" w:rsidRPr="00591954" w:rsidRDefault="001332CF" w:rsidP="00F36BB1">
            <w:pPr>
              <w:rPr>
                <w:rFonts w:ascii="Calibri" w:hAnsi="Calibri"/>
                <w:szCs w:val="24"/>
                <w:u w:val="single"/>
                <w:lang w:val="en-GB"/>
              </w:rPr>
            </w:pPr>
            <w:proofErr w:type="spellStart"/>
            <w:r w:rsidRPr="00591954">
              <w:rPr>
                <w:rFonts w:ascii="Calibri" w:hAnsi="Calibri"/>
                <w:szCs w:val="24"/>
                <w:u w:val="single"/>
                <w:lang w:val="en-GB"/>
              </w:rPr>
              <w:t>superiorfrontal</w:t>
            </w:r>
            <w:proofErr w:type="spellEnd"/>
          </w:p>
        </w:tc>
        <w:tc>
          <w:tcPr>
            <w:tcW w:w="2160" w:type="dxa"/>
            <w:tcBorders>
              <w:top w:val="nil"/>
              <w:left w:val="nil"/>
              <w:bottom w:val="nil"/>
              <w:right w:val="nil"/>
            </w:tcBorders>
            <w:shd w:val="clear" w:color="000000" w:fill="FFC7CE"/>
            <w:noWrap/>
            <w:vAlign w:val="bottom"/>
            <w:hideMark/>
          </w:tcPr>
          <w:p w14:paraId="7A16B079"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1.51E-07</w:t>
            </w:r>
          </w:p>
        </w:tc>
        <w:tc>
          <w:tcPr>
            <w:tcW w:w="2260" w:type="dxa"/>
            <w:tcBorders>
              <w:top w:val="nil"/>
              <w:left w:val="nil"/>
              <w:bottom w:val="nil"/>
              <w:right w:val="nil"/>
            </w:tcBorders>
            <w:shd w:val="clear" w:color="000000" w:fill="FFC7CE"/>
            <w:noWrap/>
            <w:vAlign w:val="bottom"/>
            <w:hideMark/>
          </w:tcPr>
          <w:p w14:paraId="537D098B"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4.49E-06</w:t>
            </w:r>
          </w:p>
        </w:tc>
        <w:tc>
          <w:tcPr>
            <w:tcW w:w="268" w:type="dxa"/>
            <w:tcBorders>
              <w:top w:val="nil"/>
              <w:left w:val="nil"/>
              <w:bottom w:val="nil"/>
              <w:right w:val="nil"/>
            </w:tcBorders>
            <w:shd w:val="clear" w:color="000000" w:fill="FFC7CE"/>
          </w:tcPr>
          <w:p w14:paraId="5F26FD8B"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75D9B694"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3C3E39FC"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3A4359E1" w14:textId="77777777" w:rsidR="001332CF" w:rsidRPr="00591954" w:rsidRDefault="001332CF" w:rsidP="00F36BB1">
            <w:pPr>
              <w:jc w:val="right"/>
              <w:rPr>
                <w:rFonts w:ascii="Calibri" w:hAnsi="Calibri"/>
                <w:szCs w:val="24"/>
                <w:lang w:val="en-GB"/>
              </w:rPr>
            </w:pPr>
          </w:p>
        </w:tc>
      </w:tr>
      <w:tr w:rsidR="00591954" w:rsidRPr="00591954" w14:paraId="495E6CE4" w14:textId="44DBE4B4" w:rsidTr="001332CF">
        <w:trPr>
          <w:trHeight w:val="320"/>
        </w:trPr>
        <w:tc>
          <w:tcPr>
            <w:tcW w:w="3040" w:type="dxa"/>
            <w:tcBorders>
              <w:top w:val="nil"/>
              <w:left w:val="nil"/>
              <w:bottom w:val="nil"/>
              <w:right w:val="single" w:sz="4" w:space="0" w:color="auto"/>
            </w:tcBorders>
            <w:shd w:val="clear" w:color="auto" w:fill="auto"/>
            <w:noWrap/>
            <w:vAlign w:val="bottom"/>
            <w:hideMark/>
          </w:tcPr>
          <w:p w14:paraId="096582A5"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precuneus</w:t>
            </w:r>
            <w:proofErr w:type="spellEnd"/>
          </w:p>
        </w:tc>
        <w:tc>
          <w:tcPr>
            <w:tcW w:w="2160" w:type="dxa"/>
            <w:tcBorders>
              <w:top w:val="nil"/>
              <w:left w:val="nil"/>
              <w:bottom w:val="nil"/>
              <w:right w:val="nil"/>
            </w:tcBorders>
            <w:shd w:val="clear" w:color="000000" w:fill="E2EFDA"/>
            <w:noWrap/>
            <w:vAlign w:val="bottom"/>
            <w:hideMark/>
          </w:tcPr>
          <w:p w14:paraId="5323A17A"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2.66E-03</w:t>
            </w:r>
          </w:p>
        </w:tc>
        <w:tc>
          <w:tcPr>
            <w:tcW w:w="2260" w:type="dxa"/>
            <w:tcBorders>
              <w:top w:val="nil"/>
              <w:left w:val="nil"/>
              <w:bottom w:val="nil"/>
              <w:right w:val="nil"/>
            </w:tcBorders>
            <w:shd w:val="clear" w:color="000000" w:fill="FFC7CE"/>
            <w:noWrap/>
            <w:vAlign w:val="bottom"/>
            <w:hideMark/>
          </w:tcPr>
          <w:p w14:paraId="18F6A681"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2.70E-05</w:t>
            </w:r>
          </w:p>
        </w:tc>
        <w:tc>
          <w:tcPr>
            <w:tcW w:w="268" w:type="dxa"/>
            <w:tcBorders>
              <w:top w:val="nil"/>
              <w:left w:val="nil"/>
              <w:bottom w:val="nil"/>
              <w:right w:val="nil"/>
            </w:tcBorders>
            <w:shd w:val="clear" w:color="000000" w:fill="FFC7CE"/>
          </w:tcPr>
          <w:p w14:paraId="42E1B0AC"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674383CF"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2424876C"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286C114E" w14:textId="77777777" w:rsidR="001332CF" w:rsidRPr="00591954" w:rsidRDefault="001332CF" w:rsidP="00F36BB1">
            <w:pPr>
              <w:jc w:val="right"/>
              <w:rPr>
                <w:rFonts w:ascii="Calibri" w:hAnsi="Calibri"/>
                <w:szCs w:val="24"/>
                <w:lang w:val="en-GB"/>
              </w:rPr>
            </w:pPr>
          </w:p>
        </w:tc>
      </w:tr>
      <w:tr w:rsidR="00591954" w:rsidRPr="00591954" w14:paraId="77787262" w14:textId="54E0935C" w:rsidTr="001332CF">
        <w:trPr>
          <w:trHeight w:val="320"/>
        </w:trPr>
        <w:tc>
          <w:tcPr>
            <w:tcW w:w="3040" w:type="dxa"/>
            <w:tcBorders>
              <w:top w:val="nil"/>
              <w:left w:val="nil"/>
              <w:bottom w:val="nil"/>
              <w:right w:val="single" w:sz="4" w:space="0" w:color="auto"/>
            </w:tcBorders>
            <w:shd w:val="clear" w:color="auto" w:fill="auto"/>
            <w:noWrap/>
            <w:vAlign w:val="bottom"/>
            <w:hideMark/>
          </w:tcPr>
          <w:p w14:paraId="4684525A" w14:textId="77777777" w:rsidR="001332CF" w:rsidRPr="00591954" w:rsidRDefault="001332CF" w:rsidP="00F36BB1">
            <w:pPr>
              <w:rPr>
                <w:rFonts w:ascii="Calibri" w:hAnsi="Calibri"/>
                <w:szCs w:val="24"/>
                <w:u w:val="single"/>
                <w:lang w:val="en-GB"/>
              </w:rPr>
            </w:pPr>
            <w:r w:rsidRPr="00591954">
              <w:rPr>
                <w:rFonts w:ascii="Calibri" w:hAnsi="Calibri"/>
                <w:szCs w:val="24"/>
                <w:u w:val="single"/>
                <w:lang w:val="en-GB"/>
              </w:rPr>
              <w:t>entorhinal</w:t>
            </w:r>
          </w:p>
        </w:tc>
        <w:tc>
          <w:tcPr>
            <w:tcW w:w="2160" w:type="dxa"/>
            <w:tcBorders>
              <w:top w:val="nil"/>
              <w:left w:val="nil"/>
              <w:bottom w:val="nil"/>
              <w:right w:val="nil"/>
            </w:tcBorders>
            <w:shd w:val="clear" w:color="000000" w:fill="FFC7CE"/>
            <w:noWrap/>
            <w:vAlign w:val="bottom"/>
            <w:hideMark/>
          </w:tcPr>
          <w:p w14:paraId="16E83056"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2.04E-05</w:t>
            </w:r>
          </w:p>
        </w:tc>
        <w:tc>
          <w:tcPr>
            <w:tcW w:w="2260" w:type="dxa"/>
            <w:tcBorders>
              <w:top w:val="nil"/>
              <w:left w:val="nil"/>
              <w:bottom w:val="nil"/>
              <w:right w:val="nil"/>
            </w:tcBorders>
            <w:shd w:val="clear" w:color="000000" w:fill="E2EFDA"/>
            <w:noWrap/>
            <w:vAlign w:val="bottom"/>
            <w:hideMark/>
          </w:tcPr>
          <w:p w14:paraId="649306CA"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4.24E-03</w:t>
            </w:r>
          </w:p>
        </w:tc>
        <w:tc>
          <w:tcPr>
            <w:tcW w:w="268" w:type="dxa"/>
            <w:tcBorders>
              <w:top w:val="nil"/>
              <w:left w:val="nil"/>
              <w:bottom w:val="nil"/>
              <w:right w:val="nil"/>
            </w:tcBorders>
            <w:shd w:val="clear" w:color="000000" w:fill="E2EFDA"/>
          </w:tcPr>
          <w:p w14:paraId="468208D6"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0599E079"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7B45368E"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294AD30F" w14:textId="77777777" w:rsidR="001332CF" w:rsidRPr="00591954" w:rsidRDefault="001332CF" w:rsidP="00F36BB1">
            <w:pPr>
              <w:jc w:val="right"/>
              <w:rPr>
                <w:rFonts w:ascii="Calibri" w:hAnsi="Calibri"/>
                <w:szCs w:val="24"/>
                <w:lang w:val="en-GB"/>
              </w:rPr>
            </w:pPr>
          </w:p>
        </w:tc>
      </w:tr>
      <w:tr w:rsidR="00591954" w:rsidRPr="00591954" w14:paraId="12E990C7" w14:textId="368FA876" w:rsidTr="001332CF">
        <w:trPr>
          <w:trHeight w:val="320"/>
        </w:trPr>
        <w:tc>
          <w:tcPr>
            <w:tcW w:w="3040" w:type="dxa"/>
            <w:tcBorders>
              <w:top w:val="nil"/>
              <w:left w:val="nil"/>
              <w:bottom w:val="nil"/>
              <w:right w:val="single" w:sz="4" w:space="0" w:color="auto"/>
            </w:tcBorders>
            <w:shd w:val="clear" w:color="auto" w:fill="auto"/>
            <w:noWrap/>
            <w:vAlign w:val="bottom"/>
            <w:hideMark/>
          </w:tcPr>
          <w:p w14:paraId="62C9153B" w14:textId="77777777" w:rsidR="001332CF" w:rsidRPr="00591954" w:rsidRDefault="001332CF" w:rsidP="00F36BB1">
            <w:pPr>
              <w:rPr>
                <w:rFonts w:ascii="Calibri" w:hAnsi="Calibri"/>
                <w:szCs w:val="24"/>
                <w:u w:val="single"/>
                <w:lang w:val="en-GB"/>
              </w:rPr>
            </w:pPr>
            <w:r w:rsidRPr="00591954">
              <w:rPr>
                <w:rFonts w:ascii="Calibri" w:hAnsi="Calibri"/>
                <w:szCs w:val="24"/>
                <w:u w:val="single"/>
                <w:lang w:val="en-GB"/>
              </w:rPr>
              <w:t>supramarginal</w:t>
            </w:r>
          </w:p>
        </w:tc>
        <w:tc>
          <w:tcPr>
            <w:tcW w:w="2160" w:type="dxa"/>
            <w:tcBorders>
              <w:top w:val="nil"/>
              <w:left w:val="nil"/>
              <w:bottom w:val="nil"/>
              <w:right w:val="nil"/>
            </w:tcBorders>
            <w:shd w:val="clear" w:color="000000" w:fill="FFC7CE"/>
            <w:noWrap/>
            <w:vAlign w:val="bottom"/>
            <w:hideMark/>
          </w:tcPr>
          <w:p w14:paraId="5DB76A07"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9.87E-05</w:t>
            </w:r>
          </w:p>
        </w:tc>
        <w:tc>
          <w:tcPr>
            <w:tcW w:w="2260" w:type="dxa"/>
            <w:tcBorders>
              <w:top w:val="nil"/>
              <w:left w:val="nil"/>
              <w:bottom w:val="nil"/>
              <w:right w:val="nil"/>
            </w:tcBorders>
            <w:shd w:val="clear" w:color="000000" w:fill="FFC7CE"/>
            <w:noWrap/>
            <w:vAlign w:val="bottom"/>
            <w:hideMark/>
          </w:tcPr>
          <w:p w14:paraId="606B6409"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5.24E-05</w:t>
            </w:r>
          </w:p>
        </w:tc>
        <w:tc>
          <w:tcPr>
            <w:tcW w:w="268" w:type="dxa"/>
            <w:tcBorders>
              <w:top w:val="nil"/>
              <w:left w:val="nil"/>
              <w:bottom w:val="nil"/>
              <w:right w:val="nil"/>
            </w:tcBorders>
            <w:shd w:val="clear" w:color="000000" w:fill="FFC7CE"/>
          </w:tcPr>
          <w:p w14:paraId="403E91AE"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3B679FBF"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11682C92"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648289C5" w14:textId="77777777" w:rsidR="001332CF" w:rsidRPr="00591954" w:rsidRDefault="001332CF" w:rsidP="00F36BB1">
            <w:pPr>
              <w:jc w:val="right"/>
              <w:rPr>
                <w:rFonts w:ascii="Calibri" w:hAnsi="Calibri"/>
                <w:szCs w:val="24"/>
                <w:lang w:val="en-GB"/>
              </w:rPr>
            </w:pPr>
          </w:p>
        </w:tc>
      </w:tr>
      <w:tr w:rsidR="00591954" w:rsidRPr="00591954" w14:paraId="4B5667EF" w14:textId="7EEC3543" w:rsidTr="001332CF">
        <w:trPr>
          <w:trHeight w:val="320"/>
        </w:trPr>
        <w:tc>
          <w:tcPr>
            <w:tcW w:w="3040" w:type="dxa"/>
            <w:tcBorders>
              <w:top w:val="nil"/>
              <w:left w:val="nil"/>
              <w:bottom w:val="nil"/>
              <w:right w:val="single" w:sz="4" w:space="0" w:color="auto"/>
            </w:tcBorders>
            <w:shd w:val="clear" w:color="auto" w:fill="auto"/>
            <w:noWrap/>
            <w:vAlign w:val="bottom"/>
            <w:hideMark/>
          </w:tcPr>
          <w:p w14:paraId="2563DE2A"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rostralmiddlefrontal</w:t>
            </w:r>
            <w:proofErr w:type="spellEnd"/>
          </w:p>
        </w:tc>
        <w:tc>
          <w:tcPr>
            <w:tcW w:w="2160" w:type="dxa"/>
            <w:tcBorders>
              <w:top w:val="nil"/>
              <w:left w:val="nil"/>
              <w:bottom w:val="nil"/>
              <w:right w:val="nil"/>
            </w:tcBorders>
            <w:shd w:val="clear" w:color="000000" w:fill="E2EFDA"/>
            <w:noWrap/>
            <w:vAlign w:val="bottom"/>
            <w:hideMark/>
          </w:tcPr>
          <w:p w14:paraId="7BD3294D"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2.15E-02</w:t>
            </w:r>
          </w:p>
        </w:tc>
        <w:tc>
          <w:tcPr>
            <w:tcW w:w="2260" w:type="dxa"/>
            <w:tcBorders>
              <w:top w:val="nil"/>
              <w:left w:val="nil"/>
              <w:bottom w:val="nil"/>
              <w:right w:val="nil"/>
            </w:tcBorders>
            <w:shd w:val="clear" w:color="000000" w:fill="E2EFDA"/>
            <w:noWrap/>
            <w:vAlign w:val="bottom"/>
            <w:hideMark/>
          </w:tcPr>
          <w:p w14:paraId="6EE46728"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5.94E-04</w:t>
            </w:r>
          </w:p>
        </w:tc>
        <w:tc>
          <w:tcPr>
            <w:tcW w:w="268" w:type="dxa"/>
            <w:tcBorders>
              <w:top w:val="nil"/>
              <w:left w:val="nil"/>
              <w:bottom w:val="nil"/>
              <w:right w:val="nil"/>
            </w:tcBorders>
            <w:shd w:val="clear" w:color="000000" w:fill="E2EFDA"/>
          </w:tcPr>
          <w:p w14:paraId="46C43E5B"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7198FC00"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15088F21"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046793AC" w14:textId="77777777" w:rsidR="001332CF" w:rsidRPr="00591954" w:rsidRDefault="001332CF" w:rsidP="00F36BB1">
            <w:pPr>
              <w:jc w:val="right"/>
              <w:rPr>
                <w:rFonts w:ascii="Calibri" w:hAnsi="Calibri"/>
                <w:szCs w:val="24"/>
                <w:lang w:val="en-GB"/>
              </w:rPr>
            </w:pPr>
          </w:p>
        </w:tc>
      </w:tr>
      <w:tr w:rsidR="00591954" w:rsidRPr="00591954" w14:paraId="68D48521" w14:textId="1498E72F" w:rsidTr="001332CF">
        <w:trPr>
          <w:trHeight w:val="320"/>
        </w:trPr>
        <w:tc>
          <w:tcPr>
            <w:tcW w:w="3040" w:type="dxa"/>
            <w:tcBorders>
              <w:top w:val="nil"/>
              <w:left w:val="nil"/>
              <w:bottom w:val="nil"/>
              <w:right w:val="single" w:sz="4" w:space="0" w:color="auto"/>
            </w:tcBorders>
            <w:shd w:val="clear" w:color="auto" w:fill="auto"/>
            <w:noWrap/>
            <w:vAlign w:val="bottom"/>
            <w:hideMark/>
          </w:tcPr>
          <w:p w14:paraId="4CDE2626"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temporalpole</w:t>
            </w:r>
            <w:proofErr w:type="spellEnd"/>
          </w:p>
        </w:tc>
        <w:tc>
          <w:tcPr>
            <w:tcW w:w="2160" w:type="dxa"/>
            <w:tcBorders>
              <w:top w:val="nil"/>
              <w:left w:val="nil"/>
              <w:bottom w:val="nil"/>
              <w:right w:val="nil"/>
            </w:tcBorders>
            <w:shd w:val="clear" w:color="000000" w:fill="E2EFDA"/>
            <w:noWrap/>
            <w:vAlign w:val="bottom"/>
            <w:hideMark/>
          </w:tcPr>
          <w:p w14:paraId="668B114B"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7.49E-04</w:t>
            </w:r>
          </w:p>
        </w:tc>
        <w:tc>
          <w:tcPr>
            <w:tcW w:w="2260" w:type="dxa"/>
            <w:tcBorders>
              <w:top w:val="nil"/>
              <w:left w:val="nil"/>
              <w:bottom w:val="nil"/>
              <w:right w:val="nil"/>
            </w:tcBorders>
            <w:shd w:val="clear" w:color="000000" w:fill="E2EFDA"/>
            <w:noWrap/>
            <w:vAlign w:val="bottom"/>
            <w:hideMark/>
          </w:tcPr>
          <w:p w14:paraId="00236489"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5.51E-04</w:t>
            </w:r>
          </w:p>
        </w:tc>
        <w:tc>
          <w:tcPr>
            <w:tcW w:w="268" w:type="dxa"/>
            <w:tcBorders>
              <w:top w:val="nil"/>
              <w:left w:val="nil"/>
              <w:bottom w:val="nil"/>
              <w:right w:val="nil"/>
            </w:tcBorders>
            <w:shd w:val="clear" w:color="000000" w:fill="E2EFDA"/>
          </w:tcPr>
          <w:p w14:paraId="48E9A44E"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465120F2"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3169D13C"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438CC529" w14:textId="77777777" w:rsidR="001332CF" w:rsidRPr="00591954" w:rsidRDefault="001332CF" w:rsidP="00F36BB1">
            <w:pPr>
              <w:jc w:val="right"/>
              <w:rPr>
                <w:rFonts w:ascii="Calibri" w:hAnsi="Calibri"/>
                <w:szCs w:val="24"/>
                <w:lang w:val="en-GB"/>
              </w:rPr>
            </w:pPr>
          </w:p>
        </w:tc>
      </w:tr>
      <w:tr w:rsidR="00591954" w:rsidRPr="00591954" w14:paraId="2A77B4E4" w14:textId="0A7491FC" w:rsidTr="001332CF">
        <w:trPr>
          <w:trHeight w:val="320"/>
        </w:trPr>
        <w:tc>
          <w:tcPr>
            <w:tcW w:w="3040" w:type="dxa"/>
            <w:tcBorders>
              <w:top w:val="nil"/>
              <w:left w:val="nil"/>
              <w:bottom w:val="nil"/>
              <w:right w:val="single" w:sz="4" w:space="0" w:color="auto"/>
            </w:tcBorders>
            <w:shd w:val="clear" w:color="auto" w:fill="auto"/>
            <w:noWrap/>
            <w:vAlign w:val="bottom"/>
            <w:hideMark/>
          </w:tcPr>
          <w:p w14:paraId="3C042705" w14:textId="77777777" w:rsidR="001332CF" w:rsidRPr="00591954" w:rsidRDefault="001332CF" w:rsidP="00F36BB1">
            <w:pPr>
              <w:rPr>
                <w:rFonts w:ascii="Calibri" w:hAnsi="Calibri"/>
                <w:szCs w:val="24"/>
                <w:lang w:val="en-GB"/>
              </w:rPr>
            </w:pPr>
            <w:r w:rsidRPr="00591954">
              <w:rPr>
                <w:rFonts w:ascii="Calibri" w:hAnsi="Calibri"/>
                <w:szCs w:val="24"/>
                <w:lang w:val="en-GB"/>
              </w:rPr>
              <w:t>cuneus</w:t>
            </w:r>
          </w:p>
        </w:tc>
        <w:tc>
          <w:tcPr>
            <w:tcW w:w="2160" w:type="dxa"/>
            <w:tcBorders>
              <w:top w:val="nil"/>
              <w:left w:val="nil"/>
              <w:bottom w:val="nil"/>
              <w:right w:val="nil"/>
            </w:tcBorders>
            <w:shd w:val="clear" w:color="000000" w:fill="E2EFDA"/>
            <w:noWrap/>
            <w:vAlign w:val="bottom"/>
            <w:hideMark/>
          </w:tcPr>
          <w:p w14:paraId="3C13DBA1"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7.27E-02</w:t>
            </w:r>
          </w:p>
        </w:tc>
        <w:tc>
          <w:tcPr>
            <w:tcW w:w="2260" w:type="dxa"/>
            <w:tcBorders>
              <w:top w:val="nil"/>
              <w:left w:val="nil"/>
              <w:bottom w:val="nil"/>
              <w:right w:val="nil"/>
            </w:tcBorders>
            <w:shd w:val="clear" w:color="000000" w:fill="FFC7CE"/>
            <w:noWrap/>
            <w:vAlign w:val="bottom"/>
            <w:hideMark/>
          </w:tcPr>
          <w:p w14:paraId="60DD7253"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9.68E-08</w:t>
            </w:r>
          </w:p>
        </w:tc>
        <w:tc>
          <w:tcPr>
            <w:tcW w:w="268" w:type="dxa"/>
            <w:tcBorders>
              <w:top w:val="nil"/>
              <w:left w:val="nil"/>
              <w:bottom w:val="nil"/>
              <w:right w:val="nil"/>
            </w:tcBorders>
            <w:shd w:val="clear" w:color="000000" w:fill="FFC7CE"/>
          </w:tcPr>
          <w:p w14:paraId="35112D17"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6EFB9C33"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45A4505B"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4BAB8867" w14:textId="77777777" w:rsidR="001332CF" w:rsidRPr="00591954" w:rsidRDefault="001332CF" w:rsidP="00F36BB1">
            <w:pPr>
              <w:jc w:val="right"/>
              <w:rPr>
                <w:rFonts w:ascii="Calibri" w:hAnsi="Calibri"/>
                <w:szCs w:val="24"/>
                <w:lang w:val="en-GB"/>
              </w:rPr>
            </w:pPr>
          </w:p>
        </w:tc>
      </w:tr>
      <w:tr w:rsidR="00591954" w:rsidRPr="00591954" w14:paraId="4FCB4208" w14:textId="0E9CACFD" w:rsidTr="001332CF">
        <w:trPr>
          <w:trHeight w:val="320"/>
        </w:trPr>
        <w:tc>
          <w:tcPr>
            <w:tcW w:w="3040" w:type="dxa"/>
            <w:tcBorders>
              <w:top w:val="nil"/>
              <w:left w:val="nil"/>
              <w:bottom w:val="nil"/>
              <w:right w:val="single" w:sz="4" w:space="0" w:color="auto"/>
            </w:tcBorders>
            <w:shd w:val="clear" w:color="auto" w:fill="auto"/>
            <w:noWrap/>
            <w:vAlign w:val="bottom"/>
            <w:hideMark/>
          </w:tcPr>
          <w:p w14:paraId="4D636765" w14:textId="77777777" w:rsidR="001332CF" w:rsidRPr="00591954" w:rsidRDefault="001332CF" w:rsidP="00F36BB1">
            <w:pPr>
              <w:rPr>
                <w:rFonts w:ascii="Calibri" w:hAnsi="Calibri"/>
                <w:szCs w:val="24"/>
                <w:u w:val="single"/>
                <w:lang w:val="en-GB"/>
              </w:rPr>
            </w:pPr>
            <w:proofErr w:type="spellStart"/>
            <w:r w:rsidRPr="00591954">
              <w:rPr>
                <w:rFonts w:ascii="Calibri" w:hAnsi="Calibri"/>
                <w:szCs w:val="24"/>
                <w:u w:val="single"/>
                <w:lang w:val="en-GB"/>
              </w:rPr>
              <w:t>parstriangularis</w:t>
            </w:r>
            <w:proofErr w:type="spellEnd"/>
          </w:p>
        </w:tc>
        <w:tc>
          <w:tcPr>
            <w:tcW w:w="2160" w:type="dxa"/>
            <w:tcBorders>
              <w:top w:val="nil"/>
              <w:left w:val="nil"/>
              <w:bottom w:val="nil"/>
              <w:right w:val="nil"/>
            </w:tcBorders>
            <w:shd w:val="clear" w:color="000000" w:fill="FFC7CE"/>
            <w:noWrap/>
            <w:vAlign w:val="bottom"/>
            <w:hideMark/>
          </w:tcPr>
          <w:p w14:paraId="190FF1FF"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1.29E-04</w:t>
            </w:r>
          </w:p>
        </w:tc>
        <w:tc>
          <w:tcPr>
            <w:tcW w:w="2260" w:type="dxa"/>
            <w:tcBorders>
              <w:top w:val="nil"/>
              <w:left w:val="nil"/>
              <w:bottom w:val="nil"/>
              <w:right w:val="nil"/>
            </w:tcBorders>
            <w:shd w:val="clear" w:color="000000" w:fill="FFC7CE"/>
            <w:noWrap/>
            <w:vAlign w:val="bottom"/>
            <w:hideMark/>
          </w:tcPr>
          <w:p w14:paraId="13C38B7F"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4.25E-08</w:t>
            </w:r>
          </w:p>
        </w:tc>
        <w:tc>
          <w:tcPr>
            <w:tcW w:w="268" w:type="dxa"/>
            <w:tcBorders>
              <w:top w:val="nil"/>
              <w:left w:val="nil"/>
              <w:bottom w:val="nil"/>
              <w:right w:val="nil"/>
            </w:tcBorders>
            <w:shd w:val="clear" w:color="000000" w:fill="FFC7CE"/>
          </w:tcPr>
          <w:p w14:paraId="2BA52A06"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7A49DFEC"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7F206654"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19029FA0" w14:textId="77777777" w:rsidR="001332CF" w:rsidRPr="00591954" w:rsidRDefault="001332CF" w:rsidP="00F36BB1">
            <w:pPr>
              <w:jc w:val="right"/>
              <w:rPr>
                <w:rFonts w:ascii="Calibri" w:hAnsi="Calibri"/>
                <w:szCs w:val="24"/>
                <w:lang w:val="en-GB"/>
              </w:rPr>
            </w:pPr>
          </w:p>
        </w:tc>
      </w:tr>
      <w:tr w:rsidR="00591954" w:rsidRPr="00591954" w14:paraId="2ED143F6" w14:textId="14B28163" w:rsidTr="001332CF">
        <w:trPr>
          <w:trHeight w:val="320"/>
        </w:trPr>
        <w:tc>
          <w:tcPr>
            <w:tcW w:w="3040" w:type="dxa"/>
            <w:tcBorders>
              <w:top w:val="nil"/>
              <w:left w:val="nil"/>
              <w:bottom w:val="nil"/>
              <w:right w:val="single" w:sz="4" w:space="0" w:color="auto"/>
            </w:tcBorders>
            <w:shd w:val="clear" w:color="auto" w:fill="auto"/>
            <w:noWrap/>
            <w:vAlign w:val="bottom"/>
            <w:hideMark/>
          </w:tcPr>
          <w:p w14:paraId="43B0FDE7"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middletemporal</w:t>
            </w:r>
            <w:proofErr w:type="spellEnd"/>
          </w:p>
        </w:tc>
        <w:tc>
          <w:tcPr>
            <w:tcW w:w="2160" w:type="dxa"/>
            <w:tcBorders>
              <w:top w:val="nil"/>
              <w:left w:val="nil"/>
              <w:bottom w:val="nil"/>
              <w:right w:val="nil"/>
            </w:tcBorders>
            <w:shd w:val="clear" w:color="000000" w:fill="E2EFDA"/>
            <w:noWrap/>
            <w:vAlign w:val="bottom"/>
            <w:hideMark/>
          </w:tcPr>
          <w:p w14:paraId="1CDA0CBE"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4.01E-03</w:t>
            </w:r>
          </w:p>
        </w:tc>
        <w:tc>
          <w:tcPr>
            <w:tcW w:w="2260" w:type="dxa"/>
            <w:tcBorders>
              <w:top w:val="nil"/>
              <w:left w:val="nil"/>
              <w:bottom w:val="nil"/>
              <w:right w:val="nil"/>
            </w:tcBorders>
            <w:shd w:val="clear" w:color="000000" w:fill="E2EFDA"/>
            <w:noWrap/>
            <w:vAlign w:val="bottom"/>
            <w:hideMark/>
          </w:tcPr>
          <w:p w14:paraId="74279D7A"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3.02E-03</w:t>
            </w:r>
          </w:p>
        </w:tc>
        <w:tc>
          <w:tcPr>
            <w:tcW w:w="268" w:type="dxa"/>
            <w:tcBorders>
              <w:top w:val="nil"/>
              <w:left w:val="nil"/>
              <w:bottom w:val="nil"/>
              <w:right w:val="nil"/>
            </w:tcBorders>
            <w:shd w:val="clear" w:color="000000" w:fill="E2EFDA"/>
          </w:tcPr>
          <w:p w14:paraId="1F1A78A7"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55934F4C"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0F55EC08"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6E4CA514" w14:textId="77777777" w:rsidR="001332CF" w:rsidRPr="00591954" w:rsidRDefault="001332CF" w:rsidP="00F36BB1">
            <w:pPr>
              <w:jc w:val="right"/>
              <w:rPr>
                <w:rFonts w:ascii="Calibri" w:hAnsi="Calibri"/>
                <w:szCs w:val="24"/>
                <w:lang w:val="en-GB"/>
              </w:rPr>
            </w:pPr>
          </w:p>
        </w:tc>
      </w:tr>
      <w:tr w:rsidR="00591954" w:rsidRPr="00591954" w14:paraId="390B36BB" w14:textId="0D65D69F" w:rsidTr="001332CF">
        <w:trPr>
          <w:trHeight w:val="320"/>
        </w:trPr>
        <w:tc>
          <w:tcPr>
            <w:tcW w:w="3040" w:type="dxa"/>
            <w:tcBorders>
              <w:top w:val="nil"/>
              <w:left w:val="nil"/>
              <w:bottom w:val="nil"/>
              <w:right w:val="single" w:sz="4" w:space="0" w:color="auto"/>
            </w:tcBorders>
            <w:shd w:val="clear" w:color="auto" w:fill="auto"/>
            <w:noWrap/>
            <w:vAlign w:val="bottom"/>
            <w:hideMark/>
          </w:tcPr>
          <w:p w14:paraId="2D290AE9"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inferiorparietal</w:t>
            </w:r>
            <w:proofErr w:type="spellEnd"/>
          </w:p>
        </w:tc>
        <w:tc>
          <w:tcPr>
            <w:tcW w:w="2160" w:type="dxa"/>
            <w:tcBorders>
              <w:top w:val="nil"/>
              <w:left w:val="nil"/>
              <w:bottom w:val="nil"/>
              <w:right w:val="nil"/>
            </w:tcBorders>
            <w:shd w:val="clear" w:color="000000" w:fill="E2EFDA"/>
            <w:noWrap/>
            <w:vAlign w:val="bottom"/>
            <w:hideMark/>
          </w:tcPr>
          <w:p w14:paraId="48FEA24C"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5.29E-03</w:t>
            </w:r>
          </w:p>
        </w:tc>
        <w:tc>
          <w:tcPr>
            <w:tcW w:w="2260" w:type="dxa"/>
            <w:tcBorders>
              <w:top w:val="nil"/>
              <w:left w:val="nil"/>
              <w:bottom w:val="nil"/>
              <w:right w:val="nil"/>
            </w:tcBorders>
            <w:shd w:val="clear" w:color="000000" w:fill="E2EFDA"/>
            <w:noWrap/>
            <w:vAlign w:val="bottom"/>
            <w:hideMark/>
          </w:tcPr>
          <w:p w14:paraId="6BA521B6"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2.15E-02</w:t>
            </w:r>
          </w:p>
        </w:tc>
        <w:tc>
          <w:tcPr>
            <w:tcW w:w="268" w:type="dxa"/>
            <w:tcBorders>
              <w:top w:val="nil"/>
              <w:left w:val="nil"/>
              <w:bottom w:val="nil"/>
              <w:right w:val="nil"/>
            </w:tcBorders>
            <w:shd w:val="clear" w:color="000000" w:fill="E2EFDA"/>
          </w:tcPr>
          <w:p w14:paraId="16E74A09"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420FFE8E"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7AA56BC4"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37244AC5" w14:textId="77777777" w:rsidR="001332CF" w:rsidRPr="00591954" w:rsidRDefault="001332CF" w:rsidP="00F36BB1">
            <w:pPr>
              <w:jc w:val="right"/>
              <w:rPr>
                <w:rFonts w:ascii="Calibri" w:hAnsi="Calibri"/>
                <w:szCs w:val="24"/>
                <w:lang w:val="en-GB"/>
              </w:rPr>
            </w:pPr>
          </w:p>
        </w:tc>
      </w:tr>
      <w:tr w:rsidR="00591954" w:rsidRPr="00591954" w14:paraId="660742C9" w14:textId="0655381E" w:rsidTr="001332CF">
        <w:trPr>
          <w:trHeight w:val="320"/>
        </w:trPr>
        <w:tc>
          <w:tcPr>
            <w:tcW w:w="3040" w:type="dxa"/>
            <w:tcBorders>
              <w:top w:val="nil"/>
              <w:left w:val="nil"/>
              <w:bottom w:val="nil"/>
              <w:right w:val="single" w:sz="4" w:space="0" w:color="auto"/>
            </w:tcBorders>
            <w:shd w:val="clear" w:color="auto" w:fill="auto"/>
            <w:noWrap/>
            <w:vAlign w:val="bottom"/>
            <w:hideMark/>
          </w:tcPr>
          <w:p w14:paraId="7E3F8842"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lateraloccipital</w:t>
            </w:r>
            <w:proofErr w:type="spellEnd"/>
          </w:p>
        </w:tc>
        <w:tc>
          <w:tcPr>
            <w:tcW w:w="2160" w:type="dxa"/>
            <w:tcBorders>
              <w:top w:val="nil"/>
              <w:left w:val="nil"/>
              <w:bottom w:val="nil"/>
              <w:right w:val="nil"/>
            </w:tcBorders>
            <w:shd w:val="clear" w:color="000000" w:fill="E2EFDA"/>
            <w:noWrap/>
            <w:vAlign w:val="bottom"/>
            <w:hideMark/>
          </w:tcPr>
          <w:p w14:paraId="58C5642D"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3.58E-02</w:t>
            </w:r>
          </w:p>
        </w:tc>
        <w:tc>
          <w:tcPr>
            <w:tcW w:w="2260" w:type="dxa"/>
            <w:tcBorders>
              <w:top w:val="nil"/>
              <w:left w:val="nil"/>
              <w:bottom w:val="nil"/>
              <w:right w:val="nil"/>
            </w:tcBorders>
            <w:shd w:val="clear" w:color="000000" w:fill="E2EFDA"/>
            <w:noWrap/>
            <w:vAlign w:val="bottom"/>
            <w:hideMark/>
          </w:tcPr>
          <w:p w14:paraId="27A0FC99"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1.77E-03</w:t>
            </w:r>
          </w:p>
        </w:tc>
        <w:tc>
          <w:tcPr>
            <w:tcW w:w="268" w:type="dxa"/>
            <w:tcBorders>
              <w:top w:val="nil"/>
              <w:left w:val="nil"/>
              <w:bottom w:val="nil"/>
              <w:right w:val="nil"/>
            </w:tcBorders>
            <w:shd w:val="clear" w:color="000000" w:fill="E2EFDA"/>
          </w:tcPr>
          <w:p w14:paraId="0E56947E"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2A8B6517"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40B1E97D"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04573ADA" w14:textId="77777777" w:rsidR="001332CF" w:rsidRPr="00591954" w:rsidRDefault="001332CF" w:rsidP="00F36BB1">
            <w:pPr>
              <w:jc w:val="right"/>
              <w:rPr>
                <w:rFonts w:ascii="Calibri" w:hAnsi="Calibri"/>
                <w:szCs w:val="24"/>
                <w:lang w:val="en-GB"/>
              </w:rPr>
            </w:pPr>
          </w:p>
        </w:tc>
      </w:tr>
      <w:tr w:rsidR="00591954" w:rsidRPr="00591954" w14:paraId="0A217AC4" w14:textId="217979E4" w:rsidTr="001332CF">
        <w:trPr>
          <w:trHeight w:val="320"/>
        </w:trPr>
        <w:tc>
          <w:tcPr>
            <w:tcW w:w="3040" w:type="dxa"/>
            <w:tcBorders>
              <w:top w:val="nil"/>
              <w:left w:val="nil"/>
              <w:bottom w:val="nil"/>
              <w:right w:val="single" w:sz="4" w:space="0" w:color="auto"/>
            </w:tcBorders>
            <w:shd w:val="clear" w:color="auto" w:fill="auto"/>
            <w:noWrap/>
            <w:vAlign w:val="bottom"/>
            <w:hideMark/>
          </w:tcPr>
          <w:p w14:paraId="3F9A049E" w14:textId="77777777" w:rsidR="001332CF" w:rsidRPr="00591954" w:rsidRDefault="001332CF" w:rsidP="00F36BB1">
            <w:pPr>
              <w:rPr>
                <w:rFonts w:ascii="Calibri" w:hAnsi="Calibri"/>
                <w:szCs w:val="24"/>
                <w:u w:val="single"/>
                <w:lang w:val="en-GB"/>
              </w:rPr>
            </w:pPr>
            <w:proofErr w:type="spellStart"/>
            <w:r w:rsidRPr="00591954">
              <w:rPr>
                <w:rFonts w:ascii="Calibri" w:hAnsi="Calibri"/>
                <w:szCs w:val="24"/>
                <w:u w:val="single"/>
                <w:lang w:val="en-GB"/>
              </w:rPr>
              <w:t>transversetemporal</w:t>
            </w:r>
            <w:proofErr w:type="spellEnd"/>
          </w:p>
        </w:tc>
        <w:tc>
          <w:tcPr>
            <w:tcW w:w="2160" w:type="dxa"/>
            <w:tcBorders>
              <w:top w:val="nil"/>
              <w:left w:val="nil"/>
              <w:bottom w:val="nil"/>
              <w:right w:val="nil"/>
            </w:tcBorders>
            <w:shd w:val="clear" w:color="000000" w:fill="FFC7CE"/>
            <w:noWrap/>
            <w:vAlign w:val="bottom"/>
            <w:hideMark/>
          </w:tcPr>
          <w:p w14:paraId="0354AFB3"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1.05E-05</w:t>
            </w:r>
          </w:p>
        </w:tc>
        <w:tc>
          <w:tcPr>
            <w:tcW w:w="2260" w:type="dxa"/>
            <w:tcBorders>
              <w:top w:val="nil"/>
              <w:left w:val="nil"/>
              <w:bottom w:val="nil"/>
              <w:right w:val="nil"/>
            </w:tcBorders>
            <w:shd w:val="clear" w:color="000000" w:fill="FFC7CE"/>
            <w:noWrap/>
            <w:vAlign w:val="bottom"/>
            <w:hideMark/>
          </w:tcPr>
          <w:p w14:paraId="62E519F3"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2.81E-05</w:t>
            </w:r>
          </w:p>
        </w:tc>
        <w:tc>
          <w:tcPr>
            <w:tcW w:w="268" w:type="dxa"/>
            <w:tcBorders>
              <w:top w:val="nil"/>
              <w:left w:val="nil"/>
              <w:bottom w:val="nil"/>
              <w:right w:val="nil"/>
            </w:tcBorders>
            <w:shd w:val="clear" w:color="000000" w:fill="FFC7CE"/>
          </w:tcPr>
          <w:p w14:paraId="4C45D840"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2E85E079"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610157E6"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0B95F982" w14:textId="77777777" w:rsidR="001332CF" w:rsidRPr="00591954" w:rsidRDefault="001332CF" w:rsidP="00F36BB1">
            <w:pPr>
              <w:jc w:val="right"/>
              <w:rPr>
                <w:rFonts w:ascii="Calibri" w:hAnsi="Calibri"/>
                <w:szCs w:val="24"/>
                <w:lang w:val="en-GB"/>
              </w:rPr>
            </w:pPr>
          </w:p>
        </w:tc>
      </w:tr>
      <w:tr w:rsidR="00591954" w:rsidRPr="00591954" w14:paraId="5A4F1D20" w14:textId="1391B9BC" w:rsidTr="001332CF">
        <w:trPr>
          <w:trHeight w:val="320"/>
        </w:trPr>
        <w:tc>
          <w:tcPr>
            <w:tcW w:w="3040" w:type="dxa"/>
            <w:tcBorders>
              <w:top w:val="nil"/>
              <w:left w:val="nil"/>
              <w:bottom w:val="nil"/>
              <w:right w:val="single" w:sz="4" w:space="0" w:color="auto"/>
            </w:tcBorders>
            <w:shd w:val="clear" w:color="auto" w:fill="auto"/>
            <w:noWrap/>
            <w:vAlign w:val="bottom"/>
            <w:hideMark/>
          </w:tcPr>
          <w:p w14:paraId="416F6282" w14:textId="77777777" w:rsidR="001332CF" w:rsidRPr="00591954" w:rsidRDefault="001332CF" w:rsidP="00F36BB1">
            <w:pPr>
              <w:rPr>
                <w:rFonts w:ascii="Calibri" w:hAnsi="Calibri"/>
                <w:szCs w:val="24"/>
                <w:lang w:val="en-GB"/>
              </w:rPr>
            </w:pPr>
            <w:r w:rsidRPr="00591954">
              <w:rPr>
                <w:rFonts w:ascii="Calibri" w:hAnsi="Calibri"/>
                <w:szCs w:val="24"/>
                <w:lang w:val="en-GB"/>
              </w:rPr>
              <w:t>fusiform</w:t>
            </w:r>
          </w:p>
        </w:tc>
        <w:tc>
          <w:tcPr>
            <w:tcW w:w="2160" w:type="dxa"/>
            <w:tcBorders>
              <w:top w:val="nil"/>
              <w:left w:val="nil"/>
              <w:bottom w:val="nil"/>
              <w:right w:val="nil"/>
            </w:tcBorders>
            <w:shd w:val="clear" w:color="000000" w:fill="E2EFDA"/>
            <w:noWrap/>
            <w:vAlign w:val="bottom"/>
            <w:hideMark/>
          </w:tcPr>
          <w:p w14:paraId="797710A9"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2.10E-03</w:t>
            </w:r>
          </w:p>
        </w:tc>
        <w:tc>
          <w:tcPr>
            <w:tcW w:w="2260" w:type="dxa"/>
            <w:tcBorders>
              <w:top w:val="nil"/>
              <w:left w:val="nil"/>
              <w:bottom w:val="nil"/>
              <w:right w:val="nil"/>
            </w:tcBorders>
            <w:shd w:val="clear" w:color="000000" w:fill="E2EFDA"/>
            <w:noWrap/>
            <w:vAlign w:val="bottom"/>
            <w:hideMark/>
          </w:tcPr>
          <w:p w14:paraId="67C70D1E"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8.56E-03</w:t>
            </w:r>
          </w:p>
        </w:tc>
        <w:tc>
          <w:tcPr>
            <w:tcW w:w="268" w:type="dxa"/>
            <w:tcBorders>
              <w:top w:val="nil"/>
              <w:left w:val="nil"/>
              <w:bottom w:val="nil"/>
              <w:right w:val="nil"/>
            </w:tcBorders>
            <w:shd w:val="clear" w:color="000000" w:fill="E2EFDA"/>
          </w:tcPr>
          <w:p w14:paraId="588F1C0A"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05339510"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26EA29BB"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004FB724" w14:textId="77777777" w:rsidR="001332CF" w:rsidRPr="00591954" w:rsidRDefault="001332CF" w:rsidP="00F36BB1">
            <w:pPr>
              <w:jc w:val="right"/>
              <w:rPr>
                <w:rFonts w:ascii="Calibri" w:hAnsi="Calibri"/>
                <w:szCs w:val="24"/>
                <w:lang w:val="en-GB"/>
              </w:rPr>
            </w:pPr>
          </w:p>
        </w:tc>
      </w:tr>
      <w:tr w:rsidR="00591954" w:rsidRPr="00591954" w14:paraId="11C3E6C2" w14:textId="0D318924" w:rsidTr="001332CF">
        <w:trPr>
          <w:trHeight w:val="320"/>
        </w:trPr>
        <w:tc>
          <w:tcPr>
            <w:tcW w:w="3040" w:type="dxa"/>
            <w:tcBorders>
              <w:top w:val="nil"/>
              <w:left w:val="nil"/>
              <w:bottom w:val="nil"/>
              <w:right w:val="single" w:sz="4" w:space="0" w:color="auto"/>
            </w:tcBorders>
            <w:shd w:val="clear" w:color="auto" w:fill="auto"/>
            <w:noWrap/>
            <w:vAlign w:val="bottom"/>
            <w:hideMark/>
          </w:tcPr>
          <w:p w14:paraId="281D3DAD" w14:textId="77777777" w:rsidR="001332CF" w:rsidRPr="00591954" w:rsidRDefault="001332CF" w:rsidP="00F36BB1">
            <w:pPr>
              <w:rPr>
                <w:rFonts w:ascii="Calibri" w:hAnsi="Calibri"/>
                <w:szCs w:val="24"/>
                <w:lang w:val="en-GB"/>
              </w:rPr>
            </w:pPr>
            <w:r w:rsidRPr="00591954">
              <w:rPr>
                <w:rFonts w:ascii="Calibri" w:hAnsi="Calibri"/>
                <w:szCs w:val="24"/>
                <w:lang w:val="en-GB"/>
              </w:rPr>
              <w:t>lingual</w:t>
            </w:r>
          </w:p>
        </w:tc>
        <w:tc>
          <w:tcPr>
            <w:tcW w:w="2160" w:type="dxa"/>
            <w:tcBorders>
              <w:top w:val="nil"/>
              <w:left w:val="nil"/>
              <w:bottom w:val="nil"/>
              <w:right w:val="nil"/>
            </w:tcBorders>
            <w:shd w:val="clear" w:color="000000" w:fill="E2EFDA"/>
            <w:noWrap/>
            <w:vAlign w:val="bottom"/>
            <w:hideMark/>
          </w:tcPr>
          <w:p w14:paraId="4FAADB1D"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3.50E-02</w:t>
            </w:r>
          </w:p>
        </w:tc>
        <w:tc>
          <w:tcPr>
            <w:tcW w:w="2260" w:type="dxa"/>
            <w:tcBorders>
              <w:top w:val="nil"/>
              <w:left w:val="nil"/>
              <w:bottom w:val="nil"/>
              <w:right w:val="nil"/>
            </w:tcBorders>
            <w:shd w:val="clear" w:color="000000" w:fill="E2EFDA"/>
            <w:noWrap/>
            <w:vAlign w:val="bottom"/>
            <w:hideMark/>
          </w:tcPr>
          <w:p w14:paraId="68A4B515"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8.14E-04</w:t>
            </w:r>
          </w:p>
        </w:tc>
        <w:tc>
          <w:tcPr>
            <w:tcW w:w="268" w:type="dxa"/>
            <w:tcBorders>
              <w:top w:val="nil"/>
              <w:left w:val="nil"/>
              <w:bottom w:val="nil"/>
              <w:right w:val="nil"/>
            </w:tcBorders>
            <w:shd w:val="clear" w:color="000000" w:fill="E2EFDA"/>
          </w:tcPr>
          <w:p w14:paraId="4066F23C"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4867CCF1"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512E0C59"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6E9C8127" w14:textId="77777777" w:rsidR="001332CF" w:rsidRPr="00591954" w:rsidRDefault="001332CF" w:rsidP="00F36BB1">
            <w:pPr>
              <w:jc w:val="right"/>
              <w:rPr>
                <w:rFonts w:ascii="Calibri" w:hAnsi="Calibri"/>
                <w:szCs w:val="24"/>
                <w:lang w:val="en-GB"/>
              </w:rPr>
            </w:pPr>
          </w:p>
        </w:tc>
      </w:tr>
      <w:tr w:rsidR="00591954" w:rsidRPr="00591954" w14:paraId="5E9CD170" w14:textId="0513B8AC" w:rsidTr="001332CF">
        <w:trPr>
          <w:trHeight w:val="320"/>
        </w:trPr>
        <w:tc>
          <w:tcPr>
            <w:tcW w:w="3040" w:type="dxa"/>
            <w:tcBorders>
              <w:top w:val="nil"/>
              <w:left w:val="nil"/>
              <w:bottom w:val="nil"/>
              <w:right w:val="single" w:sz="4" w:space="0" w:color="auto"/>
            </w:tcBorders>
            <w:shd w:val="clear" w:color="auto" w:fill="auto"/>
            <w:noWrap/>
            <w:vAlign w:val="bottom"/>
            <w:hideMark/>
          </w:tcPr>
          <w:p w14:paraId="23786B2F"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parsopercularis</w:t>
            </w:r>
            <w:proofErr w:type="spellEnd"/>
          </w:p>
        </w:tc>
        <w:tc>
          <w:tcPr>
            <w:tcW w:w="2160" w:type="dxa"/>
            <w:tcBorders>
              <w:top w:val="nil"/>
              <w:left w:val="nil"/>
              <w:bottom w:val="nil"/>
              <w:right w:val="nil"/>
            </w:tcBorders>
            <w:shd w:val="clear" w:color="000000" w:fill="E2EFDA"/>
            <w:noWrap/>
            <w:vAlign w:val="bottom"/>
            <w:hideMark/>
          </w:tcPr>
          <w:p w14:paraId="7599D58E"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7.12E-03</w:t>
            </w:r>
          </w:p>
        </w:tc>
        <w:tc>
          <w:tcPr>
            <w:tcW w:w="2260" w:type="dxa"/>
            <w:tcBorders>
              <w:top w:val="nil"/>
              <w:left w:val="nil"/>
              <w:bottom w:val="nil"/>
              <w:right w:val="nil"/>
            </w:tcBorders>
            <w:shd w:val="clear" w:color="000000" w:fill="FFC7CE"/>
            <w:noWrap/>
            <w:vAlign w:val="bottom"/>
            <w:hideMark/>
          </w:tcPr>
          <w:p w14:paraId="29A29E3A"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6.48E-07</w:t>
            </w:r>
          </w:p>
        </w:tc>
        <w:tc>
          <w:tcPr>
            <w:tcW w:w="268" w:type="dxa"/>
            <w:tcBorders>
              <w:top w:val="nil"/>
              <w:left w:val="nil"/>
              <w:bottom w:val="nil"/>
              <w:right w:val="nil"/>
            </w:tcBorders>
            <w:shd w:val="clear" w:color="000000" w:fill="FFC7CE"/>
          </w:tcPr>
          <w:p w14:paraId="60A04991"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00332A87"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45F33145"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FFC7CE"/>
          </w:tcPr>
          <w:p w14:paraId="1DB5EEB3" w14:textId="77777777" w:rsidR="001332CF" w:rsidRPr="00591954" w:rsidRDefault="001332CF" w:rsidP="00F36BB1">
            <w:pPr>
              <w:jc w:val="right"/>
              <w:rPr>
                <w:rFonts w:ascii="Calibri" w:hAnsi="Calibri"/>
                <w:szCs w:val="24"/>
                <w:lang w:val="en-GB"/>
              </w:rPr>
            </w:pPr>
          </w:p>
        </w:tc>
      </w:tr>
      <w:tr w:rsidR="00591954" w:rsidRPr="00591954" w14:paraId="552A5401" w14:textId="67930797" w:rsidTr="001332CF">
        <w:trPr>
          <w:trHeight w:val="320"/>
        </w:trPr>
        <w:tc>
          <w:tcPr>
            <w:tcW w:w="3040" w:type="dxa"/>
            <w:tcBorders>
              <w:top w:val="nil"/>
              <w:left w:val="nil"/>
              <w:bottom w:val="nil"/>
              <w:right w:val="single" w:sz="4" w:space="0" w:color="auto"/>
            </w:tcBorders>
            <w:shd w:val="clear" w:color="auto" w:fill="auto"/>
            <w:noWrap/>
            <w:vAlign w:val="bottom"/>
            <w:hideMark/>
          </w:tcPr>
          <w:p w14:paraId="411BA2A2"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superiortemporal</w:t>
            </w:r>
            <w:proofErr w:type="spellEnd"/>
          </w:p>
        </w:tc>
        <w:tc>
          <w:tcPr>
            <w:tcW w:w="2160" w:type="dxa"/>
            <w:tcBorders>
              <w:top w:val="nil"/>
              <w:left w:val="nil"/>
              <w:bottom w:val="nil"/>
              <w:right w:val="nil"/>
            </w:tcBorders>
            <w:shd w:val="clear" w:color="000000" w:fill="E2EFDA"/>
            <w:noWrap/>
            <w:vAlign w:val="bottom"/>
            <w:hideMark/>
          </w:tcPr>
          <w:p w14:paraId="5E4B62FD"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2.62E-02</w:t>
            </w:r>
          </w:p>
        </w:tc>
        <w:tc>
          <w:tcPr>
            <w:tcW w:w="2260" w:type="dxa"/>
            <w:tcBorders>
              <w:top w:val="nil"/>
              <w:left w:val="nil"/>
              <w:bottom w:val="nil"/>
              <w:right w:val="nil"/>
            </w:tcBorders>
            <w:shd w:val="clear" w:color="000000" w:fill="E2EFDA"/>
            <w:noWrap/>
            <w:vAlign w:val="bottom"/>
            <w:hideMark/>
          </w:tcPr>
          <w:p w14:paraId="0D2164F2"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3.84E-02</w:t>
            </w:r>
          </w:p>
        </w:tc>
        <w:tc>
          <w:tcPr>
            <w:tcW w:w="268" w:type="dxa"/>
            <w:tcBorders>
              <w:top w:val="nil"/>
              <w:left w:val="nil"/>
              <w:bottom w:val="nil"/>
              <w:right w:val="nil"/>
            </w:tcBorders>
            <w:shd w:val="clear" w:color="000000" w:fill="E2EFDA"/>
          </w:tcPr>
          <w:p w14:paraId="0E971F66"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569C42FA"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43C25021"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1088DDA1" w14:textId="77777777" w:rsidR="001332CF" w:rsidRPr="00591954" w:rsidRDefault="001332CF" w:rsidP="00F36BB1">
            <w:pPr>
              <w:jc w:val="right"/>
              <w:rPr>
                <w:rFonts w:ascii="Calibri" w:hAnsi="Calibri"/>
                <w:szCs w:val="24"/>
                <w:lang w:val="en-GB"/>
              </w:rPr>
            </w:pPr>
          </w:p>
        </w:tc>
      </w:tr>
      <w:tr w:rsidR="00591954" w:rsidRPr="00591954" w14:paraId="6CC93ED2" w14:textId="6DAB2295" w:rsidTr="001332CF">
        <w:trPr>
          <w:trHeight w:val="320"/>
        </w:trPr>
        <w:tc>
          <w:tcPr>
            <w:tcW w:w="3040" w:type="dxa"/>
            <w:tcBorders>
              <w:top w:val="nil"/>
              <w:left w:val="nil"/>
              <w:bottom w:val="nil"/>
              <w:right w:val="single" w:sz="4" w:space="0" w:color="auto"/>
            </w:tcBorders>
            <w:shd w:val="clear" w:color="auto" w:fill="auto"/>
            <w:noWrap/>
            <w:vAlign w:val="bottom"/>
            <w:hideMark/>
          </w:tcPr>
          <w:p w14:paraId="53E59E20"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parsorbitalis</w:t>
            </w:r>
            <w:proofErr w:type="spellEnd"/>
          </w:p>
        </w:tc>
        <w:tc>
          <w:tcPr>
            <w:tcW w:w="2160" w:type="dxa"/>
            <w:tcBorders>
              <w:top w:val="nil"/>
              <w:left w:val="nil"/>
              <w:bottom w:val="nil"/>
              <w:right w:val="nil"/>
            </w:tcBorders>
            <w:shd w:val="clear" w:color="000000" w:fill="E2EFDA"/>
            <w:noWrap/>
            <w:vAlign w:val="bottom"/>
            <w:hideMark/>
          </w:tcPr>
          <w:p w14:paraId="599ADBDF"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2.37E-03</w:t>
            </w:r>
          </w:p>
        </w:tc>
        <w:tc>
          <w:tcPr>
            <w:tcW w:w="2260" w:type="dxa"/>
            <w:tcBorders>
              <w:top w:val="nil"/>
              <w:left w:val="nil"/>
              <w:bottom w:val="nil"/>
              <w:right w:val="nil"/>
            </w:tcBorders>
            <w:shd w:val="clear" w:color="000000" w:fill="E2EFDA"/>
            <w:noWrap/>
            <w:vAlign w:val="bottom"/>
            <w:hideMark/>
          </w:tcPr>
          <w:p w14:paraId="24F1D6C6"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8.27E-03</w:t>
            </w:r>
          </w:p>
        </w:tc>
        <w:tc>
          <w:tcPr>
            <w:tcW w:w="268" w:type="dxa"/>
            <w:tcBorders>
              <w:top w:val="nil"/>
              <w:left w:val="nil"/>
              <w:bottom w:val="nil"/>
              <w:right w:val="nil"/>
            </w:tcBorders>
            <w:shd w:val="clear" w:color="000000" w:fill="E2EFDA"/>
          </w:tcPr>
          <w:p w14:paraId="595A97B4"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037AABB0"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14192381"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2373D7EB" w14:textId="77777777" w:rsidR="001332CF" w:rsidRPr="00591954" w:rsidRDefault="001332CF" w:rsidP="00F36BB1">
            <w:pPr>
              <w:jc w:val="right"/>
              <w:rPr>
                <w:rFonts w:ascii="Calibri" w:hAnsi="Calibri"/>
                <w:szCs w:val="24"/>
                <w:lang w:val="en-GB"/>
              </w:rPr>
            </w:pPr>
          </w:p>
        </w:tc>
      </w:tr>
      <w:tr w:rsidR="00591954" w:rsidRPr="00591954" w14:paraId="3A43889A" w14:textId="2E2F13DC" w:rsidTr="001332CF">
        <w:trPr>
          <w:trHeight w:val="320"/>
        </w:trPr>
        <w:tc>
          <w:tcPr>
            <w:tcW w:w="3040" w:type="dxa"/>
            <w:tcBorders>
              <w:top w:val="nil"/>
              <w:left w:val="nil"/>
              <w:bottom w:val="nil"/>
              <w:right w:val="single" w:sz="4" w:space="0" w:color="auto"/>
            </w:tcBorders>
            <w:shd w:val="clear" w:color="auto" w:fill="auto"/>
            <w:noWrap/>
            <w:vAlign w:val="bottom"/>
            <w:hideMark/>
          </w:tcPr>
          <w:p w14:paraId="7F7BF6C5" w14:textId="77777777" w:rsidR="001332CF" w:rsidRPr="00591954" w:rsidRDefault="001332CF" w:rsidP="00F36BB1">
            <w:pPr>
              <w:rPr>
                <w:rFonts w:ascii="Calibri" w:hAnsi="Calibri"/>
                <w:szCs w:val="24"/>
                <w:lang w:val="en-GB"/>
              </w:rPr>
            </w:pPr>
            <w:r w:rsidRPr="00591954">
              <w:rPr>
                <w:rFonts w:ascii="Calibri" w:hAnsi="Calibri"/>
                <w:szCs w:val="24"/>
                <w:lang w:val="en-GB"/>
              </w:rPr>
              <w:t>postcentral</w:t>
            </w:r>
          </w:p>
        </w:tc>
        <w:tc>
          <w:tcPr>
            <w:tcW w:w="2160" w:type="dxa"/>
            <w:tcBorders>
              <w:top w:val="nil"/>
              <w:left w:val="nil"/>
              <w:bottom w:val="nil"/>
              <w:right w:val="nil"/>
            </w:tcBorders>
            <w:shd w:val="clear" w:color="000000" w:fill="E2EFDA"/>
            <w:noWrap/>
            <w:vAlign w:val="bottom"/>
            <w:hideMark/>
          </w:tcPr>
          <w:p w14:paraId="70BFC923"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1.67E-01</w:t>
            </w:r>
          </w:p>
        </w:tc>
        <w:tc>
          <w:tcPr>
            <w:tcW w:w="2260" w:type="dxa"/>
            <w:tcBorders>
              <w:top w:val="nil"/>
              <w:left w:val="nil"/>
              <w:bottom w:val="nil"/>
              <w:right w:val="nil"/>
            </w:tcBorders>
            <w:shd w:val="clear" w:color="000000" w:fill="E2EFDA"/>
            <w:noWrap/>
            <w:vAlign w:val="bottom"/>
            <w:hideMark/>
          </w:tcPr>
          <w:p w14:paraId="08943F0D"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2.49E-01</w:t>
            </w:r>
          </w:p>
        </w:tc>
        <w:tc>
          <w:tcPr>
            <w:tcW w:w="268" w:type="dxa"/>
            <w:tcBorders>
              <w:top w:val="nil"/>
              <w:left w:val="nil"/>
              <w:bottom w:val="nil"/>
              <w:right w:val="nil"/>
            </w:tcBorders>
            <w:shd w:val="clear" w:color="000000" w:fill="E2EFDA"/>
          </w:tcPr>
          <w:p w14:paraId="5F19AF52"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7767B2CE"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604376C1"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172FB5F0" w14:textId="77777777" w:rsidR="001332CF" w:rsidRPr="00591954" w:rsidRDefault="001332CF" w:rsidP="00F36BB1">
            <w:pPr>
              <w:jc w:val="right"/>
              <w:rPr>
                <w:rFonts w:ascii="Calibri" w:hAnsi="Calibri"/>
                <w:szCs w:val="24"/>
                <w:lang w:val="en-GB"/>
              </w:rPr>
            </w:pPr>
          </w:p>
        </w:tc>
      </w:tr>
      <w:tr w:rsidR="00591954" w:rsidRPr="00591954" w14:paraId="571B55F8" w14:textId="1C637A47" w:rsidTr="001332CF">
        <w:trPr>
          <w:trHeight w:val="320"/>
        </w:trPr>
        <w:tc>
          <w:tcPr>
            <w:tcW w:w="3040" w:type="dxa"/>
            <w:tcBorders>
              <w:top w:val="nil"/>
              <w:left w:val="nil"/>
              <w:bottom w:val="nil"/>
              <w:right w:val="single" w:sz="4" w:space="0" w:color="auto"/>
            </w:tcBorders>
            <w:shd w:val="clear" w:color="auto" w:fill="auto"/>
            <w:noWrap/>
            <w:vAlign w:val="bottom"/>
            <w:hideMark/>
          </w:tcPr>
          <w:p w14:paraId="4BDC3C3C"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lateralorbitofrontal</w:t>
            </w:r>
            <w:proofErr w:type="spellEnd"/>
          </w:p>
        </w:tc>
        <w:tc>
          <w:tcPr>
            <w:tcW w:w="2160" w:type="dxa"/>
            <w:tcBorders>
              <w:top w:val="nil"/>
              <w:left w:val="nil"/>
              <w:bottom w:val="nil"/>
              <w:right w:val="nil"/>
            </w:tcBorders>
            <w:shd w:val="clear" w:color="000000" w:fill="E2EFDA"/>
            <w:noWrap/>
            <w:vAlign w:val="bottom"/>
            <w:hideMark/>
          </w:tcPr>
          <w:p w14:paraId="1B553FFA"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1.46E-01</w:t>
            </w:r>
          </w:p>
        </w:tc>
        <w:tc>
          <w:tcPr>
            <w:tcW w:w="2260" w:type="dxa"/>
            <w:tcBorders>
              <w:top w:val="nil"/>
              <w:left w:val="nil"/>
              <w:bottom w:val="nil"/>
              <w:right w:val="nil"/>
            </w:tcBorders>
            <w:shd w:val="clear" w:color="000000" w:fill="E2EFDA"/>
            <w:noWrap/>
            <w:vAlign w:val="bottom"/>
            <w:hideMark/>
          </w:tcPr>
          <w:p w14:paraId="30841B62"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3.87E-02</w:t>
            </w:r>
          </w:p>
        </w:tc>
        <w:tc>
          <w:tcPr>
            <w:tcW w:w="268" w:type="dxa"/>
            <w:tcBorders>
              <w:top w:val="nil"/>
              <w:left w:val="nil"/>
              <w:bottom w:val="nil"/>
              <w:right w:val="nil"/>
            </w:tcBorders>
            <w:shd w:val="clear" w:color="000000" w:fill="E2EFDA"/>
          </w:tcPr>
          <w:p w14:paraId="2F56B136"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2BD94008"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487A3D76"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1494A772" w14:textId="77777777" w:rsidR="001332CF" w:rsidRPr="00591954" w:rsidRDefault="001332CF" w:rsidP="00F36BB1">
            <w:pPr>
              <w:jc w:val="right"/>
              <w:rPr>
                <w:rFonts w:ascii="Calibri" w:hAnsi="Calibri"/>
                <w:szCs w:val="24"/>
                <w:lang w:val="en-GB"/>
              </w:rPr>
            </w:pPr>
          </w:p>
        </w:tc>
      </w:tr>
      <w:tr w:rsidR="00591954" w:rsidRPr="00591954" w14:paraId="0F3F31B5" w14:textId="25E87025" w:rsidTr="001332CF">
        <w:trPr>
          <w:trHeight w:val="320"/>
        </w:trPr>
        <w:tc>
          <w:tcPr>
            <w:tcW w:w="3040" w:type="dxa"/>
            <w:tcBorders>
              <w:top w:val="nil"/>
              <w:left w:val="nil"/>
              <w:bottom w:val="nil"/>
              <w:right w:val="single" w:sz="4" w:space="0" w:color="auto"/>
            </w:tcBorders>
            <w:shd w:val="clear" w:color="auto" w:fill="auto"/>
            <w:noWrap/>
            <w:vAlign w:val="bottom"/>
            <w:hideMark/>
          </w:tcPr>
          <w:p w14:paraId="4EBDDCFD" w14:textId="77777777" w:rsidR="001332CF" w:rsidRPr="00591954" w:rsidRDefault="001332CF" w:rsidP="00F36BB1">
            <w:pPr>
              <w:rPr>
                <w:rFonts w:ascii="Calibri" w:hAnsi="Calibri"/>
                <w:szCs w:val="24"/>
                <w:lang w:val="en-GB"/>
              </w:rPr>
            </w:pPr>
            <w:r w:rsidRPr="00591954">
              <w:rPr>
                <w:rFonts w:ascii="Calibri" w:hAnsi="Calibri"/>
                <w:szCs w:val="24"/>
                <w:lang w:val="en-GB"/>
              </w:rPr>
              <w:t>pericalcarine</w:t>
            </w:r>
          </w:p>
        </w:tc>
        <w:tc>
          <w:tcPr>
            <w:tcW w:w="2160" w:type="dxa"/>
            <w:tcBorders>
              <w:top w:val="nil"/>
              <w:left w:val="nil"/>
              <w:bottom w:val="nil"/>
              <w:right w:val="nil"/>
            </w:tcBorders>
            <w:shd w:val="clear" w:color="000000" w:fill="E2EFDA"/>
            <w:noWrap/>
            <w:vAlign w:val="bottom"/>
            <w:hideMark/>
          </w:tcPr>
          <w:p w14:paraId="2B1AE71E"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1.43E-01</w:t>
            </w:r>
          </w:p>
        </w:tc>
        <w:tc>
          <w:tcPr>
            <w:tcW w:w="2260" w:type="dxa"/>
            <w:tcBorders>
              <w:top w:val="nil"/>
              <w:left w:val="nil"/>
              <w:bottom w:val="nil"/>
              <w:right w:val="nil"/>
            </w:tcBorders>
            <w:shd w:val="clear" w:color="000000" w:fill="E2EFDA"/>
            <w:noWrap/>
            <w:vAlign w:val="bottom"/>
            <w:hideMark/>
          </w:tcPr>
          <w:p w14:paraId="422136C6"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9.15E-03</w:t>
            </w:r>
          </w:p>
        </w:tc>
        <w:tc>
          <w:tcPr>
            <w:tcW w:w="268" w:type="dxa"/>
            <w:tcBorders>
              <w:top w:val="nil"/>
              <w:left w:val="nil"/>
              <w:bottom w:val="nil"/>
              <w:right w:val="nil"/>
            </w:tcBorders>
            <w:shd w:val="clear" w:color="000000" w:fill="E2EFDA"/>
          </w:tcPr>
          <w:p w14:paraId="612309F7"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1842305C"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3E45F4EA"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1CD19764" w14:textId="77777777" w:rsidR="001332CF" w:rsidRPr="00591954" w:rsidRDefault="001332CF" w:rsidP="00F36BB1">
            <w:pPr>
              <w:jc w:val="right"/>
              <w:rPr>
                <w:rFonts w:ascii="Calibri" w:hAnsi="Calibri"/>
                <w:szCs w:val="24"/>
                <w:lang w:val="en-GB"/>
              </w:rPr>
            </w:pPr>
          </w:p>
        </w:tc>
      </w:tr>
      <w:tr w:rsidR="00591954" w:rsidRPr="00591954" w14:paraId="48475AFB" w14:textId="2FA99DC3" w:rsidTr="001332CF">
        <w:trPr>
          <w:trHeight w:val="320"/>
        </w:trPr>
        <w:tc>
          <w:tcPr>
            <w:tcW w:w="3040" w:type="dxa"/>
            <w:tcBorders>
              <w:top w:val="nil"/>
              <w:left w:val="nil"/>
              <w:bottom w:val="nil"/>
              <w:right w:val="single" w:sz="4" w:space="0" w:color="auto"/>
            </w:tcBorders>
            <w:shd w:val="clear" w:color="auto" w:fill="auto"/>
            <w:noWrap/>
            <w:vAlign w:val="bottom"/>
            <w:hideMark/>
          </w:tcPr>
          <w:p w14:paraId="0662B630"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frontalpole</w:t>
            </w:r>
            <w:proofErr w:type="spellEnd"/>
          </w:p>
        </w:tc>
        <w:tc>
          <w:tcPr>
            <w:tcW w:w="2160" w:type="dxa"/>
            <w:tcBorders>
              <w:top w:val="nil"/>
              <w:left w:val="nil"/>
              <w:bottom w:val="nil"/>
              <w:right w:val="nil"/>
            </w:tcBorders>
            <w:shd w:val="clear" w:color="000000" w:fill="E2EFDA"/>
            <w:noWrap/>
            <w:vAlign w:val="bottom"/>
            <w:hideMark/>
          </w:tcPr>
          <w:p w14:paraId="132C1C2A"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1.04E-01</w:t>
            </w:r>
          </w:p>
        </w:tc>
        <w:tc>
          <w:tcPr>
            <w:tcW w:w="2260" w:type="dxa"/>
            <w:tcBorders>
              <w:top w:val="nil"/>
              <w:left w:val="nil"/>
              <w:bottom w:val="nil"/>
              <w:right w:val="nil"/>
            </w:tcBorders>
            <w:shd w:val="clear" w:color="000000" w:fill="E2EFDA"/>
            <w:noWrap/>
            <w:vAlign w:val="bottom"/>
            <w:hideMark/>
          </w:tcPr>
          <w:p w14:paraId="1E41402A"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2.37E-02</w:t>
            </w:r>
          </w:p>
        </w:tc>
        <w:tc>
          <w:tcPr>
            <w:tcW w:w="268" w:type="dxa"/>
            <w:tcBorders>
              <w:top w:val="nil"/>
              <w:left w:val="nil"/>
              <w:bottom w:val="nil"/>
              <w:right w:val="nil"/>
            </w:tcBorders>
            <w:shd w:val="clear" w:color="000000" w:fill="E2EFDA"/>
          </w:tcPr>
          <w:p w14:paraId="191611CB"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7EB544F3"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0B2324ED"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5E4C5B4F" w14:textId="77777777" w:rsidR="001332CF" w:rsidRPr="00591954" w:rsidRDefault="001332CF" w:rsidP="00F36BB1">
            <w:pPr>
              <w:jc w:val="right"/>
              <w:rPr>
                <w:rFonts w:ascii="Calibri" w:hAnsi="Calibri"/>
                <w:szCs w:val="24"/>
                <w:lang w:val="en-GB"/>
              </w:rPr>
            </w:pPr>
          </w:p>
        </w:tc>
      </w:tr>
      <w:tr w:rsidR="00591954" w:rsidRPr="00591954" w14:paraId="7450748F" w14:textId="3257BCEB" w:rsidTr="001332CF">
        <w:trPr>
          <w:trHeight w:val="320"/>
        </w:trPr>
        <w:tc>
          <w:tcPr>
            <w:tcW w:w="3040" w:type="dxa"/>
            <w:tcBorders>
              <w:top w:val="nil"/>
              <w:left w:val="nil"/>
              <w:bottom w:val="nil"/>
              <w:right w:val="single" w:sz="4" w:space="0" w:color="auto"/>
            </w:tcBorders>
            <w:shd w:val="clear" w:color="auto" w:fill="auto"/>
            <w:noWrap/>
            <w:vAlign w:val="bottom"/>
            <w:hideMark/>
          </w:tcPr>
          <w:p w14:paraId="747A3336"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parahippocampal</w:t>
            </w:r>
            <w:proofErr w:type="spellEnd"/>
          </w:p>
        </w:tc>
        <w:tc>
          <w:tcPr>
            <w:tcW w:w="2160" w:type="dxa"/>
            <w:tcBorders>
              <w:top w:val="nil"/>
              <w:left w:val="nil"/>
              <w:bottom w:val="nil"/>
              <w:right w:val="nil"/>
            </w:tcBorders>
            <w:shd w:val="clear" w:color="000000" w:fill="E2EFDA"/>
            <w:noWrap/>
            <w:vAlign w:val="bottom"/>
            <w:hideMark/>
          </w:tcPr>
          <w:p w14:paraId="48EA71DD"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1.83E-02</w:t>
            </w:r>
          </w:p>
        </w:tc>
        <w:tc>
          <w:tcPr>
            <w:tcW w:w="2260" w:type="dxa"/>
            <w:tcBorders>
              <w:top w:val="nil"/>
              <w:left w:val="nil"/>
              <w:bottom w:val="nil"/>
              <w:right w:val="nil"/>
            </w:tcBorders>
            <w:shd w:val="clear" w:color="000000" w:fill="E2EFDA"/>
            <w:noWrap/>
            <w:vAlign w:val="bottom"/>
            <w:hideMark/>
          </w:tcPr>
          <w:p w14:paraId="651F1408"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6.95E-03</w:t>
            </w:r>
          </w:p>
        </w:tc>
        <w:tc>
          <w:tcPr>
            <w:tcW w:w="268" w:type="dxa"/>
            <w:tcBorders>
              <w:top w:val="nil"/>
              <w:left w:val="nil"/>
              <w:bottom w:val="nil"/>
              <w:right w:val="nil"/>
            </w:tcBorders>
            <w:shd w:val="clear" w:color="000000" w:fill="E2EFDA"/>
          </w:tcPr>
          <w:p w14:paraId="6AF74754"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2B78580E"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42D6D259"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46508230" w14:textId="77777777" w:rsidR="001332CF" w:rsidRPr="00591954" w:rsidRDefault="001332CF" w:rsidP="00F36BB1">
            <w:pPr>
              <w:jc w:val="right"/>
              <w:rPr>
                <w:rFonts w:ascii="Calibri" w:hAnsi="Calibri"/>
                <w:szCs w:val="24"/>
                <w:lang w:val="en-GB"/>
              </w:rPr>
            </w:pPr>
          </w:p>
        </w:tc>
      </w:tr>
      <w:tr w:rsidR="00591954" w:rsidRPr="00591954" w14:paraId="16C5E71C" w14:textId="199F4DD2" w:rsidTr="001332CF">
        <w:trPr>
          <w:trHeight w:val="320"/>
        </w:trPr>
        <w:tc>
          <w:tcPr>
            <w:tcW w:w="3040" w:type="dxa"/>
            <w:tcBorders>
              <w:top w:val="nil"/>
              <w:left w:val="nil"/>
              <w:bottom w:val="nil"/>
              <w:right w:val="single" w:sz="4" w:space="0" w:color="auto"/>
            </w:tcBorders>
            <w:shd w:val="clear" w:color="auto" w:fill="auto"/>
            <w:noWrap/>
            <w:vAlign w:val="bottom"/>
            <w:hideMark/>
          </w:tcPr>
          <w:p w14:paraId="4D94833E"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posteriorcingulate</w:t>
            </w:r>
            <w:proofErr w:type="spellEnd"/>
          </w:p>
        </w:tc>
        <w:tc>
          <w:tcPr>
            <w:tcW w:w="2160" w:type="dxa"/>
            <w:tcBorders>
              <w:top w:val="nil"/>
              <w:left w:val="nil"/>
              <w:bottom w:val="nil"/>
              <w:right w:val="nil"/>
            </w:tcBorders>
            <w:shd w:val="clear" w:color="000000" w:fill="E2EFDA"/>
            <w:noWrap/>
            <w:vAlign w:val="bottom"/>
            <w:hideMark/>
          </w:tcPr>
          <w:p w14:paraId="04BEC842"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6.01E-02</w:t>
            </w:r>
          </w:p>
        </w:tc>
        <w:tc>
          <w:tcPr>
            <w:tcW w:w="2260" w:type="dxa"/>
            <w:tcBorders>
              <w:top w:val="nil"/>
              <w:left w:val="nil"/>
              <w:bottom w:val="nil"/>
              <w:right w:val="nil"/>
            </w:tcBorders>
            <w:shd w:val="clear" w:color="000000" w:fill="E2EFDA"/>
            <w:noWrap/>
            <w:vAlign w:val="bottom"/>
            <w:hideMark/>
          </w:tcPr>
          <w:p w14:paraId="26153603"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2.65E-01</w:t>
            </w:r>
          </w:p>
        </w:tc>
        <w:tc>
          <w:tcPr>
            <w:tcW w:w="268" w:type="dxa"/>
            <w:tcBorders>
              <w:top w:val="nil"/>
              <w:left w:val="nil"/>
              <w:bottom w:val="nil"/>
              <w:right w:val="nil"/>
            </w:tcBorders>
            <w:shd w:val="clear" w:color="000000" w:fill="E2EFDA"/>
          </w:tcPr>
          <w:p w14:paraId="0F7937BA"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385B8428"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29E9C51B"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083B56BB" w14:textId="77777777" w:rsidR="001332CF" w:rsidRPr="00591954" w:rsidRDefault="001332CF" w:rsidP="00F36BB1">
            <w:pPr>
              <w:jc w:val="right"/>
              <w:rPr>
                <w:rFonts w:ascii="Calibri" w:hAnsi="Calibri"/>
                <w:szCs w:val="24"/>
                <w:lang w:val="en-GB"/>
              </w:rPr>
            </w:pPr>
          </w:p>
        </w:tc>
      </w:tr>
      <w:tr w:rsidR="00591954" w:rsidRPr="00591954" w14:paraId="7A81E71C" w14:textId="677B0711" w:rsidTr="001332CF">
        <w:trPr>
          <w:trHeight w:val="320"/>
        </w:trPr>
        <w:tc>
          <w:tcPr>
            <w:tcW w:w="3040" w:type="dxa"/>
            <w:tcBorders>
              <w:top w:val="nil"/>
              <w:left w:val="nil"/>
              <w:bottom w:val="nil"/>
              <w:right w:val="single" w:sz="4" w:space="0" w:color="auto"/>
            </w:tcBorders>
            <w:shd w:val="clear" w:color="auto" w:fill="auto"/>
            <w:noWrap/>
            <w:vAlign w:val="bottom"/>
            <w:hideMark/>
          </w:tcPr>
          <w:p w14:paraId="413FE4BB"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bankssts</w:t>
            </w:r>
            <w:proofErr w:type="spellEnd"/>
          </w:p>
        </w:tc>
        <w:tc>
          <w:tcPr>
            <w:tcW w:w="2160" w:type="dxa"/>
            <w:tcBorders>
              <w:top w:val="nil"/>
              <w:left w:val="nil"/>
              <w:bottom w:val="nil"/>
              <w:right w:val="nil"/>
            </w:tcBorders>
            <w:shd w:val="clear" w:color="000000" w:fill="E2EFDA"/>
            <w:noWrap/>
            <w:vAlign w:val="bottom"/>
            <w:hideMark/>
          </w:tcPr>
          <w:p w14:paraId="098AC7E9"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2.45E-01</w:t>
            </w:r>
          </w:p>
        </w:tc>
        <w:tc>
          <w:tcPr>
            <w:tcW w:w="2260" w:type="dxa"/>
            <w:tcBorders>
              <w:top w:val="nil"/>
              <w:left w:val="nil"/>
              <w:bottom w:val="nil"/>
              <w:right w:val="nil"/>
            </w:tcBorders>
            <w:shd w:val="clear" w:color="000000" w:fill="E2EFDA"/>
            <w:noWrap/>
            <w:vAlign w:val="bottom"/>
            <w:hideMark/>
          </w:tcPr>
          <w:p w14:paraId="2C23F52F"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3.66E-01</w:t>
            </w:r>
          </w:p>
        </w:tc>
        <w:tc>
          <w:tcPr>
            <w:tcW w:w="268" w:type="dxa"/>
            <w:tcBorders>
              <w:top w:val="nil"/>
              <w:left w:val="nil"/>
              <w:bottom w:val="nil"/>
              <w:right w:val="nil"/>
            </w:tcBorders>
            <w:shd w:val="clear" w:color="000000" w:fill="E2EFDA"/>
          </w:tcPr>
          <w:p w14:paraId="75CB0DC9"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09DCC678"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75B6932D"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78391E47" w14:textId="77777777" w:rsidR="001332CF" w:rsidRPr="00591954" w:rsidRDefault="001332CF" w:rsidP="00F36BB1">
            <w:pPr>
              <w:jc w:val="right"/>
              <w:rPr>
                <w:rFonts w:ascii="Calibri" w:hAnsi="Calibri"/>
                <w:szCs w:val="24"/>
                <w:lang w:val="en-GB"/>
              </w:rPr>
            </w:pPr>
          </w:p>
        </w:tc>
      </w:tr>
      <w:tr w:rsidR="00591954" w:rsidRPr="00591954" w14:paraId="68843549" w14:textId="424B9097" w:rsidTr="001332CF">
        <w:trPr>
          <w:trHeight w:val="320"/>
        </w:trPr>
        <w:tc>
          <w:tcPr>
            <w:tcW w:w="3040" w:type="dxa"/>
            <w:tcBorders>
              <w:top w:val="nil"/>
              <w:left w:val="nil"/>
              <w:bottom w:val="nil"/>
              <w:right w:val="single" w:sz="4" w:space="0" w:color="auto"/>
            </w:tcBorders>
            <w:shd w:val="clear" w:color="auto" w:fill="auto"/>
            <w:noWrap/>
            <w:vAlign w:val="bottom"/>
            <w:hideMark/>
          </w:tcPr>
          <w:p w14:paraId="648C119C"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inferiortemporal</w:t>
            </w:r>
            <w:proofErr w:type="spellEnd"/>
          </w:p>
        </w:tc>
        <w:tc>
          <w:tcPr>
            <w:tcW w:w="2160" w:type="dxa"/>
            <w:tcBorders>
              <w:top w:val="nil"/>
              <w:left w:val="nil"/>
              <w:bottom w:val="nil"/>
              <w:right w:val="nil"/>
            </w:tcBorders>
            <w:shd w:val="clear" w:color="000000" w:fill="E2EFDA"/>
            <w:noWrap/>
            <w:vAlign w:val="bottom"/>
            <w:hideMark/>
          </w:tcPr>
          <w:p w14:paraId="62FE4C27"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1.37E-01</w:t>
            </w:r>
          </w:p>
        </w:tc>
        <w:tc>
          <w:tcPr>
            <w:tcW w:w="2260" w:type="dxa"/>
            <w:tcBorders>
              <w:top w:val="nil"/>
              <w:left w:val="nil"/>
              <w:bottom w:val="nil"/>
              <w:right w:val="nil"/>
            </w:tcBorders>
            <w:shd w:val="clear" w:color="000000" w:fill="E2EFDA"/>
            <w:noWrap/>
            <w:vAlign w:val="bottom"/>
            <w:hideMark/>
          </w:tcPr>
          <w:p w14:paraId="50BC7292"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8.36E-02</w:t>
            </w:r>
          </w:p>
        </w:tc>
        <w:tc>
          <w:tcPr>
            <w:tcW w:w="268" w:type="dxa"/>
            <w:tcBorders>
              <w:top w:val="nil"/>
              <w:left w:val="nil"/>
              <w:bottom w:val="nil"/>
              <w:right w:val="nil"/>
            </w:tcBorders>
            <w:shd w:val="clear" w:color="000000" w:fill="E2EFDA"/>
          </w:tcPr>
          <w:p w14:paraId="67F6C200"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007D6F58"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67252150"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167BE98F" w14:textId="77777777" w:rsidR="001332CF" w:rsidRPr="00591954" w:rsidRDefault="001332CF" w:rsidP="00F36BB1">
            <w:pPr>
              <w:jc w:val="right"/>
              <w:rPr>
                <w:rFonts w:ascii="Calibri" w:hAnsi="Calibri"/>
                <w:szCs w:val="24"/>
                <w:lang w:val="en-GB"/>
              </w:rPr>
            </w:pPr>
          </w:p>
        </w:tc>
      </w:tr>
      <w:tr w:rsidR="00591954" w:rsidRPr="00591954" w14:paraId="4C3091D1" w14:textId="2ABBDCAE" w:rsidTr="001332CF">
        <w:trPr>
          <w:trHeight w:val="320"/>
        </w:trPr>
        <w:tc>
          <w:tcPr>
            <w:tcW w:w="3040" w:type="dxa"/>
            <w:tcBorders>
              <w:top w:val="nil"/>
              <w:left w:val="nil"/>
              <w:bottom w:val="nil"/>
              <w:right w:val="single" w:sz="4" w:space="0" w:color="auto"/>
            </w:tcBorders>
            <w:shd w:val="clear" w:color="auto" w:fill="auto"/>
            <w:noWrap/>
            <w:vAlign w:val="bottom"/>
            <w:hideMark/>
          </w:tcPr>
          <w:p w14:paraId="32FD2117"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medialorbitofrontal</w:t>
            </w:r>
            <w:proofErr w:type="spellEnd"/>
          </w:p>
        </w:tc>
        <w:tc>
          <w:tcPr>
            <w:tcW w:w="2160" w:type="dxa"/>
            <w:tcBorders>
              <w:top w:val="nil"/>
              <w:left w:val="nil"/>
              <w:bottom w:val="nil"/>
              <w:right w:val="nil"/>
            </w:tcBorders>
            <w:shd w:val="clear" w:color="000000" w:fill="E2EFDA"/>
            <w:noWrap/>
            <w:vAlign w:val="bottom"/>
            <w:hideMark/>
          </w:tcPr>
          <w:p w14:paraId="614D5866"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8.82E-01</w:t>
            </w:r>
          </w:p>
        </w:tc>
        <w:tc>
          <w:tcPr>
            <w:tcW w:w="2260" w:type="dxa"/>
            <w:tcBorders>
              <w:top w:val="nil"/>
              <w:left w:val="nil"/>
              <w:bottom w:val="nil"/>
              <w:right w:val="nil"/>
            </w:tcBorders>
            <w:shd w:val="clear" w:color="000000" w:fill="E2EFDA"/>
            <w:noWrap/>
            <w:vAlign w:val="bottom"/>
            <w:hideMark/>
          </w:tcPr>
          <w:p w14:paraId="6F452F32"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1.26E-01</w:t>
            </w:r>
          </w:p>
        </w:tc>
        <w:tc>
          <w:tcPr>
            <w:tcW w:w="268" w:type="dxa"/>
            <w:tcBorders>
              <w:top w:val="nil"/>
              <w:left w:val="nil"/>
              <w:bottom w:val="nil"/>
              <w:right w:val="nil"/>
            </w:tcBorders>
            <w:shd w:val="clear" w:color="000000" w:fill="E2EFDA"/>
          </w:tcPr>
          <w:p w14:paraId="040DCEDD"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20C5AAFC"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5A3D4FF3"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7D310546" w14:textId="77777777" w:rsidR="001332CF" w:rsidRPr="00591954" w:rsidRDefault="001332CF" w:rsidP="00F36BB1">
            <w:pPr>
              <w:jc w:val="right"/>
              <w:rPr>
                <w:rFonts w:ascii="Calibri" w:hAnsi="Calibri"/>
                <w:szCs w:val="24"/>
                <w:lang w:val="en-GB"/>
              </w:rPr>
            </w:pPr>
          </w:p>
        </w:tc>
      </w:tr>
      <w:tr w:rsidR="00591954" w:rsidRPr="00591954" w14:paraId="75FDF9FC" w14:textId="5CA45320" w:rsidTr="001332CF">
        <w:trPr>
          <w:trHeight w:val="320"/>
        </w:trPr>
        <w:tc>
          <w:tcPr>
            <w:tcW w:w="3040" w:type="dxa"/>
            <w:tcBorders>
              <w:top w:val="nil"/>
              <w:left w:val="nil"/>
              <w:bottom w:val="nil"/>
              <w:right w:val="single" w:sz="4" w:space="0" w:color="auto"/>
            </w:tcBorders>
            <w:shd w:val="clear" w:color="auto" w:fill="auto"/>
            <w:noWrap/>
            <w:vAlign w:val="bottom"/>
            <w:hideMark/>
          </w:tcPr>
          <w:p w14:paraId="7E56D41E"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isthmuscingulate</w:t>
            </w:r>
            <w:proofErr w:type="spellEnd"/>
          </w:p>
        </w:tc>
        <w:tc>
          <w:tcPr>
            <w:tcW w:w="2160" w:type="dxa"/>
            <w:tcBorders>
              <w:top w:val="nil"/>
              <w:left w:val="nil"/>
              <w:bottom w:val="nil"/>
              <w:right w:val="nil"/>
            </w:tcBorders>
            <w:shd w:val="clear" w:color="000000" w:fill="E2EFDA"/>
            <w:noWrap/>
            <w:vAlign w:val="bottom"/>
            <w:hideMark/>
          </w:tcPr>
          <w:p w14:paraId="7F3BCD8A"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1.72E-01</w:t>
            </w:r>
          </w:p>
        </w:tc>
        <w:tc>
          <w:tcPr>
            <w:tcW w:w="2260" w:type="dxa"/>
            <w:tcBorders>
              <w:top w:val="nil"/>
              <w:left w:val="nil"/>
              <w:bottom w:val="nil"/>
              <w:right w:val="nil"/>
            </w:tcBorders>
            <w:shd w:val="clear" w:color="000000" w:fill="E2EFDA"/>
            <w:noWrap/>
            <w:vAlign w:val="bottom"/>
            <w:hideMark/>
          </w:tcPr>
          <w:p w14:paraId="34492ADC"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8.56E-01</w:t>
            </w:r>
          </w:p>
        </w:tc>
        <w:tc>
          <w:tcPr>
            <w:tcW w:w="268" w:type="dxa"/>
            <w:tcBorders>
              <w:top w:val="nil"/>
              <w:left w:val="nil"/>
              <w:bottom w:val="nil"/>
              <w:right w:val="nil"/>
            </w:tcBorders>
            <w:shd w:val="clear" w:color="000000" w:fill="E2EFDA"/>
          </w:tcPr>
          <w:p w14:paraId="2715E6D7"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0E459562"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1E808AD3"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445A794C" w14:textId="77777777" w:rsidR="001332CF" w:rsidRPr="00591954" w:rsidRDefault="001332CF" w:rsidP="00F36BB1">
            <w:pPr>
              <w:jc w:val="right"/>
              <w:rPr>
                <w:rFonts w:ascii="Calibri" w:hAnsi="Calibri"/>
                <w:szCs w:val="24"/>
                <w:lang w:val="en-GB"/>
              </w:rPr>
            </w:pPr>
          </w:p>
        </w:tc>
      </w:tr>
      <w:tr w:rsidR="00591954" w:rsidRPr="00591954" w14:paraId="5ED5ECDD" w14:textId="5DEC3EBC" w:rsidTr="001332CF">
        <w:trPr>
          <w:trHeight w:val="320"/>
        </w:trPr>
        <w:tc>
          <w:tcPr>
            <w:tcW w:w="3040" w:type="dxa"/>
            <w:tcBorders>
              <w:top w:val="nil"/>
              <w:left w:val="nil"/>
              <w:bottom w:val="nil"/>
              <w:right w:val="single" w:sz="4" w:space="0" w:color="auto"/>
            </w:tcBorders>
            <w:shd w:val="clear" w:color="auto" w:fill="auto"/>
            <w:noWrap/>
            <w:vAlign w:val="bottom"/>
            <w:hideMark/>
          </w:tcPr>
          <w:p w14:paraId="2B6C1E00" w14:textId="77777777" w:rsidR="001332CF" w:rsidRPr="00591954" w:rsidRDefault="001332CF" w:rsidP="00F36BB1">
            <w:pPr>
              <w:rPr>
                <w:rFonts w:ascii="Calibri" w:hAnsi="Calibri"/>
                <w:szCs w:val="24"/>
                <w:lang w:val="en-GB"/>
              </w:rPr>
            </w:pPr>
            <w:r w:rsidRPr="00591954">
              <w:rPr>
                <w:rFonts w:ascii="Calibri" w:hAnsi="Calibri"/>
                <w:szCs w:val="24"/>
                <w:lang w:val="en-GB"/>
              </w:rPr>
              <w:t>insula</w:t>
            </w:r>
          </w:p>
        </w:tc>
        <w:tc>
          <w:tcPr>
            <w:tcW w:w="2160" w:type="dxa"/>
            <w:tcBorders>
              <w:top w:val="nil"/>
              <w:left w:val="nil"/>
              <w:bottom w:val="nil"/>
              <w:right w:val="nil"/>
            </w:tcBorders>
            <w:shd w:val="clear" w:color="000000" w:fill="E2EFDA"/>
            <w:noWrap/>
            <w:vAlign w:val="bottom"/>
            <w:hideMark/>
          </w:tcPr>
          <w:p w14:paraId="22C6F067"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7.73E-01</w:t>
            </w:r>
          </w:p>
        </w:tc>
        <w:tc>
          <w:tcPr>
            <w:tcW w:w="2260" w:type="dxa"/>
            <w:tcBorders>
              <w:top w:val="nil"/>
              <w:left w:val="nil"/>
              <w:bottom w:val="nil"/>
              <w:right w:val="nil"/>
            </w:tcBorders>
            <w:shd w:val="clear" w:color="000000" w:fill="E2EFDA"/>
            <w:noWrap/>
            <w:vAlign w:val="bottom"/>
            <w:hideMark/>
          </w:tcPr>
          <w:p w14:paraId="450152E5"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6.42E-01</w:t>
            </w:r>
          </w:p>
        </w:tc>
        <w:tc>
          <w:tcPr>
            <w:tcW w:w="268" w:type="dxa"/>
            <w:tcBorders>
              <w:top w:val="nil"/>
              <w:left w:val="nil"/>
              <w:bottom w:val="nil"/>
              <w:right w:val="nil"/>
            </w:tcBorders>
            <w:shd w:val="clear" w:color="000000" w:fill="E2EFDA"/>
          </w:tcPr>
          <w:p w14:paraId="4B2FA23D"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7D6FE63B"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48E0711A"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655FBC19" w14:textId="77777777" w:rsidR="001332CF" w:rsidRPr="00591954" w:rsidRDefault="001332CF" w:rsidP="00F36BB1">
            <w:pPr>
              <w:jc w:val="right"/>
              <w:rPr>
                <w:rFonts w:ascii="Calibri" w:hAnsi="Calibri"/>
                <w:szCs w:val="24"/>
                <w:lang w:val="en-GB"/>
              </w:rPr>
            </w:pPr>
          </w:p>
        </w:tc>
      </w:tr>
      <w:tr w:rsidR="00591954" w:rsidRPr="00591954" w14:paraId="0947309D" w14:textId="24BFFA21" w:rsidTr="001332CF">
        <w:trPr>
          <w:trHeight w:val="320"/>
        </w:trPr>
        <w:tc>
          <w:tcPr>
            <w:tcW w:w="3040" w:type="dxa"/>
            <w:tcBorders>
              <w:top w:val="nil"/>
              <w:left w:val="nil"/>
              <w:bottom w:val="nil"/>
              <w:right w:val="single" w:sz="4" w:space="0" w:color="auto"/>
            </w:tcBorders>
            <w:shd w:val="clear" w:color="auto" w:fill="auto"/>
            <w:noWrap/>
            <w:vAlign w:val="bottom"/>
            <w:hideMark/>
          </w:tcPr>
          <w:p w14:paraId="4FECB3AD"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rostralanteriorcingulate</w:t>
            </w:r>
            <w:proofErr w:type="spellEnd"/>
          </w:p>
        </w:tc>
        <w:tc>
          <w:tcPr>
            <w:tcW w:w="2160" w:type="dxa"/>
            <w:tcBorders>
              <w:top w:val="nil"/>
              <w:left w:val="nil"/>
              <w:bottom w:val="nil"/>
              <w:right w:val="nil"/>
            </w:tcBorders>
            <w:shd w:val="clear" w:color="000000" w:fill="E2EFDA"/>
            <w:noWrap/>
            <w:vAlign w:val="bottom"/>
            <w:hideMark/>
          </w:tcPr>
          <w:p w14:paraId="45E31EA8"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8.34E-01</w:t>
            </w:r>
          </w:p>
        </w:tc>
        <w:tc>
          <w:tcPr>
            <w:tcW w:w="2260" w:type="dxa"/>
            <w:tcBorders>
              <w:top w:val="nil"/>
              <w:left w:val="nil"/>
              <w:bottom w:val="nil"/>
              <w:right w:val="nil"/>
            </w:tcBorders>
            <w:shd w:val="clear" w:color="000000" w:fill="E2EFDA"/>
            <w:noWrap/>
            <w:vAlign w:val="bottom"/>
            <w:hideMark/>
          </w:tcPr>
          <w:p w14:paraId="351BDF02"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8.64E-02</w:t>
            </w:r>
          </w:p>
        </w:tc>
        <w:tc>
          <w:tcPr>
            <w:tcW w:w="268" w:type="dxa"/>
            <w:tcBorders>
              <w:top w:val="nil"/>
              <w:left w:val="nil"/>
              <w:bottom w:val="nil"/>
              <w:right w:val="nil"/>
            </w:tcBorders>
            <w:shd w:val="clear" w:color="000000" w:fill="E2EFDA"/>
          </w:tcPr>
          <w:p w14:paraId="73EB7ECE"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2C6C953B"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5CA5BD97"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5D673CCB" w14:textId="77777777" w:rsidR="001332CF" w:rsidRPr="00591954" w:rsidRDefault="001332CF" w:rsidP="00F36BB1">
            <w:pPr>
              <w:jc w:val="right"/>
              <w:rPr>
                <w:rFonts w:ascii="Calibri" w:hAnsi="Calibri"/>
                <w:szCs w:val="24"/>
                <w:lang w:val="en-GB"/>
              </w:rPr>
            </w:pPr>
          </w:p>
        </w:tc>
      </w:tr>
      <w:tr w:rsidR="00591954" w:rsidRPr="00591954" w14:paraId="5DE43D30" w14:textId="5C942A03" w:rsidTr="001332CF">
        <w:trPr>
          <w:trHeight w:val="320"/>
        </w:trPr>
        <w:tc>
          <w:tcPr>
            <w:tcW w:w="3040" w:type="dxa"/>
            <w:tcBorders>
              <w:top w:val="nil"/>
              <w:left w:val="nil"/>
              <w:bottom w:val="nil"/>
              <w:right w:val="single" w:sz="4" w:space="0" w:color="auto"/>
            </w:tcBorders>
            <w:shd w:val="clear" w:color="auto" w:fill="auto"/>
            <w:noWrap/>
            <w:vAlign w:val="bottom"/>
            <w:hideMark/>
          </w:tcPr>
          <w:p w14:paraId="0B20A532" w14:textId="77777777" w:rsidR="001332CF" w:rsidRPr="00591954" w:rsidRDefault="001332CF" w:rsidP="00F36BB1">
            <w:pPr>
              <w:rPr>
                <w:rFonts w:ascii="Calibri" w:hAnsi="Calibri"/>
                <w:szCs w:val="24"/>
                <w:lang w:val="en-GB"/>
              </w:rPr>
            </w:pPr>
            <w:proofErr w:type="spellStart"/>
            <w:r w:rsidRPr="00591954">
              <w:rPr>
                <w:rFonts w:ascii="Calibri" w:hAnsi="Calibri"/>
                <w:szCs w:val="24"/>
                <w:lang w:val="en-GB"/>
              </w:rPr>
              <w:t>caudalanteriorcingulate</w:t>
            </w:r>
            <w:proofErr w:type="spellEnd"/>
          </w:p>
        </w:tc>
        <w:tc>
          <w:tcPr>
            <w:tcW w:w="2160" w:type="dxa"/>
            <w:tcBorders>
              <w:top w:val="nil"/>
              <w:left w:val="nil"/>
              <w:bottom w:val="nil"/>
              <w:right w:val="nil"/>
            </w:tcBorders>
            <w:shd w:val="clear" w:color="000000" w:fill="E2EFDA"/>
            <w:noWrap/>
            <w:vAlign w:val="bottom"/>
            <w:hideMark/>
          </w:tcPr>
          <w:p w14:paraId="6192C67E"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3.59E-01</w:t>
            </w:r>
          </w:p>
        </w:tc>
        <w:tc>
          <w:tcPr>
            <w:tcW w:w="2260" w:type="dxa"/>
            <w:tcBorders>
              <w:top w:val="nil"/>
              <w:left w:val="nil"/>
              <w:bottom w:val="nil"/>
              <w:right w:val="nil"/>
            </w:tcBorders>
            <w:shd w:val="clear" w:color="000000" w:fill="E2EFDA"/>
            <w:noWrap/>
            <w:vAlign w:val="bottom"/>
            <w:hideMark/>
          </w:tcPr>
          <w:p w14:paraId="56D5A9E9" w14:textId="77777777" w:rsidR="001332CF" w:rsidRPr="00591954" w:rsidRDefault="001332CF" w:rsidP="00F36BB1">
            <w:pPr>
              <w:jc w:val="right"/>
              <w:rPr>
                <w:rFonts w:ascii="Calibri" w:hAnsi="Calibri"/>
                <w:szCs w:val="24"/>
                <w:lang w:val="en-GB"/>
              </w:rPr>
            </w:pPr>
            <w:r w:rsidRPr="00591954">
              <w:rPr>
                <w:rFonts w:ascii="Calibri" w:hAnsi="Calibri"/>
                <w:szCs w:val="24"/>
                <w:lang w:val="en-GB"/>
              </w:rPr>
              <w:t>8.24E-01</w:t>
            </w:r>
          </w:p>
        </w:tc>
        <w:tc>
          <w:tcPr>
            <w:tcW w:w="268" w:type="dxa"/>
            <w:tcBorders>
              <w:top w:val="nil"/>
              <w:left w:val="nil"/>
              <w:bottom w:val="nil"/>
              <w:right w:val="nil"/>
            </w:tcBorders>
            <w:shd w:val="clear" w:color="000000" w:fill="E2EFDA"/>
          </w:tcPr>
          <w:p w14:paraId="3B1C8F01"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51A6F201"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0C9EE5A3" w14:textId="77777777" w:rsidR="001332CF" w:rsidRPr="00591954" w:rsidRDefault="001332CF" w:rsidP="00F36BB1">
            <w:pPr>
              <w:jc w:val="right"/>
              <w:rPr>
                <w:rFonts w:ascii="Calibri" w:hAnsi="Calibri"/>
                <w:szCs w:val="24"/>
                <w:lang w:val="en-GB"/>
              </w:rPr>
            </w:pPr>
          </w:p>
        </w:tc>
        <w:tc>
          <w:tcPr>
            <w:tcW w:w="268" w:type="dxa"/>
            <w:tcBorders>
              <w:top w:val="nil"/>
              <w:left w:val="nil"/>
              <w:bottom w:val="nil"/>
              <w:right w:val="nil"/>
            </w:tcBorders>
            <w:shd w:val="clear" w:color="000000" w:fill="E2EFDA"/>
          </w:tcPr>
          <w:p w14:paraId="46DC4674" w14:textId="77777777" w:rsidR="001332CF" w:rsidRPr="00591954" w:rsidRDefault="001332CF" w:rsidP="00F36BB1">
            <w:pPr>
              <w:jc w:val="right"/>
              <w:rPr>
                <w:rFonts w:ascii="Calibri" w:hAnsi="Calibri"/>
                <w:szCs w:val="24"/>
                <w:lang w:val="en-GB"/>
              </w:rPr>
            </w:pPr>
          </w:p>
        </w:tc>
      </w:tr>
    </w:tbl>
    <w:p w14:paraId="180C49B5" w14:textId="77777777" w:rsidR="00681629" w:rsidRPr="00591954" w:rsidRDefault="00681629" w:rsidP="00681629">
      <w:pPr>
        <w:pStyle w:val="Heading2"/>
        <w:spacing w:before="0"/>
        <w:jc w:val="both"/>
        <w:rPr>
          <w:rFonts w:ascii="Times New Roman" w:hAnsi="Times New Roman"/>
          <w:b w:val="0"/>
          <w:i w:val="0"/>
          <w:sz w:val="22"/>
          <w:szCs w:val="22"/>
          <w:lang w:val="en-GB"/>
        </w:rPr>
      </w:pPr>
    </w:p>
    <w:p w14:paraId="2A74747B" w14:textId="77777777" w:rsidR="00681629" w:rsidRPr="00591954" w:rsidRDefault="00681629" w:rsidP="00681629">
      <w:pPr>
        <w:rPr>
          <w:lang w:val="en-GB"/>
        </w:rPr>
      </w:pPr>
    </w:p>
    <w:p w14:paraId="50A55059" w14:textId="77777777" w:rsidR="00F36BB1" w:rsidRPr="00591954" w:rsidRDefault="00F36BB1">
      <w:pPr>
        <w:rPr>
          <w:b/>
          <w:bCs/>
          <w:iCs/>
          <w:sz w:val="22"/>
          <w:szCs w:val="22"/>
          <w:lang w:val="en-GB"/>
        </w:rPr>
      </w:pPr>
      <w:r w:rsidRPr="00591954">
        <w:rPr>
          <w:i/>
          <w:sz w:val="22"/>
          <w:szCs w:val="22"/>
          <w:lang w:val="en-GB"/>
        </w:rPr>
        <w:br w:type="page"/>
      </w:r>
    </w:p>
    <w:p w14:paraId="0CDF703B" w14:textId="1037B77A" w:rsidR="002B0934" w:rsidRPr="00591954" w:rsidRDefault="00C53616" w:rsidP="002B0934">
      <w:pPr>
        <w:spacing w:line="360" w:lineRule="auto"/>
        <w:rPr>
          <w:b/>
          <w:lang w:val="en-GB"/>
        </w:rPr>
      </w:pPr>
      <w:r w:rsidRPr="00591954">
        <w:rPr>
          <w:b/>
          <w:szCs w:val="24"/>
          <w:lang w:val="en-GB"/>
        </w:rPr>
        <w:lastRenderedPageBreak/>
        <w:t xml:space="preserve">Table S2. </w:t>
      </w:r>
      <w:r w:rsidR="002B0934" w:rsidRPr="00591954">
        <w:rPr>
          <w:b/>
          <w:lang w:val="en-GB"/>
        </w:rPr>
        <w:t>Association between inferred cell type fractions and reduced cortical thickness</w:t>
      </w:r>
      <w:r w:rsidR="00FA6E5B" w:rsidRPr="00591954">
        <w:rPr>
          <w:b/>
          <w:lang w:val="en-GB"/>
        </w:rPr>
        <w:t xml:space="preserve"> </w:t>
      </w:r>
      <w:r w:rsidR="00C13D13" w:rsidRPr="00591954">
        <w:rPr>
          <w:b/>
          <w:lang w:val="en-GB"/>
        </w:rPr>
        <w:t>i</w:t>
      </w:r>
      <w:r w:rsidR="00FA6E5B" w:rsidRPr="00591954">
        <w:rPr>
          <w:b/>
          <w:lang w:val="en-GB"/>
        </w:rPr>
        <w:t>n both hemispheres</w:t>
      </w:r>
      <w:r w:rsidR="002B0934" w:rsidRPr="00591954">
        <w:rPr>
          <w:b/>
          <w:lang w:val="en-GB"/>
        </w:rPr>
        <w:t xml:space="preserve">. </w:t>
      </w:r>
    </w:p>
    <w:p w14:paraId="72E13DAE" w14:textId="1F0D4CAD" w:rsidR="002B0934" w:rsidRPr="00591954" w:rsidRDefault="002B0934" w:rsidP="002B0934">
      <w:pPr>
        <w:spacing w:line="360" w:lineRule="auto"/>
        <w:rPr>
          <w:lang w:val="en-GB"/>
        </w:rPr>
      </w:pPr>
      <w:r w:rsidRPr="00591954">
        <w:rPr>
          <w:lang w:val="en-GB"/>
        </w:rPr>
        <w:t>Columns represent the cell type, the t-value from the association analysis</w:t>
      </w:r>
      <w:r w:rsidR="00FA6E5B" w:rsidRPr="00591954">
        <w:rPr>
          <w:lang w:val="en-GB"/>
        </w:rPr>
        <w:t xml:space="preserve"> and</w:t>
      </w:r>
      <w:r w:rsidRPr="00591954">
        <w:rPr>
          <w:lang w:val="en-GB"/>
        </w:rPr>
        <w:t xml:space="preserve"> the corresponding P-value</w:t>
      </w:r>
      <w:r w:rsidR="00CD7C05" w:rsidRPr="00591954">
        <w:rPr>
          <w:lang w:val="en-GB"/>
        </w:rPr>
        <w:t xml:space="preserve"> using all 1628 samples</w:t>
      </w:r>
      <w:r w:rsidRPr="00591954">
        <w:rPr>
          <w:lang w:val="en-GB"/>
        </w:rPr>
        <w:t xml:space="preserve">. The least column lists a P-value obtained from 1,000 permutations of the vulnerable/protected status of </w:t>
      </w:r>
      <w:r w:rsidR="00FA6E5B" w:rsidRPr="00591954">
        <w:rPr>
          <w:lang w:val="en-GB"/>
        </w:rPr>
        <w:t>68</w:t>
      </w:r>
      <w:r w:rsidRPr="00591954">
        <w:rPr>
          <w:lang w:val="en-GB"/>
        </w:rPr>
        <w:t xml:space="preserve"> ROIs in the left </w:t>
      </w:r>
      <w:r w:rsidR="00FA6E5B" w:rsidRPr="00591954">
        <w:rPr>
          <w:lang w:val="en-GB"/>
        </w:rPr>
        <w:t>and right hemispheres</w:t>
      </w:r>
      <w:r w:rsidRPr="00591954">
        <w:rPr>
          <w:lang w:val="en-GB"/>
        </w:rPr>
        <w:t>.</w:t>
      </w:r>
    </w:p>
    <w:p w14:paraId="46082988" w14:textId="77777777" w:rsidR="002B0934" w:rsidRPr="00591954" w:rsidRDefault="002B0934" w:rsidP="002B0934">
      <w:pPr>
        <w:spacing w:line="360" w:lineRule="auto"/>
        <w:rPr>
          <w:b/>
          <w:lang w:val="en-GB"/>
        </w:rPr>
      </w:pPr>
    </w:p>
    <w:tbl>
      <w:tblPr>
        <w:tblStyle w:val="TableGrid"/>
        <w:tblW w:w="0" w:type="auto"/>
        <w:tblLook w:val="04A0" w:firstRow="1" w:lastRow="0" w:firstColumn="1" w:lastColumn="0" w:noHBand="0" w:noVBand="1"/>
      </w:tblPr>
      <w:tblGrid>
        <w:gridCol w:w="2378"/>
        <w:gridCol w:w="1785"/>
        <w:gridCol w:w="1786"/>
        <w:gridCol w:w="1548"/>
      </w:tblGrid>
      <w:tr w:rsidR="00591954" w:rsidRPr="00591954" w14:paraId="1D089479" w14:textId="77777777" w:rsidTr="00FA6E5B">
        <w:tc>
          <w:tcPr>
            <w:tcW w:w="2378" w:type="dxa"/>
          </w:tcPr>
          <w:p w14:paraId="422E20D8" w14:textId="77777777" w:rsidR="00FA6E5B" w:rsidRPr="00591954" w:rsidRDefault="00FA6E5B" w:rsidP="00B0699C">
            <w:pPr>
              <w:spacing w:line="360" w:lineRule="auto"/>
              <w:rPr>
                <w:b/>
              </w:rPr>
            </w:pPr>
            <w:r w:rsidRPr="00591954">
              <w:rPr>
                <w:b/>
              </w:rPr>
              <w:t>Cell type</w:t>
            </w:r>
          </w:p>
        </w:tc>
        <w:tc>
          <w:tcPr>
            <w:tcW w:w="1785" w:type="dxa"/>
          </w:tcPr>
          <w:p w14:paraId="7EAEE185" w14:textId="77777777" w:rsidR="00FA6E5B" w:rsidRPr="00591954" w:rsidRDefault="00FA6E5B" w:rsidP="00B0699C">
            <w:pPr>
              <w:spacing w:line="360" w:lineRule="auto"/>
              <w:rPr>
                <w:b/>
              </w:rPr>
            </w:pPr>
            <w:r w:rsidRPr="00591954">
              <w:rPr>
                <w:b/>
              </w:rPr>
              <w:t>T-value</w:t>
            </w:r>
          </w:p>
        </w:tc>
        <w:tc>
          <w:tcPr>
            <w:tcW w:w="1786" w:type="dxa"/>
          </w:tcPr>
          <w:p w14:paraId="160EB078" w14:textId="77777777" w:rsidR="00FA6E5B" w:rsidRPr="00591954" w:rsidRDefault="00FA6E5B" w:rsidP="00B0699C">
            <w:pPr>
              <w:spacing w:line="360" w:lineRule="auto"/>
              <w:rPr>
                <w:b/>
              </w:rPr>
            </w:pPr>
            <w:r w:rsidRPr="00591954">
              <w:rPr>
                <w:b/>
              </w:rPr>
              <w:t>P-value</w:t>
            </w:r>
          </w:p>
        </w:tc>
        <w:tc>
          <w:tcPr>
            <w:tcW w:w="1548" w:type="dxa"/>
          </w:tcPr>
          <w:p w14:paraId="7B5F95F3" w14:textId="77777777" w:rsidR="00FA6E5B" w:rsidRPr="00591954" w:rsidRDefault="00FA6E5B" w:rsidP="00B0699C">
            <w:pPr>
              <w:spacing w:line="360" w:lineRule="auto"/>
              <w:rPr>
                <w:b/>
              </w:rPr>
            </w:pPr>
            <w:r w:rsidRPr="00591954">
              <w:rPr>
                <w:b/>
              </w:rPr>
              <w:t>Pperm</w:t>
            </w:r>
          </w:p>
        </w:tc>
      </w:tr>
      <w:tr w:rsidR="00591954" w:rsidRPr="00591954" w14:paraId="6E9C8D1A" w14:textId="77777777" w:rsidTr="00FA6E5B">
        <w:tc>
          <w:tcPr>
            <w:tcW w:w="2378" w:type="dxa"/>
          </w:tcPr>
          <w:p w14:paraId="6D34AFE9" w14:textId="77777777" w:rsidR="00FA6E5B" w:rsidRPr="00591954" w:rsidRDefault="00FA6E5B" w:rsidP="00B0699C">
            <w:pPr>
              <w:spacing w:line="360" w:lineRule="auto"/>
            </w:pPr>
            <w:r w:rsidRPr="00591954">
              <w:t>Astrocytes</w:t>
            </w:r>
          </w:p>
        </w:tc>
        <w:tc>
          <w:tcPr>
            <w:tcW w:w="1785" w:type="dxa"/>
          </w:tcPr>
          <w:p w14:paraId="194D6233" w14:textId="6444A963" w:rsidR="00FA6E5B" w:rsidRPr="00591954" w:rsidRDefault="00FA6E5B" w:rsidP="00B0699C">
            <w:pPr>
              <w:spacing w:line="360" w:lineRule="auto"/>
            </w:pPr>
            <w:r w:rsidRPr="00591954">
              <w:t>1.270812</w:t>
            </w:r>
          </w:p>
        </w:tc>
        <w:tc>
          <w:tcPr>
            <w:tcW w:w="1786" w:type="dxa"/>
          </w:tcPr>
          <w:p w14:paraId="48BD0F60" w14:textId="0CDCAE5D" w:rsidR="00FA6E5B" w:rsidRPr="00591954" w:rsidRDefault="00FA6E5B" w:rsidP="00B0699C">
            <w:pPr>
              <w:spacing w:line="360" w:lineRule="auto"/>
            </w:pPr>
            <w:r w:rsidRPr="00591954">
              <w:t>0.203</w:t>
            </w:r>
            <w:r w:rsidR="00A45328" w:rsidRPr="00591954">
              <w:t>8</w:t>
            </w:r>
          </w:p>
        </w:tc>
        <w:tc>
          <w:tcPr>
            <w:tcW w:w="1548" w:type="dxa"/>
          </w:tcPr>
          <w:p w14:paraId="606A71CC" w14:textId="3C852A31" w:rsidR="00FA6E5B" w:rsidRPr="00591954" w:rsidRDefault="00FA6E5B" w:rsidP="00B0699C">
            <w:pPr>
              <w:spacing w:line="360" w:lineRule="auto"/>
            </w:pPr>
            <w:r w:rsidRPr="00591954">
              <w:t>0.28</w:t>
            </w:r>
          </w:p>
        </w:tc>
      </w:tr>
      <w:tr w:rsidR="00591954" w:rsidRPr="00591954" w14:paraId="710E08E4" w14:textId="77777777" w:rsidTr="00FA6E5B">
        <w:tc>
          <w:tcPr>
            <w:tcW w:w="2378" w:type="dxa"/>
          </w:tcPr>
          <w:p w14:paraId="06DE112A" w14:textId="77777777" w:rsidR="00FA6E5B" w:rsidRPr="00591954" w:rsidRDefault="00FA6E5B" w:rsidP="00B0699C">
            <w:pPr>
              <w:spacing w:line="360" w:lineRule="auto"/>
            </w:pPr>
            <w:r w:rsidRPr="00591954">
              <w:t>Endothelial</w:t>
            </w:r>
          </w:p>
        </w:tc>
        <w:tc>
          <w:tcPr>
            <w:tcW w:w="1785" w:type="dxa"/>
          </w:tcPr>
          <w:p w14:paraId="10452F55" w14:textId="4384C59D" w:rsidR="00FA6E5B" w:rsidRPr="00591954" w:rsidRDefault="00FA6E5B" w:rsidP="00FA6E5B">
            <w:r w:rsidRPr="00591954">
              <w:t>4.193236</w:t>
            </w:r>
          </w:p>
        </w:tc>
        <w:tc>
          <w:tcPr>
            <w:tcW w:w="1786" w:type="dxa"/>
          </w:tcPr>
          <w:p w14:paraId="493596C3" w14:textId="234D8BBE" w:rsidR="00FA6E5B" w:rsidRPr="00591954" w:rsidRDefault="00FA6E5B" w:rsidP="00FA6E5B">
            <w:r w:rsidRPr="00591954">
              <w:t>2</w:t>
            </w:r>
            <w:r w:rsidR="00464B01" w:rsidRPr="00591954">
              <w:t>.</w:t>
            </w:r>
            <w:r w:rsidRPr="00591954">
              <w:t>8</w:t>
            </w:r>
            <w:r w:rsidR="00A45328" w:rsidRPr="00591954">
              <w:t>0</w:t>
            </w:r>
            <w:r w:rsidR="00464B01" w:rsidRPr="00591954">
              <w:t>x10</w:t>
            </w:r>
            <w:r w:rsidR="00464B01" w:rsidRPr="00591954">
              <w:rPr>
                <w:vertAlign w:val="superscript"/>
              </w:rPr>
              <w:t>-5</w:t>
            </w:r>
          </w:p>
        </w:tc>
        <w:tc>
          <w:tcPr>
            <w:tcW w:w="1548" w:type="dxa"/>
          </w:tcPr>
          <w:p w14:paraId="2BF50002" w14:textId="2F08CB9C" w:rsidR="00FA6E5B" w:rsidRPr="00591954" w:rsidRDefault="00FA6E5B" w:rsidP="00B0699C">
            <w:pPr>
              <w:spacing w:line="360" w:lineRule="auto"/>
              <w:rPr>
                <w:b/>
              </w:rPr>
            </w:pPr>
            <w:r w:rsidRPr="00591954">
              <w:rPr>
                <w:b/>
              </w:rPr>
              <w:t>0.026</w:t>
            </w:r>
          </w:p>
        </w:tc>
      </w:tr>
      <w:tr w:rsidR="00591954" w:rsidRPr="00591954" w14:paraId="74080DFA" w14:textId="77777777" w:rsidTr="00FA6E5B">
        <w:tc>
          <w:tcPr>
            <w:tcW w:w="2378" w:type="dxa"/>
          </w:tcPr>
          <w:p w14:paraId="42780D90" w14:textId="77208828" w:rsidR="00FA6E5B" w:rsidRPr="00591954" w:rsidRDefault="00FA6E5B" w:rsidP="00B0699C">
            <w:pPr>
              <w:spacing w:line="360" w:lineRule="auto"/>
            </w:pPr>
            <w:proofErr w:type="spellStart"/>
            <w:r w:rsidRPr="00591954">
              <w:t>ExNeurons</w:t>
            </w:r>
            <w:proofErr w:type="spellEnd"/>
            <w:r w:rsidRPr="00591954">
              <w:t xml:space="preserve"> </w:t>
            </w:r>
          </w:p>
        </w:tc>
        <w:tc>
          <w:tcPr>
            <w:tcW w:w="1785" w:type="dxa"/>
          </w:tcPr>
          <w:p w14:paraId="12AD152C" w14:textId="7D9EFA31" w:rsidR="00FA6E5B" w:rsidRPr="00591954" w:rsidRDefault="00FA6E5B" w:rsidP="00B0699C">
            <w:pPr>
              <w:spacing w:line="360" w:lineRule="auto"/>
            </w:pPr>
            <w:r w:rsidRPr="00591954">
              <w:t>-3.803568</w:t>
            </w:r>
          </w:p>
        </w:tc>
        <w:tc>
          <w:tcPr>
            <w:tcW w:w="1786" w:type="dxa"/>
          </w:tcPr>
          <w:p w14:paraId="1511F3E2" w14:textId="68D0F25C" w:rsidR="00FA6E5B" w:rsidRPr="00591954" w:rsidRDefault="00464B01" w:rsidP="00B0699C">
            <w:pPr>
              <w:spacing w:line="360" w:lineRule="auto"/>
            </w:pPr>
            <w:r w:rsidRPr="00591954">
              <w:t>1.43x10</w:t>
            </w:r>
            <w:r w:rsidRPr="00591954">
              <w:rPr>
                <w:vertAlign w:val="superscript"/>
              </w:rPr>
              <w:t>-4</w:t>
            </w:r>
          </w:p>
        </w:tc>
        <w:tc>
          <w:tcPr>
            <w:tcW w:w="1548" w:type="dxa"/>
          </w:tcPr>
          <w:p w14:paraId="7BBF46B2" w14:textId="4D0C80EE" w:rsidR="00FA6E5B" w:rsidRPr="00591954" w:rsidRDefault="00FA6E5B" w:rsidP="00B0699C">
            <w:pPr>
              <w:spacing w:line="360" w:lineRule="auto"/>
              <w:rPr>
                <w:b/>
              </w:rPr>
            </w:pPr>
            <w:r w:rsidRPr="00591954">
              <w:rPr>
                <w:b/>
              </w:rPr>
              <w:t>0.046</w:t>
            </w:r>
          </w:p>
        </w:tc>
      </w:tr>
      <w:tr w:rsidR="00591954" w:rsidRPr="00591954" w14:paraId="142A57D7" w14:textId="77777777" w:rsidTr="00FA6E5B">
        <w:tc>
          <w:tcPr>
            <w:tcW w:w="2378" w:type="dxa"/>
          </w:tcPr>
          <w:p w14:paraId="740D1EA3" w14:textId="77777777" w:rsidR="00FA6E5B" w:rsidRPr="00591954" w:rsidRDefault="00FA6E5B" w:rsidP="00B0699C">
            <w:pPr>
              <w:spacing w:line="360" w:lineRule="auto"/>
            </w:pPr>
            <w:proofErr w:type="spellStart"/>
            <w:r w:rsidRPr="00591954">
              <w:t>InNeurons</w:t>
            </w:r>
            <w:proofErr w:type="spellEnd"/>
          </w:p>
        </w:tc>
        <w:tc>
          <w:tcPr>
            <w:tcW w:w="1785" w:type="dxa"/>
          </w:tcPr>
          <w:p w14:paraId="365D45EE" w14:textId="7FFB6E9C" w:rsidR="00FA6E5B" w:rsidRPr="00591954" w:rsidRDefault="00FA6E5B" w:rsidP="00B0699C">
            <w:pPr>
              <w:spacing w:line="360" w:lineRule="auto"/>
            </w:pPr>
            <w:r w:rsidRPr="00591954">
              <w:t>0.520356</w:t>
            </w:r>
          </w:p>
        </w:tc>
        <w:tc>
          <w:tcPr>
            <w:tcW w:w="1786" w:type="dxa"/>
          </w:tcPr>
          <w:p w14:paraId="335098E6" w14:textId="7713F37F" w:rsidR="00FA6E5B" w:rsidRPr="00591954" w:rsidRDefault="00FA6E5B" w:rsidP="00B0699C">
            <w:pPr>
              <w:spacing w:line="360" w:lineRule="auto"/>
            </w:pPr>
            <w:r w:rsidRPr="00591954">
              <w:t>0.602815</w:t>
            </w:r>
          </w:p>
        </w:tc>
        <w:tc>
          <w:tcPr>
            <w:tcW w:w="1548" w:type="dxa"/>
          </w:tcPr>
          <w:p w14:paraId="30FA7A15" w14:textId="464C2CBC" w:rsidR="00FA6E5B" w:rsidRPr="00591954" w:rsidRDefault="00FA6E5B" w:rsidP="00B0699C">
            <w:pPr>
              <w:spacing w:line="360" w:lineRule="auto"/>
            </w:pPr>
            <w:r w:rsidRPr="00591954">
              <w:t>0.40</w:t>
            </w:r>
          </w:p>
        </w:tc>
      </w:tr>
      <w:tr w:rsidR="00591954" w:rsidRPr="00591954" w14:paraId="57624A2B" w14:textId="77777777" w:rsidTr="00FA6E5B">
        <w:tc>
          <w:tcPr>
            <w:tcW w:w="2378" w:type="dxa"/>
          </w:tcPr>
          <w:p w14:paraId="37788F46" w14:textId="77777777" w:rsidR="00FA6E5B" w:rsidRPr="00591954" w:rsidRDefault="00FA6E5B" w:rsidP="00B0699C">
            <w:pPr>
              <w:spacing w:line="360" w:lineRule="auto"/>
            </w:pPr>
            <w:r w:rsidRPr="00591954">
              <w:t>Microglia</w:t>
            </w:r>
          </w:p>
        </w:tc>
        <w:tc>
          <w:tcPr>
            <w:tcW w:w="1785" w:type="dxa"/>
          </w:tcPr>
          <w:p w14:paraId="271D44CD" w14:textId="48108669" w:rsidR="00FA6E5B" w:rsidRPr="00591954" w:rsidRDefault="00FA6E5B" w:rsidP="00B0699C">
            <w:pPr>
              <w:spacing w:line="360" w:lineRule="auto"/>
            </w:pPr>
            <w:r w:rsidRPr="00591954">
              <w:t>3.465558</w:t>
            </w:r>
          </w:p>
        </w:tc>
        <w:tc>
          <w:tcPr>
            <w:tcW w:w="1786" w:type="dxa"/>
          </w:tcPr>
          <w:p w14:paraId="28E5342E" w14:textId="499C5A2C" w:rsidR="00FA6E5B" w:rsidRPr="00591954" w:rsidRDefault="00FA6E5B" w:rsidP="00B0699C">
            <w:pPr>
              <w:spacing w:line="360" w:lineRule="auto"/>
            </w:pPr>
            <w:r w:rsidRPr="00591954">
              <w:t>5</w:t>
            </w:r>
            <w:r w:rsidR="00464B01" w:rsidRPr="00591954">
              <w:t>.</w:t>
            </w:r>
            <w:r w:rsidRPr="00591954">
              <w:t>29</w:t>
            </w:r>
            <w:r w:rsidR="00464B01" w:rsidRPr="00591954">
              <w:t>x10</w:t>
            </w:r>
            <w:r w:rsidR="00464B01" w:rsidRPr="00591954">
              <w:rPr>
                <w:vertAlign w:val="superscript"/>
              </w:rPr>
              <w:t>-4</w:t>
            </w:r>
          </w:p>
        </w:tc>
        <w:tc>
          <w:tcPr>
            <w:tcW w:w="1548" w:type="dxa"/>
          </w:tcPr>
          <w:p w14:paraId="7DE1B824" w14:textId="3E4E9193" w:rsidR="00FA6E5B" w:rsidRPr="00591954" w:rsidRDefault="00FA6E5B" w:rsidP="00B0699C">
            <w:pPr>
              <w:spacing w:line="360" w:lineRule="auto"/>
              <w:rPr>
                <w:b/>
              </w:rPr>
            </w:pPr>
            <w:r w:rsidRPr="00591954">
              <w:rPr>
                <w:b/>
              </w:rPr>
              <w:t>0.037</w:t>
            </w:r>
          </w:p>
        </w:tc>
      </w:tr>
      <w:tr w:rsidR="00591954" w:rsidRPr="00591954" w14:paraId="3D8D8229" w14:textId="77777777" w:rsidTr="00FA6E5B">
        <w:tc>
          <w:tcPr>
            <w:tcW w:w="2378" w:type="dxa"/>
          </w:tcPr>
          <w:p w14:paraId="70C42EA8" w14:textId="77777777" w:rsidR="00FA6E5B" w:rsidRPr="00591954" w:rsidRDefault="00FA6E5B" w:rsidP="00B0699C">
            <w:pPr>
              <w:spacing w:line="360" w:lineRule="auto"/>
            </w:pPr>
            <w:r w:rsidRPr="00591954">
              <w:t>Oligodendrocytes</w:t>
            </w:r>
          </w:p>
        </w:tc>
        <w:tc>
          <w:tcPr>
            <w:tcW w:w="1785" w:type="dxa"/>
          </w:tcPr>
          <w:p w14:paraId="313ED779" w14:textId="107C8CE3" w:rsidR="00FA6E5B" w:rsidRPr="00591954" w:rsidRDefault="00FA6E5B" w:rsidP="00B0699C">
            <w:pPr>
              <w:spacing w:line="360" w:lineRule="auto"/>
            </w:pPr>
            <w:r w:rsidRPr="00591954">
              <w:t>3.097982</w:t>
            </w:r>
          </w:p>
        </w:tc>
        <w:tc>
          <w:tcPr>
            <w:tcW w:w="1786" w:type="dxa"/>
          </w:tcPr>
          <w:p w14:paraId="52DCFAEC" w14:textId="733BCFFA" w:rsidR="00FA6E5B" w:rsidRPr="00591954" w:rsidRDefault="00FA6E5B" w:rsidP="00FA6E5B">
            <w:pPr>
              <w:spacing w:line="360" w:lineRule="auto"/>
            </w:pPr>
            <w:r w:rsidRPr="00591954">
              <w:t>0.0019</w:t>
            </w:r>
          </w:p>
        </w:tc>
        <w:tc>
          <w:tcPr>
            <w:tcW w:w="1548" w:type="dxa"/>
          </w:tcPr>
          <w:p w14:paraId="5F222FB8" w14:textId="23CB5F84" w:rsidR="00FA6E5B" w:rsidRPr="00591954" w:rsidRDefault="00FA6E5B" w:rsidP="00B0699C">
            <w:pPr>
              <w:spacing w:line="360" w:lineRule="auto"/>
              <w:rPr>
                <w:b/>
              </w:rPr>
            </w:pPr>
            <w:r w:rsidRPr="00591954">
              <w:rPr>
                <w:b/>
              </w:rPr>
              <w:t>0.019</w:t>
            </w:r>
          </w:p>
        </w:tc>
      </w:tr>
      <w:tr w:rsidR="00591954" w:rsidRPr="00591954" w14:paraId="23E901EA" w14:textId="77777777" w:rsidTr="00FA6E5B">
        <w:tc>
          <w:tcPr>
            <w:tcW w:w="2378" w:type="dxa"/>
          </w:tcPr>
          <w:p w14:paraId="78C720FA" w14:textId="77777777" w:rsidR="00FA6E5B" w:rsidRPr="00591954" w:rsidRDefault="00FA6E5B" w:rsidP="00B0699C">
            <w:pPr>
              <w:spacing w:line="360" w:lineRule="auto"/>
            </w:pPr>
            <w:r w:rsidRPr="00591954">
              <w:t>OPC</w:t>
            </w:r>
          </w:p>
        </w:tc>
        <w:tc>
          <w:tcPr>
            <w:tcW w:w="1785" w:type="dxa"/>
          </w:tcPr>
          <w:p w14:paraId="0A491EF8" w14:textId="6F286AC0" w:rsidR="00FA6E5B" w:rsidRPr="00591954" w:rsidRDefault="00FA6E5B" w:rsidP="00B0699C">
            <w:pPr>
              <w:spacing w:line="360" w:lineRule="auto"/>
            </w:pPr>
            <w:r w:rsidRPr="00591954">
              <w:t>2.188713</w:t>
            </w:r>
          </w:p>
        </w:tc>
        <w:tc>
          <w:tcPr>
            <w:tcW w:w="1786" w:type="dxa"/>
          </w:tcPr>
          <w:p w14:paraId="3235C538" w14:textId="7E221A5B" w:rsidR="00FA6E5B" w:rsidRPr="00591954" w:rsidRDefault="00FA6E5B" w:rsidP="00B0699C">
            <w:pPr>
              <w:spacing w:line="360" w:lineRule="auto"/>
            </w:pPr>
            <w:r w:rsidRPr="00591954">
              <w:t>0.0286</w:t>
            </w:r>
          </w:p>
        </w:tc>
        <w:tc>
          <w:tcPr>
            <w:tcW w:w="1548" w:type="dxa"/>
          </w:tcPr>
          <w:p w14:paraId="3168FE1A" w14:textId="0189CE08" w:rsidR="00FA6E5B" w:rsidRPr="00591954" w:rsidRDefault="00FA6E5B" w:rsidP="00B0699C">
            <w:pPr>
              <w:spacing w:line="360" w:lineRule="auto"/>
            </w:pPr>
            <w:r w:rsidRPr="00591954">
              <w:t>0.11</w:t>
            </w:r>
          </w:p>
        </w:tc>
      </w:tr>
      <w:tr w:rsidR="00FA6E5B" w:rsidRPr="00591954" w14:paraId="4A27156C" w14:textId="77777777" w:rsidTr="00FA6E5B">
        <w:tc>
          <w:tcPr>
            <w:tcW w:w="2378" w:type="dxa"/>
          </w:tcPr>
          <w:p w14:paraId="3CFB3903" w14:textId="77777777" w:rsidR="00FA6E5B" w:rsidRPr="00591954" w:rsidRDefault="00FA6E5B" w:rsidP="00B0699C">
            <w:pPr>
              <w:spacing w:line="360" w:lineRule="auto"/>
            </w:pPr>
            <w:r w:rsidRPr="00591954">
              <w:t>Unknown</w:t>
            </w:r>
          </w:p>
        </w:tc>
        <w:tc>
          <w:tcPr>
            <w:tcW w:w="1785" w:type="dxa"/>
          </w:tcPr>
          <w:p w14:paraId="0CC6FB1D" w14:textId="11F3E024" w:rsidR="00FA6E5B" w:rsidRPr="00591954" w:rsidRDefault="00FA6E5B" w:rsidP="00B0699C">
            <w:pPr>
              <w:spacing w:line="360" w:lineRule="auto"/>
            </w:pPr>
            <w:r w:rsidRPr="00591954">
              <w:t>2.389963</w:t>
            </w:r>
          </w:p>
        </w:tc>
        <w:tc>
          <w:tcPr>
            <w:tcW w:w="1786" w:type="dxa"/>
          </w:tcPr>
          <w:p w14:paraId="489C44E7" w14:textId="4F116326" w:rsidR="00FA6E5B" w:rsidRPr="00591954" w:rsidRDefault="00FA6E5B" w:rsidP="00B0699C">
            <w:pPr>
              <w:spacing w:line="360" w:lineRule="auto"/>
            </w:pPr>
            <w:r w:rsidRPr="00591954">
              <w:t>0.016</w:t>
            </w:r>
            <w:r w:rsidR="00A45328" w:rsidRPr="00591954">
              <w:t>9</w:t>
            </w:r>
          </w:p>
        </w:tc>
        <w:tc>
          <w:tcPr>
            <w:tcW w:w="1548" w:type="dxa"/>
          </w:tcPr>
          <w:p w14:paraId="229BB2CD" w14:textId="2A25EFD2" w:rsidR="00FA6E5B" w:rsidRPr="00591954" w:rsidRDefault="00FA6E5B" w:rsidP="00B0699C">
            <w:pPr>
              <w:spacing w:line="360" w:lineRule="auto"/>
            </w:pPr>
            <w:r w:rsidRPr="00591954">
              <w:t>0.076</w:t>
            </w:r>
          </w:p>
        </w:tc>
      </w:tr>
    </w:tbl>
    <w:p w14:paraId="1558E844" w14:textId="77777777" w:rsidR="00FA6E5B" w:rsidRPr="00591954" w:rsidRDefault="00FA6E5B" w:rsidP="002B0934">
      <w:pPr>
        <w:pStyle w:val="Heading2"/>
        <w:spacing w:before="0"/>
        <w:jc w:val="both"/>
        <w:rPr>
          <w:b w:val="0"/>
          <w:bCs w:val="0"/>
          <w:iCs w:val="0"/>
          <w:szCs w:val="24"/>
          <w:lang w:val="en-GB"/>
        </w:rPr>
      </w:pPr>
    </w:p>
    <w:p w14:paraId="56BFED78" w14:textId="77777777" w:rsidR="00FA6E5B" w:rsidRPr="00591954" w:rsidRDefault="00FA6E5B">
      <w:pPr>
        <w:rPr>
          <w:rFonts w:ascii="Cambria" w:hAnsi="Cambria"/>
          <w:i/>
          <w:sz w:val="28"/>
          <w:szCs w:val="24"/>
          <w:lang w:val="en-GB"/>
        </w:rPr>
      </w:pPr>
      <w:r w:rsidRPr="00591954">
        <w:rPr>
          <w:b/>
          <w:bCs/>
          <w:iCs/>
          <w:szCs w:val="24"/>
          <w:lang w:val="en-GB"/>
        </w:rPr>
        <w:br w:type="page"/>
      </w:r>
    </w:p>
    <w:p w14:paraId="7A9652E4" w14:textId="37D4E489" w:rsidR="00681629" w:rsidRPr="00591954" w:rsidRDefault="00681629" w:rsidP="002B0934">
      <w:pPr>
        <w:pStyle w:val="Heading2"/>
        <w:spacing w:before="0"/>
        <w:jc w:val="both"/>
        <w:rPr>
          <w:rFonts w:ascii="Times New Roman" w:hAnsi="Times New Roman"/>
          <w:b w:val="0"/>
          <w:i w:val="0"/>
          <w:sz w:val="24"/>
          <w:szCs w:val="24"/>
          <w:lang w:val="en-GB"/>
        </w:rPr>
      </w:pPr>
      <w:r w:rsidRPr="00591954">
        <w:rPr>
          <w:rFonts w:ascii="Times New Roman" w:hAnsi="Times New Roman"/>
          <w:i w:val="0"/>
          <w:sz w:val="24"/>
          <w:szCs w:val="24"/>
          <w:lang w:val="en-GB"/>
        </w:rPr>
        <w:lastRenderedPageBreak/>
        <w:t xml:space="preserve">Table </w:t>
      </w:r>
      <w:r w:rsidR="00AC7ACA" w:rsidRPr="00591954">
        <w:rPr>
          <w:rFonts w:ascii="Times New Roman" w:hAnsi="Times New Roman"/>
          <w:i w:val="0"/>
          <w:sz w:val="24"/>
          <w:szCs w:val="24"/>
          <w:lang w:val="en-GB"/>
        </w:rPr>
        <w:t>S</w:t>
      </w:r>
      <w:r w:rsidR="002F0E95" w:rsidRPr="00591954">
        <w:rPr>
          <w:rFonts w:ascii="Times New Roman" w:hAnsi="Times New Roman"/>
          <w:i w:val="0"/>
          <w:sz w:val="24"/>
          <w:szCs w:val="24"/>
          <w:lang w:val="en-GB"/>
        </w:rPr>
        <w:t>3</w:t>
      </w:r>
      <w:r w:rsidRPr="00591954">
        <w:rPr>
          <w:rFonts w:ascii="Times New Roman" w:hAnsi="Times New Roman"/>
          <w:i w:val="0"/>
          <w:sz w:val="24"/>
          <w:szCs w:val="24"/>
          <w:lang w:val="en-GB"/>
        </w:rPr>
        <w:t>.</w:t>
      </w:r>
      <w:r w:rsidRPr="00591954">
        <w:rPr>
          <w:rFonts w:ascii="Times New Roman" w:hAnsi="Times New Roman"/>
          <w:b w:val="0"/>
          <w:i w:val="0"/>
          <w:sz w:val="24"/>
          <w:szCs w:val="24"/>
          <w:lang w:val="en-GB"/>
        </w:rPr>
        <w:t xml:space="preserve"> </w:t>
      </w:r>
      <w:r w:rsidRPr="00591954">
        <w:rPr>
          <w:rFonts w:ascii="Times New Roman" w:hAnsi="Times New Roman"/>
          <w:i w:val="0"/>
          <w:sz w:val="24"/>
          <w:szCs w:val="24"/>
          <w:lang w:val="en-GB"/>
        </w:rPr>
        <w:t>Regional Iba1 labelling indices in brain tissue samples from healthy controls and people with epilepsy.</w:t>
      </w:r>
      <w:r w:rsidRPr="00591954">
        <w:rPr>
          <w:rFonts w:ascii="Times New Roman" w:hAnsi="Times New Roman"/>
          <w:b w:val="0"/>
          <w:i w:val="0"/>
          <w:sz w:val="24"/>
          <w:szCs w:val="24"/>
          <w:lang w:val="en-GB"/>
        </w:rPr>
        <w:t xml:space="preserve"> </w:t>
      </w:r>
    </w:p>
    <w:p w14:paraId="73F6F22E" w14:textId="77777777" w:rsidR="001346D6" w:rsidRPr="00591954" w:rsidRDefault="001346D6" w:rsidP="001346D6">
      <w:pPr>
        <w:rPr>
          <w:lang w:val="en-GB"/>
        </w:rPr>
      </w:pPr>
    </w:p>
    <w:tbl>
      <w:tblPr>
        <w:tblW w:w="99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7"/>
        <w:gridCol w:w="729"/>
        <w:gridCol w:w="729"/>
        <w:gridCol w:w="729"/>
        <w:gridCol w:w="729"/>
        <w:gridCol w:w="729"/>
        <w:gridCol w:w="730"/>
        <w:gridCol w:w="729"/>
        <w:gridCol w:w="729"/>
        <w:gridCol w:w="729"/>
        <w:gridCol w:w="729"/>
        <w:gridCol w:w="729"/>
        <w:gridCol w:w="729"/>
      </w:tblGrid>
      <w:tr w:rsidR="00591954" w:rsidRPr="00591954" w14:paraId="7DF7171E" w14:textId="77777777" w:rsidTr="00457E40">
        <w:tc>
          <w:tcPr>
            <w:tcW w:w="1207" w:type="dxa"/>
            <w:shd w:val="clear" w:color="auto" w:fill="auto"/>
          </w:tcPr>
          <w:p w14:paraId="63B5CA91" w14:textId="77777777" w:rsidR="00F36BB1" w:rsidRPr="00591954" w:rsidRDefault="00F36BB1" w:rsidP="00F36BB1">
            <w:pPr>
              <w:rPr>
                <w:rFonts w:ascii="Calibri" w:eastAsia="Calibri" w:hAnsi="Calibri"/>
                <w:szCs w:val="22"/>
                <w:lang w:val="en-GB"/>
              </w:rPr>
            </w:pPr>
            <w:r w:rsidRPr="00591954">
              <w:rPr>
                <w:rFonts w:ascii="Calibri" w:eastAsia="Calibri" w:hAnsi="Calibri"/>
                <w:szCs w:val="22"/>
                <w:lang w:val="en-GB"/>
              </w:rPr>
              <w:t>Group</w:t>
            </w:r>
          </w:p>
          <w:p w14:paraId="50290041" w14:textId="77777777" w:rsidR="00F36BB1" w:rsidRPr="00591954" w:rsidRDefault="00F36BB1" w:rsidP="00F36BB1">
            <w:pPr>
              <w:rPr>
                <w:rFonts w:ascii="Calibri" w:eastAsia="Calibri" w:hAnsi="Calibri"/>
                <w:szCs w:val="22"/>
                <w:lang w:val="en-GB"/>
              </w:rPr>
            </w:pPr>
            <w:r w:rsidRPr="00591954">
              <w:rPr>
                <w:rFonts w:ascii="Calibri" w:eastAsia="Calibri" w:hAnsi="Calibri"/>
                <w:szCs w:val="22"/>
                <w:lang w:val="en-GB"/>
              </w:rPr>
              <w:t>Region</w:t>
            </w:r>
          </w:p>
        </w:tc>
        <w:tc>
          <w:tcPr>
            <w:tcW w:w="2187" w:type="dxa"/>
            <w:gridSpan w:val="3"/>
            <w:shd w:val="clear" w:color="auto" w:fill="auto"/>
          </w:tcPr>
          <w:p w14:paraId="4FFBA6D0" w14:textId="77777777" w:rsidR="00F36BB1" w:rsidRPr="00591954" w:rsidRDefault="00F36BB1" w:rsidP="00457E40">
            <w:pPr>
              <w:jc w:val="center"/>
              <w:rPr>
                <w:rFonts w:ascii="Calibri" w:eastAsia="Calibri" w:hAnsi="Calibri"/>
                <w:b/>
                <w:sz w:val="20"/>
                <w:lang w:val="en-GB"/>
              </w:rPr>
            </w:pPr>
            <w:r w:rsidRPr="00591954">
              <w:rPr>
                <w:rFonts w:ascii="Calibri" w:eastAsia="Calibri" w:hAnsi="Calibri"/>
                <w:b/>
                <w:sz w:val="20"/>
                <w:lang w:val="en-GB"/>
              </w:rPr>
              <w:t>NEC</w:t>
            </w:r>
          </w:p>
        </w:tc>
        <w:tc>
          <w:tcPr>
            <w:tcW w:w="2188" w:type="dxa"/>
            <w:gridSpan w:val="3"/>
            <w:shd w:val="clear" w:color="auto" w:fill="auto"/>
          </w:tcPr>
          <w:p w14:paraId="043B544E" w14:textId="77777777" w:rsidR="00F36BB1" w:rsidRPr="00591954" w:rsidRDefault="00F36BB1" w:rsidP="00457E40">
            <w:pPr>
              <w:jc w:val="center"/>
              <w:rPr>
                <w:rFonts w:ascii="Calibri" w:eastAsia="Calibri" w:hAnsi="Calibri"/>
                <w:b/>
                <w:sz w:val="20"/>
                <w:lang w:val="en-GB"/>
              </w:rPr>
            </w:pPr>
            <w:r w:rsidRPr="00591954">
              <w:rPr>
                <w:rFonts w:ascii="Calibri" w:eastAsia="Calibri" w:hAnsi="Calibri"/>
                <w:b/>
                <w:sz w:val="20"/>
                <w:lang w:val="en-GB"/>
              </w:rPr>
              <w:t>ALL EPILEPSY</w:t>
            </w:r>
          </w:p>
        </w:tc>
        <w:tc>
          <w:tcPr>
            <w:tcW w:w="2187" w:type="dxa"/>
            <w:gridSpan w:val="3"/>
            <w:shd w:val="clear" w:color="auto" w:fill="auto"/>
          </w:tcPr>
          <w:p w14:paraId="731DE689" w14:textId="77777777" w:rsidR="00F36BB1" w:rsidRPr="00591954" w:rsidRDefault="00F36BB1" w:rsidP="00457E40">
            <w:pPr>
              <w:jc w:val="center"/>
              <w:rPr>
                <w:rFonts w:ascii="Calibri" w:eastAsia="Calibri" w:hAnsi="Calibri"/>
                <w:b/>
                <w:sz w:val="20"/>
                <w:lang w:val="en-GB"/>
              </w:rPr>
            </w:pPr>
            <w:r w:rsidRPr="00591954">
              <w:rPr>
                <w:rFonts w:ascii="Calibri" w:eastAsia="Calibri" w:hAnsi="Calibri"/>
                <w:b/>
                <w:sz w:val="20"/>
                <w:lang w:val="en-GB"/>
              </w:rPr>
              <w:t>LESION-ASSOCIATED EPILEPSY (ALL)</w:t>
            </w:r>
          </w:p>
        </w:tc>
        <w:tc>
          <w:tcPr>
            <w:tcW w:w="2187" w:type="dxa"/>
            <w:gridSpan w:val="3"/>
            <w:shd w:val="clear" w:color="auto" w:fill="auto"/>
          </w:tcPr>
          <w:p w14:paraId="5D220A6E" w14:textId="77777777" w:rsidR="00F36BB1" w:rsidRPr="00591954" w:rsidRDefault="00F36BB1" w:rsidP="00457E40">
            <w:pPr>
              <w:jc w:val="center"/>
              <w:rPr>
                <w:rFonts w:ascii="Calibri" w:eastAsia="Calibri" w:hAnsi="Calibri"/>
                <w:b/>
                <w:sz w:val="20"/>
                <w:lang w:val="en-GB"/>
              </w:rPr>
            </w:pPr>
            <w:r w:rsidRPr="00591954">
              <w:rPr>
                <w:rFonts w:ascii="Calibri" w:eastAsia="Calibri" w:hAnsi="Calibri"/>
                <w:b/>
                <w:sz w:val="20"/>
                <w:lang w:val="en-GB"/>
              </w:rPr>
              <w:t>NON-LESIONAL EPILEPSY *</w:t>
            </w:r>
          </w:p>
        </w:tc>
      </w:tr>
      <w:tr w:rsidR="00591954" w:rsidRPr="00591954" w14:paraId="03F97283" w14:textId="77777777" w:rsidTr="00457E40">
        <w:tc>
          <w:tcPr>
            <w:tcW w:w="1207" w:type="dxa"/>
            <w:shd w:val="clear" w:color="auto" w:fill="auto"/>
          </w:tcPr>
          <w:p w14:paraId="0B3ECF17" w14:textId="77777777" w:rsidR="00F36BB1" w:rsidRPr="00591954" w:rsidRDefault="00F36BB1" w:rsidP="00F36BB1">
            <w:pPr>
              <w:rPr>
                <w:rFonts w:ascii="Calibri" w:eastAsia="Calibri" w:hAnsi="Calibri"/>
                <w:szCs w:val="22"/>
                <w:lang w:val="en-GB"/>
              </w:rPr>
            </w:pPr>
            <w:r w:rsidRPr="00591954">
              <w:rPr>
                <w:rFonts w:ascii="Calibri" w:eastAsia="Calibri" w:hAnsi="Calibri"/>
                <w:szCs w:val="22"/>
                <w:lang w:val="en-GB"/>
              </w:rPr>
              <w:t>(Number of sections)</w:t>
            </w:r>
          </w:p>
        </w:tc>
        <w:tc>
          <w:tcPr>
            <w:tcW w:w="729" w:type="dxa"/>
            <w:shd w:val="clear" w:color="auto" w:fill="auto"/>
          </w:tcPr>
          <w:p w14:paraId="039B5C22" w14:textId="77777777" w:rsidR="00F36BB1" w:rsidRPr="00591954" w:rsidRDefault="00F36BB1" w:rsidP="00457E40">
            <w:pPr>
              <w:jc w:val="center"/>
              <w:rPr>
                <w:rFonts w:ascii="Calibri" w:eastAsia="Calibri" w:hAnsi="Calibri"/>
                <w:sz w:val="18"/>
                <w:szCs w:val="18"/>
                <w:lang w:val="en-GB"/>
              </w:rPr>
            </w:pPr>
            <w:r w:rsidRPr="00591954">
              <w:rPr>
                <w:rFonts w:ascii="Calibri" w:eastAsia="Calibri" w:hAnsi="Calibri"/>
                <w:sz w:val="18"/>
                <w:szCs w:val="18"/>
                <w:lang w:val="en-GB"/>
              </w:rPr>
              <w:t>ALL</w:t>
            </w:r>
          </w:p>
        </w:tc>
        <w:tc>
          <w:tcPr>
            <w:tcW w:w="729" w:type="dxa"/>
            <w:shd w:val="clear" w:color="auto" w:fill="auto"/>
          </w:tcPr>
          <w:p w14:paraId="7A2A2F5B" w14:textId="77777777" w:rsidR="00F36BB1" w:rsidRPr="00591954" w:rsidRDefault="00F36BB1" w:rsidP="00457E40">
            <w:pPr>
              <w:jc w:val="center"/>
              <w:rPr>
                <w:rFonts w:ascii="Calibri" w:eastAsia="Calibri" w:hAnsi="Calibri"/>
                <w:sz w:val="18"/>
                <w:szCs w:val="18"/>
                <w:lang w:val="en-GB"/>
              </w:rPr>
            </w:pPr>
            <w:r w:rsidRPr="00591954">
              <w:rPr>
                <w:rFonts w:ascii="Calibri" w:eastAsia="Calibri" w:hAnsi="Calibri"/>
                <w:sz w:val="18"/>
                <w:szCs w:val="18"/>
                <w:lang w:val="en-GB"/>
              </w:rPr>
              <w:t>LEFT</w:t>
            </w:r>
          </w:p>
        </w:tc>
        <w:tc>
          <w:tcPr>
            <w:tcW w:w="729" w:type="dxa"/>
            <w:shd w:val="clear" w:color="auto" w:fill="auto"/>
          </w:tcPr>
          <w:p w14:paraId="3F67C04D" w14:textId="77777777" w:rsidR="00F36BB1" w:rsidRPr="00591954" w:rsidRDefault="00F36BB1" w:rsidP="00457E40">
            <w:pPr>
              <w:jc w:val="center"/>
              <w:rPr>
                <w:rFonts w:ascii="Calibri" w:eastAsia="Calibri" w:hAnsi="Calibri"/>
                <w:sz w:val="18"/>
                <w:szCs w:val="18"/>
                <w:lang w:val="en-GB"/>
              </w:rPr>
            </w:pPr>
            <w:r w:rsidRPr="00591954">
              <w:rPr>
                <w:rFonts w:ascii="Calibri" w:eastAsia="Calibri" w:hAnsi="Calibri"/>
                <w:sz w:val="18"/>
                <w:szCs w:val="18"/>
                <w:lang w:val="en-GB"/>
              </w:rPr>
              <w:t>RIGHT</w:t>
            </w:r>
          </w:p>
        </w:tc>
        <w:tc>
          <w:tcPr>
            <w:tcW w:w="729" w:type="dxa"/>
            <w:shd w:val="clear" w:color="auto" w:fill="auto"/>
          </w:tcPr>
          <w:p w14:paraId="0A4928C3" w14:textId="77777777" w:rsidR="00F36BB1" w:rsidRPr="00591954" w:rsidRDefault="00F36BB1" w:rsidP="00457E40">
            <w:pPr>
              <w:jc w:val="center"/>
              <w:rPr>
                <w:rFonts w:ascii="Calibri" w:eastAsia="Calibri" w:hAnsi="Calibri"/>
                <w:sz w:val="18"/>
                <w:szCs w:val="18"/>
                <w:lang w:val="en-GB"/>
              </w:rPr>
            </w:pPr>
            <w:r w:rsidRPr="00591954">
              <w:rPr>
                <w:rFonts w:ascii="Calibri" w:eastAsia="Calibri" w:hAnsi="Calibri"/>
                <w:sz w:val="18"/>
                <w:szCs w:val="18"/>
                <w:lang w:val="en-GB"/>
              </w:rPr>
              <w:t>ALL</w:t>
            </w:r>
          </w:p>
        </w:tc>
        <w:tc>
          <w:tcPr>
            <w:tcW w:w="729" w:type="dxa"/>
            <w:shd w:val="clear" w:color="auto" w:fill="auto"/>
          </w:tcPr>
          <w:p w14:paraId="33AD6BB3" w14:textId="77777777" w:rsidR="00F36BB1" w:rsidRPr="00591954" w:rsidRDefault="00F36BB1" w:rsidP="00457E40">
            <w:pPr>
              <w:jc w:val="center"/>
              <w:rPr>
                <w:rFonts w:ascii="Calibri" w:eastAsia="Calibri" w:hAnsi="Calibri"/>
                <w:sz w:val="18"/>
                <w:szCs w:val="18"/>
                <w:lang w:val="en-GB"/>
              </w:rPr>
            </w:pPr>
            <w:r w:rsidRPr="00591954">
              <w:rPr>
                <w:rFonts w:ascii="Calibri" w:eastAsia="Calibri" w:hAnsi="Calibri"/>
                <w:sz w:val="18"/>
                <w:szCs w:val="18"/>
                <w:lang w:val="en-GB"/>
              </w:rPr>
              <w:t>LEFT</w:t>
            </w:r>
          </w:p>
        </w:tc>
        <w:tc>
          <w:tcPr>
            <w:tcW w:w="730" w:type="dxa"/>
            <w:shd w:val="clear" w:color="auto" w:fill="auto"/>
          </w:tcPr>
          <w:p w14:paraId="1F0987F9" w14:textId="77777777" w:rsidR="00F36BB1" w:rsidRPr="00591954" w:rsidRDefault="00F36BB1" w:rsidP="00457E40">
            <w:pPr>
              <w:jc w:val="center"/>
              <w:rPr>
                <w:rFonts w:ascii="Calibri" w:eastAsia="Calibri" w:hAnsi="Calibri"/>
                <w:sz w:val="18"/>
                <w:szCs w:val="18"/>
                <w:lang w:val="en-GB"/>
              </w:rPr>
            </w:pPr>
            <w:r w:rsidRPr="00591954">
              <w:rPr>
                <w:rFonts w:ascii="Calibri" w:eastAsia="Calibri" w:hAnsi="Calibri"/>
                <w:sz w:val="18"/>
                <w:szCs w:val="18"/>
                <w:lang w:val="en-GB"/>
              </w:rPr>
              <w:t>RIGHT</w:t>
            </w:r>
          </w:p>
        </w:tc>
        <w:tc>
          <w:tcPr>
            <w:tcW w:w="729" w:type="dxa"/>
            <w:shd w:val="clear" w:color="auto" w:fill="auto"/>
          </w:tcPr>
          <w:p w14:paraId="4BB21C0B" w14:textId="77777777" w:rsidR="00F36BB1" w:rsidRPr="00591954" w:rsidRDefault="00F36BB1" w:rsidP="00457E40">
            <w:pPr>
              <w:jc w:val="center"/>
              <w:rPr>
                <w:rFonts w:ascii="Calibri" w:eastAsia="Calibri" w:hAnsi="Calibri"/>
                <w:sz w:val="18"/>
                <w:szCs w:val="18"/>
                <w:lang w:val="en-GB"/>
              </w:rPr>
            </w:pPr>
            <w:r w:rsidRPr="00591954">
              <w:rPr>
                <w:rFonts w:ascii="Calibri" w:eastAsia="Calibri" w:hAnsi="Calibri"/>
                <w:sz w:val="18"/>
                <w:szCs w:val="18"/>
                <w:lang w:val="en-GB"/>
              </w:rPr>
              <w:t>ALL</w:t>
            </w:r>
          </w:p>
        </w:tc>
        <w:tc>
          <w:tcPr>
            <w:tcW w:w="729" w:type="dxa"/>
            <w:shd w:val="clear" w:color="auto" w:fill="auto"/>
          </w:tcPr>
          <w:p w14:paraId="0AEAC1DE" w14:textId="77777777" w:rsidR="00F36BB1" w:rsidRPr="00591954" w:rsidRDefault="00F36BB1" w:rsidP="00457E40">
            <w:pPr>
              <w:jc w:val="center"/>
              <w:rPr>
                <w:rFonts w:ascii="Calibri" w:eastAsia="Calibri" w:hAnsi="Calibri"/>
                <w:sz w:val="18"/>
                <w:szCs w:val="18"/>
                <w:lang w:val="en-GB"/>
              </w:rPr>
            </w:pPr>
            <w:r w:rsidRPr="00591954">
              <w:rPr>
                <w:rFonts w:ascii="Calibri" w:eastAsia="Calibri" w:hAnsi="Calibri"/>
                <w:sz w:val="18"/>
                <w:szCs w:val="18"/>
                <w:lang w:val="en-GB"/>
              </w:rPr>
              <w:t>LEFT</w:t>
            </w:r>
          </w:p>
        </w:tc>
        <w:tc>
          <w:tcPr>
            <w:tcW w:w="729" w:type="dxa"/>
            <w:shd w:val="clear" w:color="auto" w:fill="auto"/>
          </w:tcPr>
          <w:p w14:paraId="6B1C1C64" w14:textId="77777777" w:rsidR="00F36BB1" w:rsidRPr="00591954" w:rsidRDefault="00F36BB1" w:rsidP="00457E40">
            <w:pPr>
              <w:jc w:val="center"/>
              <w:rPr>
                <w:rFonts w:ascii="Calibri" w:eastAsia="Calibri" w:hAnsi="Calibri"/>
                <w:sz w:val="18"/>
                <w:szCs w:val="18"/>
                <w:lang w:val="en-GB"/>
              </w:rPr>
            </w:pPr>
            <w:r w:rsidRPr="00591954">
              <w:rPr>
                <w:rFonts w:ascii="Calibri" w:eastAsia="Calibri" w:hAnsi="Calibri"/>
                <w:sz w:val="18"/>
                <w:szCs w:val="18"/>
                <w:lang w:val="en-GB"/>
              </w:rPr>
              <w:t>RIGHT</w:t>
            </w:r>
          </w:p>
        </w:tc>
        <w:tc>
          <w:tcPr>
            <w:tcW w:w="729" w:type="dxa"/>
            <w:shd w:val="clear" w:color="auto" w:fill="auto"/>
          </w:tcPr>
          <w:p w14:paraId="307A11C1" w14:textId="77777777" w:rsidR="00F36BB1" w:rsidRPr="00591954" w:rsidRDefault="00F36BB1" w:rsidP="00457E40">
            <w:pPr>
              <w:jc w:val="center"/>
              <w:rPr>
                <w:rFonts w:ascii="Calibri" w:eastAsia="Calibri" w:hAnsi="Calibri"/>
                <w:sz w:val="18"/>
                <w:szCs w:val="18"/>
                <w:lang w:val="en-GB"/>
              </w:rPr>
            </w:pPr>
            <w:r w:rsidRPr="00591954">
              <w:rPr>
                <w:rFonts w:ascii="Calibri" w:eastAsia="Calibri" w:hAnsi="Calibri"/>
                <w:sz w:val="18"/>
                <w:szCs w:val="18"/>
                <w:lang w:val="en-GB"/>
              </w:rPr>
              <w:t>ALL</w:t>
            </w:r>
          </w:p>
        </w:tc>
        <w:tc>
          <w:tcPr>
            <w:tcW w:w="729" w:type="dxa"/>
            <w:shd w:val="clear" w:color="auto" w:fill="auto"/>
          </w:tcPr>
          <w:p w14:paraId="5607E278" w14:textId="77777777" w:rsidR="00F36BB1" w:rsidRPr="00591954" w:rsidRDefault="00F36BB1" w:rsidP="00457E40">
            <w:pPr>
              <w:jc w:val="center"/>
              <w:rPr>
                <w:rFonts w:ascii="Calibri" w:eastAsia="Calibri" w:hAnsi="Calibri"/>
                <w:sz w:val="18"/>
                <w:szCs w:val="18"/>
                <w:lang w:val="en-GB"/>
              </w:rPr>
            </w:pPr>
            <w:r w:rsidRPr="00591954">
              <w:rPr>
                <w:rFonts w:ascii="Calibri" w:eastAsia="Calibri" w:hAnsi="Calibri"/>
                <w:sz w:val="18"/>
                <w:szCs w:val="18"/>
                <w:lang w:val="en-GB"/>
              </w:rPr>
              <w:t>LEFT</w:t>
            </w:r>
          </w:p>
        </w:tc>
        <w:tc>
          <w:tcPr>
            <w:tcW w:w="729" w:type="dxa"/>
            <w:shd w:val="clear" w:color="auto" w:fill="auto"/>
          </w:tcPr>
          <w:p w14:paraId="0787E8C5" w14:textId="77777777" w:rsidR="00F36BB1" w:rsidRPr="00591954" w:rsidRDefault="00F36BB1" w:rsidP="00457E40">
            <w:pPr>
              <w:jc w:val="center"/>
              <w:rPr>
                <w:rFonts w:ascii="Calibri" w:eastAsia="Calibri" w:hAnsi="Calibri"/>
                <w:sz w:val="18"/>
                <w:szCs w:val="18"/>
                <w:lang w:val="en-GB"/>
              </w:rPr>
            </w:pPr>
            <w:r w:rsidRPr="00591954">
              <w:rPr>
                <w:rFonts w:ascii="Calibri" w:eastAsia="Calibri" w:hAnsi="Calibri"/>
                <w:sz w:val="18"/>
                <w:szCs w:val="18"/>
                <w:lang w:val="en-GB"/>
              </w:rPr>
              <w:t>RIGHT</w:t>
            </w:r>
          </w:p>
        </w:tc>
      </w:tr>
      <w:tr w:rsidR="00591954" w:rsidRPr="00591954" w14:paraId="2DEDC2FD" w14:textId="77777777" w:rsidTr="00457E40">
        <w:tc>
          <w:tcPr>
            <w:tcW w:w="1207" w:type="dxa"/>
            <w:shd w:val="clear" w:color="auto" w:fill="auto"/>
          </w:tcPr>
          <w:p w14:paraId="13AAADC3"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PHG</w:t>
            </w:r>
          </w:p>
          <w:p w14:paraId="15D8BEBA"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(n=90)</w:t>
            </w:r>
          </w:p>
          <w:p w14:paraId="3719917B" w14:textId="77777777" w:rsidR="00F36BB1" w:rsidRPr="00591954" w:rsidRDefault="00F36BB1" w:rsidP="00F36BB1">
            <w:pPr>
              <w:rPr>
                <w:rFonts w:ascii="Calibri" w:eastAsia="Calibri" w:hAnsi="Calibri"/>
                <w:sz w:val="18"/>
                <w:szCs w:val="18"/>
                <w:lang w:val="en-GB"/>
              </w:rPr>
            </w:pPr>
          </w:p>
        </w:tc>
        <w:tc>
          <w:tcPr>
            <w:tcW w:w="729" w:type="dxa"/>
            <w:shd w:val="clear" w:color="auto" w:fill="auto"/>
          </w:tcPr>
          <w:p w14:paraId="6AEEE017"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2.6</w:t>
            </w:r>
          </w:p>
          <w:p w14:paraId="6917CC5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(2.4)</w:t>
            </w:r>
          </w:p>
        </w:tc>
        <w:tc>
          <w:tcPr>
            <w:tcW w:w="729" w:type="dxa"/>
            <w:shd w:val="clear" w:color="auto" w:fill="auto"/>
          </w:tcPr>
          <w:p w14:paraId="5106F45B"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2.3</w:t>
            </w:r>
          </w:p>
          <w:p w14:paraId="12D91D3B"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(2.1)</w:t>
            </w:r>
          </w:p>
        </w:tc>
        <w:tc>
          <w:tcPr>
            <w:tcW w:w="729" w:type="dxa"/>
            <w:shd w:val="clear" w:color="auto" w:fill="auto"/>
          </w:tcPr>
          <w:p w14:paraId="2E430F91"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3.0</w:t>
            </w:r>
          </w:p>
          <w:p w14:paraId="5DB8EAD1"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(2.8)</w:t>
            </w:r>
          </w:p>
        </w:tc>
        <w:tc>
          <w:tcPr>
            <w:tcW w:w="729" w:type="dxa"/>
            <w:shd w:val="clear" w:color="auto" w:fill="B8CCE4"/>
          </w:tcPr>
          <w:p w14:paraId="1A153629"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4.9</w:t>
            </w:r>
          </w:p>
          <w:p w14:paraId="3ACB7B6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(2.7)</w:t>
            </w:r>
          </w:p>
        </w:tc>
        <w:tc>
          <w:tcPr>
            <w:tcW w:w="729" w:type="dxa"/>
            <w:shd w:val="clear" w:color="auto" w:fill="FDE9D9"/>
          </w:tcPr>
          <w:p w14:paraId="2B498385"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4.3</w:t>
            </w:r>
          </w:p>
          <w:p w14:paraId="3E475723"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(2.5)</w:t>
            </w:r>
          </w:p>
        </w:tc>
        <w:tc>
          <w:tcPr>
            <w:tcW w:w="730" w:type="dxa"/>
            <w:shd w:val="clear" w:color="auto" w:fill="B8CCE4"/>
          </w:tcPr>
          <w:p w14:paraId="51E6C10A"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5.5</w:t>
            </w:r>
          </w:p>
          <w:p w14:paraId="1C8888FB"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(2.9)</w:t>
            </w:r>
          </w:p>
        </w:tc>
        <w:tc>
          <w:tcPr>
            <w:tcW w:w="729" w:type="dxa"/>
            <w:shd w:val="clear" w:color="auto" w:fill="B8CCE4"/>
          </w:tcPr>
          <w:p w14:paraId="3CFBD1B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4.9</w:t>
            </w:r>
          </w:p>
          <w:p w14:paraId="23A811E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(2.6)</w:t>
            </w:r>
          </w:p>
        </w:tc>
        <w:tc>
          <w:tcPr>
            <w:tcW w:w="729" w:type="dxa"/>
            <w:shd w:val="clear" w:color="auto" w:fill="FDE9D9"/>
          </w:tcPr>
          <w:p w14:paraId="01C2760D"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4.5</w:t>
            </w:r>
          </w:p>
          <w:p w14:paraId="1C3782A1"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(2.6)</w:t>
            </w:r>
          </w:p>
        </w:tc>
        <w:tc>
          <w:tcPr>
            <w:tcW w:w="729" w:type="dxa"/>
            <w:shd w:val="clear" w:color="auto" w:fill="FDE9D9"/>
          </w:tcPr>
          <w:p w14:paraId="189B0CE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5.5</w:t>
            </w:r>
          </w:p>
          <w:p w14:paraId="0F4B6738"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(2.8)</w:t>
            </w:r>
          </w:p>
        </w:tc>
        <w:tc>
          <w:tcPr>
            <w:tcW w:w="729" w:type="dxa"/>
            <w:shd w:val="clear" w:color="auto" w:fill="B8CCE4"/>
          </w:tcPr>
          <w:p w14:paraId="5AC38CA2"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5.0</w:t>
            </w:r>
          </w:p>
          <w:p w14:paraId="1AF7130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(2.9)</w:t>
            </w:r>
          </w:p>
        </w:tc>
        <w:tc>
          <w:tcPr>
            <w:tcW w:w="729" w:type="dxa"/>
            <w:shd w:val="clear" w:color="auto" w:fill="auto"/>
          </w:tcPr>
          <w:p w14:paraId="13A17D7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3.9</w:t>
            </w:r>
          </w:p>
          <w:p w14:paraId="3555E44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(2.3)</w:t>
            </w:r>
          </w:p>
        </w:tc>
        <w:tc>
          <w:tcPr>
            <w:tcW w:w="729" w:type="dxa"/>
            <w:shd w:val="clear" w:color="auto" w:fill="FDE9D9"/>
          </w:tcPr>
          <w:p w14:paraId="3B22CF7B"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5.5</w:t>
            </w:r>
          </w:p>
          <w:p w14:paraId="417E862A"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(3.1)</w:t>
            </w:r>
          </w:p>
        </w:tc>
      </w:tr>
      <w:tr w:rsidR="00591954" w:rsidRPr="00591954" w14:paraId="2E4AB43A" w14:textId="77777777" w:rsidTr="00457E40">
        <w:tc>
          <w:tcPr>
            <w:tcW w:w="1207" w:type="dxa"/>
            <w:shd w:val="clear" w:color="auto" w:fill="auto"/>
          </w:tcPr>
          <w:p w14:paraId="155E3390"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STG/MTG</w:t>
            </w:r>
          </w:p>
          <w:p w14:paraId="59ECD202"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(n=79)</w:t>
            </w:r>
          </w:p>
          <w:p w14:paraId="6D41877E" w14:textId="77777777" w:rsidR="00F36BB1" w:rsidRPr="00591954" w:rsidRDefault="00F36BB1" w:rsidP="00F36BB1">
            <w:pPr>
              <w:rPr>
                <w:rFonts w:ascii="Calibri" w:eastAsia="Calibri" w:hAnsi="Calibri"/>
                <w:sz w:val="18"/>
                <w:szCs w:val="18"/>
                <w:lang w:val="en-GB"/>
              </w:rPr>
            </w:pPr>
          </w:p>
        </w:tc>
        <w:tc>
          <w:tcPr>
            <w:tcW w:w="729" w:type="dxa"/>
            <w:shd w:val="clear" w:color="auto" w:fill="auto"/>
          </w:tcPr>
          <w:p w14:paraId="05F7D4C7"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4.4</w:t>
            </w:r>
          </w:p>
          <w:p w14:paraId="0FAA8E45"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(2.2)</w:t>
            </w:r>
          </w:p>
        </w:tc>
        <w:tc>
          <w:tcPr>
            <w:tcW w:w="729" w:type="dxa"/>
            <w:shd w:val="clear" w:color="auto" w:fill="auto"/>
          </w:tcPr>
          <w:p w14:paraId="1D20947B"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3.0</w:t>
            </w:r>
          </w:p>
          <w:p w14:paraId="05ECFAFE"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(2.2)</w:t>
            </w:r>
          </w:p>
        </w:tc>
        <w:tc>
          <w:tcPr>
            <w:tcW w:w="729" w:type="dxa"/>
            <w:shd w:val="clear" w:color="auto" w:fill="auto"/>
          </w:tcPr>
          <w:p w14:paraId="6F65A09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3.3</w:t>
            </w:r>
          </w:p>
          <w:p w14:paraId="28CF85A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(2.3)</w:t>
            </w:r>
          </w:p>
        </w:tc>
        <w:tc>
          <w:tcPr>
            <w:tcW w:w="729" w:type="dxa"/>
            <w:shd w:val="clear" w:color="auto" w:fill="B8CCE4"/>
          </w:tcPr>
          <w:p w14:paraId="3C47DAD8"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4.5</w:t>
            </w:r>
          </w:p>
          <w:p w14:paraId="2BA375A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(2.2)</w:t>
            </w:r>
          </w:p>
        </w:tc>
        <w:tc>
          <w:tcPr>
            <w:tcW w:w="729" w:type="dxa"/>
            <w:shd w:val="clear" w:color="auto" w:fill="FDE9D9"/>
          </w:tcPr>
          <w:p w14:paraId="38E436D8"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4.6</w:t>
            </w:r>
          </w:p>
          <w:p w14:paraId="2618CD65"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(2.4)</w:t>
            </w:r>
          </w:p>
        </w:tc>
        <w:tc>
          <w:tcPr>
            <w:tcW w:w="730" w:type="dxa"/>
            <w:shd w:val="clear" w:color="auto" w:fill="auto"/>
          </w:tcPr>
          <w:p w14:paraId="208C55C3"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4.4</w:t>
            </w:r>
          </w:p>
          <w:p w14:paraId="42C2EAEA"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(2.0)</w:t>
            </w:r>
          </w:p>
        </w:tc>
        <w:tc>
          <w:tcPr>
            <w:tcW w:w="729" w:type="dxa"/>
            <w:shd w:val="clear" w:color="auto" w:fill="FFFFFF"/>
          </w:tcPr>
          <w:p w14:paraId="4ABADB03"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4.1</w:t>
            </w:r>
          </w:p>
          <w:p w14:paraId="7D70F148"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(2.2)</w:t>
            </w:r>
          </w:p>
        </w:tc>
        <w:tc>
          <w:tcPr>
            <w:tcW w:w="729" w:type="dxa"/>
            <w:shd w:val="clear" w:color="auto" w:fill="FFFFFF"/>
          </w:tcPr>
          <w:p w14:paraId="70E5464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3.8</w:t>
            </w:r>
          </w:p>
          <w:p w14:paraId="26C5D3A8"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(2.2)</w:t>
            </w:r>
          </w:p>
        </w:tc>
        <w:tc>
          <w:tcPr>
            <w:tcW w:w="729" w:type="dxa"/>
            <w:shd w:val="clear" w:color="auto" w:fill="FFFFFF"/>
          </w:tcPr>
          <w:p w14:paraId="0E55A0F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4.6</w:t>
            </w:r>
          </w:p>
          <w:p w14:paraId="060DABEE"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(2.2)</w:t>
            </w:r>
          </w:p>
        </w:tc>
        <w:tc>
          <w:tcPr>
            <w:tcW w:w="729" w:type="dxa"/>
            <w:shd w:val="clear" w:color="auto" w:fill="B8CCE4"/>
          </w:tcPr>
          <w:p w14:paraId="55898EC5"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4.9</w:t>
            </w:r>
          </w:p>
          <w:p w14:paraId="1936F615"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(2.1)</w:t>
            </w:r>
          </w:p>
        </w:tc>
        <w:tc>
          <w:tcPr>
            <w:tcW w:w="729" w:type="dxa"/>
            <w:shd w:val="clear" w:color="auto" w:fill="B8CCE4"/>
          </w:tcPr>
          <w:p w14:paraId="6C8B4749"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5.5</w:t>
            </w:r>
          </w:p>
          <w:p w14:paraId="363ABC8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(2.2)</w:t>
            </w:r>
          </w:p>
        </w:tc>
        <w:tc>
          <w:tcPr>
            <w:tcW w:w="729" w:type="dxa"/>
            <w:shd w:val="clear" w:color="auto" w:fill="auto"/>
          </w:tcPr>
          <w:p w14:paraId="0660189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4.3</w:t>
            </w:r>
          </w:p>
          <w:p w14:paraId="2F9CD2AB"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(1.9)</w:t>
            </w:r>
          </w:p>
        </w:tc>
      </w:tr>
      <w:tr w:rsidR="00591954" w:rsidRPr="00591954" w14:paraId="1E5AB326" w14:textId="77777777" w:rsidTr="00457E40">
        <w:tc>
          <w:tcPr>
            <w:tcW w:w="1207" w:type="dxa"/>
            <w:shd w:val="clear" w:color="auto" w:fill="auto"/>
          </w:tcPr>
          <w:p w14:paraId="02F0E134"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INSULAR</w:t>
            </w:r>
          </w:p>
          <w:p w14:paraId="6DFC29FB"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(n=47)</w:t>
            </w:r>
          </w:p>
          <w:p w14:paraId="7DE374D3" w14:textId="77777777" w:rsidR="00F36BB1" w:rsidRPr="00591954" w:rsidRDefault="00F36BB1" w:rsidP="00F36BB1">
            <w:pPr>
              <w:rPr>
                <w:rFonts w:ascii="Calibri" w:eastAsia="Calibri" w:hAnsi="Calibri"/>
                <w:sz w:val="18"/>
                <w:szCs w:val="18"/>
                <w:lang w:val="en-GB"/>
              </w:rPr>
            </w:pPr>
          </w:p>
        </w:tc>
        <w:tc>
          <w:tcPr>
            <w:tcW w:w="729" w:type="dxa"/>
            <w:shd w:val="clear" w:color="auto" w:fill="auto"/>
          </w:tcPr>
          <w:p w14:paraId="1A05B02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3.4</w:t>
            </w:r>
          </w:p>
          <w:p w14:paraId="67427DA2"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(3.2)</w:t>
            </w:r>
          </w:p>
        </w:tc>
        <w:tc>
          <w:tcPr>
            <w:tcW w:w="729" w:type="dxa"/>
            <w:shd w:val="clear" w:color="auto" w:fill="auto"/>
          </w:tcPr>
          <w:p w14:paraId="7CDAB10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5.1</w:t>
            </w:r>
          </w:p>
          <w:p w14:paraId="6CC63913"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(4.1)</w:t>
            </w:r>
          </w:p>
        </w:tc>
        <w:tc>
          <w:tcPr>
            <w:tcW w:w="729" w:type="dxa"/>
            <w:shd w:val="clear" w:color="auto" w:fill="auto"/>
          </w:tcPr>
          <w:p w14:paraId="0B887E8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2.2</w:t>
            </w:r>
          </w:p>
          <w:p w14:paraId="0E6A8E75"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(2.2)</w:t>
            </w:r>
          </w:p>
        </w:tc>
        <w:tc>
          <w:tcPr>
            <w:tcW w:w="729" w:type="dxa"/>
            <w:shd w:val="clear" w:color="auto" w:fill="auto"/>
          </w:tcPr>
          <w:p w14:paraId="28E7E5B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4.8</w:t>
            </w:r>
          </w:p>
          <w:p w14:paraId="636359D7"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(3.0)</w:t>
            </w:r>
          </w:p>
        </w:tc>
        <w:tc>
          <w:tcPr>
            <w:tcW w:w="729" w:type="dxa"/>
            <w:shd w:val="clear" w:color="auto" w:fill="auto"/>
          </w:tcPr>
          <w:p w14:paraId="757A8331"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4.6</w:t>
            </w:r>
          </w:p>
          <w:p w14:paraId="7807D2D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(3.4)</w:t>
            </w:r>
          </w:p>
        </w:tc>
        <w:tc>
          <w:tcPr>
            <w:tcW w:w="730" w:type="dxa"/>
            <w:shd w:val="clear" w:color="auto" w:fill="auto"/>
          </w:tcPr>
          <w:p w14:paraId="5F2FFBB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5.0</w:t>
            </w:r>
          </w:p>
          <w:p w14:paraId="4ED94AB7"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(2.9)</w:t>
            </w:r>
          </w:p>
        </w:tc>
        <w:tc>
          <w:tcPr>
            <w:tcW w:w="729" w:type="dxa"/>
            <w:shd w:val="clear" w:color="auto" w:fill="FDE9D9"/>
          </w:tcPr>
          <w:p w14:paraId="01142C25"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6.2</w:t>
            </w:r>
          </w:p>
          <w:p w14:paraId="7DEE3CDD"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(2.8)</w:t>
            </w:r>
          </w:p>
        </w:tc>
        <w:tc>
          <w:tcPr>
            <w:tcW w:w="729" w:type="dxa"/>
            <w:shd w:val="clear" w:color="auto" w:fill="FFFFFF"/>
          </w:tcPr>
          <w:p w14:paraId="37A1D7AF"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6.9</w:t>
            </w:r>
          </w:p>
          <w:p w14:paraId="56DC1B15"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(2.8)</w:t>
            </w:r>
          </w:p>
        </w:tc>
        <w:tc>
          <w:tcPr>
            <w:tcW w:w="729" w:type="dxa"/>
            <w:shd w:val="clear" w:color="auto" w:fill="FDE9D9"/>
          </w:tcPr>
          <w:p w14:paraId="5507CB8B"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6.0</w:t>
            </w:r>
          </w:p>
          <w:p w14:paraId="2718885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(3.0)</w:t>
            </w:r>
          </w:p>
        </w:tc>
        <w:tc>
          <w:tcPr>
            <w:tcW w:w="729" w:type="dxa"/>
            <w:shd w:val="clear" w:color="auto" w:fill="auto"/>
          </w:tcPr>
          <w:p w14:paraId="73321F5B"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4.1</w:t>
            </w:r>
          </w:p>
          <w:p w14:paraId="64E9CC09"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(2.9)</w:t>
            </w:r>
          </w:p>
        </w:tc>
        <w:tc>
          <w:tcPr>
            <w:tcW w:w="729" w:type="dxa"/>
            <w:shd w:val="clear" w:color="auto" w:fill="auto"/>
          </w:tcPr>
          <w:p w14:paraId="78455759"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3.5</w:t>
            </w:r>
          </w:p>
          <w:p w14:paraId="1734E89F"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(3.2)</w:t>
            </w:r>
          </w:p>
        </w:tc>
        <w:tc>
          <w:tcPr>
            <w:tcW w:w="729" w:type="dxa"/>
            <w:shd w:val="clear" w:color="auto" w:fill="auto"/>
          </w:tcPr>
          <w:p w14:paraId="63CCD5D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4.6</w:t>
            </w:r>
          </w:p>
          <w:p w14:paraId="44341D7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(2.8)</w:t>
            </w:r>
          </w:p>
        </w:tc>
      </w:tr>
      <w:tr w:rsidR="00591954" w:rsidRPr="00591954" w14:paraId="073AFE0B" w14:textId="77777777" w:rsidTr="00457E40">
        <w:tc>
          <w:tcPr>
            <w:tcW w:w="1207" w:type="dxa"/>
            <w:shd w:val="clear" w:color="auto" w:fill="auto"/>
          </w:tcPr>
          <w:p w14:paraId="189781A3"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ANT FRONTAL</w:t>
            </w:r>
          </w:p>
          <w:p w14:paraId="075512F9"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(n=88)</w:t>
            </w:r>
          </w:p>
        </w:tc>
        <w:tc>
          <w:tcPr>
            <w:tcW w:w="729" w:type="dxa"/>
            <w:shd w:val="clear" w:color="auto" w:fill="auto"/>
          </w:tcPr>
          <w:p w14:paraId="65C59C3E"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2.6</w:t>
            </w:r>
          </w:p>
          <w:p w14:paraId="6907E2CB"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(1.3)</w:t>
            </w:r>
          </w:p>
        </w:tc>
        <w:tc>
          <w:tcPr>
            <w:tcW w:w="729" w:type="dxa"/>
            <w:shd w:val="clear" w:color="auto" w:fill="auto"/>
          </w:tcPr>
          <w:p w14:paraId="6E9471A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2.7</w:t>
            </w:r>
          </w:p>
          <w:p w14:paraId="4FD88FFF"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(1.5)</w:t>
            </w:r>
          </w:p>
        </w:tc>
        <w:tc>
          <w:tcPr>
            <w:tcW w:w="729" w:type="dxa"/>
            <w:shd w:val="clear" w:color="auto" w:fill="auto"/>
          </w:tcPr>
          <w:p w14:paraId="4219075F"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2.5</w:t>
            </w:r>
          </w:p>
          <w:p w14:paraId="553CAA4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(1.3)</w:t>
            </w:r>
          </w:p>
        </w:tc>
        <w:tc>
          <w:tcPr>
            <w:tcW w:w="729" w:type="dxa"/>
            <w:shd w:val="clear" w:color="auto" w:fill="FDE9D9"/>
          </w:tcPr>
          <w:p w14:paraId="135CDBFB"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3.6</w:t>
            </w:r>
          </w:p>
          <w:p w14:paraId="6C6FE78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(2.1)</w:t>
            </w:r>
          </w:p>
        </w:tc>
        <w:tc>
          <w:tcPr>
            <w:tcW w:w="729" w:type="dxa"/>
            <w:shd w:val="clear" w:color="auto" w:fill="auto"/>
          </w:tcPr>
          <w:p w14:paraId="1C11FA7D"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4.0</w:t>
            </w:r>
          </w:p>
          <w:p w14:paraId="78C35C28"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(2.5)</w:t>
            </w:r>
          </w:p>
        </w:tc>
        <w:tc>
          <w:tcPr>
            <w:tcW w:w="730" w:type="dxa"/>
            <w:shd w:val="clear" w:color="auto" w:fill="FDE9D9"/>
          </w:tcPr>
          <w:p w14:paraId="79B3670F"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3.4</w:t>
            </w:r>
          </w:p>
          <w:p w14:paraId="7285A67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(2.0)</w:t>
            </w:r>
          </w:p>
        </w:tc>
        <w:tc>
          <w:tcPr>
            <w:tcW w:w="729" w:type="dxa"/>
            <w:shd w:val="clear" w:color="auto" w:fill="FFFFFF"/>
          </w:tcPr>
          <w:p w14:paraId="0C4FA1A9"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3.5</w:t>
            </w:r>
          </w:p>
          <w:p w14:paraId="65F98B1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(2.3)</w:t>
            </w:r>
          </w:p>
        </w:tc>
        <w:tc>
          <w:tcPr>
            <w:tcW w:w="729" w:type="dxa"/>
            <w:shd w:val="clear" w:color="auto" w:fill="FFFFFF"/>
          </w:tcPr>
          <w:p w14:paraId="3158C745"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3.4</w:t>
            </w:r>
          </w:p>
          <w:p w14:paraId="35E16F78"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(2.3)</w:t>
            </w:r>
          </w:p>
        </w:tc>
        <w:tc>
          <w:tcPr>
            <w:tcW w:w="729" w:type="dxa"/>
            <w:shd w:val="clear" w:color="auto" w:fill="FFFFFF"/>
          </w:tcPr>
          <w:p w14:paraId="247E1A6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3.3</w:t>
            </w:r>
          </w:p>
          <w:p w14:paraId="14C8742F"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(2.4)</w:t>
            </w:r>
          </w:p>
        </w:tc>
        <w:tc>
          <w:tcPr>
            <w:tcW w:w="729" w:type="dxa"/>
            <w:shd w:val="clear" w:color="auto" w:fill="B8CCE4"/>
          </w:tcPr>
          <w:p w14:paraId="691DE578"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3.7</w:t>
            </w:r>
          </w:p>
          <w:p w14:paraId="3AF927DA"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(2.0)</w:t>
            </w:r>
          </w:p>
        </w:tc>
        <w:tc>
          <w:tcPr>
            <w:tcW w:w="729" w:type="dxa"/>
            <w:shd w:val="clear" w:color="auto" w:fill="auto"/>
          </w:tcPr>
          <w:p w14:paraId="037AA852"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4.0</w:t>
            </w:r>
          </w:p>
          <w:p w14:paraId="1398084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(2.4)</w:t>
            </w:r>
          </w:p>
        </w:tc>
        <w:tc>
          <w:tcPr>
            <w:tcW w:w="729" w:type="dxa"/>
            <w:shd w:val="clear" w:color="auto" w:fill="B8CCE4"/>
          </w:tcPr>
          <w:p w14:paraId="4A81CE3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3.6</w:t>
            </w:r>
          </w:p>
          <w:p w14:paraId="70D06EE3"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(1.6)</w:t>
            </w:r>
          </w:p>
        </w:tc>
      </w:tr>
      <w:tr w:rsidR="00591954" w:rsidRPr="00591954" w14:paraId="4779CB4B" w14:textId="77777777" w:rsidTr="00457E40">
        <w:tc>
          <w:tcPr>
            <w:tcW w:w="1207" w:type="dxa"/>
            <w:shd w:val="clear" w:color="auto" w:fill="auto"/>
          </w:tcPr>
          <w:p w14:paraId="7D309DF8"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ANT CING</w:t>
            </w:r>
          </w:p>
          <w:p w14:paraId="4D293937"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(n=63)</w:t>
            </w:r>
          </w:p>
          <w:p w14:paraId="4184D237" w14:textId="77777777" w:rsidR="00F36BB1" w:rsidRPr="00591954" w:rsidRDefault="00F36BB1" w:rsidP="00F36BB1">
            <w:pPr>
              <w:rPr>
                <w:rFonts w:ascii="Calibri" w:eastAsia="Calibri" w:hAnsi="Calibri"/>
                <w:sz w:val="18"/>
                <w:szCs w:val="18"/>
                <w:lang w:val="en-GB"/>
              </w:rPr>
            </w:pPr>
          </w:p>
        </w:tc>
        <w:tc>
          <w:tcPr>
            <w:tcW w:w="729" w:type="dxa"/>
            <w:shd w:val="clear" w:color="auto" w:fill="auto"/>
          </w:tcPr>
          <w:p w14:paraId="1F815CA7"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3.5</w:t>
            </w:r>
          </w:p>
          <w:p w14:paraId="40CC2FE2"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(2.3)</w:t>
            </w:r>
          </w:p>
        </w:tc>
        <w:tc>
          <w:tcPr>
            <w:tcW w:w="729" w:type="dxa"/>
            <w:shd w:val="clear" w:color="auto" w:fill="auto"/>
          </w:tcPr>
          <w:p w14:paraId="7455DA4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3.8</w:t>
            </w:r>
          </w:p>
          <w:p w14:paraId="1CA496B7"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(2.5)</w:t>
            </w:r>
          </w:p>
        </w:tc>
        <w:tc>
          <w:tcPr>
            <w:tcW w:w="729" w:type="dxa"/>
            <w:shd w:val="clear" w:color="auto" w:fill="auto"/>
          </w:tcPr>
          <w:p w14:paraId="71369CC1"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3.3</w:t>
            </w:r>
          </w:p>
          <w:p w14:paraId="572893BE"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(2.1)</w:t>
            </w:r>
          </w:p>
        </w:tc>
        <w:tc>
          <w:tcPr>
            <w:tcW w:w="729" w:type="dxa"/>
            <w:shd w:val="clear" w:color="auto" w:fill="FDE9D9"/>
          </w:tcPr>
          <w:p w14:paraId="4AB8D523"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4.6</w:t>
            </w:r>
          </w:p>
          <w:p w14:paraId="2FD575E2"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(2.4)</w:t>
            </w:r>
          </w:p>
        </w:tc>
        <w:tc>
          <w:tcPr>
            <w:tcW w:w="729" w:type="dxa"/>
            <w:shd w:val="clear" w:color="auto" w:fill="auto"/>
          </w:tcPr>
          <w:p w14:paraId="2B183499"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4.2</w:t>
            </w:r>
          </w:p>
          <w:p w14:paraId="5AA68EB9"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(2.8)</w:t>
            </w:r>
          </w:p>
        </w:tc>
        <w:tc>
          <w:tcPr>
            <w:tcW w:w="730" w:type="dxa"/>
            <w:shd w:val="clear" w:color="auto" w:fill="FDE9D9"/>
          </w:tcPr>
          <w:p w14:paraId="42BE317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4.7</w:t>
            </w:r>
          </w:p>
          <w:p w14:paraId="157B748D"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(2.0)</w:t>
            </w:r>
          </w:p>
        </w:tc>
        <w:tc>
          <w:tcPr>
            <w:tcW w:w="729" w:type="dxa"/>
            <w:shd w:val="clear" w:color="auto" w:fill="FFFFFF"/>
          </w:tcPr>
          <w:p w14:paraId="3C32F70D"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4.5</w:t>
            </w:r>
          </w:p>
          <w:p w14:paraId="0A3C7F8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(1.9)</w:t>
            </w:r>
          </w:p>
        </w:tc>
        <w:tc>
          <w:tcPr>
            <w:tcW w:w="729" w:type="dxa"/>
            <w:shd w:val="clear" w:color="auto" w:fill="FFFFFF"/>
          </w:tcPr>
          <w:p w14:paraId="4DF5DED2"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4.1</w:t>
            </w:r>
          </w:p>
          <w:p w14:paraId="6C720AA2"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(1.9)</w:t>
            </w:r>
          </w:p>
        </w:tc>
        <w:tc>
          <w:tcPr>
            <w:tcW w:w="729" w:type="dxa"/>
            <w:shd w:val="clear" w:color="auto" w:fill="FFFFFF"/>
          </w:tcPr>
          <w:p w14:paraId="6E0EDBB7"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4.8</w:t>
            </w:r>
          </w:p>
          <w:p w14:paraId="4B0FE6DA"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(1.8)</w:t>
            </w:r>
          </w:p>
        </w:tc>
        <w:tc>
          <w:tcPr>
            <w:tcW w:w="729" w:type="dxa"/>
            <w:shd w:val="clear" w:color="auto" w:fill="auto"/>
          </w:tcPr>
          <w:p w14:paraId="3C181E4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4.8</w:t>
            </w:r>
          </w:p>
          <w:p w14:paraId="044E3E8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(2.8)</w:t>
            </w:r>
          </w:p>
        </w:tc>
        <w:tc>
          <w:tcPr>
            <w:tcW w:w="729" w:type="dxa"/>
            <w:shd w:val="clear" w:color="auto" w:fill="auto"/>
          </w:tcPr>
          <w:p w14:paraId="48C22F8A"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4.3</w:t>
            </w:r>
          </w:p>
          <w:p w14:paraId="5CA6A131"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(3.6)</w:t>
            </w:r>
          </w:p>
        </w:tc>
        <w:tc>
          <w:tcPr>
            <w:tcW w:w="729" w:type="dxa"/>
            <w:shd w:val="clear" w:color="auto" w:fill="auto"/>
          </w:tcPr>
          <w:p w14:paraId="7F82A96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4.5</w:t>
            </w:r>
          </w:p>
          <w:p w14:paraId="52A9644D"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(2.3)</w:t>
            </w:r>
          </w:p>
        </w:tc>
      </w:tr>
      <w:tr w:rsidR="00591954" w:rsidRPr="00591954" w14:paraId="0B61E67D" w14:textId="77777777" w:rsidTr="00457E40">
        <w:tc>
          <w:tcPr>
            <w:tcW w:w="1207" w:type="dxa"/>
            <w:shd w:val="clear" w:color="auto" w:fill="auto"/>
          </w:tcPr>
          <w:p w14:paraId="2678D69D"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PARIETAL</w:t>
            </w:r>
          </w:p>
          <w:p w14:paraId="04CDFAC3"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(n=58)</w:t>
            </w:r>
          </w:p>
          <w:p w14:paraId="6D19C761" w14:textId="77777777" w:rsidR="00F36BB1" w:rsidRPr="00591954" w:rsidRDefault="00F36BB1" w:rsidP="00F36BB1">
            <w:pPr>
              <w:rPr>
                <w:rFonts w:ascii="Calibri" w:eastAsia="Calibri" w:hAnsi="Calibri"/>
                <w:sz w:val="18"/>
                <w:szCs w:val="18"/>
                <w:lang w:val="en-GB"/>
              </w:rPr>
            </w:pPr>
          </w:p>
        </w:tc>
        <w:tc>
          <w:tcPr>
            <w:tcW w:w="729" w:type="dxa"/>
            <w:shd w:val="clear" w:color="auto" w:fill="auto"/>
          </w:tcPr>
          <w:p w14:paraId="1102CB7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2.4</w:t>
            </w:r>
          </w:p>
          <w:p w14:paraId="3343D451"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(1.3)</w:t>
            </w:r>
          </w:p>
        </w:tc>
        <w:tc>
          <w:tcPr>
            <w:tcW w:w="729" w:type="dxa"/>
            <w:shd w:val="clear" w:color="auto" w:fill="auto"/>
          </w:tcPr>
          <w:p w14:paraId="4C35039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2.3</w:t>
            </w:r>
          </w:p>
          <w:p w14:paraId="28D77B5E"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(1.3)</w:t>
            </w:r>
          </w:p>
        </w:tc>
        <w:tc>
          <w:tcPr>
            <w:tcW w:w="729" w:type="dxa"/>
            <w:shd w:val="clear" w:color="auto" w:fill="auto"/>
          </w:tcPr>
          <w:p w14:paraId="6DA491DF"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2.7</w:t>
            </w:r>
          </w:p>
          <w:p w14:paraId="5D7D183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(1.4)</w:t>
            </w:r>
          </w:p>
        </w:tc>
        <w:tc>
          <w:tcPr>
            <w:tcW w:w="729" w:type="dxa"/>
            <w:shd w:val="clear" w:color="auto" w:fill="auto"/>
          </w:tcPr>
          <w:p w14:paraId="2316C7BB"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2.7</w:t>
            </w:r>
          </w:p>
          <w:p w14:paraId="3BF90AEE"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(1.9)</w:t>
            </w:r>
          </w:p>
        </w:tc>
        <w:tc>
          <w:tcPr>
            <w:tcW w:w="729" w:type="dxa"/>
            <w:shd w:val="clear" w:color="auto" w:fill="auto"/>
          </w:tcPr>
          <w:p w14:paraId="5C25169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2.6</w:t>
            </w:r>
          </w:p>
          <w:p w14:paraId="15DF84CE"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(1.6)</w:t>
            </w:r>
          </w:p>
        </w:tc>
        <w:tc>
          <w:tcPr>
            <w:tcW w:w="730" w:type="dxa"/>
            <w:shd w:val="clear" w:color="auto" w:fill="auto"/>
          </w:tcPr>
          <w:p w14:paraId="3AF69B4B"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3.4</w:t>
            </w:r>
          </w:p>
          <w:p w14:paraId="21B0588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(2.2)</w:t>
            </w:r>
          </w:p>
        </w:tc>
        <w:tc>
          <w:tcPr>
            <w:tcW w:w="729" w:type="dxa"/>
            <w:shd w:val="clear" w:color="auto" w:fill="FFFFFF"/>
          </w:tcPr>
          <w:p w14:paraId="0540E313"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1.7</w:t>
            </w:r>
          </w:p>
          <w:p w14:paraId="255413F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(1.4)</w:t>
            </w:r>
          </w:p>
        </w:tc>
        <w:tc>
          <w:tcPr>
            <w:tcW w:w="729" w:type="dxa"/>
            <w:shd w:val="clear" w:color="auto" w:fill="FFFFFF"/>
          </w:tcPr>
          <w:p w14:paraId="258DB555"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2.4</w:t>
            </w:r>
          </w:p>
          <w:p w14:paraId="48723ADF"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(1.7)</w:t>
            </w:r>
          </w:p>
        </w:tc>
        <w:tc>
          <w:tcPr>
            <w:tcW w:w="729" w:type="dxa"/>
            <w:shd w:val="clear" w:color="auto" w:fill="FFFFFF"/>
          </w:tcPr>
          <w:p w14:paraId="6149514E"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1.6</w:t>
            </w:r>
          </w:p>
          <w:p w14:paraId="54C1047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(1.4)</w:t>
            </w:r>
          </w:p>
        </w:tc>
        <w:tc>
          <w:tcPr>
            <w:tcW w:w="729" w:type="dxa"/>
            <w:shd w:val="clear" w:color="auto" w:fill="auto"/>
          </w:tcPr>
          <w:p w14:paraId="0BD41422"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3.4</w:t>
            </w:r>
          </w:p>
          <w:p w14:paraId="62150EDA"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(1.9)</w:t>
            </w:r>
          </w:p>
        </w:tc>
        <w:tc>
          <w:tcPr>
            <w:tcW w:w="729" w:type="dxa"/>
            <w:shd w:val="clear" w:color="auto" w:fill="auto"/>
          </w:tcPr>
          <w:p w14:paraId="5CE7AB5E"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2.8</w:t>
            </w:r>
          </w:p>
          <w:p w14:paraId="3EA61DC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(1.7)</w:t>
            </w:r>
          </w:p>
        </w:tc>
        <w:tc>
          <w:tcPr>
            <w:tcW w:w="729" w:type="dxa"/>
            <w:shd w:val="clear" w:color="auto" w:fill="auto"/>
          </w:tcPr>
          <w:p w14:paraId="05D0181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4.1</w:t>
            </w:r>
          </w:p>
          <w:p w14:paraId="1B3996FB"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(2.0)</w:t>
            </w:r>
          </w:p>
        </w:tc>
      </w:tr>
      <w:tr w:rsidR="00591954" w:rsidRPr="00591954" w14:paraId="10D62A91" w14:textId="77777777" w:rsidTr="00457E40">
        <w:tc>
          <w:tcPr>
            <w:tcW w:w="1207" w:type="dxa"/>
            <w:shd w:val="clear" w:color="auto" w:fill="auto"/>
          </w:tcPr>
          <w:p w14:paraId="45D411F1"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OCCIPITAL</w:t>
            </w:r>
          </w:p>
          <w:p w14:paraId="73C11DCB"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(n=76)</w:t>
            </w:r>
          </w:p>
          <w:p w14:paraId="52A0ED61" w14:textId="77777777" w:rsidR="00F36BB1" w:rsidRPr="00591954" w:rsidRDefault="00F36BB1" w:rsidP="00F36BB1">
            <w:pPr>
              <w:rPr>
                <w:rFonts w:ascii="Calibri" w:eastAsia="Calibri" w:hAnsi="Calibri"/>
                <w:sz w:val="18"/>
                <w:szCs w:val="18"/>
                <w:lang w:val="en-GB"/>
              </w:rPr>
            </w:pPr>
          </w:p>
        </w:tc>
        <w:tc>
          <w:tcPr>
            <w:tcW w:w="729" w:type="dxa"/>
            <w:shd w:val="clear" w:color="auto" w:fill="auto"/>
          </w:tcPr>
          <w:p w14:paraId="02BF8D2A"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2.3</w:t>
            </w:r>
          </w:p>
          <w:p w14:paraId="09973F7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(1.5)</w:t>
            </w:r>
          </w:p>
        </w:tc>
        <w:tc>
          <w:tcPr>
            <w:tcW w:w="729" w:type="dxa"/>
            <w:shd w:val="clear" w:color="auto" w:fill="auto"/>
          </w:tcPr>
          <w:p w14:paraId="0A6A0BA7"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2.2</w:t>
            </w:r>
          </w:p>
          <w:p w14:paraId="214DCD38"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(1.4)</w:t>
            </w:r>
          </w:p>
        </w:tc>
        <w:tc>
          <w:tcPr>
            <w:tcW w:w="729" w:type="dxa"/>
            <w:shd w:val="clear" w:color="auto" w:fill="auto"/>
          </w:tcPr>
          <w:p w14:paraId="40C69378"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2.6</w:t>
            </w:r>
          </w:p>
          <w:p w14:paraId="1D14496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(1.7)</w:t>
            </w:r>
          </w:p>
        </w:tc>
        <w:tc>
          <w:tcPr>
            <w:tcW w:w="729" w:type="dxa"/>
            <w:shd w:val="clear" w:color="auto" w:fill="auto"/>
          </w:tcPr>
          <w:p w14:paraId="2E5089A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2.9</w:t>
            </w:r>
          </w:p>
          <w:p w14:paraId="62BC821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(2.1)</w:t>
            </w:r>
          </w:p>
        </w:tc>
        <w:tc>
          <w:tcPr>
            <w:tcW w:w="729" w:type="dxa"/>
            <w:shd w:val="clear" w:color="auto" w:fill="auto"/>
          </w:tcPr>
          <w:p w14:paraId="74D854D8"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3.0</w:t>
            </w:r>
          </w:p>
          <w:p w14:paraId="2A3BD928"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(2.0)</w:t>
            </w:r>
          </w:p>
        </w:tc>
        <w:tc>
          <w:tcPr>
            <w:tcW w:w="730" w:type="dxa"/>
            <w:shd w:val="clear" w:color="auto" w:fill="auto"/>
          </w:tcPr>
          <w:p w14:paraId="5506A29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2.8</w:t>
            </w:r>
          </w:p>
          <w:p w14:paraId="7A97F9CE"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(2.0)</w:t>
            </w:r>
          </w:p>
        </w:tc>
        <w:tc>
          <w:tcPr>
            <w:tcW w:w="729" w:type="dxa"/>
            <w:shd w:val="clear" w:color="auto" w:fill="FFFFFF"/>
          </w:tcPr>
          <w:p w14:paraId="33573F3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2.7</w:t>
            </w:r>
          </w:p>
          <w:p w14:paraId="3520B955"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(2.0)</w:t>
            </w:r>
          </w:p>
        </w:tc>
        <w:tc>
          <w:tcPr>
            <w:tcW w:w="729" w:type="dxa"/>
            <w:shd w:val="clear" w:color="auto" w:fill="FFFFFF"/>
          </w:tcPr>
          <w:p w14:paraId="4372CCFE"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2.7</w:t>
            </w:r>
          </w:p>
          <w:p w14:paraId="262F0152"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(2.1)</w:t>
            </w:r>
          </w:p>
        </w:tc>
        <w:tc>
          <w:tcPr>
            <w:tcW w:w="729" w:type="dxa"/>
            <w:shd w:val="clear" w:color="auto" w:fill="FFFFFF"/>
          </w:tcPr>
          <w:p w14:paraId="7452607B"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2.9</w:t>
            </w:r>
          </w:p>
          <w:p w14:paraId="174C49A5"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(2.1)</w:t>
            </w:r>
          </w:p>
        </w:tc>
        <w:tc>
          <w:tcPr>
            <w:tcW w:w="729" w:type="dxa"/>
            <w:shd w:val="clear" w:color="auto" w:fill="auto"/>
          </w:tcPr>
          <w:p w14:paraId="64B1F543"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3.2</w:t>
            </w:r>
          </w:p>
          <w:p w14:paraId="1A1AFFA2"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(2.5)</w:t>
            </w:r>
          </w:p>
        </w:tc>
        <w:tc>
          <w:tcPr>
            <w:tcW w:w="729" w:type="dxa"/>
            <w:shd w:val="clear" w:color="auto" w:fill="auto"/>
          </w:tcPr>
          <w:p w14:paraId="18CD99B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3.2</w:t>
            </w:r>
          </w:p>
          <w:p w14:paraId="228F776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(2.0)</w:t>
            </w:r>
          </w:p>
        </w:tc>
        <w:tc>
          <w:tcPr>
            <w:tcW w:w="729" w:type="dxa"/>
            <w:shd w:val="clear" w:color="auto" w:fill="auto"/>
          </w:tcPr>
          <w:p w14:paraId="74E43D12"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2.6</w:t>
            </w:r>
          </w:p>
          <w:p w14:paraId="7307E481"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(2.0)</w:t>
            </w:r>
          </w:p>
        </w:tc>
      </w:tr>
      <w:tr w:rsidR="00591954" w:rsidRPr="00591954" w14:paraId="5F35EAA0" w14:textId="77777777" w:rsidTr="00457E40">
        <w:tc>
          <w:tcPr>
            <w:tcW w:w="1207" w:type="dxa"/>
            <w:shd w:val="clear" w:color="auto" w:fill="auto"/>
          </w:tcPr>
          <w:p w14:paraId="032BC057"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THALAMUS-MEDIAL</w:t>
            </w:r>
          </w:p>
          <w:p w14:paraId="407E7DE8"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(n=63)</w:t>
            </w:r>
          </w:p>
        </w:tc>
        <w:tc>
          <w:tcPr>
            <w:tcW w:w="729" w:type="dxa"/>
            <w:shd w:val="clear" w:color="auto" w:fill="auto"/>
          </w:tcPr>
          <w:p w14:paraId="4FB0FEE1"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3.7</w:t>
            </w:r>
          </w:p>
          <w:p w14:paraId="542EE729"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(2.8)</w:t>
            </w:r>
          </w:p>
        </w:tc>
        <w:tc>
          <w:tcPr>
            <w:tcW w:w="729" w:type="dxa"/>
            <w:shd w:val="clear" w:color="auto" w:fill="auto"/>
          </w:tcPr>
          <w:p w14:paraId="2666FF8A"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3.9</w:t>
            </w:r>
          </w:p>
          <w:p w14:paraId="58661D55"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(3.1)</w:t>
            </w:r>
          </w:p>
        </w:tc>
        <w:tc>
          <w:tcPr>
            <w:tcW w:w="729" w:type="dxa"/>
            <w:shd w:val="clear" w:color="auto" w:fill="auto"/>
          </w:tcPr>
          <w:p w14:paraId="60803BAA"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3.4</w:t>
            </w:r>
          </w:p>
          <w:p w14:paraId="327DD747"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(2.7)</w:t>
            </w:r>
          </w:p>
        </w:tc>
        <w:tc>
          <w:tcPr>
            <w:tcW w:w="729" w:type="dxa"/>
            <w:shd w:val="clear" w:color="auto" w:fill="B8CCE4"/>
          </w:tcPr>
          <w:p w14:paraId="20B8959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5.5</w:t>
            </w:r>
          </w:p>
          <w:p w14:paraId="644E75D3"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(3.1)</w:t>
            </w:r>
          </w:p>
        </w:tc>
        <w:tc>
          <w:tcPr>
            <w:tcW w:w="729" w:type="dxa"/>
            <w:shd w:val="clear" w:color="auto" w:fill="FDE9D9"/>
          </w:tcPr>
          <w:p w14:paraId="310B088E"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5.6</w:t>
            </w:r>
          </w:p>
          <w:p w14:paraId="0F53EE7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(2.6)</w:t>
            </w:r>
          </w:p>
        </w:tc>
        <w:tc>
          <w:tcPr>
            <w:tcW w:w="730" w:type="dxa"/>
            <w:shd w:val="clear" w:color="auto" w:fill="FDE9D9"/>
          </w:tcPr>
          <w:p w14:paraId="21EF9AD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5.7</w:t>
            </w:r>
          </w:p>
          <w:p w14:paraId="001383D2"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(3.5)</w:t>
            </w:r>
          </w:p>
        </w:tc>
        <w:tc>
          <w:tcPr>
            <w:tcW w:w="729" w:type="dxa"/>
            <w:shd w:val="clear" w:color="auto" w:fill="FDE9D9"/>
          </w:tcPr>
          <w:p w14:paraId="07B4C9BD"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5.8</w:t>
            </w:r>
          </w:p>
          <w:p w14:paraId="3DABFED9"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(3.9)</w:t>
            </w:r>
          </w:p>
        </w:tc>
        <w:tc>
          <w:tcPr>
            <w:tcW w:w="729" w:type="dxa"/>
            <w:shd w:val="clear" w:color="auto" w:fill="FFFFFF"/>
          </w:tcPr>
          <w:p w14:paraId="0A5CB241"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6.2</w:t>
            </w:r>
          </w:p>
          <w:p w14:paraId="212F2CB3"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(1.8)</w:t>
            </w:r>
          </w:p>
        </w:tc>
        <w:tc>
          <w:tcPr>
            <w:tcW w:w="729" w:type="dxa"/>
            <w:shd w:val="clear" w:color="auto" w:fill="FFFFFF"/>
          </w:tcPr>
          <w:p w14:paraId="29D294A3"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6.2</w:t>
            </w:r>
          </w:p>
          <w:p w14:paraId="0E9D013E"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(5.0)</w:t>
            </w:r>
          </w:p>
        </w:tc>
        <w:tc>
          <w:tcPr>
            <w:tcW w:w="729" w:type="dxa"/>
            <w:shd w:val="clear" w:color="auto" w:fill="FDE9D9"/>
          </w:tcPr>
          <w:p w14:paraId="38455AB3"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5.4</w:t>
            </w:r>
          </w:p>
          <w:p w14:paraId="57B5613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(2.6)</w:t>
            </w:r>
          </w:p>
        </w:tc>
        <w:tc>
          <w:tcPr>
            <w:tcW w:w="729" w:type="dxa"/>
            <w:shd w:val="clear" w:color="auto" w:fill="auto"/>
          </w:tcPr>
          <w:p w14:paraId="645E584F"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5.1</w:t>
            </w:r>
          </w:p>
          <w:p w14:paraId="126EC1CB"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(3.0)</w:t>
            </w:r>
          </w:p>
        </w:tc>
        <w:tc>
          <w:tcPr>
            <w:tcW w:w="729" w:type="dxa"/>
            <w:shd w:val="clear" w:color="auto" w:fill="auto"/>
          </w:tcPr>
          <w:p w14:paraId="3E0D3C39"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5.5</w:t>
            </w:r>
          </w:p>
          <w:p w14:paraId="1CCC2862"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(2.5)</w:t>
            </w:r>
          </w:p>
        </w:tc>
      </w:tr>
      <w:tr w:rsidR="00591954" w:rsidRPr="00591954" w14:paraId="7981C04E" w14:textId="77777777" w:rsidTr="00457E40">
        <w:tc>
          <w:tcPr>
            <w:tcW w:w="1207" w:type="dxa"/>
            <w:shd w:val="clear" w:color="auto" w:fill="auto"/>
          </w:tcPr>
          <w:p w14:paraId="3276F0B7"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THALAMUS-LATERAL</w:t>
            </w:r>
          </w:p>
          <w:p w14:paraId="17FD683C"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(n=66)</w:t>
            </w:r>
          </w:p>
        </w:tc>
        <w:tc>
          <w:tcPr>
            <w:tcW w:w="729" w:type="dxa"/>
            <w:shd w:val="clear" w:color="auto" w:fill="auto"/>
          </w:tcPr>
          <w:p w14:paraId="6F9491C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2.9</w:t>
            </w:r>
          </w:p>
          <w:p w14:paraId="31A939D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w:t>
            </w:r>
          </w:p>
        </w:tc>
        <w:tc>
          <w:tcPr>
            <w:tcW w:w="729" w:type="dxa"/>
            <w:shd w:val="clear" w:color="auto" w:fill="auto"/>
          </w:tcPr>
          <w:p w14:paraId="441BB528"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2.6</w:t>
            </w:r>
          </w:p>
          <w:p w14:paraId="76019C2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(1.8)</w:t>
            </w:r>
          </w:p>
        </w:tc>
        <w:tc>
          <w:tcPr>
            <w:tcW w:w="729" w:type="dxa"/>
            <w:shd w:val="clear" w:color="auto" w:fill="auto"/>
          </w:tcPr>
          <w:p w14:paraId="36CFFE6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3.4</w:t>
            </w:r>
          </w:p>
          <w:p w14:paraId="645F697E"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(2.3)</w:t>
            </w:r>
          </w:p>
        </w:tc>
        <w:tc>
          <w:tcPr>
            <w:tcW w:w="729" w:type="dxa"/>
            <w:shd w:val="clear" w:color="auto" w:fill="auto"/>
          </w:tcPr>
          <w:p w14:paraId="3B5EE9D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3.3</w:t>
            </w:r>
          </w:p>
          <w:p w14:paraId="433D48CD"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(2.2)</w:t>
            </w:r>
          </w:p>
        </w:tc>
        <w:tc>
          <w:tcPr>
            <w:tcW w:w="729" w:type="dxa"/>
            <w:shd w:val="clear" w:color="auto" w:fill="auto"/>
          </w:tcPr>
          <w:p w14:paraId="211EB1B2"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3.4</w:t>
            </w:r>
          </w:p>
          <w:p w14:paraId="3193CF9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(2.2)</w:t>
            </w:r>
          </w:p>
        </w:tc>
        <w:tc>
          <w:tcPr>
            <w:tcW w:w="730" w:type="dxa"/>
            <w:shd w:val="clear" w:color="auto" w:fill="auto"/>
          </w:tcPr>
          <w:p w14:paraId="0E905443"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3.5</w:t>
            </w:r>
          </w:p>
          <w:p w14:paraId="51FD57D8"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(2.3)</w:t>
            </w:r>
          </w:p>
        </w:tc>
        <w:tc>
          <w:tcPr>
            <w:tcW w:w="729" w:type="dxa"/>
            <w:shd w:val="clear" w:color="auto" w:fill="FFFFFF"/>
          </w:tcPr>
          <w:p w14:paraId="7F1FDA93"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3.0</w:t>
            </w:r>
          </w:p>
          <w:p w14:paraId="041122D5"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(1.9)</w:t>
            </w:r>
          </w:p>
        </w:tc>
        <w:tc>
          <w:tcPr>
            <w:tcW w:w="729" w:type="dxa"/>
            <w:shd w:val="clear" w:color="auto" w:fill="FFFFFF"/>
          </w:tcPr>
          <w:p w14:paraId="2071E85F"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3.5</w:t>
            </w:r>
          </w:p>
          <w:p w14:paraId="4CEC57AF"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(1.7)</w:t>
            </w:r>
          </w:p>
        </w:tc>
        <w:tc>
          <w:tcPr>
            <w:tcW w:w="729" w:type="dxa"/>
            <w:shd w:val="clear" w:color="auto" w:fill="FFFFFF"/>
          </w:tcPr>
          <w:p w14:paraId="21EC9FE1"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3.1</w:t>
            </w:r>
          </w:p>
          <w:p w14:paraId="0DBE434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(1.9)</w:t>
            </w:r>
          </w:p>
        </w:tc>
        <w:tc>
          <w:tcPr>
            <w:tcW w:w="729" w:type="dxa"/>
            <w:shd w:val="clear" w:color="auto" w:fill="auto"/>
          </w:tcPr>
          <w:p w14:paraId="5727815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3.6</w:t>
            </w:r>
          </w:p>
          <w:p w14:paraId="2198AC5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(2.4)</w:t>
            </w:r>
          </w:p>
        </w:tc>
        <w:tc>
          <w:tcPr>
            <w:tcW w:w="729" w:type="dxa"/>
            <w:shd w:val="clear" w:color="auto" w:fill="auto"/>
          </w:tcPr>
          <w:p w14:paraId="791823A6"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3.4</w:t>
            </w:r>
          </w:p>
          <w:p w14:paraId="2E1C914A"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(2.4)</w:t>
            </w:r>
          </w:p>
        </w:tc>
        <w:tc>
          <w:tcPr>
            <w:tcW w:w="729" w:type="dxa"/>
            <w:shd w:val="clear" w:color="auto" w:fill="auto"/>
          </w:tcPr>
          <w:p w14:paraId="18FE92A3"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3.8</w:t>
            </w:r>
          </w:p>
          <w:p w14:paraId="794C270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(2.6)</w:t>
            </w:r>
          </w:p>
        </w:tc>
      </w:tr>
      <w:tr w:rsidR="00591954" w:rsidRPr="00591954" w14:paraId="24AA72EB" w14:textId="77777777" w:rsidTr="00457E40">
        <w:tc>
          <w:tcPr>
            <w:tcW w:w="1207" w:type="dxa"/>
            <w:shd w:val="clear" w:color="auto" w:fill="auto"/>
          </w:tcPr>
          <w:p w14:paraId="01BB7A48"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PULVINAR- LATERAL</w:t>
            </w:r>
          </w:p>
          <w:p w14:paraId="104EDF12" w14:textId="77777777" w:rsidR="00F36BB1" w:rsidRPr="00591954" w:rsidRDefault="00F36BB1" w:rsidP="00F36BB1">
            <w:pPr>
              <w:rPr>
                <w:rFonts w:ascii="Calibri" w:eastAsia="Calibri" w:hAnsi="Calibri"/>
                <w:sz w:val="18"/>
                <w:szCs w:val="18"/>
                <w:lang w:val="en-GB"/>
              </w:rPr>
            </w:pPr>
            <w:r w:rsidRPr="00591954">
              <w:rPr>
                <w:rFonts w:ascii="Calibri" w:eastAsia="Calibri" w:hAnsi="Calibri"/>
                <w:sz w:val="18"/>
                <w:szCs w:val="18"/>
                <w:lang w:val="en-GB"/>
              </w:rPr>
              <w:t>(n=37)</w:t>
            </w:r>
          </w:p>
        </w:tc>
        <w:tc>
          <w:tcPr>
            <w:tcW w:w="729" w:type="dxa"/>
            <w:shd w:val="clear" w:color="auto" w:fill="auto"/>
          </w:tcPr>
          <w:p w14:paraId="3CD070E3"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3.1</w:t>
            </w:r>
          </w:p>
          <w:p w14:paraId="2387798D"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(3.0)</w:t>
            </w:r>
          </w:p>
        </w:tc>
        <w:tc>
          <w:tcPr>
            <w:tcW w:w="729" w:type="dxa"/>
            <w:shd w:val="clear" w:color="auto" w:fill="auto"/>
          </w:tcPr>
          <w:p w14:paraId="1F4EDBD5"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2.9</w:t>
            </w:r>
          </w:p>
          <w:p w14:paraId="2F544A67"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(2.7)</w:t>
            </w:r>
          </w:p>
        </w:tc>
        <w:tc>
          <w:tcPr>
            <w:tcW w:w="729" w:type="dxa"/>
            <w:shd w:val="clear" w:color="auto" w:fill="auto"/>
          </w:tcPr>
          <w:p w14:paraId="4FB72AF5"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3.5</w:t>
            </w:r>
          </w:p>
          <w:p w14:paraId="40F7D52A"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(3.6)</w:t>
            </w:r>
          </w:p>
        </w:tc>
        <w:tc>
          <w:tcPr>
            <w:tcW w:w="729" w:type="dxa"/>
            <w:shd w:val="clear" w:color="auto" w:fill="B8CCE4"/>
          </w:tcPr>
          <w:p w14:paraId="7EB99621"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6.4</w:t>
            </w:r>
          </w:p>
          <w:p w14:paraId="30C1631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(2.7)</w:t>
            </w:r>
          </w:p>
        </w:tc>
        <w:tc>
          <w:tcPr>
            <w:tcW w:w="729" w:type="dxa"/>
            <w:shd w:val="clear" w:color="auto" w:fill="FDE9D9"/>
          </w:tcPr>
          <w:p w14:paraId="0602D01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6.5</w:t>
            </w:r>
          </w:p>
          <w:p w14:paraId="34F66D7B"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(2.9)</w:t>
            </w:r>
          </w:p>
        </w:tc>
        <w:tc>
          <w:tcPr>
            <w:tcW w:w="730" w:type="dxa"/>
            <w:shd w:val="clear" w:color="auto" w:fill="auto"/>
          </w:tcPr>
          <w:p w14:paraId="6CD2E112"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6.4</w:t>
            </w:r>
          </w:p>
          <w:p w14:paraId="71116420"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(2.9)</w:t>
            </w:r>
          </w:p>
        </w:tc>
        <w:tc>
          <w:tcPr>
            <w:tcW w:w="729" w:type="dxa"/>
            <w:shd w:val="clear" w:color="auto" w:fill="FFFFFF"/>
          </w:tcPr>
          <w:p w14:paraId="433B11BE"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5.4</w:t>
            </w:r>
          </w:p>
          <w:p w14:paraId="4C247213"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(1.8)</w:t>
            </w:r>
          </w:p>
        </w:tc>
        <w:tc>
          <w:tcPr>
            <w:tcW w:w="729" w:type="dxa"/>
            <w:shd w:val="clear" w:color="auto" w:fill="FFFFFF"/>
          </w:tcPr>
          <w:p w14:paraId="2D392AC1"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4.0</w:t>
            </w:r>
          </w:p>
          <w:p w14:paraId="0529FE84"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(1.3)</w:t>
            </w:r>
          </w:p>
        </w:tc>
        <w:tc>
          <w:tcPr>
            <w:tcW w:w="729" w:type="dxa"/>
            <w:shd w:val="clear" w:color="auto" w:fill="FFFFFF"/>
          </w:tcPr>
          <w:p w14:paraId="3715BD9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6.8</w:t>
            </w:r>
          </w:p>
          <w:p w14:paraId="5817D13A"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(0.6)</w:t>
            </w:r>
          </w:p>
        </w:tc>
        <w:tc>
          <w:tcPr>
            <w:tcW w:w="729" w:type="dxa"/>
            <w:shd w:val="clear" w:color="auto" w:fill="B8CCE4"/>
          </w:tcPr>
          <w:p w14:paraId="24C289D2"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6.7</w:t>
            </w:r>
          </w:p>
          <w:p w14:paraId="562DF868"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(2.9)</w:t>
            </w:r>
          </w:p>
        </w:tc>
        <w:tc>
          <w:tcPr>
            <w:tcW w:w="729" w:type="dxa"/>
            <w:shd w:val="clear" w:color="auto" w:fill="FDE9D9"/>
          </w:tcPr>
          <w:p w14:paraId="3C9F93AF"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7.2</w:t>
            </w:r>
          </w:p>
          <w:p w14:paraId="50F17B9D"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(2.9)</w:t>
            </w:r>
          </w:p>
        </w:tc>
        <w:tc>
          <w:tcPr>
            <w:tcW w:w="729" w:type="dxa"/>
            <w:shd w:val="clear" w:color="auto" w:fill="auto"/>
          </w:tcPr>
          <w:p w14:paraId="5B20041C"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6.2</w:t>
            </w:r>
          </w:p>
          <w:p w14:paraId="764A8A59" w14:textId="77777777" w:rsidR="00F36BB1" w:rsidRPr="00591954" w:rsidRDefault="00F36BB1" w:rsidP="00457E40">
            <w:pPr>
              <w:jc w:val="center"/>
              <w:rPr>
                <w:rFonts w:ascii="Calibri" w:eastAsia="Calibri" w:hAnsi="Calibri"/>
                <w:sz w:val="16"/>
                <w:szCs w:val="16"/>
                <w:lang w:val="en-GB"/>
              </w:rPr>
            </w:pPr>
            <w:r w:rsidRPr="00591954">
              <w:rPr>
                <w:rFonts w:ascii="Calibri" w:eastAsia="Calibri" w:hAnsi="Calibri"/>
                <w:sz w:val="16"/>
                <w:szCs w:val="16"/>
                <w:lang w:val="en-GB"/>
              </w:rPr>
              <w:t>(3.0)</w:t>
            </w:r>
          </w:p>
        </w:tc>
      </w:tr>
    </w:tbl>
    <w:p w14:paraId="3A075B24" w14:textId="77777777" w:rsidR="00681629" w:rsidRPr="00591954" w:rsidRDefault="00681629" w:rsidP="00681629">
      <w:pPr>
        <w:pStyle w:val="Heading2"/>
        <w:spacing w:before="0"/>
        <w:jc w:val="both"/>
        <w:rPr>
          <w:rFonts w:ascii="Times New Roman" w:hAnsi="Times New Roman"/>
          <w:b w:val="0"/>
          <w:i w:val="0"/>
          <w:sz w:val="22"/>
          <w:szCs w:val="22"/>
          <w:lang w:val="en-GB"/>
        </w:rPr>
      </w:pPr>
    </w:p>
    <w:p w14:paraId="47404FA4" w14:textId="77777777" w:rsidR="00F36BB1" w:rsidRPr="00591954" w:rsidRDefault="00F36BB1" w:rsidP="00F36BB1">
      <w:pPr>
        <w:rPr>
          <w:lang w:val="en-GB"/>
        </w:rPr>
      </w:pPr>
    </w:p>
    <w:p w14:paraId="093C1F12" w14:textId="77777777" w:rsidR="00B9440A" w:rsidRPr="00591954" w:rsidRDefault="00B9440A" w:rsidP="00B9440A">
      <w:pPr>
        <w:pStyle w:val="SMcaption"/>
        <w:rPr>
          <w:sz w:val="22"/>
          <w:szCs w:val="22"/>
          <w:lang w:val="en-GB"/>
        </w:rPr>
      </w:pPr>
    </w:p>
    <w:p w14:paraId="6280BCDE" w14:textId="77777777" w:rsidR="00B9440A" w:rsidRPr="00591954" w:rsidRDefault="00B9440A" w:rsidP="00B9440A">
      <w:pPr>
        <w:pStyle w:val="SMcaption"/>
        <w:rPr>
          <w:sz w:val="22"/>
          <w:szCs w:val="22"/>
          <w:lang w:val="en-GB"/>
        </w:rPr>
      </w:pPr>
    </w:p>
    <w:p w14:paraId="7FDA8DDA" w14:textId="77777777" w:rsidR="00E06287" w:rsidRPr="00591954" w:rsidRDefault="00E06287">
      <w:pPr>
        <w:rPr>
          <w:b/>
          <w:bCs/>
          <w:kern w:val="32"/>
          <w:sz w:val="22"/>
          <w:szCs w:val="22"/>
          <w:lang w:val="en-GB"/>
        </w:rPr>
      </w:pPr>
      <w:r w:rsidRPr="00591954">
        <w:rPr>
          <w:sz w:val="22"/>
          <w:szCs w:val="22"/>
          <w:lang w:val="en-GB"/>
        </w:rPr>
        <w:br w:type="page"/>
      </w:r>
    </w:p>
    <w:p w14:paraId="7E80D209" w14:textId="77777777" w:rsidR="00C50C6D" w:rsidRPr="00591954" w:rsidRDefault="005B7D13" w:rsidP="00C50C6D">
      <w:pPr>
        <w:pStyle w:val="SMHeading"/>
        <w:rPr>
          <w:lang w:val="en-GB"/>
        </w:rPr>
      </w:pPr>
      <w:r w:rsidRPr="00591954">
        <w:rPr>
          <w:lang w:val="en-GB"/>
        </w:rPr>
        <w:lastRenderedPageBreak/>
        <w:t>Dataset</w:t>
      </w:r>
      <w:r w:rsidR="00C50C6D" w:rsidRPr="00591954">
        <w:rPr>
          <w:lang w:val="en-GB"/>
        </w:rPr>
        <w:t xml:space="preserve"> S1 (separate file)</w:t>
      </w:r>
    </w:p>
    <w:p w14:paraId="2F06AE90" w14:textId="39A64797" w:rsidR="00681629" w:rsidRPr="00591954" w:rsidRDefault="00681629" w:rsidP="00E06287">
      <w:pPr>
        <w:pStyle w:val="Heading2"/>
        <w:spacing w:before="0"/>
        <w:rPr>
          <w:rFonts w:ascii="Times New Roman" w:hAnsi="Times New Roman"/>
          <w:b w:val="0"/>
          <w:i w:val="0"/>
          <w:sz w:val="24"/>
          <w:szCs w:val="24"/>
          <w:lang w:val="en-GB"/>
        </w:rPr>
      </w:pPr>
      <w:r w:rsidRPr="00591954">
        <w:rPr>
          <w:rFonts w:ascii="Times New Roman" w:hAnsi="Times New Roman"/>
          <w:b w:val="0"/>
          <w:i w:val="0"/>
          <w:sz w:val="24"/>
          <w:szCs w:val="24"/>
          <w:lang w:val="en-GB"/>
        </w:rPr>
        <w:t xml:space="preserve">Results of the differential expression analysis between cortical regions relatively protected versus cortical regions vulnerable to reduced cortical thickness. </w:t>
      </w:r>
      <w:r w:rsidRPr="00591954">
        <w:rPr>
          <w:rFonts w:ascii="Times New Roman" w:hAnsi="Times New Roman"/>
          <w:b w:val="0"/>
          <w:i w:val="0"/>
          <w:sz w:val="24"/>
          <w:szCs w:val="24"/>
          <w:lang w:val="en-GB"/>
        </w:rPr>
        <w:br/>
        <w:t>Columns represent the gene name, the t-value from the differential expression analysis, the corresponding P-value and the corrected P-value using FDR and Holm methods, respectively.</w:t>
      </w:r>
    </w:p>
    <w:p w14:paraId="22FF0F3C" w14:textId="465543F4" w:rsidR="00240BD1" w:rsidRPr="00591954" w:rsidRDefault="00240BD1" w:rsidP="00240BD1">
      <w:pPr>
        <w:pStyle w:val="SMHeading"/>
        <w:rPr>
          <w:lang w:val="en-GB"/>
        </w:rPr>
      </w:pPr>
      <w:r w:rsidRPr="00591954">
        <w:rPr>
          <w:lang w:val="en-GB"/>
        </w:rPr>
        <w:t>Dataset S2 (separate file)</w:t>
      </w:r>
    </w:p>
    <w:p w14:paraId="57FD5AA3" w14:textId="0822BFAE" w:rsidR="00240BD1" w:rsidRPr="00591954" w:rsidRDefault="00240BD1" w:rsidP="000B39C8">
      <w:pPr>
        <w:pStyle w:val="Heading2"/>
        <w:spacing w:before="0"/>
        <w:rPr>
          <w:lang w:val="en-GB"/>
        </w:rPr>
      </w:pPr>
      <w:r w:rsidRPr="00591954">
        <w:rPr>
          <w:rFonts w:ascii="Times New Roman" w:hAnsi="Times New Roman"/>
          <w:b w:val="0"/>
          <w:i w:val="0"/>
          <w:sz w:val="24"/>
          <w:szCs w:val="24"/>
          <w:lang w:val="en-GB"/>
        </w:rPr>
        <w:t xml:space="preserve">Results of all enrichment analyses performed to investigate enrichment of brain cell type marker genes </w:t>
      </w:r>
      <w:r w:rsidR="009134FB" w:rsidRPr="00591954">
        <w:rPr>
          <w:rFonts w:ascii="Times New Roman" w:hAnsi="Times New Roman"/>
          <w:b w:val="0"/>
          <w:i w:val="0"/>
          <w:sz w:val="24"/>
          <w:szCs w:val="24"/>
          <w:lang w:val="en-GB"/>
        </w:rPr>
        <w:t xml:space="preserve">(see Dataset S5) </w:t>
      </w:r>
      <w:r w:rsidRPr="00591954">
        <w:rPr>
          <w:rFonts w:ascii="Times New Roman" w:hAnsi="Times New Roman"/>
          <w:b w:val="0"/>
          <w:i w:val="0"/>
          <w:sz w:val="24"/>
          <w:szCs w:val="24"/>
          <w:lang w:val="en-GB"/>
        </w:rPr>
        <w:t xml:space="preserve">in the ranked gene list (Dataset S1). Columns provide the gene set label, the brain cell type, the number of genes in the marker list, AUC, P-value and the FDR-corrected P-value.  </w:t>
      </w:r>
    </w:p>
    <w:p w14:paraId="3F92A641" w14:textId="25F806D3" w:rsidR="003D6E4F" w:rsidRPr="00591954" w:rsidRDefault="005B7D13" w:rsidP="003D6E4F">
      <w:pPr>
        <w:pStyle w:val="SMHeading"/>
        <w:rPr>
          <w:lang w:val="en-GB"/>
        </w:rPr>
      </w:pPr>
      <w:r w:rsidRPr="00591954">
        <w:rPr>
          <w:lang w:val="en-GB"/>
        </w:rPr>
        <w:t xml:space="preserve">Dataset </w:t>
      </w:r>
      <w:r w:rsidR="003D6E4F" w:rsidRPr="00591954">
        <w:rPr>
          <w:lang w:val="en-GB"/>
        </w:rPr>
        <w:t>S</w:t>
      </w:r>
      <w:r w:rsidR="00841B8F" w:rsidRPr="00591954">
        <w:rPr>
          <w:lang w:val="en-GB"/>
        </w:rPr>
        <w:t>3</w:t>
      </w:r>
      <w:r w:rsidR="003D6E4F" w:rsidRPr="00591954">
        <w:rPr>
          <w:lang w:val="en-GB"/>
        </w:rPr>
        <w:t xml:space="preserve"> (separate file)</w:t>
      </w:r>
    </w:p>
    <w:p w14:paraId="7800F256" w14:textId="18499674" w:rsidR="003D6E4F" w:rsidRPr="00591954" w:rsidRDefault="003D6E4F" w:rsidP="003D6E4F">
      <w:pPr>
        <w:pStyle w:val="Heading2"/>
        <w:spacing w:before="0"/>
        <w:rPr>
          <w:rFonts w:ascii="Times New Roman" w:hAnsi="Times New Roman"/>
          <w:b w:val="0"/>
          <w:i w:val="0"/>
          <w:sz w:val="24"/>
          <w:szCs w:val="24"/>
          <w:lang w:val="en-GB"/>
        </w:rPr>
      </w:pPr>
      <w:r w:rsidRPr="00591954">
        <w:rPr>
          <w:rFonts w:ascii="Times New Roman" w:hAnsi="Times New Roman"/>
          <w:b w:val="0"/>
          <w:i w:val="0"/>
          <w:sz w:val="24"/>
          <w:szCs w:val="24"/>
          <w:lang w:val="en-GB"/>
        </w:rPr>
        <w:t xml:space="preserve">Results of all enrichment analyses performed to investigate </w:t>
      </w:r>
      <w:r w:rsidR="00841B8F" w:rsidRPr="00591954">
        <w:rPr>
          <w:rFonts w:ascii="Times New Roman" w:hAnsi="Times New Roman"/>
          <w:b w:val="0"/>
          <w:i w:val="0"/>
          <w:sz w:val="24"/>
          <w:szCs w:val="24"/>
          <w:lang w:val="en-GB"/>
        </w:rPr>
        <w:t xml:space="preserve">enrichment of </w:t>
      </w:r>
      <w:r w:rsidRPr="00591954">
        <w:rPr>
          <w:rFonts w:ascii="Times New Roman" w:hAnsi="Times New Roman"/>
          <w:b w:val="0"/>
          <w:i w:val="0"/>
          <w:sz w:val="24"/>
          <w:szCs w:val="24"/>
          <w:lang w:val="en-GB"/>
        </w:rPr>
        <w:t xml:space="preserve">molecular pathways </w:t>
      </w:r>
      <w:r w:rsidR="009134FB" w:rsidRPr="00591954">
        <w:rPr>
          <w:rFonts w:ascii="Times New Roman" w:hAnsi="Times New Roman"/>
          <w:b w:val="0"/>
          <w:i w:val="0"/>
          <w:sz w:val="24"/>
          <w:szCs w:val="24"/>
          <w:lang w:val="en-GB"/>
        </w:rPr>
        <w:t>(</w:t>
      </w:r>
      <w:r w:rsidR="00841B8F" w:rsidRPr="00591954">
        <w:rPr>
          <w:rFonts w:ascii="Times New Roman" w:hAnsi="Times New Roman"/>
          <w:b w:val="0"/>
          <w:i w:val="0"/>
          <w:sz w:val="24"/>
          <w:szCs w:val="24"/>
          <w:lang w:val="en-GB"/>
        </w:rPr>
        <w:t>KEGG</w:t>
      </w:r>
      <w:r w:rsidR="009134FB" w:rsidRPr="00591954">
        <w:rPr>
          <w:rFonts w:ascii="Times New Roman" w:hAnsi="Times New Roman"/>
          <w:b w:val="0"/>
          <w:i w:val="0"/>
          <w:sz w:val="24"/>
          <w:szCs w:val="24"/>
          <w:lang w:val="en-GB"/>
        </w:rPr>
        <w:t xml:space="preserve"> and</w:t>
      </w:r>
      <w:r w:rsidR="00841B8F" w:rsidRPr="00591954">
        <w:rPr>
          <w:rFonts w:ascii="Times New Roman" w:hAnsi="Times New Roman"/>
          <w:b w:val="0"/>
          <w:i w:val="0"/>
          <w:sz w:val="24"/>
          <w:szCs w:val="24"/>
          <w:lang w:val="en-GB"/>
        </w:rPr>
        <w:t xml:space="preserve"> REACTOME</w:t>
      </w:r>
      <w:r w:rsidR="009134FB" w:rsidRPr="00591954">
        <w:rPr>
          <w:rFonts w:ascii="Times New Roman" w:hAnsi="Times New Roman"/>
          <w:b w:val="0"/>
          <w:i w:val="0"/>
          <w:sz w:val="24"/>
          <w:szCs w:val="24"/>
          <w:lang w:val="en-GB"/>
        </w:rPr>
        <w:t>)</w:t>
      </w:r>
      <w:r w:rsidR="00841B8F" w:rsidRPr="00591954">
        <w:rPr>
          <w:rFonts w:ascii="Times New Roman" w:hAnsi="Times New Roman"/>
          <w:b w:val="0"/>
          <w:i w:val="0"/>
          <w:sz w:val="24"/>
          <w:szCs w:val="24"/>
          <w:lang w:val="en-GB"/>
        </w:rPr>
        <w:t xml:space="preserve"> and Gene </w:t>
      </w:r>
      <w:r w:rsidR="009134FB" w:rsidRPr="00591954">
        <w:rPr>
          <w:rFonts w:ascii="Times New Roman" w:hAnsi="Times New Roman"/>
          <w:b w:val="0"/>
          <w:i w:val="0"/>
          <w:sz w:val="24"/>
          <w:szCs w:val="24"/>
          <w:lang w:val="en-GB"/>
        </w:rPr>
        <w:t>Ontology terms</w:t>
      </w:r>
      <w:r w:rsidR="00841B8F" w:rsidRPr="00591954">
        <w:rPr>
          <w:rFonts w:ascii="Times New Roman" w:hAnsi="Times New Roman"/>
          <w:b w:val="0"/>
          <w:i w:val="0"/>
          <w:sz w:val="24"/>
          <w:szCs w:val="24"/>
          <w:lang w:val="en-GB"/>
        </w:rPr>
        <w:t xml:space="preserve"> in the ranked gene list (Dataset S1). </w:t>
      </w:r>
      <w:r w:rsidRPr="00591954">
        <w:rPr>
          <w:rFonts w:ascii="Times New Roman" w:hAnsi="Times New Roman"/>
          <w:b w:val="0"/>
          <w:i w:val="0"/>
          <w:sz w:val="24"/>
          <w:szCs w:val="24"/>
          <w:lang w:val="en-GB"/>
        </w:rPr>
        <w:t xml:space="preserve">Columns correspond to the gene set name, </w:t>
      </w:r>
      <w:r w:rsidR="005B5099" w:rsidRPr="00591954">
        <w:rPr>
          <w:rFonts w:ascii="Times New Roman" w:hAnsi="Times New Roman"/>
          <w:b w:val="0"/>
          <w:i w:val="0"/>
          <w:sz w:val="24"/>
          <w:szCs w:val="24"/>
          <w:lang w:val="en-GB"/>
        </w:rPr>
        <w:t>the number of genes in the marker list</w:t>
      </w:r>
      <w:r w:rsidRPr="00591954">
        <w:rPr>
          <w:rFonts w:ascii="Times New Roman" w:hAnsi="Times New Roman"/>
          <w:b w:val="0"/>
          <w:i w:val="0"/>
          <w:sz w:val="24"/>
          <w:szCs w:val="24"/>
          <w:lang w:val="en-GB"/>
        </w:rPr>
        <w:t xml:space="preserve">, </w:t>
      </w:r>
      <w:r w:rsidR="005B5099" w:rsidRPr="00591954">
        <w:rPr>
          <w:rFonts w:ascii="Times New Roman" w:hAnsi="Times New Roman"/>
          <w:b w:val="0"/>
          <w:i w:val="0"/>
          <w:sz w:val="24"/>
          <w:szCs w:val="24"/>
          <w:lang w:val="en-GB"/>
        </w:rPr>
        <w:t>AUC</w:t>
      </w:r>
      <w:r w:rsidRPr="00591954">
        <w:rPr>
          <w:rFonts w:ascii="Times New Roman" w:hAnsi="Times New Roman"/>
          <w:b w:val="0"/>
          <w:i w:val="0"/>
          <w:sz w:val="24"/>
          <w:szCs w:val="24"/>
          <w:lang w:val="en-GB"/>
        </w:rPr>
        <w:t>, P-value and</w:t>
      </w:r>
      <w:r w:rsidR="005B5099" w:rsidRPr="00591954">
        <w:rPr>
          <w:rFonts w:ascii="Times New Roman" w:hAnsi="Times New Roman"/>
          <w:b w:val="0"/>
          <w:i w:val="0"/>
          <w:sz w:val="24"/>
          <w:szCs w:val="24"/>
          <w:lang w:val="en-GB"/>
        </w:rPr>
        <w:t xml:space="preserve"> the FDR-corrected P-value</w:t>
      </w:r>
      <w:r w:rsidRPr="00591954">
        <w:rPr>
          <w:rFonts w:ascii="Times New Roman" w:hAnsi="Times New Roman"/>
          <w:b w:val="0"/>
          <w:i w:val="0"/>
          <w:sz w:val="24"/>
          <w:szCs w:val="24"/>
          <w:lang w:val="en-GB"/>
        </w:rPr>
        <w:t xml:space="preserve">. </w:t>
      </w:r>
    </w:p>
    <w:p w14:paraId="575DCE91" w14:textId="280C9B75" w:rsidR="003D6E4F" w:rsidRPr="00591954" w:rsidRDefault="005B7D13" w:rsidP="003D6E4F">
      <w:pPr>
        <w:pStyle w:val="SMHeading"/>
        <w:rPr>
          <w:lang w:val="en-GB"/>
        </w:rPr>
      </w:pPr>
      <w:r w:rsidRPr="00591954">
        <w:rPr>
          <w:lang w:val="en-GB"/>
        </w:rPr>
        <w:t xml:space="preserve">Dataset </w:t>
      </w:r>
      <w:r w:rsidR="003D6E4F" w:rsidRPr="00591954">
        <w:rPr>
          <w:lang w:val="en-GB"/>
        </w:rPr>
        <w:t>S</w:t>
      </w:r>
      <w:r w:rsidR="009134FB" w:rsidRPr="00591954">
        <w:rPr>
          <w:lang w:val="en-GB"/>
        </w:rPr>
        <w:t>4</w:t>
      </w:r>
      <w:r w:rsidR="003D6E4F" w:rsidRPr="00591954">
        <w:rPr>
          <w:lang w:val="en-GB"/>
        </w:rPr>
        <w:t xml:space="preserve"> (separate file)</w:t>
      </w:r>
    </w:p>
    <w:p w14:paraId="44CA7E4C" w14:textId="0052E3B9" w:rsidR="00C50C6D" w:rsidRPr="00591954" w:rsidRDefault="009134FB" w:rsidP="00E06287">
      <w:pPr>
        <w:pStyle w:val="Heading2"/>
        <w:spacing w:before="0"/>
        <w:jc w:val="both"/>
        <w:rPr>
          <w:rFonts w:ascii="Times New Roman" w:hAnsi="Times New Roman"/>
          <w:b w:val="0"/>
          <w:i w:val="0"/>
          <w:sz w:val="24"/>
          <w:szCs w:val="24"/>
          <w:lang w:val="en-GB"/>
        </w:rPr>
      </w:pPr>
      <w:r w:rsidRPr="00591954">
        <w:rPr>
          <w:rFonts w:ascii="Times New Roman" w:hAnsi="Times New Roman"/>
          <w:b w:val="0"/>
          <w:i w:val="0"/>
          <w:sz w:val="24"/>
          <w:szCs w:val="24"/>
          <w:lang w:val="en-GB"/>
        </w:rPr>
        <w:t>Results of all enrichment analyses performed to investigate enrichment of microglia state-related genes (Dataset S6) in the ranked gene list (Dataset S1). Columns correspond to the gene set name, the number of genes in the marker list, AUC, P-value and the FDR-corrected P-value.</w:t>
      </w:r>
    </w:p>
    <w:p w14:paraId="275BF97C" w14:textId="06F6ECFA" w:rsidR="00813BB0" w:rsidRPr="00591954" w:rsidRDefault="005B7D13" w:rsidP="00813BB0">
      <w:pPr>
        <w:pStyle w:val="SMHeading"/>
        <w:rPr>
          <w:lang w:val="en-GB"/>
        </w:rPr>
      </w:pPr>
      <w:r w:rsidRPr="00591954">
        <w:rPr>
          <w:lang w:val="en-GB"/>
        </w:rPr>
        <w:t xml:space="preserve">Dataset </w:t>
      </w:r>
      <w:r w:rsidR="00813BB0" w:rsidRPr="00591954">
        <w:rPr>
          <w:lang w:val="en-GB"/>
        </w:rPr>
        <w:t>S</w:t>
      </w:r>
      <w:r w:rsidR="009134FB" w:rsidRPr="00591954">
        <w:rPr>
          <w:lang w:val="en-GB"/>
        </w:rPr>
        <w:t>5</w:t>
      </w:r>
      <w:r w:rsidR="00813BB0" w:rsidRPr="00591954">
        <w:rPr>
          <w:lang w:val="en-GB"/>
        </w:rPr>
        <w:t xml:space="preserve"> (separate file)</w:t>
      </w:r>
    </w:p>
    <w:p w14:paraId="0E7ED5A7" w14:textId="77777777" w:rsidR="00813BB0" w:rsidRPr="00591954" w:rsidRDefault="00813BB0" w:rsidP="00813BB0">
      <w:pPr>
        <w:pStyle w:val="Heading2"/>
        <w:spacing w:before="0"/>
        <w:jc w:val="both"/>
        <w:rPr>
          <w:rFonts w:ascii="Times New Roman" w:eastAsia="Calibri" w:hAnsi="Times New Roman"/>
          <w:b w:val="0"/>
          <w:i w:val="0"/>
          <w:sz w:val="24"/>
          <w:szCs w:val="24"/>
          <w:lang w:val="en-GB" w:eastAsia="de-DE"/>
        </w:rPr>
      </w:pPr>
      <w:r w:rsidRPr="00591954">
        <w:rPr>
          <w:rFonts w:ascii="Times New Roman" w:eastAsia="Calibri" w:hAnsi="Times New Roman"/>
          <w:b w:val="0"/>
          <w:i w:val="0"/>
          <w:sz w:val="24"/>
          <w:szCs w:val="24"/>
          <w:lang w:val="en-GB" w:eastAsia="de-DE"/>
        </w:rPr>
        <w:t xml:space="preserve">Cell type-specific genes based on purified cells isolated from mouse and human cerebral cortex. </w:t>
      </w:r>
    </w:p>
    <w:p w14:paraId="32D725B6" w14:textId="49EDF236" w:rsidR="00813BB0" w:rsidRPr="00591954" w:rsidRDefault="005B7D13" w:rsidP="00813BB0">
      <w:pPr>
        <w:pStyle w:val="SMHeading"/>
        <w:rPr>
          <w:lang w:val="en-GB"/>
        </w:rPr>
      </w:pPr>
      <w:r w:rsidRPr="00591954">
        <w:rPr>
          <w:lang w:val="en-GB"/>
        </w:rPr>
        <w:t xml:space="preserve">Dataset </w:t>
      </w:r>
      <w:r w:rsidR="00813BB0" w:rsidRPr="00591954">
        <w:rPr>
          <w:lang w:val="en-GB"/>
        </w:rPr>
        <w:t>S</w:t>
      </w:r>
      <w:r w:rsidR="009134FB" w:rsidRPr="00591954">
        <w:rPr>
          <w:lang w:val="en-GB"/>
        </w:rPr>
        <w:t>6</w:t>
      </w:r>
      <w:r w:rsidR="00813BB0" w:rsidRPr="00591954">
        <w:rPr>
          <w:lang w:val="en-GB"/>
        </w:rPr>
        <w:t xml:space="preserve"> (separate file)</w:t>
      </w:r>
    </w:p>
    <w:p w14:paraId="02CE79E2" w14:textId="77777777" w:rsidR="00813BB0" w:rsidRPr="00591954" w:rsidRDefault="00813BB0" w:rsidP="00813BB0">
      <w:pPr>
        <w:pStyle w:val="Heading2"/>
        <w:spacing w:before="0"/>
        <w:jc w:val="both"/>
        <w:rPr>
          <w:rFonts w:ascii="Times New Roman" w:eastAsia="Calibri" w:hAnsi="Times New Roman"/>
          <w:b w:val="0"/>
          <w:i w:val="0"/>
          <w:sz w:val="24"/>
          <w:szCs w:val="24"/>
          <w:lang w:val="en-GB" w:eastAsia="de-DE"/>
        </w:rPr>
      </w:pPr>
      <w:r w:rsidRPr="00591954">
        <w:rPr>
          <w:rFonts w:ascii="Times New Roman" w:eastAsia="Calibri" w:hAnsi="Times New Roman"/>
          <w:b w:val="0"/>
          <w:i w:val="0"/>
          <w:sz w:val="24"/>
          <w:szCs w:val="24"/>
          <w:lang w:val="en-GB" w:eastAsia="de-DE"/>
        </w:rPr>
        <w:t>Genes associated with a range of microglial signatures.</w:t>
      </w:r>
    </w:p>
    <w:p w14:paraId="46268082" w14:textId="77777777" w:rsidR="00813BB0" w:rsidRPr="00591954" w:rsidRDefault="00813BB0" w:rsidP="004A5F7F">
      <w:pPr>
        <w:spacing w:after="120"/>
        <w:rPr>
          <w:sz w:val="22"/>
          <w:szCs w:val="22"/>
          <w:lang w:val="en-GB"/>
        </w:rPr>
      </w:pPr>
      <w:r w:rsidRPr="00591954">
        <w:rPr>
          <w:sz w:val="22"/>
          <w:szCs w:val="22"/>
          <w:lang w:val="en-GB"/>
        </w:rPr>
        <w:br w:type="page"/>
      </w:r>
    </w:p>
    <w:p w14:paraId="4E1CD7EA" w14:textId="77777777" w:rsidR="00820484" w:rsidRPr="00591954" w:rsidRDefault="00820484" w:rsidP="004A5F7F">
      <w:pPr>
        <w:pStyle w:val="SMcaption"/>
        <w:spacing w:after="120"/>
        <w:rPr>
          <w:b/>
          <w:sz w:val="28"/>
          <w:szCs w:val="28"/>
          <w:lang w:val="en-GB"/>
        </w:rPr>
      </w:pPr>
      <w:r w:rsidRPr="00591954">
        <w:rPr>
          <w:b/>
          <w:sz w:val="28"/>
          <w:szCs w:val="28"/>
          <w:lang w:val="en-GB"/>
        </w:rPr>
        <w:lastRenderedPageBreak/>
        <w:t>References</w:t>
      </w:r>
    </w:p>
    <w:p w14:paraId="670962A3" w14:textId="7142713B" w:rsidR="004F23C5" w:rsidRPr="00591954" w:rsidRDefault="002A2953" w:rsidP="004F23C5">
      <w:pPr>
        <w:widowControl w:val="0"/>
        <w:autoSpaceDE w:val="0"/>
        <w:autoSpaceDN w:val="0"/>
        <w:adjustRightInd w:val="0"/>
        <w:spacing w:after="120"/>
        <w:ind w:left="640" w:hanging="640"/>
        <w:rPr>
          <w:noProof/>
          <w:lang w:val="en-GB"/>
        </w:rPr>
      </w:pPr>
      <w:r w:rsidRPr="00591954">
        <w:rPr>
          <w:szCs w:val="24"/>
          <w:lang w:val="en-GB"/>
        </w:rPr>
        <w:fldChar w:fldCharType="begin" w:fldLock="1"/>
      </w:r>
      <w:r w:rsidRPr="00591954">
        <w:rPr>
          <w:szCs w:val="24"/>
          <w:lang w:val="en-GB"/>
        </w:rPr>
        <w:instrText xml:space="preserve">ADDIN Mendeley Bibliography CSL_BIBLIOGRAPHY </w:instrText>
      </w:r>
      <w:r w:rsidRPr="00591954">
        <w:rPr>
          <w:szCs w:val="24"/>
          <w:lang w:val="en-GB"/>
        </w:rPr>
        <w:fldChar w:fldCharType="separate"/>
      </w:r>
      <w:r w:rsidR="004F23C5" w:rsidRPr="00591954">
        <w:rPr>
          <w:noProof/>
          <w:lang w:val="en-GB"/>
        </w:rPr>
        <w:t xml:space="preserve">1. </w:t>
      </w:r>
      <w:r w:rsidR="004F23C5" w:rsidRPr="00591954">
        <w:rPr>
          <w:noProof/>
          <w:lang w:val="en-GB"/>
        </w:rPr>
        <w:tab/>
        <w:t xml:space="preserve">Hawrylycz MJ, Lein ES, Guillozet-Bongaarts AL, Shen EH, Ng L, Miller JA, et al. An anatomically comprehensive atlas of the adult human brain transcriptome. Nature. 2012;489(7416):391–9. </w:t>
      </w:r>
    </w:p>
    <w:p w14:paraId="6E1A0085"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2. </w:t>
      </w:r>
      <w:r w:rsidRPr="00591954">
        <w:rPr>
          <w:noProof/>
          <w:lang w:val="en-GB"/>
        </w:rPr>
        <w:tab/>
        <w:t xml:space="preserve">Hawrylycz M, Miller JA, Menon V, Feng D, Dolbeare T, Guillozet-Bongaarts AL, et al. Canonical genetic signatures of the adult human brain. Nat Neurosci. 2015;18(12):1832–44. </w:t>
      </w:r>
    </w:p>
    <w:p w14:paraId="7692F170"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3. </w:t>
      </w:r>
      <w:r w:rsidRPr="00591954">
        <w:rPr>
          <w:noProof/>
          <w:lang w:val="en-GB"/>
        </w:rPr>
        <w:tab/>
        <w:t>TECHNICAL WHITE PAPER: MICROARRAY DATA NORMALIZATION [Internet]. 2013 [cited 2018 Jul 15]. Available from: http://help.brain-map.org/download/attachments/2818165/Normalization_WhitePaper.pdf?version=1&amp;modificationDate=1361836502191&amp;api=v2</w:t>
      </w:r>
    </w:p>
    <w:p w14:paraId="7E455117"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4. </w:t>
      </w:r>
      <w:r w:rsidRPr="00591954">
        <w:rPr>
          <w:noProof/>
          <w:lang w:val="en-GB"/>
        </w:rPr>
        <w:tab/>
        <w:t xml:space="preserve">Desikan RS, Ségonne F, Fischl B, Quinn BT, Dickerson BC, Blacker D, et al. An automated labeling system for subdividing the human cerebral cortex on MRI scans into gyral based regions of interest. Neuroimage. 2006;31(3):968–80. </w:t>
      </w:r>
    </w:p>
    <w:p w14:paraId="4444E5DA"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5. </w:t>
      </w:r>
      <w:r w:rsidRPr="00591954">
        <w:rPr>
          <w:noProof/>
          <w:lang w:val="en-GB"/>
        </w:rPr>
        <w:tab/>
        <w:t>Modat M, Ridgway GR, Taylor ZA, Lehmann M, Barnes J, Hawkes DJ, et al. Fast free-form deformation using graphics processing units. Comput Methods Programs Biomed [Internet]. 2010;98(3):278–84. Available from: http://www.sciencedirect.com/science/article/pii/S0169260709002533</w:t>
      </w:r>
    </w:p>
    <w:p w14:paraId="2232B7D6"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6. </w:t>
      </w:r>
      <w:r w:rsidRPr="00591954">
        <w:rPr>
          <w:noProof/>
          <w:lang w:val="en-GB"/>
        </w:rPr>
        <w:tab/>
        <w:t xml:space="preserve">Whelan CD, Altmann A, Botía JA, Jahanshad N, Hibar DP, Absil J, et al. Structural brain abnormalities in the common epilepsies assessed in a worldwide ENIGMA study. Brain. 2018;141(2):391–408. </w:t>
      </w:r>
    </w:p>
    <w:p w14:paraId="0EC345D7"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7. </w:t>
      </w:r>
      <w:r w:rsidRPr="00591954">
        <w:rPr>
          <w:noProof/>
          <w:lang w:val="en-GB"/>
        </w:rPr>
        <w:tab/>
        <w:t>Arloth J, Bader DM, Röh S, Altmann A. Re-Annotator: Annotation Pipeline for Microarray Probe Sequences. PLoS One [Internet]. 2015;10(10):e0139516. Available from: http://www.ncbi.nlm.nih.gov/pubmed?Db=pubmed&amp;amp;Cmd=Retrieve&amp;amp;list_uids=26426330&amp;amp;dopt=abstractplus</w:t>
      </w:r>
    </w:p>
    <w:p w14:paraId="745B0C50"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8. </w:t>
      </w:r>
      <w:r w:rsidRPr="00591954">
        <w:rPr>
          <w:noProof/>
          <w:lang w:val="en-GB"/>
        </w:rPr>
        <w:tab/>
        <w:t xml:space="preserve">Miller JA, Menon V, Goldy J, Kaykas A, Lee C-K, Smith KA, et al. Improving reliability and absolute quantification of human brain microarray data by filtering and scaling probes using RNA-Seq. BMC Genomics. 2014;15:154. </w:t>
      </w:r>
    </w:p>
    <w:p w14:paraId="63F456A4"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9. </w:t>
      </w:r>
      <w:r w:rsidRPr="00591954">
        <w:rPr>
          <w:noProof/>
          <w:lang w:val="en-GB"/>
        </w:rPr>
        <w:tab/>
        <w:t xml:space="preserve">Menden K, Marouf M, Oller S, Dalmia A, Magruder DS, Kloiber K, et al. Deep learning--based cell composition analysis from tissue expression profiles. Sci Adv. 2020;6(30):eaba2619. </w:t>
      </w:r>
    </w:p>
    <w:p w14:paraId="2FACBBE7"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10. </w:t>
      </w:r>
      <w:r w:rsidRPr="00591954">
        <w:rPr>
          <w:noProof/>
          <w:lang w:val="en-GB"/>
        </w:rPr>
        <w:tab/>
        <w:t>Darmanis S, Sloan SA, Zhang Y, Enge M, Caneda C, Shuer LM, et al. A survey of human brain transcriptome diversity at the single cell level. Proc Natl Acad Sci U S A [Internet]. 2015;112(23):7285–90. Available from: http://www.pnas.org/content/112/23/7285.long</w:t>
      </w:r>
    </w:p>
    <w:p w14:paraId="10B15D18"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11. </w:t>
      </w:r>
      <w:r w:rsidRPr="00591954">
        <w:rPr>
          <w:noProof/>
          <w:lang w:val="en-GB"/>
        </w:rPr>
        <w:tab/>
        <w:t>Lake BB, Ai R, Kaeser GE, Salathia NS, Yung YC, Liu R, et al. Neuronal subtypes and diversity revealed by single-nucleus RNA sequencing of the human brain. Sci (New York, NY) [Internet]. 2016;352(6293):1586–90. Available from: http://science.sciencemag.org/content/352/6293/1586.long</w:t>
      </w:r>
    </w:p>
    <w:p w14:paraId="7F4D22D4"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12. </w:t>
      </w:r>
      <w:r w:rsidRPr="00591954">
        <w:rPr>
          <w:noProof/>
          <w:lang w:val="en-GB"/>
        </w:rPr>
        <w:tab/>
        <w:t xml:space="preserve">Bates D, Mächler M, Bolker B, Walker S. Fitting linear mixed-effects models </w:t>
      </w:r>
      <w:r w:rsidRPr="00591954">
        <w:rPr>
          <w:noProof/>
          <w:lang w:val="en-GB"/>
        </w:rPr>
        <w:lastRenderedPageBreak/>
        <w:t xml:space="preserve">using lme4. J Stat Softw. 2015; </w:t>
      </w:r>
    </w:p>
    <w:p w14:paraId="4D3E194C"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13. </w:t>
      </w:r>
      <w:r w:rsidRPr="00591954">
        <w:rPr>
          <w:noProof/>
          <w:lang w:val="en-GB"/>
        </w:rPr>
        <w:tab/>
        <w:t>Benjamini Y, Hochberg Y. Controlling the False Discovery Rate: A Practical and Powerful Approach to Multiple Testing. J R Stat Soc Ser B [Internet]. 1995;57(1):289–300. Available from: http://www.jstor.org/stable/2346101</w:t>
      </w:r>
    </w:p>
    <w:p w14:paraId="625D633B"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14. </w:t>
      </w:r>
      <w:r w:rsidRPr="00591954">
        <w:rPr>
          <w:noProof/>
          <w:lang w:val="en-GB"/>
        </w:rPr>
        <w:tab/>
        <w:t xml:space="preserve">Weiner 3rd J, Domaszewska T. tmod: an R package for general and multivariate enrichment analysis. PeerJ. 2016;4. </w:t>
      </w:r>
    </w:p>
    <w:p w14:paraId="33B4BA7B"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15. </w:t>
      </w:r>
      <w:r w:rsidRPr="00591954">
        <w:rPr>
          <w:noProof/>
          <w:lang w:val="en-GB"/>
        </w:rPr>
        <w:tab/>
        <w:t>Ritchie J, Pantazatos SP, French L. Transcriptomic characterization of MRI contrast with focus on the T1-w/T2-w ratio in the cerebral cortex. Neuroimage [Internet]. 2018;174:504–17. Available from: http://eutils.ncbi.nlm.nih.gov/entrez/eutils/elink.fcgi?dbfrom=pubmed&amp;amp;id=29567503&amp;amp;retmode=ref&amp;amp;cmd=prlinks</w:t>
      </w:r>
    </w:p>
    <w:p w14:paraId="3762D7AD"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16. </w:t>
      </w:r>
      <w:r w:rsidRPr="00591954">
        <w:rPr>
          <w:noProof/>
          <w:lang w:val="en-GB"/>
        </w:rPr>
        <w:tab/>
        <w:t xml:space="preserve">Mann HB, Whitney DR. On a Test of Whether one of Two Random Variables is Stochastically Larger than the Other. Ann Math Stat. 1947;18(1):50–60. </w:t>
      </w:r>
    </w:p>
    <w:p w14:paraId="65F8DD44"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17. </w:t>
      </w:r>
      <w:r w:rsidRPr="00591954">
        <w:rPr>
          <w:noProof/>
          <w:lang w:val="en-GB"/>
        </w:rPr>
        <w:tab/>
        <w:t>Zhang Y, Chen K, Sloan SA, Bennett ML, Scholze AR, O&amp;apos;Keeffe S, et al. An RNA-sequencing transcriptome and splicing database of glia, neurons, and vascular cells of the cerebral cortex. J Neurosci [Internet]. 2014;34(36):11929–47. Available from: http://www.jneurosci.org/content/34/36/11929.long</w:t>
      </w:r>
    </w:p>
    <w:p w14:paraId="174D563E"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18. </w:t>
      </w:r>
      <w:r w:rsidRPr="00591954">
        <w:rPr>
          <w:noProof/>
          <w:lang w:val="en-GB"/>
        </w:rPr>
        <w:tab/>
        <w:t>Zhang Y, Sloan SA, Clarke LE, Caneda C, Plaza CA, Blumenthal PD, et al. Purification and Characterization of Progenitor and Mature Human Astrocytes Reveals Transcriptional and Functional Differences with Mouse. Neuron [Internet]. 2016;89(1):37. Available from: http://dx.doi.org/10.1016/j.neuron.2015.11.013</w:t>
      </w:r>
    </w:p>
    <w:p w14:paraId="0CF24884"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19. </w:t>
      </w:r>
      <w:r w:rsidRPr="00591954">
        <w:rPr>
          <w:noProof/>
          <w:lang w:val="en-GB"/>
        </w:rPr>
        <w:tab/>
        <w:t>Zeisel A, Muñoz-Manchado AB, Codeluppi S, Lönnerberg P, La Manno G, Juréus A, et al. Brain structure. Cell types in the mouse cortex and hippocampus revealed by single-cell RNA-seq. Sci (New York, NY) [Internet]. 2015;347(6226):1138–42. Available from: http://science.sciencemag.org/content/347/6226/1138.long</w:t>
      </w:r>
    </w:p>
    <w:p w14:paraId="45D4A813"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20. </w:t>
      </w:r>
      <w:r w:rsidRPr="00591954">
        <w:rPr>
          <w:noProof/>
          <w:lang w:val="en-GB"/>
        </w:rPr>
        <w:tab/>
        <w:t>Mancarci O. Homologene: Quick access to homology information [Internet]. 2015. Available from: https://github.com/oganm/homologene</w:t>
      </w:r>
    </w:p>
    <w:p w14:paraId="0A40BC9E"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21. </w:t>
      </w:r>
      <w:r w:rsidRPr="00591954">
        <w:rPr>
          <w:noProof/>
          <w:lang w:val="en-GB"/>
        </w:rPr>
        <w:tab/>
        <w:t xml:space="preserve">Subramanian A, Tamayo P, Mootha VK, Mukherjee S, Ebert BL, Gillette MA, et al. Gene set enrichment analysis: A knowledge-based approach for interpreting genome-wide expression profiles. Proc Natl Acad Sci. 2005; </w:t>
      </w:r>
    </w:p>
    <w:p w14:paraId="7090B976"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22. </w:t>
      </w:r>
      <w:r w:rsidRPr="00591954">
        <w:rPr>
          <w:noProof/>
          <w:lang w:val="en-GB"/>
        </w:rPr>
        <w:tab/>
        <w:t xml:space="preserve">Holtman IR, Raj DD, Miller JA, Schaafsma W, Yin Z, Brouwer N, et al. Induction of a common microglia gene expression signature by aging and neurodegenerative conditions: a co-expression meta-analysis. Acta Neuropathol Commun. 2015;3:31. </w:t>
      </w:r>
    </w:p>
    <w:p w14:paraId="7B27C951"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23. </w:t>
      </w:r>
      <w:r w:rsidRPr="00591954">
        <w:rPr>
          <w:noProof/>
          <w:lang w:val="en-GB"/>
        </w:rPr>
        <w:tab/>
        <w:t xml:space="preserve">Grabert K, Michoel T, Karavolos MH, Clohisey S, Baillie JK, Stevens MP, et al. Microglial brain region-dependent diversity and selective regional sensitivities to aging. Nat Neurosci. 2016;19(3):504–16. </w:t>
      </w:r>
    </w:p>
    <w:p w14:paraId="40632688"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24. </w:t>
      </w:r>
      <w:r w:rsidRPr="00591954">
        <w:rPr>
          <w:noProof/>
          <w:lang w:val="en-GB"/>
        </w:rPr>
        <w:tab/>
        <w:t xml:space="preserve">Mathys H, Adaikkan C, Gao F, Young JZ, Manet E, Hemberg M, et al. Temporal Tracking of Microglia Activation in Neurodegeneration at Single-Cell Resolution. Cell Rep. 2017;21(2):366–80. </w:t>
      </w:r>
    </w:p>
    <w:p w14:paraId="36C9FDDB"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25. </w:t>
      </w:r>
      <w:r w:rsidRPr="00591954">
        <w:rPr>
          <w:noProof/>
          <w:lang w:val="en-GB"/>
        </w:rPr>
        <w:tab/>
        <w:t>Mancarci BO, Toker L, Tripathy SJ, Li B, Rocco B, Sibille E, et al. Cross-</w:t>
      </w:r>
      <w:r w:rsidRPr="00591954">
        <w:rPr>
          <w:noProof/>
          <w:lang w:val="en-GB"/>
        </w:rPr>
        <w:lastRenderedPageBreak/>
        <w:t>Laboratory Analysis of Brain Cell Type Transcriptomes with Applications to Interpretation of Bulk Tissue Data. eNeuro [Internet]. 2017;4(6):ENEURO.0212-17.2017. Available from: http://www.eneuro.org/content/4/6/ENEURO.0212-17.2017.abstract</w:t>
      </w:r>
    </w:p>
    <w:p w14:paraId="7E1C9B36"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26. </w:t>
      </w:r>
      <w:r w:rsidRPr="00591954">
        <w:rPr>
          <w:noProof/>
          <w:lang w:val="en-GB"/>
        </w:rPr>
        <w:tab/>
        <w:t xml:space="preserve">Srivastava PK, Eyll J van, Godard P, Mazzuferi M, Delahaye-Duriez A, Steenwinckel J Van, et al. A systems-level framework for drug discovery identifies Csf1R as an anti-epileptic drug target. Nat Commun. 2018;9(1):3561. </w:t>
      </w:r>
    </w:p>
    <w:p w14:paraId="2A7B72F6"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27. </w:t>
      </w:r>
      <w:r w:rsidRPr="00591954">
        <w:rPr>
          <w:noProof/>
          <w:lang w:val="en-GB"/>
        </w:rPr>
        <w:tab/>
        <w:t>GTEx Consortium. Human genomics. The Genotype-Tissue Expression (GTEx) pilot analysis: multitissue gene regulation in humans. Sci (New York, NY) [Internet]. 2015;348(6235):648–60. Available from: http://www.sciencemag.org/content/348/6235/648.long</w:t>
      </w:r>
    </w:p>
    <w:p w14:paraId="5CF60315"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28. </w:t>
      </w:r>
      <w:r w:rsidRPr="00591954">
        <w:rPr>
          <w:noProof/>
          <w:lang w:val="en-GB"/>
        </w:rPr>
        <w:tab/>
        <w:t>Bettencourt C, Forabosco P, Wiethoff S, Heidari M, Johnstone DM, Botía JA, et al. Gene co-expression networks shed light into diseases of brain iron accumulation. Neurobiol Dis [Internet]. 2016;87:59–68. Available from: http://www.sciencedirect.com/science/article/pii/S0969996115301066</w:t>
      </w:r>
    </w:p>
    <w:p w14:paraId="64E133EA"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29. </w:t>
      </w:r>
      <w:r w:rsidRPr="00591954">
        <w:rPr>
          <w:noProof/>
          <w:lang w:val="en-GB"/>
        </w:rPr>
        <w:tab/>
        <w:t xml:space="preserve">Botía JA, Vandrovcova J, Forabosco P, Guelfi S, D’Sa K, Hardy J, et al. An additional k-means clustering step improves the biological features of WGCNA gene co-expression networks. BMC Syst Biol. 2017;11(1):47. </w:t>
      </w:r>
    </w:p>
    <w:p w14:paraId="2E917871"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30. </w:t>
      </w:r>
      <w:r w:rsidRPr="00591954">
        <w:rPr>
          <w:noProof/>
          <w:lang w:val="en-GB"/>
        </w:rPr>
        <w:tab/>
        <w:t xml:space="preserve">Leek JT, Johnson WE, Parker HS, Fertig EJ, Jaffe AE, Storey JD. sva: Surrogate Variable Analysis. R package version 3.20.0. 2016. </w:t>
      </w:r>
    </w:p>
    <w:p w14:paraId="1DC65820"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31. </w:t>
      </w:r>
      <w:r w:rsidRPr="00591954">
        <w:rPr>
          <w:noProof/>
          <w:lang w:val="en-GB"/>
        </w:rPr>
        <w:tab/>
        <w:t>Johnson WE, Li C, Rabinovic A. Adjusting batch effects in microarray expression data using empirical Bayes methods. Biostatistics [Internet]. 2007;8(1):118–27. Available from: http://biostatistics.oxfordjournals.org/content/8/1/118.long</w:t>
      </w:r>
    </w:p>
    <w:p w14:paraId="5D2F8BA1"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32. </w:t>
      </w:r>
      <w:r w:rsidRPr="00591954">
        <w:rPr>
          <w:noProof/>
          <w:lang w:val="en-GB"/>
        </w:rPr>
        <w:tab/>
        <w:t xml:space="preserve">Langfelder P, Horvath S. WGCNA: an R package for weighted correlation network analysis. BMC Bioinformatics. 2008;9:559. </w:t>
      </w:r>
    </w:p>
    <w:p w14:paraId="040C8EB0"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33. </w:t>
      </w:r>
      <w:r w:rsidRPr="00591954">
        <w:rPr>
          <w:noProof/>
          <w:lang w:val="en-GB"/>
        </w:rPr>
        <w:tab/>
        <w:t>Lein ES, Hawrylycz MJ, Ao N, Ayres M, Bensinger A, Bernard A, et al. Genome-wide atlas of gene expression in the adult mouse brain. Nature [Internet]. 2007;445(7124):168–76. Available from: http://www.nature.com/nature/journal/v445/n7124/full/nature05453.html</w:t>
      </w:r>
    </w:p>
    <w:p w14:paraId="70CA9854"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34. </w:t>
      </w:r>
      <w:r w:rsidRPr="00591954">
        <w:rPr>
          <w:noProof/>
          <w:lang w:val="en-GB"/>
        </w:rPr>
        <w:tab/>
        <w:t>Cahoy JD, Emery B, Kaushal A, Foo LC, Zamanian JL, Christopherson KS, et al. A transcriptome database for astrocytes, neurons, and oligodendrocytes: a new resource for understanding brain development and function. J Neurosci [Internet]. 2008;28(1):264–78. Available from: http://www.jneurosci.org/content/28/1/264.long</w:t>
      </w:r>
    </w:p>
    <w:p w14:paraId="2742B6AB"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35. </w:t>
      </w:r>
      <w:r w:rsidRPr="00591954">
        <w:rPr>
          <w:noProof/>
          <w:lang w:val="en-GB"/>
        </w:rPr>
        <w:tab/>
        <w:t xml:space="preserve">Oldham MC, Konopka G, Iwamoto K, Langfelder P, Kato T, Horvath S, et al. Functional organization of the transcriptome in human brain. Nat Neurosci. 2008;11(11):1271–82. </w:t>
      </w:r>
    </w:p>
    <w:p w14:paraId="4566842E"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36. </w:t>
      </w:r>
      <w:r w:rsidRPr="00591954">
        <w:rPr>
          <w:noProof/>
          <w:lang w:val="en-GB"/>
        </w:rPr>
        <w:tab/>
        <w:t xml:space="preserve">Winden KD, Oldham MC, Mirnics K, Ebert PJ, Swan CH, Levitt P, et al. The organization of the transcriptional network in specific neuronal classes. Mol Syst Biol. 2009;5:291. </w:t>
      </w:r>
    </w:p>
    <w:p w14:paraId="08E9AC2F"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37. </w:t>
      </w:r>
      <w:r w:rsidRPr="00591954">
        <w:rPr>
          <w:noProof/>
          <w:lang w:val="en-GB"/>
        </w:rPr>
        <w:tab/>
        <w:t xml:space="preserve">Miller JA, Horvath S, Geschwind DH. Divergence of human and mouse brain </w:t>
      </w:r>
      <w:r w:rsidRPr="00591954">
        <w:rPr>
          <w:noProof/>
          <w:lang w:val="en-GB"/>
        </w:rPr>
        <w:lastRenderedPageBreak/>
        <w:t xml:space="preserve">transcriptome highlights Alzheimer disease pathways. Proc Natl Acad Sci. 2010;107(28):12698–703. </w:t>
      </w:r>
    </w:p>
    <w:p w14:paraId="077F47E4"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38. </w:t>
      </w:r>
      <w:r w:rsidRPr="00591954">
        <w:rPr>
          <w:noProof/>
          <w:lang w:val="en-GB"/>
        </w:rPr>
        <w:tab/>
        <w:t xml:space="preserve">Chang CC, Chow CC, Tellier LCAM, Vattikuti S, Purcell SM, Lee JJ. Second-generation PLINK: Rising to the challenge of larger and richer datasets. Gigascience. 2015;4(1). </w:t>
      </w:r>
    </w:p>
    <w:p w14:paraId="38F5ADE0"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39. </w:t>
      </w:r>
      <w:r w:rsidRPr="00591954">
        <w:rPr>
          <w:noProof/>
          <w:lang w:val="en-GB"/>
        </w:rPr>
        <w:tab/>
        <w:t xml:space="preserve">Delaneau O, Zagury JF, Marchini J. Improved whole-chromosome phasing for disease and population genetic studies. Nat Methods. 2013;10:5–6. </w:t>
      </w:r>
    </w:p>
    <w:p w14:paraId="441C3F1E"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40. </w:t>
      </w:r>
      <w:r w:rsidRPr="00591954">
        <w:rPr>
          <w:noProof/>
          <w:lang w:val="en-GB"/>
        </w:rPr>
        <w:tab/>
        <w:t>Howie BN, Donnelly P, Marchini J. A flexible and accurate genotype imputation method for the next generation of genome-wide association studies. PLoS Genet [Internet]. 2009;5(6):e1000529. Available from: http://www.plosgenetics.org/article/info%3Adoi%2F10.1371%2Fjournal.pgen.1000529</w:t>
      </w:r>
    </w:p>
    <w:p w14:paraId="0AAE4C73"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41. </w:t>
      </w:r>
      <w:r w:rsidRPr="00591954">
        <w:rPr>
          <w:noProof/>
          <w:lang w:val="en-GB"/>
        </w:rPr>
        <w:tab/>
        <w:t xml:space="preserve">Howie B, Marchini J, Stephens M. Genotype Imputation with Thousands of Genomes. G3. 2011;1(6):457–70. </w:t>
      </w:r>
    </w:p>
    <w:p w14:paraId="5BB7967E"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42. </w:t>
      </w:r>
      <w:r w:rsidRPr="00591954">
        <w:rPr>
          <w:noProof/>
          <w:lang w:val="en-GB"/>
        </w:rPr>
        <w:tab/>
        <w:t>Marchini J, Howie B, Myers S, McVean G, Donnelly P. A new multipoint method for genome-wide association studies by imputation of genotypes. Nat Genet [Internet]. 2007;39(7):906–13. Available from: http://www.nature.com/ng/journal/v39/n7/abs/ng2088.html</w:t>
      </w:r>
    </w:p>
    <w:p w14:paraId="2D153AE3"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43. </w:t>
      </w:r>
      <w:r w:rsidRPr="00591954">
        <w:rPr>
          <w:noProof/>
          <w:lang w:val="en-GB"/>
        </w:rPr>
        <w:tab/>
        <w:t xml:space="preserve">Lippert C, Listgarten J, Liu Y, Kadie CM, Davidson RI, Heckerman D. FaST linear mixed models for genome-wide association studies. Nat Methods. 2011;8(10):833–5. </w:t>
      </w:r>
    </w:p>
    <w:p w14:paraId="2280EB83"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44. </w:t>
      </w:r>
      <w:r w:rsidRPr="00591954">
        <w:rPr>
          <w:noProof/>
          <w:lang w:val="en-GB"/>
        </w:rPr>
        <w:tab/>
        <w:t xml:space="preserve">The International League Against Epilepsy Consortium on Complex Epilepsies. Genetic determinants of common epilepsies: a meta-analysis of genome-wide association studies. Lancet Neurol. 2014;13(9):893–903. </w:t>
      </w:r>
    </w:p>
    <w:p w14:paraId="46D7BA49"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45. </w:t>
      </w:r>
      <w:r w:rsidRPr="00591954">
        <w:rPr>
          <w:noProof/>
          <w:lang w:val="en-GB"/>
        </w:rPr>
        <w:tab/>
        <w:t xml:space="preserve">Fairfax BP, Humburg P, Makino S, Naranbhai V, Wong D, Lau E, et al. Innate immune activity conditions the effect of regulatory variants upon monocyte gene expression. Sci (New York, NY). 2014;343(6175):1246949. </w:t>
      </w:r>
    </w:p>
    <w:p w14:paraId="5D12571D"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46. </w:t>
      </w:r>
      <w:r w:rsidRPr="00591954">
        <w:rPr>
          <w:noProof/>
          <w:lang w:val="en-GB"/>
        </w:rPr>
        <w:tab/>
        <w:t>Finucane HK, Bulik-Sullivan B, Gusev A, Trynka G, Reshef Y, Loh P-R, et al. Partitioning heritability by functional annotation using genome-wide association summary statistics. Nat Genet [Internet]. 2015;47(11):1228–35. Available from: http://www.nature.com/ng/journal/v47/n11/full/ng.3404.html</w:t>
      </w:r>
    </w:p>
    <w:p w14:paraId="23A4D026"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47. </w:t>
      </w:r>
      <w:r w:rsidRPr="00591954">
        <w:rPr>
          <w:noProof/>
          <w:lang w:val="en-GB"/>
        </w:rPr>
        <w:tab/>
        <w:t xml:space="preserve">Jimenez-Mateos EM, Engel T, Merino-Serrais P, McKiernan RC, Tanaka K, Mouri G, et al. Silencing microRNA-134 produces neuroprotective and prolonged seizure-suppressive effects. Nat Med. 2012;18(7):1087–94. </w:t>
      </w:r>
    </w:p>
    <w:p w14:paraId="04D208C4"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48. </w:t>
      </w:r>
      <w:r w:rsidRPr="00591954">
        <w:rPr>
          <w:noProof/>
          <w:lang w:val="en-GB"/>
        </w:rPr>
        <w:tab/>
        <w:t xml:space="preserve">Gu B, Huang YZ, He XP, Joshi RB, Jang W, McNamara JO. A Peptide Uncoupling BDNF Receptor TrkB from Phospholipase Cγ1 Prevents Epilepsy Induced by Status Epilepticus. Neuron. 2015;88(3):484–91. </w:t>
      </w:r>
    </w:p>
    <w:p w14:paraId="08A6FB35"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49. </w:t>
      </w:r>
      <w:r w:rsidRPr="00591954">
        <w:rPr>
          <w:noProof/>
          <w:lang w:val="en-GB"/>
        </w:rPr>
        <w:tab/>
        <w:t xml:space="preserve">Iori V, Iyer AM, Ravizza T, Beltrame L, Paracchini L, Marchini S, et al. Blockade of the IL-1R1/TLR4 pathway mediates disease-modification therapeutic effects in a model of acquired epilepsy. Neurobiol Dis. 2017 Mar;99:12–23. </w:t>
      </w:r>
    </w:p>
    <w:p w14:paraId="08FFD5FB"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50. </w:t>
      </w:r>
      <w:r w:rsidRPr="00591954">
        <w:rPr>
          <w:noProof/>
          <w:lang w:val="en-GB"/>
        </w:rPr>
        <w:tab/>
        <w:t>Frigerio F, Pasqualini G, Craparotta I, Marchini S, van Vliet EA, Foerch P, et al. n-</w:t>
      </w:r>
      <w:r w:rsidRPr="00591954">
        <w:rPr>
          <w:noProof/>
          <w:lang w:val="en-GB"/>
        </w:rPr>
        <w:lastRenderedPageBreak/>
        <w:t xml:space="preserve">3 docosapentaenoic acid-derived protectin D1 promotes resolution of neuroinflammation and arrests epileptogenesis. Brain. 2018;141(11):3130–43. </w:t>
      </w:r>
    </w:p>
    <w:p w14:paraId="59C0BAB9"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51. </w:t>
      </w:r>
      <w:r w:rsidRPr="00591954">
        <w:rPr>
          <w:noProof/>
          <w:lang w:val="en-GB"/>
        </w:rPr>
        <w:tab/>
        <w:t xml:space="preserve">Hutchinson E, Avery A, Vandewoude S. Environmental enrichment for laboratory rodents. ILAR J. 2005;46(2):148–61. </w:t>
      </w:r>
    </w:p>
    <w:p w14:paraId="51C8426B"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52. </w:t>
      </w:r>
      <w:r w:rsidRPr="00591954">
        <w:rPr>
          <w:noProof/>
          <w:lang w:val="en-GB"/>
        </w:rPr>
        <w:tab/>
        <w:t xml:space="preserve">Pitkanen A, Kharatishvili I, Narkilahti S, Lukasiuk K, Nissinen J. Administration of diazepam during status epilepticus reduces development and severity of epilepsy in rat. Epilepsy Res. 2005 Jan;63:27–42. </w:t>
      </w:r>
    </w:p>
    <w:p w14:paraId="0AA8DC57"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53. </w:t>
      </w:r>
      <w:r w:rsidRPr="00591954">
        <w:rPr>
          <w:noProof/>
          <w:lang w:val="en-GB"/>
        </w:rPr>
        <w:tab/>
        <w:t xml:space="preserve">Elmore MRP, Najafi AR, Koike MA, Dagher NN, Spangenberg EE, Rice RA, et al. Colony-stimulating factor 1 receptor signaling is necessary for microglia viability, unmasking a microglia progenitor cell in the adult brain. Neuron. 2014;82(2):380–97. </w:t>
      </w:r>
    </w:p>
    <w:p w14:paraId="0B19A470"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54. </w:t>
      </w:r>
      <w:r w:rsidRPr="00591954">
        <w:rPr>
          <w:noProof/>
          <w:lang w:val="en-GB"/>
        </w:rPr>
        <w:tab/>
        <w:t xml:space="preserve">Buttgereit A, Lelios I, Yu X, Vrohlings M, Krakoski NR, Gautier EL, et al. Sall1 is a transcriptional regulator defining microglia identity and function. Nat Immunol. 2016;17(12):1397–406. </w:t>
      </w:r>
    </w:p>
    <w:p w14:paraId="71C62451"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55. </w:t>
      </w:r>
      <w:r w:rsidRPr="00591954">
        <w:rPr>
          <w:noProof/>
          <w:lang w:val="en-GB"/>
        </w:rPr>
        <w:tab/>
        <w:t xml:space="preserve">Huang Y, Xu Z, Xiong S, Sun F, Qin G, Hu G, et al. Repopulated microglia are solely derived from the proliferation of residual microglia after acute depletion. Nat Neurosci. 2018;21(4):530–40. </w:t>
      </w:r>
    </w:p>
    <w:p w14:paraId="596C2A24"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56. </w:t>
      </w:r>
      <w:r w:rsidRPr="00591954">
        <w:rPr>
          <w:noProof/>
          <w:lang w:val="en-GB"/>
        </w:rPr>
        <w:tab/>
        <w:t xml:space="preserve">Waltl I, Käufer C, Gerhauser I, Chhatbar C, Ghita L, Kalinke U, et al. Microglia have a protective role in viral encephalitis-induced seizure development and hippocampal damage. Brain Behav Immun. 2018;74:186–204. </w:t>
      </w:r>
    </w:p>
    <w:p w14:paraId="25998484"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57. </w:t>
      </w:r>
      <w:r w:rsidRPr="00591954">
        <w:rPr>
          <w:noProof/>
          <w:lang w:val="en-GB"/>
        </w:rPr>
        <w:tab/>
        <w:t xml:space="preserve">Tap WD, Wainberg ZA, Anthony SP, Ibrahim PN, Zhang C, Healey JH, et al. Structure-Guided Blockade of CSF1R Kinase in Tenosynovial Giant-Cell Tumor. N Engl J Med. 2015;373(5):428–37. </w:t>
      </w:r>
    </w:p>
    <w:p w14:paraId="0D7D82D7"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58. </w:t>
      </w:r>
      <w:r w:rsidRPr="00591954">
        <w:rPr>
          <w:noProof/>
          <w:lang w:val="en-GB"/>
        </w:rPr>
        <w:tab/>
        <w:t xml:space="preserve">Ennaceur A, Delacour J. A new one-trial test for neurobiological studies of memory in rats. 1: Behavioral data. Behav Brain Res. 1988;31(1):47–59. </w:t>
      </w:r>
    </w:p>
    <w:p w14:paraId="23111F24"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59. </w:t>
      </w:r>
      <w:r w:rsidRPr="00591954">
        <w:rPr>
          <w:noProof/>
          <w:lang w:val="en-GB"/>
        </w:rPr>
        <w:tab/>
        <w:t xml:space="preserve">Iori V, Maroso M, Rizzi M, Iyer AM, Vertemara R, Carli M, et al. Receptor for Advanced Glycation Endproducts is upregulated in temporal lobe epilepsy and contributes to experimental seizures. Neurobiol Dis. 2013;58(102):114. </w:t>
      </w:r>
    </w:p>
    <w:p w14:paraId="62E461EC"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60. </w:t>
      </w:r>
      <w:r w:rsidRPr="00591954">
        <w:rPr>
          <w:noProof/>
          <w:lang w:val="en-GB"/>
        </w:rPr>
        <w:tab/>
        <w:t xml:space="preserve">Avants BB, Tustison NJ, Song G, Cook PA, Klein A, Gee JC. A reproducible evaluation of ANTs similarity metric performance in brain image registration. Neuroimage. 2011;54(3):2033–44. </w:t>
      </w:r>
    </w:p>
    <w:p w14:paraId="6E8D7D43"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61. </w:t>
      </w:r>
      <w:r w:rsidRPr="00591954">
        <w:rPr>
          <w:noProof/>
          <w:lang w:val="en-GB"/>
        </w:rPr>
        <w:tab/>
        <w:t xml:space="preserve">Wang H, Suh JW, Das SR, Pluta JB, Craige C, Yushkevich PA. Multi-atlas segmentation with joint label fusion. IEEE Trans Pattern Anal Mach Intell. 2013;35(3):611–23. </w:t>
      </w:r>
    </w:p>
    <w:p w14:paraId="450B6E13"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62. </w:t>
      </w:r>
      <w:r w:rsidRPr="00591954">
        <w:rPr>
          <w:noProof/>
          <w:lang w:val="en-GB"/>
        </w:rPr>
        <w:tab/>
        <w:t xml:space="preserve">Bai J, Trinh TLH, Chuang KH, Qiu A. Atlas-based automatic mouse brain image segmentation revisited: Model complexity vs. image registration. Magn Reson Imaging. 2012;30(6):789–98. </w:t>
      </w:r>
    </w:p>
    <w:p w14:paraId="628A96C2"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63. </w:t>
      </w:r>
      <w:r w:rsidRPr="00591954">
        <w:rPr>
          <w:noProof/>
          <w:lang w:val="en-GB"/>
        </w:rPr>
        <w:tab/>
        <w:t xml:space="preserve">Mouri G, Jimenez-Mateos E, Engel T, Dunleavy M, Hatazaki S, Paucard A, et al. Unilateral hippocampal CA3-predominant damage and short latency epileptogenesis after intra-amygdala microinjection of kainic acid in mice. Brain Res. 2008 Jun;1213:140–51. </w:t>
      </w:r>
    </w:p>
    <w:p w14:paraId="79C671BB"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lastRenderedPageBreak/>
        <w:t xml:space="preserve">64. </w:t>
      </w:r>
      <w:r w:rsidRPr="00591954">
        <w:rPr>
          <w:noProof/>
          <w:lang w:val="en-GB"/>
        </w:rPr>
        <w:tab/>
        <w:t xml:space="preserve">Schindelin J, Arganda-Carreras I, Frise E, Kaynig V, Longair M, Pietzsch T, et al. Fiji: An open-source platform for biological-image analysis. Nat Methods. 2012;9(7):676–82. </w:t>
      </w:r>
    </w:p>
    <w:p w14:paraId="4D060A4B"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65. </w:t>
      </w:r>
      <w:r w:rsidRPr="00591954">
        <w:rPr>
          <w:noProof/>
          <w:lang w:val="en-GB"/>
        </w:rPr>
        <w:tab/>
        <w:t xml:space="preserve">Zanier ER, Fumagalli S, Perego C, Pischiutta F, De Simoni M-G. Shape descriptors of the “never resting” microglia in three different acute brain injury models in mice. Intensive Care Med Exp. 2015;3(1):39. </w:t>
      </w:r>
    </w:p>
    <w:p w14:paraId="7BC5C6B8"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66. </w:t>
      </w:r>
      <w:r w:rsidRPr="00591954">
        <w:rPr>
          <w:noProof/>
          <w:lang w:val="en-GB"/>
        </w:rPr>
        <w:tab/>
        <w:t xml:space="preserve">De Blasio D, Fumagalli S, Longhi L, Orsini F, Palmioli A, Stravalaci M, et al. Pharmacological inhibition of mannose-binding lectin ameliorates neurobehavioral dysfunction following experimental traumatic brain injury. J Cereb Blood Flow Metab. 2016;37(3):938–50. </w:t>
      </w:r>
    </w:p>
    <w:p w14:paraId="6D657B20"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67. </w:t>
      </w:r>
      <w:r w:rsidRPr="00591954">
        <w:rPr>
          <w:noProof/>
          <w:lang w:val="en-GB"/>
        </w:rPr>
        <w:tab/>
        <w:t xml:space="preserve">Longhi L, Orsini F, De Blasio D, Fumagalli S, Ortolano F, Locatelli M, et al. Mannose-binding lectin is expressed after clinical and experimental traumatic brain injury and its deletion is protective. Crit Care Med. 2014;42(8):1910–8. </w:t>
      </w:r>
    </w:p>
    <w:p w14:paraId="6931653F"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68. </w:t>
      </w:r>
      <w:r w:rsidRPr="00591954">
        <w:rPr>
          <w:noProof/>
          <w:lang w:val="en-GB"/>
        </w:rPr>
        <w:tab/>
        <w:t xml:space="preserve">De Feo D, Merlini A, Brambilla E, Ottoboni L, Laterza C, Menon R, et al. Neural precursor cell-secreted TGF-β2 redirects inflammatory monocyte-derived cells in CNS autoimmunity. J Clin Invest. 2017;127(11):3937–53. </w:t>
      </w:r>
    </w:p>
    <w:p w14:paraId="27060E03" w14:textId="77777777" w:rsidR="004F23C5" w:rsidRPr="00591954" w:rsidRDefault="004F23C5" w:rsidP="004F23C5">
      <w:pPr>
        <w:widowControl w:val="0"/>
        <w:autoSpaceDE w:val="0"/>
        <w:autoSpaceDN w:val="0"/>
        <w:adjustRightInd w:val="0"/>
        <w:spacing w:after="120"/>
        <w:ind w:left="640" w:hanging="640"/>
        <w:rPr>
          <w:noProof/>
          <w:lang w:val="en-GB"/>
        </w:rPr>
      </w:pPr>
      <w:r w:rsidRPr="00591954">
        <w:rPr>
          <w:noProof/>
          <w:lang w:val="en-GB"/>
        </w:rPr>
        <w:t xml:space="preserve">69. </w:t>
      </w:r>
      <w:r w:rsidRPr="00591954">
        <w:rPr>
          <w:noProof/>
          <w:lang w:val="en-GB"/>
        </w:rPr>
        <w:tab/>
        <w:t xml:space="preserve">Roseti C, van Vliet EA, Cifelli P, Ruffolo G, Baayen JC, Di Castro MA, et al. GABAA currents are decreased by IL-1β in epileptogenic tissue of patients with temporal lobe epilepsy: Implications for ictogenesis. Neurobiol Dis. 2015;82:311–20. </w:t>
      </w:r>
    </w:p>
    <w:p w14:paraId="33BF0443" w14:textId="2E5440B0" w:rsidR="00B9440A" w:rsidRPr="00591954" w:rsidRDefault="002A2953" w:rsidP="004F23C5">
      <w:pPr>
        <w:widowControl w:val="0"/>
        <w:autoSpaceDE w:val="0"/>
        <w:autoSpaceDN w:val="0"/>
        <w:adjustRightInd w:val="0"/>
        <w:spacing w:after="120"/>
        <w:ind w:left="640" w:hanging="640"/>
        <w:rPr>
          <w:szCs w:val="24"/>
          <w:lang w:val="en-GB"/>
        </w:rPr>
      </w:pPr>
      <w:r w:rsidRPr="00591954">
        <w:rPr>
          <w:szCs w:val="24"/>
          <w:lang w:val="en-GB"/>
        </w:rPr>
        <w:fldChar w:fldCharType="end"/>
      </w:r>
    </w:p>
    <w:sectPr w:rsidR="00B9440A" w:rsidRPr="00591954" w:rsidSect="00F125EE">
      <w:headerReference w:type="default" r:id="rId34"/>
      <w:footerReference w:type="default" r:id="rId35"/>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3D69C8" w14:textId="77777777" w:rsidR="001B7303" w:rsidRDefault="001B7303">
      <w:r>
        <w:separator/>
      </w:r>
    </w:p>
  </w:endnote>
  <w:endnote w:type="continuationSeparator" w:id="0">
    <w:p w14:paraId="23CFE6B7" w14:textId="77777777" w:rsidR="001B7303" w:rsidRDefault="001B73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s">
    <w:altName w:val="Times"/>
    <w:panose1 w:val="02020603050405020304"/>
    <w:charset w:val="00"/>
    <w:family w:val="auto"/>
    <w:pitch w:val="variable"/>
    <w:sig w:usb0="E00002FF" w:usb1="5000205A" w:usb2="00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urier">
    <w:altName w:val="Courier New"/>
    <w:panose1 w:val="02070409020205020404"/>
    <w:charset w:val="00"/>
    <w:family w:val="auto"/>
    <w:pitch w:val="variable"/>
    <w:sig w:usb0="00000003" w:usb1="00000000" w:usb2="00000000" w:usb3="00000000" w:csb0="00000003" w:csb1="00000000"/>
  </w:font>
  <w:font w:name="ヒラギノ角ゴ Pro W3">
    <w:altName w:val="Times New Roman"/>
    <w:charset w:val="80"/>
    <w:family w:val="auto"/>
    <w:pitch w:val="variable"/>
    <w:sig w:usb0="E00002FF" w:usb1="7AC7FFFF" w:usb2="00000012" w:usb3="00000000" w:csb0="0002000D" w:csb1="00000000"/>
  </w:font>
  <w:font w:name="Yu Mincho">
    <w:charset w:val="80"/>
    <w:family w:val="roman"/>
    <w:pitch w:val="variable"/>
    <w:sig w:usb0="800002E7" w:usb1="2AC7FCFF" w:usb2="00000012" w:usb3="00000000" w:csb0="0002009F" w:csb1="00000000"/>
  </w:font>
  <w:font w:name="AdvTimes">
    <w:altName w:val="MS Gothic"/>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AE93A" w14:textId="02EE9CE4" w:rsidR="005766BA" w:rsidRDefault="005766BA">
    <w:pPr>
      <w:pStyle w:val="Footer"/>
      <w:jc w:val="right"/>
    </w:pPr>
    <w:r>
      <w:fldChar w:fldCharType="begin"/>
    </w:r>
    <w:r>
      <w:instrText xml:space="preserve"> PAGE   \* MERGEFORMAT </w:instrText>
    </w:r>
    <w:r>
      <w:fldChar w:fldCharType="separate"/>
    </w:r>
    <w:r>
      <w:rPr>
        <w:noProof/>
      </w:rPr>
      <w:t>45</w:t>
    </w:r>
    <w:r>
      <w:fldChar w:fldCharType="end"/>
    </w:r>
  </w:p>
  <w:p w14:paraId="7A822C3C" w14:textId="77777777" w:rsidR="005766BA" w:rsidRDefault="005766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159AC2" w14:textId="77777777" w:rsidR="001B7303" w:rsidRDefault="001B7303">
      <w:r>
        <w:separator/>
      </w:r>
    </w:p>
  </w:footnote>
  <w:footnote w:type="continuationSeparator" w:id="0">
    <w:p w14:paraId="72463AA6" w14:textId="77777777" w:rsidR="001B7303" w:rsidRDefault="001B73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3E640E" w14:textId="77777777" w:rsidR="005766BA" w:rsidRPr="005001AC" w:rsidRDefault="005766BA" w:rsidP="005001AC">
    <w:pPr>
      <w:jc w:val="right"/>
      <w:rPr>
        <w:sz w:val="20"/>
      </w:rPr>
    </w:pPr>
  </w:p>
  <w:p w14:paraId="4091317F" w14:textId="77777777" w:rsidR="005766BA" w:rsidRDefault="005766B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A380DAB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3E9A0988"/>
    <w:lvl w:ilvl="0">
      <w:start w:val="1"/>
      <w:numFmt w:val="decimal"/>
      <w:pStyle w:val="ListNumber5"/>
      <w:lvlText w:val="%1."/>
      <w:lvlJc w:val="left"/>
      <w:pPr>
        <w:tabs>
          <w:tab w:val="num" w:pos="1800"/>
        </w:tabs>
        <w:ind w:left="1800" w:hanging="360"/>
      </w:pPr>
    </w:lvl>
  </w:abstractNum>
  <w:abstractNum w:abstractNumId="2" w15:restartNumberingAfterBreak="0">
    <w:nsid w:val="FFFFFF7D"/>
    <w:multiLevelType w:val="singleLevel"/>
    <w:tmpl w:val="498CFF00"/>
    <w:lvl w:ilvl="0">
      <w:start w:val="1"/>
      <w:numFmt w:val="decimal"/>
      <w:pStyle w:val="ListNumber4"/>
      <w:lvlText w:val="%1."/>
      <w:lvlJc w:val="left"/>
      <w:pPr>
        <w:tabs>
          <w:tab w:val="num" w:pos="1440"/>
        </w:tabs>
        <w:ind w:left="1440" w:hanging="360"/>
      </w:pPr>
    </w:lvl>
  </w:abstractNum>
  <w:abstractNum w:abstractNumId="3" w15:restartNumberingAfterBreak="0">
    <w:nsid w:val="FFFFFF7E"/>
    <w:multiLevelType w:val="singleLevel"/>
    <w:tmpl w:val="1D94376A"/>
    <w:lvl w:ilvl="0">
      <w:start w:val="1"/>
      <w:numFmt w:val="decimal"/>
      <w:pStyle w:val="ListNumber3"/>
      <w:lvlText w:val="%1."/>
      <w:lvlJc w:val="left"/>
      <w:pPr>
        <w:tabs>
          <w:tab w:val="num" w:pos="1080"/>
        </w:tabs>
        <w:ind w:left="1080" w:hanging="360"/>
      </w:pPr>
    </w:lvl>
  </w:abstractNum>
  <w:abstractNum w:abstractNumId="4" w15:restartNumberingAfterBreak="0">
    <w:nsid w:val="FFFFFF7F"/>
    <w:multiLevelType w:val="singleLevel"/>
    <w:tmpl w:val="BC8CF8D2"/>
    <w:lvl w:ilvl="0">
      <w:start w:val="1"/>
      <w:numFmt w:val="decimal"/>
      <w:pStyle w:val="ListNumber2"/>
      <w:lvlText w:val="%1."/>
      <w:lvlJc w:val="left"/>
      <w:pPr>
        <w:tabs>
          <w:tab w:val="num" w:pos="720"/>
        </w:tabs>
        <w:ind w:left="720" w:hanging="360"/>
      </w:pPr>
    </w:lvl>
  </w:abstractNum>
  <w:abstractNum w:abstractNumId="5" w15:restartNumberingAfterBreak="0">
    <w:nsid w:val="FFFFFF80"/>
    <w:multiLevelType w:val="singleLevel"/>
    <w:tmpl w:val="BE508C2A"/>
    <w:lvl w:ilvl="0">
      <w:start w:val="1"/>
      <w:numFmt w:val="bullet"/>
      <w:pStyle w:val="ListBullet5"/>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4BDA3A4C"/>
    <w:lvl w:ilvl="0">
      <w:start w:val="1"/>
      <w:numFmt w:val="bullet"/>
      <w:pStyle w:val="ListBullet4"/>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9F6ED8A8"/>
    <w:lvl w:ilvl="0">
      <w:start w:val="1"/>
      <w:numFmt w:val="bullet"/>
      <w:pStyle w:val="ListBullet3"/>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B406D81E"/>
    <w:lvl w:ilvl="0">
      <w:start w:val="1"/>
      <w:numFmt w:val="bullet"/>
      <w:pStyle w:val="ListBullet2"/>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98E05002"/>
    <w:lvl w:ilvl="0">
      <w:start w:val="1"/>
      <w:numFmt w:val="decimal"/>
      <w:pStyle w:val="ListNumber"/>
      <w:lvlText w:val="%1."/>
      <w:lvlJc w:val="left"/>
      <w:pPr>
        <w:tabs>
          <w:tab w:val="num" w:pos="360"/>
        </w:tabs>
        <w:ind w:left="360" w:hanging="360"/>
      </w:pPr>
    </w:lvl>
  </w:abstractNum>
  <w:abstractNum w:abstractNumId="10" w15:restartNumberingAfterBreak="0">
    <w:nsid w:val="FFFFFF89"/>
    <w:multiLevelType w:val="singleLevel"/>
    <w:tmpl w:val="FE4E81E6"/>
    <w:lvl w:ilvl="0">
      <w:start w:val="1"/>
      <w:numFmt w:val="bullet"/>
      <w:pStyle w:val="ListBullet"/>
      <w:lvlText w:val=""/>
      <w:lvlJc w:val="left"/>
      <w:pPr>
        <w:tabs>
          <w:tab w:val="num" w:pos="360"/>
        </w:tabs>
        <w:ind w:left="360" w:hanging="360"/>
      </w:pPr>
      <w:rPr>
        <w:rFonts w:ascii="Symbol" w:hAnsi="Symbol" w:hint="default"/>
      </w:rPr>
    </w:lvl>
  </w:abstractNum>
  <w:abstractNum w:abstractNumId="11" w15:restartNumberingAfterBreak="0">
    <w:nsid w:val="01110F80"/>
    <w:multiLevelType w:val="hybridMultilevel"/>
    <w:tmpl w:val="C220C8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F8D4926"/>
    <w:multiLevelType w:val="hybridMultilevel"/>
    <w:tmpl w:val="180283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8"/>
  </w:num>
  <w:num w:numId="3">
    <w:abstractNumId w:val="7"/>
  </w:num>
  <w:num w:numId="4">
    <w:abstractNumId w:val="6"/>
  </w:num>
  <w:num w:numId="5">
    <w:abstractNumId w:val="5"/>
  </w:num>
  <w:num w:numId="6">
    <w:abstractNumId w:val="9"/>
  </w:num>
  <w:num w:numId="7">
    <w:abstractNumId w:val="4"/>
  </w:num>
  <w:num w:numId="8">
    <w:abstractNumId w:val="3"/>
  </w:num>
  <w:num w:numId="9">
    <w:abstractNumId w:val="2"/>
  </w:num>
  <w:num w:numId="10">
    <w:abstractNumId w:val="1"/>
  </w:num>
  <w:num w:numId="11">
    <w:abstractNumId w:val="11"/>
  </w:num>
  <w:num w:numId="12">
    <w:abstractNumId w:val="12"/>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30F"/>
    <w:rsid w:val="00005991"/>
    <w:rsid w:val="00006495"/>
    <w:rsid w:val="00015F74"/>
    <w:rsid w:val="00017C53"/>
    <w:rsid w:val="00020323"/>
    <w:rsid w:val="00025746"/>
    <w:rsid w:val="00030840"/>
    <w:rsid w:val="000334B6"/>
    <w:rsid w:val="000344C9"/>
    <w:rsid w:val="00035412"/>
    <w:rsid w:val="00042729"/>
    <w:rsid w:val="00042DE4"/>
    <w:rsid w:val="000529AA"/>
    <w:rsid w:val="00056857"/>
    <w:rsid w:val="00065EBD"/>
    <w:rsid w:val="000710E8"/>
    <w:rsid w:val="00074599"/>
    <w:rsid w:val="0007597D"/>
    <w:rsid w:val="00077F55"/>
    <w:rsid w:val="00083B44"/>
    <w:rsid w:val="000850DC"/>
    <w:rsid w:val="00096FB7"/>
    <w:rsid w:val="000A0554"/>
    <w:rsid w:val="000A2CC2"/>
    <w:rsid w:val="000B0436"/>
    <w:rsid w:val="000B39C8"/>
    <w:rsid w:val="000B78BC"/>
    <w:rsid w:val="000C1A4E"/>
    <w:rsid w:val="000C2771"/>
    <w:rsid w:val="000D665D"/>
    <w:rsid w:val="000D7043"/>
    <w:rsid w:val="000E09A5"/>
    <w:rsid w:val="000E6F6A"/>
    <w:rsid w:val="000E78BB"/>
    <w:rsid w:val="000F034F"/>
    <w:rsid w:val="000F0DCE"/>
    <w:rsid w:val="00101A4E"/>
    <w:rsid w:val="00112C5B"/>
    <w:rsid w:val="00114193"/>
    <w:rsid w:val="00114B71"/>
    <w:rsid w:val="00115A38"/>
    <w:rsid w:val="0011687B"/>
    <w:rsid w:val="001223F4"/>
    <w:rsid w:val="00124F82"/>
    <w:rsid w:val="00126A46"/>
    <w:rsid w:val="001332CF"/>
    <w:rsid w:val="001346D6"/>
    <w:rsid w:val="00134EB1"/>
    <w:rsid w:val="0014119D"/>
    <w:rsid w:val="001520F6"/>
    <w:rsid w:val="00154422"/>
    <w:rsid w:val="0015529F"/>
    <w:rsid w:val="00160C6D"/>
    <w:rsid w:val="0016337A"/>
    <w:rsid w:val="00164269"/>
    <w:rsid w:val="00164590"/>
    <w:rsid w:val="001806E6"/>
    <w:rsid w:val="00186BCF"/>
    <w:rsid w:val="00187F1A"/>
    <w:rsid w:val="00193547"/>
    <w:rsid w:val="00194613"/>
    <w:rsid w:val="001A1BDE"/>
    <w:rsid w:val="001B3093"/>
    <w:rsid w:val="001B3921"/>
    <w:rsid w:val="001B7303"/>
    <w:rsid w:val="001C0520"/>
    <w:rsid w:val="001C0975"/>
    <w:rsid w:val="001D205E"/>
    <w:rsid w:val="001D4E34"/>
    <w:rsid w:val="001D739A"/>
    <w:rsid w:val="001D7B03"/>
    <w:rsid w:val="001E46C4"/>
    <w:rsid w:val="001E5C64"/>
    <w:rsid w:val="001F0876"/>
    <w:rsid w:val="001F0C78"/>
    <w:rsid w:val="001F167C"/>
    <w:rsid w:val="001F358F"/>
    <w:rsid w:val="001F5E91"/>
    <w:rsid w:val="002077B9"/>
    <w:rsid w:val="00215337"/>
    <w:rsid w:val="0022319E"/>
    <w:rsid w:val="00231412"/>
    <w:rsid w:val="0023463C"/>
    <w:rsid w:val="00234BEA"/>
    <w:rsid w:val="00240BD1"/>
    <w:rsid w:val="00240BDA"/>
    <w:rsid w:val="00252425"/>
    <w:rsid w:val="00261684"/>
    <w:rsid w:val="00261843"/>
    <w:rsid w:val="00262D72"/>
    <w:rsid w:val="00284C30"/>
    <w:rsid w:val="00290075"/>
    <w:rsid w:val="00293711"/>
    <w:rsid w:val="00293E8A"/>
    <w:rsid w:val="00294FBB"/>
    <w:rsid w:val="002A2953"/>
    <w:rsid w:val="002A2D80"/>
    <w:rsid w:val="002A3ECC"/>
    <w:rsid w:val="002B0934"/>
    <w:rsid w:val="002B481B"/>
    <w:rsid w:val="002C030F"/>
    <w:rsid w:val="002D1D72"/>
    <w:rsid w:val="002E53EA"/>
    <w:rsid w:val="002E7D73"/>
    <w:rsid w:val="002F0E95"/>
    <w:rsid w:val="002F556F"/>
    <w:rsid w:val="003175CF"/>
    <w:rsid w:val="00322E3A"/>
    <w:rsid w:val="00325D90"/>
    <w:rsid w:val="00330013"/>
    <w:rsid w:val="00331D75"/>
    <w:rsid w:val="00331ED1"/>
    <w:rsid w:val="00334CAF"/>
    <w:rsid w:val="00335B29"/>
    <w:rsid w:val="0033766F"/>
    <w:rsid w:val="0034082B"/>
    <w:rsid w:val="00351929"/>
    <w:rsid w:val="00355362"/>
    <w:rsid w:val="00363E44"/>
    <w:rsid w:val="00367E5B"/>
    <w:rsid w:val="00387114"/>
    <w:rsid w:val="00390211"/>
    <w:rsid w:val="00395E86"/>
    <w:rsid w:val="003A2FD8"/>
    <w:rsid w:val="003B40E6"/>
    <w:rsid w:val="003D2DB3"/>
    <w:rsid w:val="003D6645"/>
    <w:rsid w:val="003D6E4F"/>
    <w:rsid w:val="003E14DF"/>
    <w:rsid w:val="003E3DAF"/>
    <w:rsid w:val="003E6CB6"/>
    <w:rsid w:val="003F5BC1"/>
    <w:rsid w:val="003F6E14"/>
    <w:rsid w:val="00400B76"/>
    <w:rsid w:val="00405336"/>
    <w:rsid w:val="00410F3B"/>
    <w:rsid w:val="00416F50"/>
    <w:rsid w:val="00426CEC"/>
    <w:rsid w:val="0044243C"/>
    <w:rsid w:val="0045033F"/>
    <w:rsid w:val="00455A62"/>
    <w:rsid w:val="004571D5"/>
    <w:rsid w:val="00457E40"/>
    <w:rsid w:val="00461D81"/>
    <w:rsid w:val="0046347A"/>
    <w:rsid w:val="0046356B"/>
    <w:rsid w:val="00464B01"/>
    <w:rsid w:val="00477182"/>
    <w:rsid w:val="004779CB"/>
    <w:rsid w:val="00490DA8"/>
    <w:rsid w:val="004A159F"/>
    <w:rsid w:val="004A423C"/>
    <w:rsid w:val="004A5F7F"/>
    <w:rsid w:val="004B2F21"/>
    <w:rsid w:val="004C4B8A"/>
    <w:rsid w:val="004C7742"/>
    <w:rsid w:val="004E323D"/>
    <w:rsid w:val="004E42D8"/>
    <w:rsid w:val="004E7BA2"/>
    <w:rsid w:val="004F23C5"/>
    <w:rsid w:val="004F69B8"/>
    <w:rsid w:val="004F7EDF"/>
    <w:rsid w:val="005001AC"/>
    <w:rsid w:val="00506FA7"/>
    <w:rsid w:val="00516311"/>
    <w:rsid w:val="00525024"/>
    <w:rsid w:val="005270F1"/>
    <w:rsid w:val="00527D71"/>
    <w:rsid w:val="005607DD"/>
    <w:rsid w:val="00566EE1"/>
    <w:rsid w:val="00567892"/>
    <w:rsid w:val="00571134"/>
    <w:rsid w:val="005720A4"/>
    <w:rsid w:val="0057435B"/>
    <w:rsid w:val="005766BA"/>
    <w:rsid w:val="00582BA6"/>
    <w:rsid w:val="0058718E"/>
    <w:rsid w:val="00591954"/>
    <w:rsid w:val="00594235"/>
    <w:rsid w:val="005A04E1"/>
    <w:rsid w:val="005A558C"/>
    <w:rsid w:val="005B29BD"/>
    <w:rsid w:val="005B381D"/>
    <w:rsid w:val="005B5099"/>
    <w:rsid w:val="005B7923"/>
    <w:rsid w:val="005B7D13"/>
    <w:rsid w:val="005C10DF"/>
    <w:rsid w:val="005C73B3"/>
    <w:rsid w:val="005D1F86"/>
    <w:rsid w:val="005E0D0B"/>
    <w:rsid w:val="005E28F8"/>
    <w:rsid w:val="005E3794"/>
    <w:rsid w:val="005E6513"/>
    <w:rsid w:val="006015BE"/>
    <w:rsid w:val="00606D18"/>
    <w:rsid w:val="00607275"/>
    <w:rsid w:val="006072DC"/>
    <w:rsid w:val="00607559"/>
    <w:rsid w:val="00611D69"/>
    <w:rsid w:val="006140DF"/>
    <w:rsid w:val="00626BB4"/>
    <w:rsid w:val="006347B3"/>
    <w:rsid w:val="0063699F"/>
    <w:rsid w:val="00646ED6"/>
    <w:rsid w:val="00647EB7"/>
    <w:rsid w:val="00651114"/>
    <w:rsid w:val="0065772A"/>
    <w:rsid w:val="00660E1C"/>
    <w:rsid w:val="006610F7"/>
    <w:rsid w:val="00670299"/>
    <w:rsid w:val="00681629"/>
    <w:rsid w:val="00691985"/>
    <w:rsid w:val="006938AC"/>
    <w:rsid w:val="006A1B64"/>
    <w:rsid w:val="006B3A01"/>
    <w:rsid w:val="006B661E"/>
    <w:rsid w:val="006C1E5B"/>
    <w:rsid w:val="006C4B7F"/>
    <w:rsid w:val="006C5FFA"/>
    <w:rsid w:val="006D4C29"/>
    <w:rsid w:val="006E0747"/>
    <w:rsid w:val="006E384B"/>
    <w:rsid w:val="006E3E68"/>
    <w:rsid w:val="006F3AA0"/>
    <w:rsid w:val="007108F5"/>
    <w:rsid w:val="00712D70"/>
    <w:rsid w:val="00713E5B"/>
    <w:rsid w:val="00726E30"/>
    <w:rsid w:val="0073115A"/>
    <w:rsid w:val="007311C2"/>
    <w:rsid w:val="007349ED"/>
    <w:rsid w:val="00736591"/>
    <w:rsid w:val="007402FC"/>
    <w:rsid w:val="007411A1"/>
    <w:rsid w:val="00747781"/>
    <w:rsid w:val="00762676"/>
    <w:rsid w:val="00764A17"/>
    <w:rsid w:val="00765F99"/>
    <w:rsid w:val="007661E7"/>
    <w:rsid w:val="0077740B"/>
    <w:rsid w:val="00777F52"/>
    <w:rsid w:val="007807A9"/>
    <w:rsid w:val="00782B8B"/>
    <w:rsid w:val="00786C33"/>
    <w:rsid w:val="007A681F"/>
    <w:rsid w:val="007B36DE"/>
    <w:rsid w:val="007B3E31"/>
    <w:rsid w:val="007B5946"/>
    <w:rsid w:val="007C2643"/>
    <w:rsid w:val="007D27F5"/>
    <w:rsid w:val="007D5605"/>
    <w:rsid w:val="007E1110"/>
    <w:rsid w:val="007E5467"/>
    <w:rsid w:val="007E7D99"/>
    <w:rsid w:val="00802112"/>
    <w:rsid w:val="00807D35"/>
    <w:rsid w:val="00813BB0"/>
    <w:rsid w:val="00820484"/>
    <w:rsid w:val="00824DF3"/>
    <w:rsid w:val="00826F4F"/>
    <w:rsid w:val="00837740"/>
    <w:rsid w:val="00841B8F"/>
    <w:rsid w:val="008444AA"/>
    <w:rsid w:val="00862A9A"/>
    <w:rsid w:val="00885C9B"/>
    <w:rsid w:val="008A7D75"/>
    <w:rsid w:val="008D24A6"/>
    <w:rsid w:val="008D3CDB"/>
    <w:rsid w:val="008D5D2A"/>
    <w:rsid w:val="008E298F"/>
    <w:rsid w:val="0091126C"/>
    <w:rsid w:val="009114A8"/>
    <w:rsid w:val="009134FB"/>
    <w:rsid w:val="00914B63"/>
    <w:rsid w:val="00925711"/>
    <w:rsid w:val="009258B8"/>
    <w:rsid w:val="009354F3"/>
    <w:rsid w:val="00943C3C"/>
    <w:rsid w:val="009447DC"/>
    <w:rsid w:val="00951646"/>
    <w:rsid w:val="00956EE4"/>
    <w:rsid w:val="00961BA5"/>
    <w:rsid w:val="00966C0A"/>
    <w:rsid w:val="009743A9"/>
    <w:rsid w:val="00977BBC"/>
    <w:rsid w:val="00982407"/>
    <w:rsid w:val="00993FE2"/>
    <w:rsid w:val="00995DFB"/>
    <w:rsid w:val="00997C3D"/>
    <w:rsid w:val="009A2FE3"/>
    <w:rsid w:val="009A5287"/>
    <w:rsid w:val="009A670E"/>
    <w:rsid w:val="009B2AC5"/>
    <w:rsid w:val="009B2EAF"/>
    <w:rsid w:val="009B7984"/>
    <w:rsid w:val="009F4BED"/>
    <w:rsid w:val="009F5EF8"/>
    <w:rsid w:val="009F7D93"/>
    <w:rsid w:val="00A043C9"/>
    <w:rsid w:val="00A114CC"/>
    <w:rsid w:val="00A21EB1"/>
    <w:rsid w:val="00A22BB5"/>
    <w:rsid w:val="00A26055"/>
    <w:rsid w:val="00A26882"/>
    <w:rsid w:val="00A3403B"/>
    <w:rsid w:val="00A45328"/>
    <w:rsid w:val="00A45CE6"/>
    <w:rsid w:val="00A51756"/>
    <w:rsid w:val="00A51A12"/>
    <w:rsid w:val="00A57A3E"/>
    <w:rsid w:val="00A627D4"/>
    <w:rsid w:val="00A70BD4"/>
    <w:rsid w:val="00A74DA2"/>
    <w:rsid w:val="00A800D7"/>
    <w:rsid w:val="00A82613"/>
    <w:rsid w:val="00A83BC8"/>
    <w:rsid w:val="00AB6C89"/>
    <w:rsid w:val="00AC15B4"/>
    <w:rsid w:val="00AC50EE"/>
    <w:rsid w:val="00AC5196"/>
    <w:rsid w:val="00AC63C1"/>
    <w:rsid w:val="00AC7ACA"/>
    <w:rsid w:val="00AD1042"/>
    <w:rsid w:val="00AD2925"/>
    <w:rsid w:val="00AD499C"/>
    <w:rsid w:val="00AD5A08"/>
    <w:rsid w:val="00AD5CFA"/>
    <w:rsid w:val="00AE01A1"/>
    <w:rsid w:val="00AE0693"/>
    <w:rsid w:val="00AE1159"/>
    <w:rsid w:val="00AF41AE"/>
    <w:rsid w:val="00B00FAB"/>
    <w:rsid w:val="00B010B0"/>
    <w:rsid w:val="00B02528"/>
    <w:rsid w:val="00B0699C"/>
    <w:rsid w:val="00B22070"/>
    <w:rsid w:val="00B23AF9"/>
    <w:rsid w:val="00B305CA"/>
    <w:rsid w:val="00B3261B"/>
    <w:rsid w:val="00B36869"/>
    <w:rsid w:val="00B4110B"/>
    <w:rsid w:val="00B42F9C"/>
    <w:rsid w:val="00B43B31"/>
    <w:rsid w:val="00B47CFA"/>
    <w:rsid w:val="00B57F00"/>
    <w:rsid w:val="00B6112C"/>
    <w:rsid w:val="00B72ADE"/>
    <w:rsid w:val="00B72EC2"/>
    <w:rsid w:val="00B77B2A"/>
    <w:rsid w:val="00B82C22"/>
    <w:rsid w:val="00B83A34"/>
    <w:rsid w:val="00B8723B"/>
    <w:rsid w:val="00B93DBA"/>
    <w:rsid w:val="00B9440A"/>
    <w:rsid w:val="00B975E7"/>
    <w:rsid w:val="00BA0F99"/>
    <w:rsid w:val="00BA2F06"/>
    <w:rsid w:val="00BB2A3D"/>
    <w:rsid w:val="00BB2D2A"/>
    <w:rsid w:val="00BC0094"/>
    <w:rsid w:val="00BC351C"/>
    <w:rsid w:val="00BC6523"/>
    <w:rsid w:val="00BC6B6D"/>
    <w:rsid w:val="00BD58CF"/>
    <w:rsid w:val="00BE1A39"/>
    <w:rsid w:val="00BF584C"/>
    <w:rsid w:val="00C001AF"/>
    <w:rsid w:val="00C02009"/>
    <w:rsid w:val="00C04CC1"/>
    <w:rsid w:val="00C05A4D"/>
    <w:rsid w:val="00C13D13"/>
    <w:rsid w:val="00C147B7"/>
    <w:rsid w:val="00C20D54"/>
    <w:rsid w:val="00C216B3"/>
    <w:rsid w:val="00C220CB"/>
    <w:rsid w:val="00C22BFB"/>
    <w:rsid w:val="00C30D66"/>
    <w:rsid w:val="00C32684"/>
    <w:rsid w:val="00C33D72"/>
    <w:rsid w:val="00C35632"/>
    <w:rsid w:val="00C45296"/>
    <w:rsid w:val="00C50C6D"/>
    <w:rsid w:val="00C53616"/>
    <w:rsid w:val="00C57F87"/>
    <w:rsid w:val="00C600D9"/>
    <w:rsid w:val="00C640FD"/>
    <w:rsid w:val="00C6677F"/>
    <w:rsid w:val="00C74B51"/>
    <w:rsid w:val="00C7726E"/>
    <w:rsid w:val="00C84211"/>
    <w:rsid w:val="00C844B2"/>
    <w:rsid w:val="00C8469C"/>
    <w:rsid w:val="00C90515"/>
    <w:rsid w:val="00C9669B"/>
    <w:rsid w:val="00CA00C6"/>
    <w:rsid w:val="00CA6F8E"/>
    <w:rsid w:val="00CB2F13"/>
    <w:rsid w:val="00CC1384"/>
    <w:rsid w:val="00CD3720"/>
    <w:rsid w:val="00CD7C05"/>
    <w:rsid w:val="00CE0984"/>
    <w:rsid w:val="00CE35C2"/>
    <w:rsid w:val="00CE44CB"/>
    <w:rsid w:val="00CE4D3A"/>
    <w:rsid w:val="00CF1848"/>
    <w:rsid w:val="00CF5483"/>
    <w:rsid w:val="00CF5C2F"/>
    <w:rsid w:val="00D04AD3"/>
    <w:rsid w:val="00D04BCF"/>
    <w:rsid w:val="00D05C66"/>
    <w:rsid w:val="00D13752"/>
    <w:rsid w:val="00D143D9"/>
    <w:rsid w:val="00D269AB"/>
    <w:rsid w:val="00D307A6"/>
    <w:rsid w:val="00D312AB"/>
    <w:rsid w:val="00D346C2"/>
    <w:rsid w:val="00D36AE5"/>
    <w:rsid w:val="00D410F0"/>
    <w:rsid w:val="00D46B4B"/>
    <w:rsid w:val="00D4786F"/>
    <w:rsid w:val="00D5176D"/>
    <w:rsid w:val="00D5692C"/>
    <w:rsid w:val="00D652F9"/>
    <w:rsid w:val="00D67550"/>
    <w:rsid w:val="00D720DA"/>
    <w:rsid w:val="00D853A8"/>
    <w:rsid w:val="00D85B95"/>
    <w:rsid w:val="00D8743C"/>
    <w:rsid w:val="00D90146"/>
    <w:rsid w:val="00D92FFE"/>
    <w:rsid w:val="00D949BC"/>
    <w:rsid w:val="00DA0F4A"/>
    <w:rsid w:val="00DA58B2"/>
    <w:rsid w:val="00DB5550"/>
    <w:rsid w:val="00DB7A85"/>
    <w:rsid w:val="00DC116C"/>
    <w:rsid w:val="00DC1F09"/>
    <w:rsid w:val="00DC3BFA"/>
    <w:rsid w:val="00DD1ED3"/>
    <w:rsid w:val="00DD421A"/>
    <w:rsid w:val="00DD6127"/>
    <w:rsid w:val="00DE5668"/>
    <w:rsid w:val="00DF0998"/>
    <w:rsid w:val="00E0017E"/>
    <w:rsid w:val="00E06287"/>
    <w:rsid w:val="00E111A1"/>
    <w:rsid w:val="00E15017"/>
    <w:rsid w:val="00E2436E"/>
    <w:rsid w:val="00E257C8"/>
    <w:rsid w:val="00E277BE"/>
    <w:rsid w:val="00E300B0"/>
    <w:rsid w:val="00E37047"/>
    <w:rsid w:val="00E44251"/>
    <w:rsid w:val="00E528B6"/>
    <w:rsid w:val="00E569B7"/>
    <w:rsid w:val="00E609CE"/>
    <w:rsid w:val="00E60D0F"/>
    <w:rsid w:val="00E64F3A"/>
    <w:rsid w:val="00E83CFE"/>
    <w:rsid w:val="00E9451E"/>
    <w:rsid w:val="00E9773B"/>
    <w:rsid w:val="00EA596B"/>
    <w:rsid w:val="00EB07FC"/>
    <w:rsid w:val="00EB7578"/>
    <w:rsid w:val="00EC13A3"/>
    <w:rsid w:val="00EC7C85"/>
    <w:rsid w:val="00ED1F1F"/>
    <w:rsid w:val="00ED2775"/>
    <w:rsid w:val="00ED5E19"/>
    <w:rsid w:val="00EF4AA2"/>
    <w:rsid w:val="00EF4F3E"/>
    <w:rsid w:val="00EF78B7"/>
    <w:rsid w:val="00F10AC7"/>
    <w:rsid w:val="00F125EE"/>
    <w:rsid w:val="00F12E98"/>
    <w:rsid w:val="00F151E2"/>
    <w:rsid w:val="00F22029"/>
    <w:rsid w:val="00F27891"/>
    <w:rsid w:val="00F30AE1"/>
    <w:rsid w:val="00F32648"/>
    <w:rsid w:val="00F33B90"/>
    <w:rsid w:val="00F348AD"/>
    <w:rsid w:val="00F36BB1"/>
    <w:rsid w:val="00F4686C"/>
    <w:rsid w:val="00F54887"/>
    <w:rsid w:val="00F630EA"/>
    <w:rsid w:val="00F66AC5"/>
    <w:rsid w:val="00F7007E"/>
    <w:rsid w:val="00F70200"/>
    <w:rsid w:val="00F73193"/>
    <w:rsid w:val="00F74F95"/>
    <w:rsid w:val="00F77D1F"/>
    <w:rsid w:val="00F80705"/>
    <w:rsid w:val="00F81495"/>
    <w:rsid w:val="00F83901"/>
    <w:rsid w:val="00FA1481"/>
    <w:rsid w:val="00FA2D50"/>
    <w:rsid w:val="00FA6282"/>
    <w:rsid w:val="00FA6E5B"/>
    <w:rsid w:val="00FA7FE7"/>
    <w:rsid w:val="00FB4363"/>
    <w:rsid w:val="00FB52E8"/>
    <w:rsid w:val="00FC0B1A"/>
    <w:rsid w:val="00FC43CE"/>
    <w:rsid w:val="00FC451C"/>
    <w:rsid w:val="00FD7F72"/>
    <w:rsid w:val="00FF04E3"/>
    <w:rsid w:val="01642496"/>
    <w:rsid w:val="047A9719"/>
    <w:rsid w:val="075DFE53"/>
    <w:rsid w:val="0902B859"/>
    <w:rsid w:val="102CE051"/>
    <w:rsid w:val="10318B3F"/>
    <w:rsid w:val="171CF2BF"/>
    <w:rsid w:val="18C42DB8"/>
    <w:rsid w:val="3B79B5E9"/>
    <w:rsid w:val="5C36BD8D"/>
    <w:rsid w:val="60049FE9"/>
    <w:rsid w:val="607A19B4"/>
    <w:rsid w:val="666A6284"/>
    <w:rsid w:val="6AC69592"/>
    <w:rsid w:val="7AD1F9FD"/>
    <w:rsid w:val="7B450C0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26F5764"/>
  <w15:docId w15:val="{C0BED9BA-33AC-7142-9816-99B3820A7E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630EA"/>
    <w:rPr>
      <w:sz w:val="24"/>
    </w:rPr>
  </w:style>
  <w:style w:type="paragraph" w:styleId="Heading1">
    <w:name w:val="heading 1"/>
    <w:basedOn w:val="Normal"/>
    <w:next w:val="Normal"/>
    <w:link w:val="Heading1Char"/>
    <w:qFormat/>
    <w:rsid w:val="00B43B31"/>
    <w:pPr>
      <w:keepNext/>
      <w:spacing w:before="240" w:after="60"/>
      <w:outlineLvl w:val="0"/>
    </w:pPr>
    <w:rPr>
      <w:b/>
      <w:bCs/>
      <w:kern w:val="32"/>
      <w:szCs w:val="24"/>
    </w:rPr>
  </w:style>
  <w:style w:type="paragraph" w:styleId="Heading2">
    <w:name w:val="heading 2"/>
    <w:basedOn w:val="Normal"/>
    <w:next w:val="Normal"/>
    <w:link w:val="Heading2Char"/>
    <w:qFormat/>
    <w:rsid w:val="007411A1"/>
    <w:pPr>
      <w:keepNext/>
      <w:spacing w:before="240" w:after="60"/>
      <w:outlineLvl w:val="1"/>
    </w:pPr>
    <w:rPr>
      <w:rFonts w:ascii="Cambria" w:hAnsi="Cambria"/>
      <w:b/>
      <w:bCs/>
      <w:i/>
      <w:iCs/>
      <w:sz w:val="28"/>
      <w:szCs w:val="28"/>
    </w:rPr>
  </w:style>
  <w:style w:type="paragraph" w:styleId="Heading3">
    <w:name w:val="heading 3"/>
    <w:basedOn w:val="Normal"/>
    <w:next w:val="Normal"/>
    <w:qFormat/>
    <w:rsid w:val="00C600D9"/>
    <w:pPr>
      <w:keepNext/>
      <w:spacing w:line="480" w:lineRule="auto"/>
      <w:outlineLvl w:val="2"/>
    </w:pPr>
    <w:rPr>
      <w:rFonts w:ascii="Times" w:eastAsia="Times" w:hAnsi="Times"/>
      <w:b/>
    </w:rPr>
  </w:style>
  <w:style w:type="paragraph" w:styleId="Heading4">
    <w:name w:val="heading 4"/>
    <w:basedOn w:val="Normal"/>
    <w:next w:val="Normal"/>
    <w:qFormat/>
    <w:rsid w:val="00C600D9"/>
    <w:pPr>
      <w:keepNext/>
      <w:spacing w:line="480" w:lineRule="auto"/>
      <w:outlineLvl w:val="3"/>
    </w:pPr>
    <w:rPr>
      <w:rFonts w:ascii="Times" w:hAnsi="Times"/>
      <w:b/>
      <w:color w:val="0000FF"/>
      <w:sz w:val="44"/>
    </w:rPr>
  </w:style>
  <w:style w:type="paragraph" w:styleId="Heading5">
    <w:name w:val="heading 5"/>
    <w:basedOn w:val="Normal"/>
    <w:next w:val="Normal"/>
    <w:link w:val="Heading5Char"/>
    <w:qFormat/>
    <w:rsid w:val="007411A1"/>
    <w:pPr>
      <w:spacing w:before="240" w:after="60"/>
      <w:outlineLvl w:val="4"/>
    </w:pPr>
    <w:rPr>
      <w:rFonts w:ascii="Calibri" w:hAnsi="Calibri"/>
      <w:b/>
      <w:bCs/>
      <w:i/>
      <w:iCs/>
      <w:sz w:val="26"/>
      <w:szCs w:val="26"/>
    </w:rPr>
  </w:style>
  <w:style w:type="paragraph" w:styleId="Heading6">
    <w:name w:val="heading 6"/>
    <w:basedOn w:val="Normal"/>
    <w:next w:val="Normal"/>
    <w:link w:val="Heading6Char"/>
    <w:qFormat/>
    <w:rsid w:val="007411A1"/>
    <w:pPr>
      <w:spacing w:before="240" w:after="60"/>
      <w:outlineLvl w:val="5"/>
    </w:pPr>
    <w:rPr>
      <w:rFonts w:ascii="Calibri" w:hAnsi="Calibri"/>
      <w:b/>
      <w:bCs/>
      <w:sz w:val="22"/>
      <w:szCs w:val="22"/>
    </w:rPr>
  </w:style>
  <w:style w:type="paragraph" w:styleId="Heading7">
    <w:name w:val="heading 7"/>
    <w:basedOn w:val="Normal"/>
    <w:next w:val="Normal"/>
    <w:link w:val="Heading7Char"/>
    <w:qFormat/>
    <w:rsid w:val="007411A1"/>
    <w:pPr>
      <w:spacing w:before="240" w:after="60"/>
      <w:outlineLvl w:val="6"/>
    </w:pPr>
    <w:rPr>
      <w:rFonts w:ascii="Calibri" w:hAnsi="Calibri"/>
      <w:szCs w:val="24"/>
    </w:rPr>
  </w:style>
  <w:style w:type="paragraph" w:styleId="Heading8">
    <w:name w:val="heading 8"/>
    <w:basedOn w:val="Normal"/>
    <w:next w:val="Normal"/>
    <w:link w:val="Heading8Char"/>
    <w:qFormat/>
    <w:rsid w:val="007411A1"/>
    <w:pPr>
      <w:spacing w:before="240" w:after="60"/>
      <w:outlineLvl w:val="7"/>
    </w:pPr>
    <w:rPr>
      <w:rFonts w:ascii="Calibri" w:hAnsi="Calibri"/>
      <w:i/>
      <w:iCs/>
      <w:szCs w:val="24"/>
    </w:rPr>
  </w:style>
  <w:style w:type="paragraph" w:styleId="Heading9">
    <w:name w:val="heading 9"/>
    <w:basedOn w:val="Normal"/>
    <w:next w:val="Normal"/>
    <w:link w:val="Heading9Char"/>
    <w:qFormat/>
    <w:rsid w:val="007411A1"/>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emiHidden/>
    <w:rsid w:val="00477182"/>
  </w:style>
  <w:style w:type="character" w:customStyle="1" w:styleId="Heading1Char">
    <w:name w:val="Heading 1 Char"/>
    <w:link w:val="Heading1"/>
    <w:semiHidden/>
    <w:rsid w:val="00FF04E3"/>
    <w:rPr>
      <w:b/>
      <w:bCs/>
      <w:kern w:val="32"/>
      <w:sz w:val="24"/>
      <w:szCs w:val="24"/>
    </w:rPr>
  </w:style>
  <w:style w:type="character" w:customStyle="1" w:styleId="Heading2Char">
    <w:name w:val="Heading 2 Char"/>
    <w:link w:val="Heading2"/>
    <w:rsid w:val="00FF04E3"/>
    <w:rPr>
      <w:rFonts w:ascii="Cambria" w:hAnsi="Cambria"/>
      <w:b/>
      <w:bCs/>
      <w:i/>
      <w:iCs/>
      <w:sz w:val="28"/>
      <w:szCs w:val="28"/>
    </w:rPr>
  </w:style>
  <w:style w:type="character" w:customStyle="1" w:styleId="Heading5Char">
    <w:name w:val="Heading 5 Char"/>
    <w:link w:val="Heading5"/>
    <w:semiHidden/>
    <w:rsid w:val="00FF04E3"/>
    <w:rPr>
      <w:rFonts w:ascii="Calibri" w:hAnsi="Calibri"/>
      <w:b/>
      <w:bCs/>
      <w:i/>
      <w:iCs/>
      <w:sz w:val="26"/>
      <w:szCs w:val="26"/>
    </w:rPr>
  </w:style>
  <w:style w:type="character" w:customStyle="1" w:styleId="Heading6Char">
    <w:name w:val="Heading 6 Char"/>
    <w:link w:val="Heading6"/>
    <w:semiHidden/>
    <w:rsid w:val="00FF04E3"/>
    <w:rPr>
      <w:rFonts w:ascii="Calibri" w:hAnsi="Calibri"/>
      <w:b/>
      <w:bCs/>
      <w:sz w:val="22"/>
      <w:szCs w:val="22"/>
    </w:rPr>
  </w:style>
  <w:style w:type="character" w:customStyle="1" w:styleId="Heading7Char">
    <w:name w:val="Heading 7 Char"/>
    <w:link w:val="Heading7"/>
    <w:semiHidden/>
    <w:rsid w:val="00FF04E3"/>
    <w:rPr>
      <w:rFonts w:ascii="Calibri" w:hAnsi="Calibri"/>
      <w:sz w:val="24"/>
      <w:szCs w:val="24"/>
    </w:rPr>
  </w:style>
  <w:style w:type="character" w:customStyle="1" w:styleId="Heading8Char">
    <w:name w:val="Heading 8 Char"/>
    <w:link w:val="Heading8"/>
    <w:semiHidden/>
    <w:rsid w:val="00FF04E3"/>
    <w:rPr>
      <w:rFonts w:ascii="Calibri" w:hAnsi="Calibri"/>
      <w:i/>
      <w:iCs/>
      <w:sz w:val="24"/>
      <w:szCs w:val="24"/>
    </w:rPr>
  </w:style>
  <w:style w:type="character" w:customStyle="1" w:styleId="Heading9Char">
    <w:name w:val="Heading 9 Char"/>
    <w:link w:val="Heading9"/>
    <w:semiHidden/>
    <w:rsid w:val="00FF04E3"/>
    <w:rPr>
      <w:rFonts w:ascii="Cambria" w:hAnsi="Cambria"/>
      <w:sz w:val="22"/>
      <w:szCs w:val="22"/>
    </w:rPr>
  </w:style>
  <w:style w:type="paragraph" w:customStyle="1" w:styleId="SMHeading">
    <w:name w:val="SM Heading"/>
    <w:basedOn w:val="Heading1"/>
    <w:qFormat/>
    <w:rsid w:val="00F74F95"/>
  </w:style>
  <w:style w:type="paragraph" w:customStyle="1" w:styleId="SMSubheading">
    <w:name w:val="SM Subheading"/>
    <w:basedOn w:val="Normal"/>
    <w:qFormat/>
    <w:rsid w:val="00B9440A"/>
    <w:rPr>
      <w:u w:val="words"/>
    </w:rPr>
  </w:style>
  <w:style w:type="paragraph" w:customStyle="1" w:styleId="SMText">
    <w:name w:val="SM Text"/>
    <w:basedOn w:val="Normal"/>
    <w:qFormat/>
    <w:rsid w:val="00B9440A"/>
    <w:pPr>
      <w:ind w:firstLine="480"/>
    </w:pPr>
  </w:style>
  <w:style w:type="paragraph" w:customStyle="1" w:styleId="SMcaption">
    <w:name w:val="SM caption"/>
    <w:basedOn w:val="SMText"/>
    <w:qFormat/>
    <w:rsid w:val="00B9440A"/>
    <w:pPr>
      <w:ind w:firstLine="0"/>
    </w:pPr>
  </w:style>
  <w:style w:type="paragraph" w:styleId="BalloonText">
    <w:name w:val="Balloon Text"/>
    <w:basedOn w:val="Normal"/>
    <w:link w:val="BalloonTextChar"/>
    <w:semiHidden/>
    <w:rsid w:val="00405336"/>
    <w:rPr>
      <w:rFonts w:ascii="Tahoma" w:hAnsi="Tahoma" w:cs="Tahoma"/>
      <w:sz w:val="16"/>
      <w:szCs w:val="16"/>
    </w:rPr>
  </w:style>
  <w:style w:type="character" w:customStyle="1" w:styleId="BalloonTextChar">
    <w:name w:val="Balloon Text Char"/>
    <w:link w:val="BalloonText"/>
    <w:semiHidden/>
    <w:rsid w:val="00FF04E3"/>
    <w:rPr>
      <w:rFonts w:ascii="Tahoma" w:hAnsi="Tahoma" w:cs="Tahoma"/>
      <w:sz w:val="16"/>
      <w:szCs w:val="16"/>
    </w:rPr>
  </w:style>
  <w:style w:type="paragraph" w:customStyle="1" w:styleId="GridTable21">
    <w:name w:val="Grid Table 21"/>
    <w:basedOn w:val="Normal"/>
    <w:next w:val="Normal"/>
    <w:uiPriority w:val="37"/>
    <w:semiHidden/>
    <w:rsid w:val="00405336"/>
  </w:style>
  <w:style w:type="paragraph" w:styleId="BlockText">
    <w:name w:val="Block Text"/>
    <w:basedOn w:val="Normal"/>
    <w:semiHidden/>
    <w:rsid w:val="00405336"/>
    <w:pPr>
      <w:spacing w:after="120"/>
      <w:ind w:left="1440" w:right="1440"/>
    </w:pPr>
  </w:style>
  <w:style w:type="paragraph" w:styleId="BodyText">
    <w:name w:val="Body Text"/>
    <w:basedOn w:val="Normal"/>
    <w:link w:val="BodyTextChar"/>
    <w:semiHidden/>
    <w:rsid w:val="00405336"/>
    <w:pPr>
      <w:spacing w:after="120"/>
    </w:pPr>
  </w:style>
  <w:style w:type="character" w:customStyle="1" w:styleId="BodyTextChar">
    <w:name w:val="Body Text Char"/>
    <w:link w:val="BodyText"/>
    <w:semiHidden/>
    <w:rsid w:val="00FF04E3"/>
    <w:rPr>
      <w:sz w:val="24"/>
    </w:rPr>
  </w:style>
  <w:style w:type="paragraph" w:styleId="BodyText2">
    <w:name w:val="Body Text 2"/>
    <w:basedOn w:val="Normal"/>
    <w:link w:val="BodyText2Char"/>
    <w:semiHidden/>
    <w:rsid w:val="00405336"/>
    <w:pPr>
      <w:spacing w:after="120" w:line="480" w:lineRule="auto"/>
    </w:pPr>
  </w:style>
  <w:style w:type="character" w:customStyle="1" w:styleId="BodyText2Char">
    <w:name w:val="Body Text 2 Char"/>
    <w:link w:val="BodyText2"/>
    <w:semiHidden/>
    <w:rsid w:val="00FF04E3"/>
    <w:rPr>
      <w:sz w:val="24"/>
    </w:rPr>
  </w:style>
  <w:style w:type="paragraph" w:styleId="BodyText3">
    <w:name w:val="Body Text 3"/>
    <w:basedOn w:val="Normal"/>
    <w:link w:val="BodyText3Char"/>
    <w:semiHidden/>
    <w:rsid w:val="00405336"/>
    <w:pPr>
      <w:spacing w:after="120"/>
    </w:pPr>
    <w:rPr>
      <w:sz w:val="16"/>
      <w:szCs w:val="16"/>
    </w:rPr>
  </w:style>
  <w:style w:type="character" w:customStyle="1" w:styleId="BodyText3Char">
    <w:name w:val="Body Text 3 Char"/>
    <w:link w:val="BodyText3"/>
    <w:semiHidden/>
    <w:rsid w:val="00FF04E3"/>
    <w:rPr>
      <w:sz w:val="16"/>
      <w:szCs w:val="16"/>
    </w:rPr>
  </w:style>
  <w:style w:type="paragraph" w:styleId="BodyTextFirstIndent">
    <w:name w:val="Body Text First Indent"/>
    <w:basedOn w:val="BodyText"/>
    <w:link w:val="BodyTextFirstIndentChar"/>
    <w:semiHidden/>
    <w:rsid w:val="00405336"/>
    <w:pPr>
      <w:ind w:firstLine="210"/>
    </w:pPr>
  </w:style>
  <w:style w:type="character" w:customStyle="1" w:styleId="BodyTextFirstIndentChar">
    <w:name w:val="Body Text First Indent Char"/>
    <w:link w:val="BodyTextFirstIndent"/>
    <w:semiHidden/>
    <w:rsid w:val="00FF04E3"/>
    <w:rPr>
      <w:sz w:val="24"/>
    </w:rPr>
  </w:style>
  <w:style w:type="paragraph" w:styleId="BodyTextIndent">
    <w:name w:val="Body Text Indent"/>
    <w:basedOn w:val="Normal"/>
    <w:link w:val="BodyTextIndentChar"/>
    <w:semiHidden/>
    <w:rsid w:val="00405336"/>
    <w:pPr>
      <w:spacing w:after="120"/>
      <w:ind w:left="360"/>
    </w:pPr>
  </w:style>
  <w:style w:type="character" w:customStyle="1" w:styleId="BodyTextIndentChar">
    <w:name w:val="Body Text Indent Char"/>
    <w:link w:val="BodyTextIndent"/>
    <w:semiHidden/>
    <w:rsid w:val="00FF04E3"/>
    <w:rPr>
      <w:sz w:val="24"/>
    </w:rPr>
  </w:style>
  <w:style w:type="paragraph" w:styleId="BodyTextFirstIndent2">
    <w:name w:val="Body Text First Indent 2"/>
    <w:basedOn w:val="BodyTextIndent"/>
    <w:link w:val="BodyTextFirstIndent2Char"/>
    <w:semiHidden/>
    <w:rsid w:val="00405336"/>
    <w:pPr>
      <w:ind w:firstLine="210"/>
    </w:pPr>
  </w:style>
  <w:style w:type="character" w:customStyle="1" w:styleId="BodyTextFirstIndent2Char">
    <w:name w:val="Body Text First Indent 2 Char"/>
    <w:link w:val="BodyTextFirstIndent2"/>
    <w:semiHidden/>
    <w:rsid w:val="00FF04E3"/>
    <w:rPr>
      <w:sz w:val="24"/>
    </w:rPr>
  </w:style>
  <w:style w:type="paragraph" w:styleId="BodyTextIndent2">
    <w:name w:val="Body Text Indent 2"/>
    <w:basedOn w:val="Normal"/>
    <w:link w:val="BodyTextIndent2Char"/>
    <w:semiHidden/>
    <w:rsid w:val="00405336"/>
    <w:pPr>
      <w:spacing w:after="120" w:line="480" w:lineRule="auto"/>
      <w:ind w:left="360"/>
    </w:pPr>
  </w:style>
  <w:style w:type="character" w:customStyle="1" w:styleId="BodyTextIndent2Char">
    <w:name w:val="Body Text Indent 2 Char"/>
    <w:link w:val="BodyTextIndent2"/>
    <w:semiHidden/>
    <w:rsid w:val="00FF04E3"/>
    <w:rPr>
      <w:sz w:val="24"/>
    </w:rPr>
  </w:style>
  <w:style w:type="paragraph" w:styleId="BodyTextIndent3">
    <w:name w:val="Body Text Indent 3"/>
    <w:basedOn w:val="Normal"/>
    <w:link w:val="BodyTextIndent3Char"/>
    <w:semiHidden/>
    <w:rsid w:val="00405336"/>
    <w:pPr>
      <w:spacing w:after="120"/>
      <w:ind w:left="360"/>
    </w:pPr>
    <w:rPr>
      <w:sz w:val="16"/>
      <w:szCs w:val="16"/>
    </w:rPr>
  </w:style>
  <w:style w:type="character" w:customStyle="1" w:styleId="BodyTextIndent3Char">
    <w:name w:val="Body Text Indent 3 Char"/>
    <w:link w:val="BodyTextIndent3"/>
    <w:semiHidden/>
    <w:rsid w:val="00FF04E3"/>
    <w:rPr>
      <w:sz w:val="16"/>
      <w:szCs w:val="16"/>
    </w:rPr>
  </w:style>
  <w:style w:type="paragraph" w:styleId="Caption">
    <w:name w:val="caption"/>
    <w:basedOn w:val="Normal"/>
    <w:next w:val="Normal"/>
    <w:qFormat/>
    <w:rsid w:val="00405336"/>
    <w:rPr>
      <w:b/>
      <w:bCs/>
      <w:sz w:val="20"/>
    </w:rPr>
  </w:style>
  <w:style w:type="paragraph" w:styleId="Closing">
    <w:name w:val="Closing"/>
    <w:basedOn w:val="Normal"/>
    <w:link w:val="ClosingChar"/>
    <w:semiHidden/>
    <w:rsid w:val="00405336"/>
    <w:pPr>
      <w:ind w:left="4320"/>
    </w:pPr>
  </w:style>
  <w:style w:type="character" w:customStyle="1" w:styleId="ClosingChar">
    <w:name w:val="Closing Char"/>
    <w:link w:val="Closing"/>
    <w:semiHidden/>
    <w:rsid w:val="00FF04E3"/>
    <w:rPr>
      <w:sz w:val="24"/>
    </w:rPr>
  </w:style>
  <w:style w:type="paragraph" w:styleId="CommentText">
    <w:name w:val="annotation text"/>
    <w:basedOn w:val="Normal"/>
    <w:link w:val="CommentTextChar"/>
    <w:uiPriority w:val="99"/>
    <w:semiHidden/>
    <w:rsid w:val="00405336"/>
    <w:rPr>
      <w:sz w:val="20"/>
    </w:rPr>
  </w:style>
  <w:style w:type="character" w:customStyle="1" w:styleId="CommentTextChar">
    <w:name w:val="Comment Text Char"/>
    <w:basedOn w:val="DefaultParagraphFont"/>
    <w:link w:val="CommentText"/>
    <w:uiPriority w:val="99"/>
    <w:semiHidden/>
    <w:rsid w:val="00FF04E3"/>
  </w:style>
  <w:style w:type="paragraph" w:styleId="CommentSubject">
    <w:name w:val="annotation subject"/>
    <w:basedOn w:val="CommentText"/>
    <w:next w:val="CommentText"/>
    <w:link w:val="CommentSubjectChar"/>
    <w:semiHidden/>
    <w:rsid w:val="00405336"/>
    <w:rPr>
      <w:b/>
      <w:bCs/>
    </w:rPr>
  </w:style>
  <w:style w:type="character" w:customStyle="1" w:styleId="CommentSubjectChar">
    <w:name w:val="Comment Subject Char"/>
    <w:link w:val="CommentSubject"/>
    <w:semiHidden/>
    <w:rsid w:val="00FF04E3"/>
    <w:rPr>
      <w:b/>
      <w:bCs/>
    </w:rPr>
  </w:style>
  <w:style w:type="paragraph" w:styleId="Date">
    <w:name w:val="Date"/>
    <w:basedOn w:val="Normal"/>
    <w:next w:val="Normal"/>
    <w:link w:val="DateChar"/>
    <w:semiHidden/>
    <w:rsid w:val="00405336"/>
  </w:style>
  <w:style w:type="character" w:customStyle="1" w:styleId="DateChar">
    <w:name w:val="Date Char"/>
    <w:link w:val="Date"/>
    <w:semiHidden/>
    <w:rsid w:val="00FF04E3"/>
    <w:rPr>
      <w:sz w:val="24"/>
    </w:rPr>
  </w:style>
  <w:style w:type="paragraph" w:styleId="DocumentMap">
    <w:name w:val="Document Map"/>
    <w:basedOn w:val="Normal"/>
    <w:link w:val="DocumentMapChar"/>
    <w:semiHidden/>
    <w:rsid w:val="00405336"/>
    <w:rPr>
      <w:rFonts w:ascii="Tahoma" w:hAnsi="Tahoma" w:cs="Tahoma"/>
      <w:sz w:val="16"/>
      <w:szCs w:val="16"/>
    </w:rPr>
  </w:style>
  <w:style w:type="character" w:customStyle="1" w:styleId="DocumentMapChar">
    <w:name w:val="Document Map Char"/>
    <w:link w:val="DocumentMap"/>
    <w:semiHidden/>
    <w:rsid w:val="00FF04E3"/>
    <w:rPr>
      <w:rFonts w:ascii="Tahoma" w:hAnsi="Tahoma" w:cs="Tahoma"/>
      <w:sz w:val="16"/>
      <w:szCs w:val="16"/>
    </w:rPr>
  </w:style>
  <w:style w:type="paragraph" w:styleId="E-mailSignature">
    <w:name w:val="E-mail Signature"/>
    <w:basedOn w:val="Normal"/>
    <w:link w:val="E-mailSignatureChar"/>
    <w:semiHidden/>
    <w:rsid w:val="00405336"/>
  </w:style>
  <w:style w:type="character" w:customStyle="1" w:styleId="E-mailSignatureChar">
    <w:name w:val="E-mail Signature Char"/>
    <w:link w:val="E-mailSignature"/>
    <w:semiHidden/>
    <w:rsid w:val="00FF04E3"/>
    <w:rPr>
      <w:sz w:val="24"/>
    </w:rPr>
  </w:style>
  <w:style w:type="paragraph" w:styleId="EndnoteText">
    <w:name w:val="endnote text"/>
    <w:basedOn w:val="Normal"/>
    <w:link w:val="EndnoteTextChar"/>
    <w:semiHidden/>
    <w:rsid w:val="00405336"/>
    <w:rPr>
      <w:sz w:val="20"/>
    </w:rPr>
  </w:style>
  <w:style w:type="character" w:customStyle="1" w:styleId="EndnoteTextChar">
    <w:name w:val="Endnote Text Char"/>
    <w:basedOn w:val="DefaultParagraphFont"/>
    <w:link w:val="EndnoteText"/>
    <w:semiHidden/>
    <w:rsid w:val="00FF04E3"/>
  </w:style>
  <w:style w:type="paragraph" w:styleId="EnvelopeAddress">
    <w:name w:val="envelope address"/>
    <w:basedOn w:val="Normal"/>
    <w:semiHidden/>
    <w:rsid w:val="00405336"/>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semiHidden/>
    <w:rsid w:val="00405336"/>
    <w:rPr>
      <w:rFonts w:ascii="Cambria" w:hAnsi="Cambria"/>
      <w:sz w:val="20"/>
    </w:rPr>
  </w:style>
  <w:style w:type="paragraph" w:styleId="Footer">
    <w:name w:val="footer"/>
    <w:basedOn w:val="Normal"/>
    <w:link w:val="FooterChar"/>
    <w:semiHidden/>
    <w:rsid w:val="00405336"/>
    <w:pPr>
      <w:tabs>
        <w:tab w:val="center" w:pos="4680"/>
        <w:tab w:val="right" w:pos="9360"/>
      </w:tabs>
    </w:pPr>
  </w:style>
  <w:style w:type="character" w:customStyle="1" w:styleId="FooterChar">
    <w:name w:val="Footer Char"/>
    <w:link w:val="Footer"/>
    <w:semiHidden/>
    <w:rsid w:val="00FF04E3"/>
    <w:rPr>
      <w:sz w:val="24"/>
    </w:rPr>
  </w:style>
  <w:style w:type="paragraph" w:styleId="FootnoteText">
    <w:name w:val="footnote text"/>
    <w:basedOn w:val="Normal"/>
    <w:link w:val="FootnoteTextChar"/>
    <w:semiHidden/>
    <w:rsid w:val="00405336"/>
    <w:rPr>
      <w:sz w:val="20"/>
    </w:rPr>
  </w:style>
  <w:style w:type="character" w:customStyle="1" w:styleId="FootnoteTextChar">
    <w:name w:val="Footnote Text Char"/>
    <w:basedOn w:val="DefaultParagraphFont"/>
    <w:link w:val="FootnoteText"/>
    <w:semiHidden/>
    <w:rsid w:val="00FF04E3"/>
  </w:style>
  <w:style w:type="paragraph" w:styleId="Header">
    <w:name w:val="header"/>
    <w:basedOn w:val="Normal"/>
    <w:link w:val="HeaderChar"/>
    <w:semiHidden/>
    <w:rsid w:val="00405336"/>
    <w:pPr>
      <w:tabs>
        <w:tab w:val="center" w:pos="4680"/>
        <w:tab w:val="right" w:pos="9360"/>
      </w:tabs>
    </w:pPr>
  </w:style>
  <w:style w:type="character" w:customStyle="1" w:styleId="HeaderChar">
    <w:name w:val="Header Char"/>
    <w:link w:val="Header"/>
    <w:semiHidden/>
    <w:rsid w:val="00FF04E3"/>
    <w:rPr>
      <w:sz w:val="24"/>
    </w:rPr>
  </w:style>
  <w:style w:type="paragraph" w:styleId="HTMLAddress">
    <w:name w:val="HTML Address"/>
    <w:basedOn w:val="Normal"/>
    <w:link w:val="HTMLAddressChar"/>
    <w:semiHidden/>
    <w:rsid w:val="00405336"/>
    <w:rPr>
      <w:i/>
      <w:iCs/>
    </w:rPr>
  </w:style>
  <w:style w:type="character" w:customStyle="1" w:styleId="HTMLAddressChar">
    <w:name w:val="HTML Address Char"/>
    <w:link w:val="HTMLAddress"/>
    <w:semiHidden/>
    <w:rsid w:val="00FF04E3"/>
    <w:rPr>
      <w:i/>
      <w:iCs/>
      <w:sz w:val="24"/>
    </w:rPr>
  </w:style>
  <w:style w:type="paragraph" w:styleId="HTMLPreformatted">
    <w:name w:val="HTML Preformatted"/>
    <w:basedOn w:val="Normal"/>
    <w:link w:val="HTMLPreformattedChar"/>
    <w:semiHidden/>
    <w:rsid w:val="00405336"/>
    <w:rPr>
      <w:rFonts w:ascii="Courier New" w:hAnsi="Courier New" w:cs="Courier New"/>
      <w:sz w:val="20"/>
    </w:rPr>
  </w:style>
  <w:style w:type="character" w:customStyle="1" w:styleId="HTMLPreformattedChar">
    <w:name w:val="HTML Preformatted Char"/>
    <w:link w:val="HTMLPreformatted"/>
    <w:semiHidden/>
    <w:rsid w:val="00FF04E3"/>
    <w:rPr>
      <w:rFonts w:ascii="Courier New" w:hAnsi="Courier New" w:cs="Courier New"/>
    </w:rPr>
  </w:style>
  <w:style w:type="paragraph" w:styleId="Index1">
    <w:name w:val="index 1"/>
    <w:basedOn w:val="Normal"/>
    <w:next w:val="Normal"/>
    <w:autoRedefine/>
    <w:semiHidden/>
    <w:rsid w:val="00405336"/>
    <w:pPr>
      <w:ind w:left="240" w:hanging="240"/>
    </w:pPr>
  </w:style>
  <w:style w:type="paragraph" w:styleId="Index2">
    <w:name w:val="index 2"/>
    <w:basedOn w:val="Normal"/>
    <w:next w:val="Normal"/>
    <w:autoRedefine/>
    <w:semiHidden/>
    <w:rsid w:val="00405336"/>
    <w:pPr>
      <w:ind w:left="480" w:hanging="240"/>
    </w:pPr>
  </w:style>
  <w:style w:type="paragraph" w:styleId="Index3">
    <w:name w:val="index 3"/>
    <w:basedOn w:val="Normal"/>
    <w:next w:val="Normal"/>
    <w:autoRedefine/>
    <w:semiHidden/>
    <w:rsid w:val="00405336"/>
    <w:pPr>
      <w:ind w:left="720" w:hanging="240"/>
    </w:pPr>
  </w:style>
  <w:style w:type="paragraph" w:styleId="Index4">
    <w:name w:val="index 4"/>
    <w:basedOn w:val="Normal"/>
    <w:next w:val="Normal"/>
    <w:autoRedefine/>
    <w:semiHidden/>
    <w:rsid w:val="00405336"/>
    <w:pPr>
      <w:ind w:left="960" w:hanging="240"/>
    </w:pPr>
  </w:style>
  <w:style w:type="paragraph" w:styleId="Index5">
    <w:name w:val="index 5"/>
    <w:basedOn w:val="Normal"/>
    <w:next w:val="Normal"/>
    <w:autoRedefine/>
    <w:semiHidden/>
    <w:rsid w:val="00405336"/>
    <w:pPr>
      <w:ind w:left="1200" w:hanging="240"/>
    </w:pPr>
  </w:style>
  <w:style w:type="paragraph" w:styleId="Index6">
    <w:name w:val="index 6"/>
    <w:basedOn w:val="Normal"/>
    <w:next w:val="Normal"/>
    <w:autoRedefine/>
    <w:semiHidden/>
    <w:rsid w:val="00405336"/>
    <w:pPr>
      <w:ind w:left="1440" w:hanging="240"/>
    </w:pPr>
  </w:style>
  <w:style w:type="paragraph" w:styleId="Index7">
    <w:name w:val="index 7"/>
    <w:basedOn w:val="Normal"/>
    <w:next w:val="Normal"/>
    <w:autoRedefine/>
    <w:semiHidden/>
    <w:rsid w:val="00405336"/>
    <w:pPr>
      <w:ind w:left="1680" w:hanging="240"/>
    </w:pPr>
  </w:style>
  <w:style w:type="paragraph" w:styleId="Index8">
    <w:name w:val="index 8"/>
    <w:basedOn w:val="Normal"/>
    <w:next w:val="Normal"/>
    <w:autoRedefine/>
    <w:semiHidden/>
    <w:rsid w:val="00405336"/>
    <w:pPr>
      <w:ind w:left="1920" w:hanging="240"/>
    </w:pPr>
  </w:style>
  <w:style w:type="paragraph" w:styleId="Index9">
    <w:name w:val="index 9"/>
    <w:basedOn w:val="Normal"/>
    <w:next w:val="Normal"/>
    <w:autoRedefine/>
    <w:semiHidden/>
    <w:rsid w:val="00405336"/>
    <w:pPr>
      <w:ind w:left="2160" w:hanging="240"/>
    </w:pPr>
  </w:style>
  <w:style w:type="paragraph" w:styleId="IndexHeading">
    <w:name w:val="index heading"/>
    <w:basedOn w:val="Normal"/>
    <w:next w:val="Index1"/>
    <w:semiHidden/>
    <w:rsid w:val="00405336"/>
    <w:rPr>
      <w:rFonts w:ascii="Cambria" w:hAnsi="Cambria"/>
      <w:b/>
      <w:bCs/>
    </w:rPr>
  </w:style>
  <w:style w:type="paragraph" w:customStyle="1" w:styleId="LightShading-Accent21">
    <w:name w:val="Light Shading - Accent 21"/>
    <w:basedOn w:val="Normal"/>
    <w:next w:val="Normal"/>
    <w:link w:val="LightShading-Accent2Char"/>
    <w:uiPriority w:val="30"/>
    <w:semiHidden/>
    <w:qFormat/>
    <w:rsid w:val="00405336"/>
    <w:pPr>
      <w:pBdr>
        <w:bottom w:val="single" w:sz="4" w:space="4" w:color="4F81BD"/>
      </w:pBdr>
      <w:spacing w:before="200" w:after="280"/>
      <w:ind w:left="936" w:right="936"/>
    </w:pPr>
    <w:rPr>
      <w:b/>
      <w:bCs/>
      <w:i/>
      <w:iCs/>
      <w:color w:val="4F81BD"/>
    </w:rPr>
  </w:style>
  <w:style w:type="character" w:customStyle="1" w:styleId="LightShading-Accent2Char">
    <w:name w:val="Light Shading - Accent 2 Char"/>
    <w:link w:val="LightShading-Accent21"/>
    <w:uiPriority w:val="30"/>
    <w:semiHidden/>
    <w:rsid w:val="00FF04E3"/>
    <w:rPr>
      <w:b/>
      <w:bCs/>
      <w:i/>
      <w:iCs/>
      <w:color w:val="4F81BD"/>
      <w:sz w:val="24"/>
    </w:rPr>
  </w:style>
  <w:style w:type="paragraph" w:styleId="List">
    <w:name w:val="List"/>
    <w:basedOn w:val="Normal"/>
    <w:semiHidden/>
    <w:rsid w:val="00405336"/>
    <w:pPr>
      <w:ind w:left="360" w:hanging="360"/>
      <w:contextualSpacing/>
    </w:pPr>
  </w:style>
  <w:style w:type="paragraph" w:styleId="List2">
    <w:name w:val="List 2"/>
    <w:basedOn w:val="Normal"/>
    <w:semiHidden/>
    <w:rsid w:val="00405336"/>
    <w:pPr>
      <w:ind w:left="720" w:hanging="360"/>
      <w:contextualSpacing/>
    </w:pPr>
  </w:style>
  <w:style w:type="paragraph" w:styleId="List3">
    <w:name w:val="List 3"/>
    <w:basedOn w:val="Normal"/>
    <w:semiHidden/>
    <w:rsid w:val="00405336"/>
    <w:pPr>
      <w:ind w:left="1080" w:hanging="360"/>
      <w:contextualSpacing/>
    </w:pPr>
  </w:style>
  <w:style w:type="paragraph" w:styleId="List4">
    <w:name w:val="List 4"/>
    <w:basedOn w:val="Normal"/>
    <w:semiHidden/>
    <w:rsid w:val="00405336"/>
    <w:pPr>
      <w:ind w:left="1440" w:hanging="360"/>
      <w:contextualSpacing/>
    </w:pPr>
  </w:style>
  <w:style w:type="paragraph" w:styleId="List5">
    <w:name w:val="List 5"/>
    <w:basedOn w:val="Normal"/>
    <w:semiHidden/>
    <w:rsid w:val="00405336"/>
    <w:pPr>
      <w:ind w:left="1800" w:hanging="360"/>
      <w:contextualSpacing/>
    </w:pPr>
  </w:style>
  <w:style w:type="paragraph" w:styleId="ListBullet">
    <w:name w:val="List Bullet"/>
    <w:basedOn w:val="Normal"/>
    <w:semiHidden/>
    <w:rsid w:val="00405336"/>
    <w:pPr>
      <w:numPr>
        <w:numId w:val="1"/>
      </w:numPr>
      <w:contextualSpacing/>
    </w:pPr>
  </w:style>
  <w:style w:type="paragraph" w:styleId="ListBullet2">
    <w:name w:val="List Bullet 2"/>
    <w:basedOn w:val="Normal"/>
    <w:semiHidden/>
    <w:rsid w:val="00405336"/>
    <w:pPr>
      <w:numPr>
        <w:numId w:val="2"/>
      </w:numPr>
      <w:contextualSpacing/>
    </w:pPr>
  </w:style>
  <w:style w:type="paragraph" w:styleId="ListBullet3">
    <w:name w:val="List Bullet 3"/>
    <w:basedOn w:val="Normal"/>
    <w:semiHidden/>
    <w:rsid w:val="00405336"/>
    <w:pPr>
      <w:numPr>
        <w:numId w:val="3"/>
      </w:numPr>
      <w:contextualSpacing/>
    </w:pPr>
  </w:style>
  <w:style w:type="paragraph" w:styleId="ListBullet4">
    <w:name w:val="List Bullet 4"/>
    <w:basedOn w:val="Normal"/>
    <w:semiHidden/>
    <w:rsid w:val="00405336"/>
    <w:pPr>
      <w:numPr>
        <w:numId w:val="4"/>
      </w:numPr>
      <w:contextualSpacing/>
    </w:pPr>
  </w:style>
  <w:style w:type="paragraph" w:styleId="ListBullet5">
    <w:name w:val="List Bullet 5"/>
    <w:basedOn w:val="Normal"/>
    <w:semiHidden/>
    <w:rsid w:val="00405336"/>
    <w:pPr>
      <w:numPr>
        <w:numId w:val="5"/>
      </w:numPr>
      <w:contextualSpacing/>
    </w:pPr>
  </w:style>
  <w:style w:type="paragraph" w:styleId="ListContinue">
    <w:name w:val="List Continue"/>
    <w:basedOn w:val="Normal"/>
    <w:semiHidden/>
    <w:rsid w:val="00405336"/>
    <w:pPr>
      <w:spacing w:after="120"/>
      <w:ind w:left="360"/>
      <w:contextualSpacing/>
    </w:pPr>
  </w:style>
  <w:style w:type="paragraph" w:styleId="ListContinue2">
    <w:name w:val="List Continue 2"/>
    <w:basedOn w:val="Normal"/>
    <w:semiHidden/>
    <w:rsid w:val="00405336"/>
    <w:pPr>
      <w:spacing w:after="120"/>
      <w:ind w:left="720"/>
      <w:contextualSpacing/>
    </w:pPr>
  </w:style>
  <w:style w:type="paragraph" w:styleId="ListContinue3">
    <w:name w:val="List Continue 3"/>
    <w:basedOn w:val="Normal"/>
    <w:semiHidden/>
    <w:rsid w:val="00405336"/>
    <w:pPr>
      <w:spacing w:after="120"/>
      <w:ind w:left="1080"/>
      <w:contextualSpacing/>
    </w:pPr>
  </w:style>
  <w:style w:type="paragraph" w:styleId="ListContinue4">
    <w:name w:val="List Continue 4"/>
    <w:basedOn w:val="Normal"/>
    <w:semiHidden/>
    <w:rsid w:val="00405336"/>
    <w:pPr>
      <w:spacing w:after="120"/>
      <w:ind w:left="1440"/>
      <w:contextualSpacing/>
    </w:pPr>
  </w:style>
  <w:style w:type="paragraph" w:styleId="ListContinue5">
    <w:name w:val="List Continue 5"/>
    <w:basedOn w:val="Normal"/>
    <w:semiHidden/>
    <w:rsid w:val="00405336"/>
    <w:pPr>
      <w:spacing w:after="120"/>
      <w:ind w:left="1800"/>
      <w:contextualSpacing/>
    </w:pPr>
  </w:style>
  <w:style w:type="paragraph" w:styleId="ListNumber">
    <w:name w:val="List Number"/>
    <w:basedOn w:val="Normal"/>
    <w:semiHidden/>
    <w:rsid w:val="00405336"/>
    <w:pPr>
      <w:numPr>
        <w:numId w:val="6"/>
      </w:numPr>
      <w:contextualSpacing/>
    </w:pPr>
  </w:style>
  <w:style w:type="paragraph" w:styleId="ListNumber2">
    <w:name w:val="List Number 2"/>
    <w:basedOn w:val="Normal"/>
    <w:semiHidden/>
    <w:rsid w:val="00405336"/>
    <w:pPr>
      <w:numPr>
        <w:numId w:val="7"/>
      </w:numPr>
      <w:contextualSpacing/>
    </w:pPr>
  </w:style>
  <w:style w:type="paragraph" w:styleId="ListNumber3">
    <w:name w:val="List Number 3"/>
    <w:basedOn w:val="Normal"/>
    <w:semiHidden/>
    <w:rsid w:val="00405336"/>
    <w:pPr>
      <w:numPr>
        <w:numId w:val="8"/>
      </w:numPr>
      <w:contextualSpacing/>
    </w:pPr>
  </w:style>
  <w:style w:type="paragraph" w:styleId="ListNumber4">
    <w:name w:val="List Number 4"/>
    <w:basedOn w:val="Normal"/>
    <w:semiHidden/>
    <w:rsid w:val="00405336"/>
    <w:pPr>
      <w:numPr>
        <w:numId w:val="9"/>
      </w:numPr>
      <w:contextualSpacing/>
    </w:pPr>
  </w:style>
  <w:style w:type="paragraph" w:styleId="ListNumber5">
    <w:name w:val="List Number 5"/>
    <w:basedOn w:val="Normal"/>
    <w:semiHidden/>
    <w:rsid w:val="00405336"/>
    <w:pPr>
      <w:numPr>
        <w:numId w:val="10"/>
      </w:numPr>
      <w:contextualSpacing/>
    </w:pPr>
  </w:style>
  <w:style w:type="paragraph" w:customStyle="1" w:styleId="ColorfulList-Accent11">
    <w:name w:val="Colorful List - Accent 11"/>
    <w:basedOn w:val="Normal"/>
    <w:uiPriority w:val="34"/>
    <w:semiHidden/>
    <w:qFormat/>
    <w:rsid w:val="00405336"/>
    <w:pPr>
      <w:ind w:left="720"/>
    </w:pPr>
  </w:style>
  <w:style w:type="paragraph" w:styleId="MacroText">
    <w:name w:val="macro"/>
    <w:link w:val="MacroTextChar"/>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link w:val="MacroText"/>
    <w:semiHidden/>
    <w:rsid w:val="00FF04E3"/>
    <w:rPr>
      <w:rFonts w:ascii="Courier New" w:hAnsi="Courier New" w:cs="Courier New"/>
      <w:lang w:val="en-US" w:eastAsia="en-US" w:bidi="ar-SA"/>
    </w:rPr>
  </w:style>
  <w:style w:type="paragraph" w:styleId="MessageHeader">
    <w:name w:val="Message Header"/>
    <w:basedOn w:val="Normal"/>
    <w:link w:val="MessageHeaderChar"/>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link w:val="MessageHeader"/>
    <w:semiHidden/>
    <w:rsid w:val="00FF04E3"/>
    <w:rPr>
      <w:rFonts w:ascii="Cambria" w:hAnsi="Cambria"/>
      <w:sz w:val="24"/>
      <w:szCs w:val="24"/>
      <w:shd w:val="pct20" w:color="auto" w:fill="auto"/>
    </w:rPr>
  </w:style>
  <w:style w:type="paragraph" w:customStyle="1" w:styleId="MediumGrid21">
    <w:name w:val="Medium Grid 21"/>
    <w:uiPriority w:val="1"/>
    <w:semiHidden/>
    <w:qFormat/>
    <w:rsid w:val="00405336"/>
    <w:rPr>
      <w:sz w:val="24"/>
    </w:rPr>
  </w:style>
  <w:style w:type="paragraph" w:styleId="NormalWeb">
    <w:name w:val="Normal (Web)"/>
    <w:basedOn w:val="Normal"/>
    <w:uiPriority w:val="99"/>
    <w:rsid w:val="00405336"/>
    <w:rPr>
      <w:szCs w:val="24"/>
    </w:rPr>
  </w:style>
  <w:style w:type="paragraph" w:styleId="NormalIndent">
    <w:name w:val="Normal Indent"/>
    <w:basedOn w:val="Normal"/>
    <w:semiHidden/>
    <w:rsid w:val="00405336"/>
    <w:pPr>
      <w:ind w:left="720"/>
    </w:pPr>
  </w:style>
  <w:style w:type="paragraph" w:styleId="NoteHeading">
    <w:name w:val="Note Heading"/>
    <w:basedOn w:val="Normal"/>
    <w:next w:val="Normal"/>
    <w:link w:val="NoteHeadingChar"/>
    <w:semiHidden/>
    <w:rsid w:val="00405336"/>
  </w:style>
  <w:style w:type="character" w:customStyle="1" w:styleId="NoteHeadingChar">
    <w:name w:val="Note Heading Char"/>
    <w:link w:val="NoteHeading"/>
    <w:semiHidden/>
    <w:rsid w:val="00FF04E3"/>
    <w:rPr>
      <w:sz w:val="24"/>
    </w:rPr>
  </w:style>
  <w:style w:type="paragraph" w:styleId="PlainText">
    <w:name w:val="Plain Text"/>
    <w:basedOn w:val="Normal"/>
    <w:link w:val="PlainTextChar"/>
    <w:semiHidden/>
    <w:rsid w:val="00405336"/>
    <w:rPr>
      <w:rFonts w:ascii="Courier New" w:hAnsi="Courier New" w:cs="Courier New"/>
      <w:sz w:val="20"/>
    </w:rPr>
  </w:style>
  <w:style w:type="character" w:customStyle="1" w:styleId="PlainTextChar">
    <w:name w:val="Plain Text Char"/>
    <w:link w:val="PlainText"/>
    <w:semiHidden/>
    <w:rsid w:val="00FF04E3"/>
    <w:rPr>
      <w:rFonts w:ascii="Courier New" w:hAnsi="Courier New" w:cs="Courier New"/>
    </w:rPr>
  </w:style>
  <w:style w:type="paragraph" w:customStyle="1" w:styleId="ColorfulGrid-Accent11">
    <w:name w:val="Colorful Grid - Accent 11"/>
    <w:basedOn w:val="Normal"/>
    <w:next w:val="Normal"/>
    <w:link w:val="ColorfulGrid-Accent1Char"/>
    <w:uiPriority w:val="29"/>
    <w:semiHidden/>
    <w:qFormat/>
    <w:rsid w:val="00405336"/>
    <w:rPr>
      <w:i/>
      <w:iCs/>
      <w:color w:val="000000"/>
    </w:rPr>
  </w:style>
  <w:style w:type="character" w:customStyle="1" w:styleId="ColorfulGrid-Accent1Char">
    <w:name w:val="Colorful Grid - Accent 1 Char"/>
    <w:link w:val="ColorfulGrid-Accent11"/>
    <w:uiPriority w:val="29"/>
    <w:semiHidden/>
    <w:rsid w:val="00FF04E3"/>
    <w:rPr>
      <w:i/>
      <w:iCs/>
      <w:color w:val="000000"/>
      <w:sz w:val="24"/>
    </w:rPr>
  </w:style>
  <w:style w:type="paragraph" w:styleId="Salutation">
    <w:name w:val="Salutation"/>
    <w:basedOn w:val="Normal"/>
    <w:next w:val="Normal"/>
    <w:link w:val="SalutationChar"/>
    <w:semiHidden/>
    <w:rsid w:val="00405336"/>
  </w:style>
  <w:style w:type="character" w:customStyle="1" w:styleId="SalutationChar">
    <w:name w:val="Salutation Char"/>
    <w:link w:val="Salutation"/>
    <w:semiHidden/>
    <w:rsid w:val="00FF04E3"/>
    <w:rPr>
      <w:sz w:val="24"/>
    </w:rPr>
  </w:style>
  <w:style w:type="paragraph" w:styleId="Signature">
    <w:name w:val="Signature"/>
    <w:basedOn w:val="Normal"/>
    <w:link w:val="SignatureChar"/>
    <w:semiHidden/>
    <w:rsid w:val="00405336"/>
    <w:pPr>
      <w:ind w:left="4320"/>
    </w:pPr>
  </w:style>
  <w:style w:type="character" w:customStyle="1" w:styleId="SignatureChar">
    <w:name w:val="Signature Char"/>
    <w:link w:val="Signature"/>
    <w:semiHidden/>
    <w:rsid w:val="00FF04E3"/>
    <w:rPr>
      <w:sz w:val="24"/>
    </w:rPr>
  </w:style>
  <w:style w:type="paragraph" w:styleId="Subtitle">
    <w:name w:val="Subtitle"/>
    <w:basedOn w:val="Normal"/>
    <w:next w:val="Normal"/>
    <w:link w:val="SubtitleChar"/>
    <w:qFormat/>
    <w:rsid w:val="00405336"/>
    <w:pPr>
      <w:spacing w:after="60"/>
      <w:jc w:val="center"/>
      <w:outlineLvl w:val="1"/>
    </w:pPr>
    <w:rPr>
      <w:rFonts w:ascii="Cambria" w:hAnsi="Cambria"/>
      <w:szCs w:val="24"/>
    </w:rPr>
  </w:style>
  <w:style w:type="character" w:customStyle="1" w:styleId="SubtitleChar">
    <w:name w:val="Subtitle Char"/>
    <w:link w:val="Subtitle"/>
    <w:semiHidden/>
    <w:rsid w:val="00FF04E3"/>
    <w:rPr>
      <w:rFonts w:ascii="Cambria" w:hAnsi="Cambria"/>
      <w:sz w:val="24"/>
      <w:szCs w:val="24"/>
    </w:rPr>
  </w:style>
  <w:style w:type="paragraph" w:styleId="TableofAuthorities">
    <w:name w:val="table of authorities"/>
    <w:basedOn w:val="Normal"/>
    <w:next w:val="Normal"/>
    <w:semiHidden/>
    <w:rsid w:val="00405336"/>
    <w:pPr>
      <w:ind w:left="240" w:hanging="240"/>
    </w:pPr>
  </w:style>
  <w:style w:type="paragraph" w:styleId="TableofFigures">
    <w:name w:val="table of figures"/>
    <w:basedOn w:val="Normal"/>
    <w:next w:val="Normal"/>
    <w:semiHidden/>
    <w:rsid w:val="00405336"/>
  </w:style>
  <w:style w:type="paragraph" w:styleId="Title">
    <w:name w:val="Title"/>
    <w:basedOn w:val="Normal"/>
    <w:next w:val="Normal"/>
    <w:link w:val="TitleChar"/>
    <w:qFormat/>
    <w:rsid w:val="00405336"/>
    <w:pPr>
      <w:spacing w:before="240" w:after="60"/>
      <w:jc w:val="center"/>
      <w:outlineLvl w:val="0"/>
    </w:pPr>
    <w:rPr>
      <w:rFonts w:ascii="Cambria" w:hAnsi="Cambria"/>
      <w:b/>
      <w:bCs/>
      <w:kern w:val="28"/>
      <w:sz w:val="32"/>
      <w:szCs w:val="32"/>
    </w:rPr>
  </w:style>
  <w:style w:type="character" w:customStyle="1" w:styleId="TitleChar">
    <w:name w:val="Title Char"/>
    <w:link w:val="Title"/>
    <w:semiHidden/>
    <w:rsid w:val="00FF04E3"/>
    <w:rPr>
      <w:rFonts w:ascii="Cambria" w:hAnsi="Cambria"/>
      <w:b/>
      <w:bCs/>
      <w:kern w:val="28"/>
      <w:sz w:val="32"/>
      <w:szCs w:val="32"/>
    </w:rPr>
  </w:style>
  <w:style w:type="paragraph" w:styleId="TOAHeading">
    <w:name w:val="toa heading"/>
    <w:basedOn w:val="Normal"/>
    <w:next w:val="Normal"/>
    <w:semiHidden/>
    <w:rsid w:val="00405336"/>
    <w:pPr>
      <w:spacing w:before="120"/>
    </w:pPr>
    <w:rPr>
      <w:rFonts w:ascii="Cambria" w:hAnsi="Cambria"/>
      <w:b/>
      <w:bCs/>
      <w:szCs w:val="24"/>
    </w:rPr>
  </w:style>
  <w:style w:type="paragraph" w:styleId="TOC1">
    <w:name w:val="toc 1"/>
    <w:basedOn w:val="Normal"/>
    <w:next w:val="Normal"/>
    <w:autoRedefine/>
    <w:semiHidden/>
    <w:rsid w:val="00405336"/>
  </w:style>
  <w:style w:type="paragraph" w:styleId="TOC2">
    <w:name w:val="toc 2"/>
    <w:basedOn w:val="Normal"/>
    <w:next w:val="Normal"/>
    <w:autoRedefine/>
    <w:semiHidden/>
    <w:rsid w:val="00405336"/>
    <w:pPr>
      <w:ind w:left="240"/>
    </w:pPr>
  </w:style>
  <w:style w:type="paragraph" w:styleId="TOC3">
    <w:name w:val="toc 3"/>
    <w:basedOn w:val="Normal"/>
    <w:next w:val="Normal"/>
    <w:autoRedefine/>
    <w:semiHidden/>
    <w:rsid w:val="00405336"/>
    <w:pPr>
      <w:ind w:left="480"/>
    </w:pPr>
  </w:style>
  <w:style w:type="paragraph" w:styleId="TOC4">
    <w:name w:val="toc 4"/>
    <w:basedOn w:val="Normal"/>
    <w:next w:val="Normal"/>
    <w:autoRedefine/>
    <w:semiHidden/>
    <w:rsid w:val="00405336"/>
    <w:pPr>
      <w:ind w:left="720"/>
    </w:pPr>
  </w:style>
  <w:style w:type="paragraph" w:styleId="TOC5">
    <w:name w:val="toc 5"/>
    <w:basedOn w:val="Normal"/>
    <w:next w:val="Normal"/>
    <w:autoRedefine/>
    <w:semiHidden/>
    <w:rsid w:val="00405336"/>
    <w:pPr>
      <w:ind w:left="960"/>
    </w:pPr>
  </w:style>
  <w:style w:type="paragraph" w:styleId="TOC6">
    <w:name w:val="toc 6"/>
    <w:basedOn w:val="Normal"/>
    <w:next w:val="Normal"/>
    <w:autoRedefine/>
    <w:semiHidden/>
    <w:rsid w:val="00405336"/>
    <w:pPr>
      <w:ind w:left="1200"/>
    </w:pPr>
  </w:style>
  <w:style w:type="paragraph" w:styleId="TOC7">
    <w:name w:val="toc 7"/>
    <w:basedOn w:val="Normal"/>
    <w:next w:val="Normal"/>
    <w:autoRedefine/>
    <w:semiHidden/>
    <w:rsid w:val="00405336"/>
    <w:pPr>
      <w:ind w:left="1440"/>
    </w:pPr>
  </w:style>
  <w:style w:type="paragraph" w:styleId="TOC8">
    <w:name w:val="toc 8"/>
    <w:basedOn w:val="Normal"/>
    <w:next w:val="Normal"/>
    <w:autoRedefine/>
    <w:semiHidden/>
    <w:rsid w:val="00405336"/>
    <w:pPr>
      <w:ind w:left="1680"/>
    </w:pPr>
  </w:style>
  <w:style w:type="paragraph" w:styleId="TOC9">
    <w:name w:val="toc 9"/>
    <w:basedOn w:val="Normal"/>
    <w:next w:val="Normal"/>
    <w:autoRedefine/>
    <w:semiHidden/>
    <w:rsid w:val="00405336"/>
    <w:pPr>
      <w:ind w:left="1920"/>
    </w:pPr>
  </w:style>
  <w:style w:type="paragraph" w:customStyle="1" w:styleId="GridTable31">
    <w:name w:val="Grid Table 31"/>
    <w:basedOn w:val="Heading1"/>
    <w:next w:val="Normal"/>
    <w:uiPriority w:val="39"/>
    <w:semiHidden/>
    <w:unhideWhenUsed/>
    <w:qFormat/>
    <w:rsid w:val="00405336"/>
    <w:pPr>
      <w:outlineLvl w:val="9"/>
    </w:pPr>
    <w:rPr>
      <w:rFonts w:ascii="Cambria" w:hAnsi="Cambria"/>
      <w:sz w:val="32"/>
      <w:szCs w:val="32"/>
    </w:rPr>
  </w:style>
  <w:style w:type="character" w:styleId="Hyperlink">
    <w:name w:val="Hyperlink"/>
    <w:uiPriority w:val="99"/>
    <w:rsid w:val="007402FC"/>
    <w:rPr>
      <w:color w:val="0000FF"/>
      <w:u w:val="single"/>
    </w:rPr>
  </w:style>
  <w:style w:type="character" w:styleId="Emphasis">
    <w:name w:val="Emphasis"/>
    <w:uiPriority w:val="20"/>
    <w:qFormat/>
    <w:rsid w:val="00B42F9C"/>
    <w:rPr>
      <w:i/>
      <w:iCs/>
    </w:rPr>
  </w:style>
  <w:style w:type="character" w:styleId="CommentReference">
    <w:name w:val="annotation reference"/>
    <w:uiPriority w:val="99"/>
    <w:semiHidden/>
    <w:rsid w:val="009258B8"/>
    <w:rPr>
      <w:sz w:val="16"/>
      <w:szCs w:val="16"/>
    </w:rPr>
  </w:style>
  <w:style w:type="character" w:customStyle="1" w:styleId="UnresolvedMention1">
    <w:name w:val="Unresolved Mention1"/>
    <w:uiPriority w:val="99"/>
    <w:semiHidden/>
    <w:unhideWhenUsed/>
    <w:rsid w:val="00D04AD3"/>
    <w:rPr>
      <w:color w:val="605E5C"/>
      <w:shd w:val="clear" w:color="auto" w:fill="E1DFDD"/>
    </w:rPr>
  </w:style>
  <w:style w:type="paragraph" w:customStyle="1" w:styleId="Normal1">
    <w:name w:val="Normal1"/>
    <w:rsid w:val="00951646"/>
    <w:pPr>
      <w:spacing w:line="276" w:lineRule="auto"/>
    </w:pPr>
    <w:rPr>
      <w:rFonts w:ascii="Arial" w:eastAsia="Arial" w:hAnsi="Arial" w:cs="Arial"/>
      <w:color w:val="000000"/>
      <w:sz w:val="22"/>
      <w:szCs w:val="22"/>
      <w:lang w:eastAsia="de-DE"/>
    </w:rPr>
  </w:style>
  <w:style w:type="paragraph" w:customStyle="1" w:styleId="svarticle">
    <w:name w:val="svarticle"/>
    <w:basedOn w:val="Normal"/>
    <w:rsid w:val="00951646"/>
    <w:pPr>
      <w:spacing w:before="100" w:beforeAutospacing="1" w:after="100" w:afterAutospacing="1"/>
    </w:pPr>
    <w:rPr>
      <w:szCs w:val="24"/>
      <w:lang w:val="it-IT" w:eastAsia="it-IT"/>
    </w:rPr>
  </w:style>
  <w:style w:type="character" w:customStyle="1" w:styleId="InternetLink">
    <w:name w:val="Internet Link"/>
    <w:rsid w:val="00951646"/>
    <w:rPr>
      <w:color w:val="000080"/>
      <w:u w:val="single"/>
    </w:rPr>
  </w:style>
  <w:style w:type="table" w:styleId="TableGrid">
    <w:name w:val="Table Grid"/>
    <w:basedOn w:val="TableNormal"/>
    <w:uiPriority w:val="39"/>
    <w:rsid w:val="00F36BB1"/>
    <w:rPr>
      <w:rFonts w:ascii="Calibri" w:eastAsia="Calibri" w:hAnsi="Calibr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
    <w:name w:val="highlight"/>
    <w:rsid w:val="00005991"/>
  </w:style>
  <w:style w:type="character" w:customStyle="1" w:styleId="object">
    <w:name w:val="object"/>
    <w:rsid w:val="00322E3A"/>
  </w:style>
  <w:style w:type="character" w:styleId="Strong">
    <w:name w:val="Strong"/>
    <w:uiPriority w:val="22"/>
    <w:qFormat/>
    <w:rsid w:val="00C30D66"/>
    <w:rPr>
      <w:b/>
      <w:bCs/>
    </w:rPr>
  </w:style>
  <w:style w:type="paragraph" w:customStyle="1" w:styleId="ColorfulShading-Accent11">
    <w:name w:val="Colorful Shading - Accent 11"/>
    <w:hidden/>
    <w:uiPriority w:val="99"/>
    <w:semiHidden/>
    <w:rsid w:val="00DF0998"/>
    <w:rPr>
      <w:sz w:val="24"/>
    </w:rPr>
  </w:style>
  <w:style w:type="paragraph" w:styleId="Revision">
    <w:name w:val="Revision"/>
    <w:hidden/>
    <w:uiPriority w:val="99"/>
    <w:semiHidden/>
    <w:rsid w:val="00D5176D"/>
    <w:rPr>
      <w:sz w:val="24"/>
    </w:rPr>
  </w:style>
  <w:style w:type="character" w:customStyle="1" w:styleId="st">
    <w:name w:val="st"/>
    <w:rsid w:val="00765F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3178651">
      <w:bodyDiv w:val="1"/>
      <w:marLeft w:val="0"/>
      <w:marRight w:val="0"/>
      <w:marTop w:val="0"/>
      <w:marBottom w:val="0"/>
      <w:divBdr>
        <w:top w:val="none" w:sz="0" w:space="0" w:color="auto"/>
        <w:left w:val="none" w:sz="0" w:space="0" w:color="auto"/>
        <w:bottom w:val="none" w:sz="0" w:space="0" w:color="auto"/>
        <w:right w:val="none" w:sz="0" w:space="0" w:color="auto"/>
      </w:divBdr>
    </w:div>
    <w:div w:id="801460332">
      <w:bodyDiv w:val="1"/>
      <w:marLeft w:val="0"/>
      <w:marRight w:val="0"/>
      <w:marTop w:val="0"/>
      <w:marBottom w:val="0"/>
      <w:divBdr>
        <w:top w:val="none" w:sz="0" w:space="0" w:color="auto"/>
        <w:left w:val="none" w:sz="0" w:space="0" w:color="auto"/>
        <w:bottom w:val="none" w:sz="0" w:space="0" w:color="auto"/>
        <w:right w:val="none" w:sz="0" w:space="0" w:color="auto"/>
      </w:divBdr>
    </w:div>
    <w:div w:id="884610103">
      <w:bodyDiv w:val="1"/>
      <w:marLeft w:val="0"/>
      <w:marRight w:val="0"/>
      <w:marTop w:val="0"/>
      <w:marBottom w:val="0"/>
      <w:divBdr>
        <w:top w:val="none" w:sz="0" w:space="0" w:color="auto"/>
        <w:left w:val="none" w:sz="0" w:space="0" w:color="auto"/>
        <w:bottom w:val="none" w:sz="0" w:space="0" w:color="auto"/>
        <w:right w:val="none" w:sz="0" w:space="0" w:color="auto"/>
      </w:divBdr>
    </w:div>
    <w:div w:id="1024525317">
      <w:bodyDiv w:val="1"/>
      <w:marLeft w:val="0"/>
      <w:marRight w:val="0"/>
      <w:marTop w:val="0"/>
      <w:marBottom w:val="0"/>
      <w:divBdr>
        <w:top w:val="none" w:sz="0" w:space="0" w:color="auto"/>
        <w:left w:val="none" w:sz="0" w:space="0" w:color="auto"/>
        <w:bottom w:val="none" w:sz="0" w:space="0" w:color="auto"/>
        <w:right w:val="none" w:sz="0" w:space="0" w:color="auto"/>
      </w:divBdr>
    </w:div>
    <w:div w:id="1074744929">
      <w:bodyDiv w:val="1"/>
      <w:marLeft w:val="0"/>
      <w:marRight w:val="0"/>
      <w:marTop w:val="0"/>
      <w:marBottom w:val="0"/>
      <w:divBdr>
        <w:top w:val="none" w:sz="0" w:space="0" w:color="auto"/>
        <w:left w:val="none" w:sz="0" w:space="0" w:color="auto"/>
        <w:bottom w:val="none" w:sz="0" w:space="0" w:color="auto"/>
        <w:right w:val="none" w:sz="0" w:space="0" w:color="auto"/>
      </w:divBdr>
    </w:div>
    <w:div w:id="1172261474">
      <w:bodyDiv w:val="1"/>
      <w:marLeft w:val="0"/>
      <w:marRight w:val="0"/>
      <w:marTop w:val="0"/>
      <w:marBottom w:val="0"/>
      <w:divBdr>
        <w:top w:val="none" w:sz="0" w:space="0" w:color="auto"/>
        <w:left w:val="none" w:sz="0" w:space="0" w:color="auto"/>
        <w:bottom w:val="none" w:sz="0" w:space="0" w:color="auto"/>
        <w:right w:val="none" w:sz="0" w:space="0" w:color="auto"/>
      </w:divBdr>
    </w:div>
    <w:div w:id="1360428961">
      <w:bodyDiv w:val="1"/>
      <w:marLeft w:val="0"/>
      <w:marRight w:val="0"/>
      <w:marTop w:val="0"/>
      <w:marBottom w:val="0"/>
      <w:divBdr>
        <w:top w:val="none" w:sz="0" w:space="0" w:color="auto"/>
        <w:left w:val="none" w:sz="0" w:space="0" w:color="auto"/>
        <w:bottom w:val="none" w:sz="0" w:space="0" w:color="auto"/>
        <w:right w:val="none" w:sz="0" w:space="0" w:color="auto"/>
      </w:divBdr>
    </w:div>
    <w:div w:id="1452431709">
      <w:bodyDiv w:val="1"/>
      <w:marLeft w:val="0"/>
      <w:marRight w:val="0"/>
      <w:marTop w:val="0"/>
      <w:marBottom w:val="0"/>
      <w:divBdr>
        <w:top w:val="none" w:sz="0" w:space="0" w:color="auto"/>
        <w:left w:val="none" w:sz="0" w:space="0" w:color="auto"/>
        <w:bottom w:val="none" w:sz="0" w:space="0" w:color="auto"/>
        <w:right w:val="none" w:sz="0" w:space="0" w:color="auto"/>
      </w:divBdr>
    </w:div>
    <w:div w:id="1469545632">
      <w:bodyDiv w:val="1"/>
      <w:marLeft w:val="0"/>
      <w:marRight w:val="0"/>
      <w:marTop w:val="0"/>
      <w:marBottom w:val="0"/>
      <w:divBdr>
        <w:top w:val="none" w:sz="0" w:space="0" w:color="auto"/>
        <w:left w:val="none" w:sz="0" w:space="0" w:color="auto"/>
        <w:bottom w:val="none" w:sz="0" w:space="0" w:color="auto"/>
        <w:right w:val="none" w:sz="0" w:space="0" w:color="auto"/>
      </w:divBdr>
    </w:div>
    <w:div w:id="1601835410">
      <w:bodyDiv w:val="1"/>
      <w:marLeft w:val="0"/>
      <w:marRight w:val="0"/>
      <w:marTop w:val="0"/>
      <w:marBottom w:val="0"/>
      <w:divBdr>
        <w:top w:val="none" w:sz="0" w:space="0" w:color="auto"/>
        <w:left w:val="none" w:sz="0" w:space="0" w:color="auto"/>
        <w:bottom w:val="none" w:sz="0" w:space="0" w:color="auto"/>
        <w:right w:val="none" w:sz="0" w:space="0" w:color="auto"/>
      </w:divBdr>
    </w:div>
    <w:div w:id="1670131882">
      <w:bodyDiv w:val="1"/>
      <w:marLeft w:val="0"/>
      <w:marRight w:val="0"/>
      <w:marTop w:val="0"/>
      <w:marBottom w:val="0"/>
      <w:divBdr>
        <w:top w:val="none" w:sz="0" w:space="0" w:color="auto"/>
        <w:left w:val="none" w:sz="0" w:space="0" w:color="auto"/>
        <w:bottom w:val="none" w:sz="0" w:space="0" w:color="auto"/>
        <w:right w:val="none" w:sz="0" w:space="0" w:color="auto"/>
      </w:divBdr>
      <w:divsChild>
        <w:div w:id="110056954">
          <w:marLeft w:val="0"/>
          <w:marRight w:val="0"/>
          <w:marTop w:val="0"/>
          <w:marBottom w:val="0"/>
          <w:divBdr>
            <w:top w:val="none" w:sz="0" w:space="0" w:color="auto"/>
            <w:left w:val="none" w:sz="0" w:space="0" w:color="auto"/>
            <w:bottom w:val="none" w:sz="0" w:space="0" w:color="auto"/>
            <w:right w:val="none" w:sz="0" w:space="0" w:color="auto"/>
          </w:divBdr>
        </w:div>
        <w:div w:id="135343264">
          <w:marLeft w:val="0"/>
          <w:marRight w:val="0"/>
          <w:marTop w:val="0"/>
          <w:marBottom w:val="0"/>
          <w:divBdr>
            <w:top w:val="none" w:sz="0" w:space="0" w:color="auto"/>
            <w:left w:val="none" w:sz="0" w:space="0" w:color="auto"/>
            <w:bottom w:val="none" w:sz="0" w:space="0" w:color="auto"/>
            <w:right w:val="none" w:sz="0" w:space="0" w:color="auto"/>
          </w:divBdr>
        </w:div>
        <w:div w:id="233205472">
          <w:marLeft w:val="0"/>
          <w:marRight w:val="0"/>
          <w:marTop w:val="0"/>
          <w:marBottom w:val="0"/>
          <w:divBdr>
            <w:top w:val="none" w:sz="0" w:space="0" w:color="auto"/>
            <w:left w:val="none" w:sz="0" w:space="0" w:color="auto"/>
            <w:bottom w:val="none" w:sz="0" w:space="0" w:color="auto"/>
            <w:right w:val="none" w:sz="0" w:space="0" w:color="auto"/>
          </w:divBdr>
        </w:div>
        <w:div w:id="531038898">
          <w:marLeft w:val="0"/>
          <w:marRight w:val="0"/>
          <w:marTop w:val="0"/>
          <w:marBottom w:val="0"/>
          <w:divBdr>
            <w:top w:val="none" w:sz="0" w:space="0" w:color="auto"/>
            <w:left w:val="none" w:sz="0" w:space="0" w:color="auto"/>
            <w:bottom w:val="none" w:sz="0" w:space="0" w:color="auto"/>
            <w:right w:val="none" w:sz="0" w:space="0" w:color="auto"/>
          </w:divBdr>
        </w:div>
        <w:div w:id="10673406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uman.brain-map.org/" TargetMode="External"/><Relationship Id="rId13" Type="http://schemas.openxmlformats.org/officeDocument/2006/relationships/hyperlink" Target="http://www.epigad.org" TargetMode="External"/><Relationship Id="rId18" Type="http://schemas.openxmlformats.org/officeDocument/2006/relationships/image" Target="media/image2.png"/><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well.ox.ac.uk/~wrayner/strand/" TargetMode="External"/><Relationship Id="rId17" Type="http://schemas.openxmlformats.org/officeDocument/2006/relationships/image" Target="media/image1.png"/><Relationship Id="rId25" Type="http://schemas.openxmlformats.org/officeDocument/2006/relationships/image" Target="media/image8.png"/><Relationship Id="rId33" Type="http://schemas.openxmlformats.org/officeDocument/2006/relationships/image" Target="media/image16.tif"/><Relationship Id="rId2" Type="http://schemas.openxmlformats.org/officeDocument/2006/relationships/numbering" Target="numbering.xml"/><Relationship Id="rId16" Type="http://schemas.openxmlformats.org/officeDocument/2006/relationships/hyperlink" Target="https://www.nc3rs.org.uk/the-3rs" TargetMode="External"/><Relationship Id="rId20" Type="http://schemas.openxmlformats.org/officeDocument/2006/relationships/image" Target="media/image3.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pipgx.eu" TargetMode="Externa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bioeng.nus.edu.sg/cfa/mouse_atlas.html"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fontTable" Target="fontTable.xml"/><Relationship Id="rId10" Type="http://schemas.openxmlformats.org/officeDocument/2006/relationships/hyperlink" Target="https://github.com/shenlab-sinai/geneoverlap" TargetMode="External"/><Relationship Id="rId19" Type="http://schemas.openxmlformats.org/officeDocument/2006/relationships/hyperlink" Target="https://github.com/shenlab-sinai/geneoverlap" TargetMode="External"/><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hyperlink" Target="https://github.com/chrisgorgo/alleninf/tree/master/alleninf/data" TargetMode="External"/><Relationship Id="rId14" Type="http://schemas.openxmlformats.org/officeDocument/2006/relationships/hyperlink" Target="http://www.sigmaaldrich.com/catalog/product/sigma/k0250"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736201-FAF6-E343-B23C-85C3DECF85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66925</Words>
  <Characters>381478</Characters>
  <Application>Microsoft Office Word</Application>
  <DocSecurity>0</DocSecurity>
  <Lines>3178</Lines>
  <Paragraphs>895</Paragraphs>
  <ScaleCrop>false</ScaleCrop>
  <HeadingPairs>
    <vt:vector size="2" baseType="variant">
      <vt:variant>
        <vt:lpstr>Title</vt:lpstr>
      </vt:variant>
      <vt:variant>
        <vt:i4>1</vt:i4>
      </vt:variant>
    </vt:vector>
  </HeadingPairs>
  <TitlesOfParts>
    <vt:vector size="1" baseType="lpstr">
      <vt:lpstr>Supporting Online Material for</vt:lpstr>
    </vt:vector>
  </TitlesOfParts>
  <Company>AAAS</Company>
  <LinksUpToDate>false</LinksUpToDate>
  <CharactersWithSpaces>447508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c:creator>
  <cp:keywords/>
  <cp:lastModifiedBy>Rajan, Pavithra -</cp:lastModifiedBy>
  <cp:revision>5</cp:revision>
  <cp:lastPrinted>2019-10-01T09:12:00Z</cp:lastPrinted>
  <dcterms:created xsi:type="dcterms:W3CDTF">2021-07-15T09:38:00Z</dcterms:created>
  <dcterms:modified xsi:type="dcterms:W3CDTF">2021-07-20T04:48:00Z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http://www.zotero.org/styles/brain</vt:lpwstr>
  </property>
  <property fmtid="{D5CDD505-2E9C-101B-9397-08002B2CF9AE}" pid="7" name="Mendeley Recent Style Name 2_1">
    <vt:lpwstr>Brain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http://www.zotero.org/styles/modern-language-association</vt:lpwstr>
  </property>
  <property fmtid="{D5CDD505-2E9C-101B-9397-08002B2CF9AE}" pid="11" name="Mendeley Recent Style Name 4_1">
    <vt:lpwstr>Modern Language Association 8th edition</vt:lpwstr>
  </property>
  <property fmtid="{D5CDD505-2E9C-101B-9397-08002B2CF9AE}" pid="12" name="Mendeley Recent Style Id 5_1">
    <vt:lpwstr>http://www.zotero.org/styles/nature-publishing-group-vancouver</vt:lpwstr>
  </property>
  <property fmtid="{D5CDD505-2E9C-101B-9397-08002B2CF9AE}" pid="13" name="Mendeley Recent Style Name 5_1">
    <vt:lpwstr>Nature Publishing Group - Vancouver</vt:lpwstr>
  </property>
  <property fmtid="{D5CDD505-2E9C-101B-9397-08002B2CF9AE}" pid="14" name="Mendeley Recent Style Id 6_1">
    <vt:lpwstr>http://www.zotero.org/styles/neurobiology-of-aging</vt:lpwstr>
  </property>
  <property fmtid="{D5CDD505-2E9C-101B-9397-08002B2CF9AE}" pid="15" name="Mendeley Recent Style Name 6_1">
    <vt:lpwstr>Neurobiology of Aging</vt:lpwstr>
  </property>
  <property fmtid="{D5CDD505-2E9C-101B-9397-08002B2CF9AE}" pid="16" name="Mendeley Recent Style Id 7_1">
    <vt:lpwstr>http://www.zotero.org/styles/science-translational-medicine</vt:lpwstr>
  </property>
  <property fmtid="{D5CDD505-2E9C-101B-9397-08002B2CF9AE}" pid="17" name="Mendeley Recent Style Name 7_1">
    <vt:lpwstr>Science Translational Medicine</vt:lpwstr>
  </property>
  <property fmtid="{D5CDD505-2E9C-101B-9397-08002B2CF9AE}" pid="18" name="Mendeley Recent Style Id 8_1">
    <vt:lpwstr>http://www.zotero.org/styles/the-journal-of-physiology</vt:lpwstr>
  </property>
  <property fmtid="{D5CDD505-2E9C-101B-9397-08002B2CF9AE}" pid="19" name="Mendeley Recent Style Name 8_1">
    <vt:lpwstr>The Journal of Physiology</vt:lpwstr>
  </property>
  <property fmtid="{D5CDD505-2E9C-101B-9397-08002B2CF9AE}" pid="20" name="Mendeley Recent Style Id 9_1">
    <vt:lpwstr>http://www.zotero.org/styles/vancouver</vt:lpwstr>
  </property>
  <property fmtid="{D5CDD505-2E9C-101B-9397-08002B2CF9AE}" pid="21" name="Mendeley Recent Style Name 9_1">
    <vt:lpwstr>Vancouver_NAN</vt:lpwstr>
  </property>
  <property fmtid="{D5CDD505-2E9C-101B-9397-08002B2CF9AE}" pid="22" name="Mendeley Document_1">
    <vt:lpwstr>True</vt:lpwstr>
  </property>
  <property fmtid="{D5CDD505-2E9C-101B-9397-08002B2CF9AE}" pid="23" name="Mendeley Unique User Id_1">
    <vt:lpwstr>1e287b2f-179d-3594-9d38-5a4f23660327</vt:lpwstr>
  </property>
  <property fmtid="{D5CDD505-2E9C-101B-9397-08002B2CF9AE}" pid="24" name="Mendeley Citation Style_1">
    <vt:lpwstr>http://www.zotero.org/styles/vancouver</vt:lpwstr>
  </property>
</Properties>
</file>