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A093CA" w14:textId="77777777" w:rsidR="00F671B7" w:rsidRPr="006F6EE7" w:rsidRDefault="00F671B7" w:rsidP="00F671B7">
      <w:pPr>
        <w:pStyle w:val="SOMHead"/>
        <w:spacing w:before="0" w:line="480" w:lineRule="auto"/>
      </w:pPr>
      <w:r w:rsidRPr="006F6EE7">
        <w:t>Supplementary Materials</w:t>
      </w:r>
    </w:p>
    <w:p w14:paraId="00A093CB" w14:textId="33621F16" w:rsidR="00F671B7" w:rsidRPr="006F6EE7" w:rsidRDefault="00F671B7" w:rsidP="00F671B7">
      <w:pPr>
        <w:pStyle w:val="Normal0"/>
        <w:spacing w:before="100" w:beforeAutospacing="1" w:after="100" w:afterAutospacing="1" w:line="480" w:lineRule="auto"/>
        <w:jc w:val="both"/>
      </w:pPr>
      <w:r w:rsidRPr="006F6EE7">
        <w:rPr>
          <w:rFonts w:eastAsia="Times New Roman"/>
          <w:i/>
          <w:iCs/>
          <w:lang w:eastAsia="cs-CZ"/>
        </w:rPr>
        <w:t xml:space="preserve"> Suppl. </w:t>
      </w:r>
      <w:r w:rsidRPr="006F6EE7">
        <w:rPr>
          <w:rFonts w:eastAsia="Times New Roman"/>
          <w:i/>
          <w:iCs/>
          <w:color w:val="000000"/>
          <w:lang w:eastAsia="cs-CZ"/>
        </w:rPr>
        <w:t xml:space="preserve">Table 1: </w:t>
      </w:r>
      <w:r w:rsidRPr="006F6EE7">
        <w:rPr>
          <w:rFonts w:eastAsia="Times New Roman"/>
          <w:i/>
          <w:iCs/>
          <w:lang w:eastAsia="cs-CZ"/>
        </w:rPr>
        <w:t xml:space="preserve">Soil Analysis Results from </w:t>
      </w:r>
      <w:proofErr w:type="spellStart"/>
      <w:r w:rsidRPr="006F6EE7">
        <w:rPr>
          <w:rFonts w:eastAsia="Times New Roman"/>
          <w:i/>
          <w:iCs/>
          <w:lang w:eastAsia="cs-CZ"/>
        </w:rPr>
        <w:t>Plasy</w:t>
      </w:r>
      <w:proofErr w:type="spellEnd"/>
      <w:r w:rsidRPr="006F6EE7">
        <w:rPr>
          <w:rFonts w:eastAsia="Times New Roman"/>
          <w:i/>
          <w:iCs/>
          <w:lang w:eastAsia="cs-CZ"/>
        </w:rPr>
        <w:t xml:space="preserve"> and Nepomuk seed orchards from 1988 and 2015. The Forestry and Game Management Research Institute prepared data from 1988. For the 2015 data, n=6 (Nepomuk), n=7 (</w:t>
      </w:r>
      <w:proofErr w:type="spellStart"/>
      <w:r w:rsidRPr="006F6EE7">
        <w:rPr>
          <w:rFonts w:eastAsia="Times New Roman"/>
          <w:i/>
          <w:iCs/>
          <w:lang w:eastAsia="cs-CZ"/>
        </w:rPr>
        <w:t>Plasy</w:t>
      </w:r>
      <w:proofErr w:type="spellEnd"/>
      <w:r w:rsidRPr="006F6EE7">
        <w:rPr>
          <w:rFonts w:eastAsia="Times New Roman"/>
          <w:i/>
          <w:iCs/>
          <w:lang w:eastAsia="cs-CZ"/>
        </w:rPr>
        <w:t xml:space="preserve">). The </w:t>
      </w:r>
      <w:r w:rsidR="002338CE">
        <w:rPr>
          <w:rFonts w:eastAsia="Times New Roman"/>
          <w:i/>
          <w:iCs/>
          <w:lang w:eastAsia="cs-CZ"/>
        </w:rPr>
        <w:t>-</w:t>
      </w:r>
      <w:r w:rsidRPr="006F6EE7">
        <w:rPr>
          <w:rFonts w:eastAsia="Times New Roman"/>
          <w:i/>
          <w:iCs/>
          <w:lang w:eastAsia="cs-CZ"/>
        </w:rPr>
        <w:t xml:space="preserve"> </w:t>
      </w:r>
      <w:r w:rsidR="002338CE">
        <w:rPr>
          <w:rFonts w:eastAsia="Times New Roman"/>
          <w:i/>
          <w:iCs/>
          <w:lang w:eastAsia="cs-CZ"/>
        </w:rPr>
        <w:t>symbol</w:t>
      </w:r>
      <w:r w:rsidRPr="006F6EE7">
        <w:rPr>
          <w:rFonts w:eastAsia="Times New Roman"/>
          <w:i/>
          <w:iCs/>
          <w:lang w:eastAsia="cs-CZ"/>
        </w:rPr>
        <w:t xml:space="preserve"> indicates that the analysis was not performed.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241"/>
        <w:gridCol w:w="1552"/>
        <w:gridCol w:w="1413"/>
        <w:gridCol w:w="1412"/>
        <w:gridCol w:w="1408"/>
      </w:tblGrid>
      <w:tr w:rsidR="00F671B7" w14:paraId="00A093CF" w14:textId="77777777" w:rsidTr="00EF4F01">
        <w:tc>
          <w:tcPr>
            <w:tcW w:w="3256" w:type="dxa"/>
            <w:vMerge w:val="restart"/>
            <w:tcBorders>
              <w:right w:val="single" w:sz="4" w:space="0" w:color="auto"/>
            </w:tcBorders>
          </w:tcPr>
          <w:p w14:paraId="00A093CC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</w:p>
        </w:tc>
        <w:tc>
          <w:tcPr>
            <w:tcW w:w="2976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0A093CD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1988</w:t>
            </w:r>
          </w:p>
        </w:tc>
        <w:tc>
          <w:tcPr>
            <w:tcW w:w="2830" w:type="dxa"/>
            <w:gridSpan w:val="2"/>
            <w:tcBorders>
              <w:left w:val="single" w:sz="4" w:space="0" w:color="auto"/>
            </w:tcBorders>
          </w:tcPr>
          <w:p w14:paraId="00A093CE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2015</w:t>
            </w:r>
          </w:p>
        </w:tc>
      </w:tr>
      <w:tr w:rsidR="00F671B7" w14:paraId="00A093D5" w14:textId="77777777" w:rsidTr="00EF4F01">
        <w:tc>
          <w:tcPr>
            <w:tcW w:w="3256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14:paraId="00A093D0" w14:textId="77777777" w:rsidR="00F671B7" w:rsidRPr="006F6EE7" w:rsidRDefault="00F671B7" w:rsidP="00EF4F01">
            <w:pPr>
              <w:pStyle w:val="Normal0"/>
              <w:spacing w:line="480" w:lineRule="auto"/>
              <w:rPr>
                <w:rFonts w:eastAsia="Times New Roman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093D1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proofErr w:type="spellStart"/>
            <w:r w:rsidRPr="006F6EE7">
              <w:rPr>
                <w:rFonts w:eastAsia="Times New Roman"/>
                <w:sz w:val="18"/>
                <w:szCs w:val="18"/>
              </w:rPr>
              <w:t>Plasy</w:t>
            </w:r>
            <w:proofErr w:type="spellEnd"/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093D2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Nepomuk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093D3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proofErr w:type="spellStart"/>
            <w:r w:rsidRPr="006F6EE7">
              <w:rPr>
                <w:rFonts w:eastAsia="Times New Roman"/>
                <w:sz w:val="18"/>
                <w:szCs w:val="18"/>
              </w:rPr>
              <w:t>Plasy</w:t>
            </w:r>
            <w:proofErr w:type="spellEnd"/>
          </w:p>
        </w:tc>
        <w:tc>
          <w:tcPr>
            <w:tcW w:w="1412" w:type="dxa"/>
            <w:tcBorders>
              <w:left w:val="single" w:sz="4" w:space="0" w:color="auto"/>
              <w:bottom w:val="single" w:sz="4" w:space="0" w:color="auto"/>
            </w:tcBorders>
          </w:tcPr>
          <w:p w14:paraId="00A093D4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Nepomuk</w:t>
            </w:r>
          </w:p>
        </w:tc>
      </w:tr>
      <w:tr w:rsidR="00F671B7" w14:paraId="00A093DB" w14:textId="77777777" w:rsidTr="00EF4F01">
        <w:tc>
          <w:tcPr>
            <w:tcW w:w="3256" w:type="dxa"/>
            <w:tcBorders>
              <w:top w:val="single" w:sz="4" w:space="0" w:color="auto"/>
              <w:right w:val="single" w:sz="4" w:space="0" w:color="auto"/>
            </w:tcBorders>
          </w:tcPr>
          <w:p w14:paraId="00A093D6" w14:textId="77777777" w:rsidR="00F671B7" w:rsidRPr="006F6EE7" w:rsidRDefault="00F671B7" w:rsidP="00EF4F01">
            <w:pPr>
              <w:pStyle w:val="Normal0"/>
              <w:spacing w:line="480" w:lineRule="auto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exchange acidity of soil - pH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0A093D7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3.3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0A093D8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3.6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0A093D9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3.7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</w:tcBorders>
          </w:tcPr>
          <w:p w14:paraId="00A093DA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3.8</w:t>
            </w:r>
          </w:p>
        </w:tc>
      </w:tr>
      <w:tr w:rsidR="00F671B7" w14:paraId="00A093E1" w14:textId="77777777" w:rsidTr="00EF4F01">
        <w:tc>
          <w:tcPr>
            <w:tcW w:w="3256" w:type="dxa"/>
            <w:tcBorders>
              <w:right w:val="single" w:sz="4" w:space="0" w:color="auto"/>
            </w:tcBorders>
          </w:tcPr>
          <w:p w14:paraId="00A093DC" w14:textId="77777777" w:rsidR="00F671B7" w:rsidRPr="006F6EE7" w:rsidRDefault="00F671B7" w:rsidP="00EF4F01">
            <w:pPr>
              <w:pStyle w:val="Normal0"/>
              <w:spacing w:line="480" w:lineRule="auto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Calcium content (mg Ca/kg)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00A093DD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263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</w:tcPr>
          <w:p w14:paraId="00A093DE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293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14:paraId="00A093DF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441</w:t>
            </w:r>
          </w:p>
        </w:tc>
        <w:tc>
          <w:tcPr>
            <w:tcW w:w="1412" w:type="dxa"/>
            <w:tcBorders>
              <w:left w:val="single" w:sz="4" w:space="0" w:color="auto"/>
            </w:tcBorders>
          </w:tcPr>
          <w:p w14:paraId="00A093E0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660</w:t>
            </w:r>
          </w:p>
        </w:tc>
      </w:tr>
      <w:tr w:rsidR="00F671B7" w14:paraId="00A093E7" w14:textId="77777777" w:rsidTr="00EF4F01">
        <w:tc>
          <w:tcPr>
            <w:tcW w:w="3256" w:type="dxa"/>
            <w:tcBorders>
              <w:right w:val="single" w:sz="4" w:space="0" w:color="auto"/>
            </w:tcBorders>
          </w:tcPr>
          <w:p w14:paraId="00A093E2" w14:textId="77777777" w:rsidR="00F671B7" w:rsidRPr="006F6EE7" w:rsidRDefault="00F671B7" w:rsidP="00EF4F01">
            <w:pPr>
              <w:pStyle w:val="Normal0"/>
              <w:spacing w:line="480" w:lineRule="auto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Magnesium content (mg Mg/kg)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00A093E3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50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</w:tcPr>
          <w:p w14:paraId="00A093E4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41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14:paraId="00A093E5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53</w:t>
            </w:r>
          </w:p>
        </w:tc>
        <w:tc>
          <w:tcPr>
            <w:tcW w:w="1412" w:type="dxa"/>
            <w:tcBorders>
              <w:left w:val="single" w:sz="4" w:space="0" w:color="auto"/>
            </w:tcBorders>
          </w:tcPr>
          <w:p w14:paraId="00A093E6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121</w:t>
            </w:r>
          </w:p>
        </w:tc>
      </w:tr>
      <w:tr w:rsidR="00F671B7" w14:paraId="00A093ED" w14:textId="77777777" w:rsidTr="00EF4F01">
        <w:tc>
          <w:tcPr>
            <w:tcW w:w="3256" w:type="dxa"/>
            <w:tcBorders>
              <w:right w:val="single" w:sz="4" w:space="0" w:color="auto"/>
            </w:tcBorders>
          </w:tcPr>
          <w:p w14:paraId="00A093E8" w14:textId="77777777" w:rsidR="00F671B7" w:rsidRPr="006F6EE7" w:rsidRDefault="00F671B7" w:rsidP="00EF4F01">
            <w:pPr>
              <w:pStyle w:val="Normal0"/>
              <w:spacing w:line="480" w:lineRule="auto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Phosphorous content (mg P/kg)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00A093E9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11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</w:tcPr>
          <w:p w14:paraId="00A093EA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36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14:paraId="00A093EB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19</w:t>
            </w:r>
          </w:p>
        </w:tc>
        <w:tc>
          <w:tcPr>
            <w:tcW w:w="1412" w:type="dxa"/>
            <w:tcBorders>
              <w:left w:val="single" w:sz="4" w:space="0" w:color="auto"/>
            </w:tcBorders>
          </w:tcPr>
          <w:p w14:paraId="00A093EC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9</w:t>
            </w:r>
          </w:p>
        </w:tc>
      </w:tr>
      <w:tr w:rsidR="00F671B7" w14:paraId="00A093F3" w14:textId="77777777" w:rsidTr="00EF4F01">
        <w:tc>
          <w:tcPr>
            <w:tcW w:w="3256" w:type="dxa"/>
            <w:tcBorders>
              <w:right w:val="single" w:sz="4" w:space="0" w:color="auto"/>
            </w:tcBorders>
          </w:tcPr>
          <w:p w14:paraId="00A093EE" w14:textId="77777777" w:rsidR="00F671B7" w:rsidRPr="006F6EE7" w:rsidRDefault="00F671B7" w:rsidP="00EF4F01">
            <w:pPr>
              <w:pStyle w:val="Normal0"/>
              <w:spacing w:line="480" w:lineRule="auto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Potassium content (mg K/kg)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00A093EF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20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</w:tcPr>
          <w:p w14:paraId="00A093F0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43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14:paraId="00A093F1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83</w:t>
            </w:r>
          </w:p>
        </w:tc>
        <w:tc>
          <w:tcPr>
            <w:tcW w:w="1412" w:type="dxa"/>
            <w:tcBorders>
              <w:left w:val="single" w:sz="4" w:space="0" w:color="auto"/>
            </w:tcBorders>
          </w:tcPr>
          <w:p w14:paraId="00A093F2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92</w:t>
            </w:r>
          </w:p>
        </w:tc>
      </w:tr>
      <w:tr w:rsidR="00F671B7" w14:paraId="00A093F9" w14:textId="77777777" w:rsidTr="00EF4F01">
        <w:tc>
          <w:tcPr>
            <w:tcW w:w="3256" w:type="dxa"/>
            <w:tcBorders>
              <w:right w:val="single" w:sz="4" w:space="0" w:color="auto"/>
            </w:tcBorders>
          </w:tcPr>
          <w:p w14:paraId="00A093F4" w14:textId="77777777" w:rsidR="00F671B7" w:rsidRPr="006F6EE7" w:rsidRDefault="00F671B7" w:rsidP="00EF4F01">
            <w:pPr>
              <w:pStyle w:val="Normal0"/>
              <w:spacing w:line="480" w:lineRule="auto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Carbon content (% C)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00A093F5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</w:tcPr>
          <w:p w14:paraId="00A093F6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14:paraId="00A093F7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1.7</w:t>
            </w:r>
          </w:p>
        </w:tc>
        <w:tc>
          <w:tcPr>
            <w:tcW w:w="1412" w:type="dxa"/>
            <w:tcBorders>
              <w:left w:val="single" w:sz="4" w:space="0" w:color="auto"/>
            </w:tcBorders>
          </w:tcPr>
          <w:p w14:paraId="00A093F8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1.3</w:t>
            </w:r>
          </w:p>
        </w:tc>
      </w:tr>
      <w:tr w:rsidR="00F671B7" w14:paraId="00A093FF" w14:textId="77777777" w:rsidTr="00EF4F01">
        <w:tc>
          <w:tcPr>
            <w:tcW w:w="3256" w:type="dxa"/>
            <w:tcBorders>
              <w:right w:val="single" w:sz="4" w:space="0" w:color="auto"/>
            </w:tcBorders>
          </w:tcPr>
          <w:p w14:paraId="00A093FA" w14:textId="77777777" w:rsidR="00F671B7" w:rsidRPr="006F6EE7" w:rsidRDefault="00F671B7" w:rsidP="00EF4F01">
            <w:pPr>
              <w:pStyle w:val="Normal0"/>
              <w:spacing w:line="480" w:lineRule="auto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Nitrogen content (% N)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00A093FB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0.05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</w:tcPr>
          <w:p w14:paraId="00A093FC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0.08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14:paraId="00A093FD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0.11</w:t>
            </w:r>
          </w:p>
        </w:tc>
        <w:tc>
          <w:tcPr>
            <w:tcW w:w="1412" w:type="dxa"/>
            <w:tcBorders>
              <w:left w:val="single" w:sz="4" w:space="0" w:color="auto"/>
            </w:tcBorders>
          </w:tcPr>
          <w:p w14:paraId="00A093FE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0.16</w:t>
            </w:r>
          </w:p>
        </w:tc>
      </w:tr>
      <w:tr w:rsidR="00F671B7" w14:paraId="00A09405" w14:textId="77777777" w:rsidTr="00EF4F01">
        <w:tc>
          <w:tcPr>
            <w:tcW w:w="3256" w:type="dxa"/>
            <w:tcBorders>
              <w:right w:val="single" w:sz="4" w:space="0" w:color="auto"/>
            </w:tcBorders>
          </w:tcPr>
          <w:p w14:paraId="00A09400" w14:textId="77777777" w:rsidR="00F671B7" w:rsidRPr="006F6EE7" w:rsidRDefault="00F671B7" w:rsidP="00EF4F01">
            <w:pPr>
              <w:pStyle w:val="Normal0"/>
              <w:spacing w:line="480" w:lineRule="auto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Hummus content (%)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00A09401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1.7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</w:tcPr>
          <w:p w14:paraId="00A09402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1.61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14:paraId="00A09403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3</w:t>
            </w:r>
          </w:p>
        </w:tc>
        <w:tc>
          <w:tcPr>
            <w:tcW w:w="1412" w:type="dxa"/>
            <w:tcBorders>
              <w:left w:val="single" w:sz="4" w:space="0" w:color="auto"/>
            </w:tcBorders>
          </w:tcPr>
          <w:p w14:paraId="00A09404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2.2</w:t>
            </w:r>
          </w:p>
        </w:tc>
      </w:tr>
      <w:tr w:rsidR="00F671B7" w14:paraId="00A0940B" w14:textId="77777777" w:rsidTr="00EF4F01">
        <w:tc>
          <w:tcPr>
            <w:tcW w:w="3256" w:type="dxa"/>
            <w:tcBorders>
              <w:right w:val="single" w:sz="4" w:space="0" w:color="auto"/>
            </w:tcBorders>
          </w:tcPr>
          <w:p w14:paraId="00A09406" w14:textId="77777777" w:rsidR="00F671B7" w:rsidRPr="006F6EE7" w:rsidRDefault="00F671B7" w:rsidP="00EF4F01">
            <w:pPr>
              <w:pStyle w:val="Normal0"/>
              <w:spacing w:line="480" w:lineRule="auto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C:N ratio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00A09407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20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</w:tcPr>
          <w:p w14:paraId="00A09408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8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14:paraId="00A09409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14</w:t>
            </w:r>
          </w:p>
        </w:tc>
        <w:tc>
          <w:tcPr>
            <w:tcW w:w="1412" w:type="dxa"/>
            <w:tcBorders>
              <w:left w:val="single" w:sz="4" w:space="0" w:color="auto"/>
            </w:tcBorders>
          </w:tcPr>
          <w:p w14:paraId="00A0940A" w14:textId="77777777" w:rsidR="00F671B7" w:rsidRPr="006F6EE7" w:rsidRDefault="00F671B7" w:rsidP="00EF4F01">
            <w:pPr>
              <w:pStyle w:val="Normal0"/>
              <w:spacing w:line="480" w:lineRule="auto"/>
              <w:jc w:val="center"/>
              <w:rPr>
                <w:rFonts w:eastAsia="Times New Roman"/>
                <w:sz w:val="18"/>
                <w:szCs w:val="18"/>
              </w:rPr>
            </w:pPr>
            <w:r w:rsidRPr="006F6EE7">
              <w:rPr>
                <w:rFonts w:eastAsia="Times New Roman"/>
                <w:sz w:val="18"/>
                <w:szCs w:val="18"/>
              </w:rPr>
              <w:t>8</w:t>
            </w:r>
          </w:p>
        </w:tc>
      </w:tr>
    </w:tbl>
    <w:p w14:paraId="00A0940C" w14:textId="77777777" w:rsidR="00F671B7" w:rsidRPr="006F6EE7" w:rsidRDefault="00F671B7" w:rsidP="00F671B7">
      <w:pPr>
        <w:pStyle w:val="Normal0"/>
        <w:spacing w:line="480" w:lineRule="auto"/>
        <w:rPr>
          <w:sz w:val="18"/>
          <w:szCs w:val="18"/>
        </w:rPr>
      </w:pPr>
    </w:p>
    <w:p w14:paraId="00A0940D" w14:textId="77777777" w:rsidR="00F671B7" w:rsidRPr="006F6EE7" w:rsidRDefault="00F671B7" w:rsidP="00F671B7">
      <w:pPr>
        <w:pStyle w:val="Normal0"/>
        <w:keepNext/>
        <w:spacing w:after="160" w:line="480" w:lineRule="auto"/>
        <w:jc w:val="both"/>
      </w:pPr>
      <w:r w:rsidRPr="006F6EE7">
        <w:rPr>
          <w:rFonts w:eastAsia="Aptos"/>
          <w:b/>
          <w:bCs/>
          <w:noProof/>
          <w:kern w:val="2"/>
          <w:sz w:val="24"/>
          <w:szCs w:val="22"/>
          <w:lang w:val="en-IN" w:eastAsia="en-IN"/>
        </w:rPr>
        <w:drawing>
          <wp:inline distT="0" distB="0" distL="0" distR="0" wp14:anchorId="00A09413" wp14:editId="00A09414">
            <wp:extent cx="5991225" cy="2486025"/>
            <wp:effectExtent l="0" t="0" r="9525" b="9525"/>
            <wp:docPr id="1645301105" name="Obrázek 3" descr="Obsah obrázku Barevnost, snímek obrazovky, řada/pruh, diagram&#10;&#10;Obsah generovaný pomocí AI může být nesprávný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5301105" name="Obrázek 3" descr="Obsah obrázku Barevnost, snímek obrazovky, řada/pruh, diagram&#10;&#10;Obsah generovaný pomocí AI může být nesprávný.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1225" cy="2486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A0940E" w14:textId="77777777" w:rsidR="00F671B7" w:rsidRPr="006F6EE7" w:rsidRDefault="00F671B7" w:rsidP="00F671B7">
      <w:pPr>
        <w:pStyle w:val="Titulek"/>
        <w:jc w:val="both"/>
      </w:pPr>
      <w:r w:rsidRPr="006F6EE7">
        <w:t xml:space="preserve">Suppl. Fig. </w:t>
      </w:r>
      <w:r>
        <w:fldChar w:fldCharType="begin"/>
      </w:r>
      <w:r>
        <w:instrText>SEQ S \* ARABIC</w:instrText>
      </w:r>
      <w:r>
        <w:fldChar w:fldCharType="separate"/>
      </w:r>
      <w:r w:rsidRPr="006F6EE7">
        <w:rPr>
          <w:noProof/>
        </w:rPr>
        <w:t>1</w:t>
      </w:r>
      <w:r>
        <w:fldChar w:fldCharType="end"/>
      </w:r>
      <w:r w:rsidRPr="006F6EE7">
        <w:t xml:space="preserve">: Spatial visualization of the </w:t>
      </w:r>
      <w:proofErr w:type="spellStart"/>
      <w:r w:rsidRPr="006F6EE7">
        <w:t>Plasy</w:t>
      </w:r>
      <w:proofErr w:type="spellEnd"/>
      <w:r w:rsidRPr="006F6EE7">
        <w:t xml:space="preserve"> seed orchard design and the clones utilized for the analyses.</w:t>
      </w:r>
    </w:p>
    <w:p w14:paraId="00A0940F" w14:textId="77777777" w:rsidR="00F671B7" w:rsidRPr="006F6EE7" w:rsidRDefault="00F671B7" w:rsidP="00F671B7">
      <w:pPr>
        <w:pStyle w:val="Normal0"/>
        <w:keepNext/>
        <w:spacing w:after="160" w:line="480" w:lineRule="auto"/>
        <w:jc w:val="both"/>
      </w:pPr>
      <w:r w:rsidRPr="006F6EE7">
        <w:rPr>
          <w:rFonts w:eastAsia="Aptos"/>
          <w:b/>
          <w:bCs/>
          <w:noProof/>
          <w:kern w:val="2"/>
          <w:sz w:val="24"/>
          <w:szCs w:val="22"/>
          <w:lang w:val="en-IN" w:eastAsia="en-IN"/>
        </w:rPr>
        <w:lastRenderedPageBreak/>
        <w:drawing>
          <wp:inline distT="0" distB="0" distL="0" distR="0" wp14:anchorId="00A09415" wp14:editId="00A09416">
            <wp:extent cx="6000750" cy="2495550"/>
            <wp:effectExtent l="0" t="0" r="0" b="0"/>
            <wp:docPr id="1888002171" name="Obrázek 4" descr="Obsah obrázku diagram, Barevnost, řada/pruh, snímek obrazovky&#10;&#10;Obsah generovaný pomocí AI může být nesprávný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8002171" name="Obrázek 4" descr="Obsah obrázku diagram, Barevnost, řada/pruh, snímek obrazovky&#10;&#10;Obsah generovaný pomocí AI může být nesprávný.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0750" cy="2495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A09410" w14:textId="77777777" w:rsidR="00F671B7" w:rsidRPr="006F6EE7" w:rsidRDefault="00F671B7" w:rsidP="00F671B7">
      <w:pPr>
        <w:pStyle w:val="Titulek"/>
        <w:jc w:val="both"/>
      </w:pPr>
      <w:r w:rsidRPr="006F6EE7">
        <w:t xml:space="preserve">Suppl. Fig. </w:t>
      </w:r>
      <w:r>
        <w:fldChar w:fldCharType="begin"/>
      </w:r>
      <w:r>
        <w:instrText>SEQ S \* ARABIC</w:instrText>
      </w:r>
      <w:r>
        <w:fldChar w:fldCharType="separate"/>
      </w:r>
      <w:r w:rsidRPr="006F6EE7">
        <w:rPr>
          <w:noProof/>
        </w:rPr>
        <w:t>2</w:t>
      </w:r>
      <w:r>
        <w:fldChar w:fldCharType="end"/>
      </w:r>
      <w:r w:rsidRPr="006F6EE7">
        <w:t>: Spatial visualization of the Nepomuk seed orchard design and the clones utilized for the analyses.</w:t>
      </w:r>
    </w:p>
    <w:p w14:paraId="00A09411" w14:textId="77777777" w:rsidR="00F671B7" w:rsidRPr="006F6EE7" w:rsidRDefault="00F671B7" w:rsidP="00F671B7">
      <w:pPr>
        <w:pStyle w:val="Titulek"/>
        <w:jc w:val="both"/>
      </w:pPr>
    </w:p>
    <w:p w14:paraId="00A09412" w14:textId="77777777" w:rsidR="00663053" w:rsidRDefault="00F671B7" w:rsidP="00F671B7">
      <w:r w:rsidRPr="006F6EE7">
        <w:rPr>
          <w:rFonts w:eastAsia="Aptos"/>
          <w:b/>
          <w:bCs/>
          <w:kern w:val="2"/>
          <w:szCs w:val="22"/>
        </w:rPr>
        <w:br w:type="page"/>
      </w:r>
    </w:p>
    <w:sectPr w:rsidR="0066305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Total_Editing_Time" w:val="0"/>
  </w:docVars>
  <w:rsids>
    <w:rsidRoot w:val="00985110"/>
    <w:rsid w:val="002338CE"/>
    <w:rsid w:val="00663053"/>
    <w:rsid w:val="00985110"/>
    <w:rsid w:val="00C97A77"/>
    <w:rsid w:val="00CD1EDE"/>
    <w:rsid w:val="00F67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0A093CA"/>
  <w15:chartTrackingRefBased/>
  <w15:docId w15:val="{F4826A27-CDDC-4D26-95A8-96AB4793D6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671B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Normal0">
    <w:name w:val="Normal_0"/>
    <w:qFormat/>
    <w:rsid w:val="00F671B7"/>
    <w:pPr>
      <w:spacing w:after="0" w:line="240" w:lineRule="auto"/>
    </w:pPr>
    <w:rPr>
      <w:rFonts w:ascii="Times New Roman" w:eastAsia="MS Mincho" w:hAnsi="Times New Roman" w:cs="Times New Roman"/>
      <w:sz w:val="20"/>
      <w:szCs w:val="20"/>
      <w:lang w:val="en-US"/>
    </w:rPr>
  </w:style>
  <w:style w:type="paragraph" w:styleId="Titulek">
    <w:name w:val="caption"/>
    <w:basedOn w:val="Normln"/>
    <w:next w:val="Normal0"/>
    <w:uiPriority w:val="35"/>
    <w:unhideWhenUsed/>
    <w:qFormat/>
    <w:rsid w:val="00F671B7"/>
    <w:rPr>
      <w:rFonts w:eastAsia="MS Mincho"/>
      <w:b/>
      <w:bCs/>
      <w:sz w:val="20"/>
      <w:szCs w:val="20"/>
    </w:rPr>
  </w:style>
  <w:style w:type="paragraph" w:customStyle="1" w:styleId="SOMHead">
    <w:name w:val="SOMHead"/>
    <w:basedOn w:val="Normln"/>
    <w:rsid w:val="00F671B7"/>
    <w:pPr>
      <w:keepNext/>
      <w:spacing w:before="240"/>
      <w:outlineLvl w:val="0"/>
    </w:pPr>
    <w:rPr>
      <w:b/>
      <w:kern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160</Words>
  <Characters>807</Characters>
  <Application>Microsoft Office Word</Application>
  <DocSecurity>0</DocSecurity>
  <Lines>73</Lines>
  <Paragraphs>69</Paragraphs>
  <ScaleCrop>false</ScaleCrop>
  <Company/>
  <LinksUpToDate>false</LinksUpToDate>
  <CharactersWithSpaces>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Madhavi J Jayaraman R</dc:creator>
  <cp:keywords/>
  <dc:description/>
  <cp:lastModifiedBy>Provazník Daniel</cp:lastModifiedBy>
  <cp:revision>3</cp:revision>
  <dcterms:created xsi:type="dcterms:W3CDTF">2025-10-27T17:30:00Z</dcterms:created>
  <dcterms:modified xsi:type="dcterms:W3CDTF">2025-11-07T08:19:00Z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28a638b6-2a14-4be3-a875-ea63b4ff8bc7</vt:lpwstr>
  </property>
</Properties>
</file>