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6D06" w:rsidRPr="00416D06" w:rsidRDefault="0069376E" w:rsidP="0069376E">
      <w:pPr>
        <w:pStyle w:val="APA"/>
        <w:jc w:val="center"/>
      </w:pPr>
      <w:r w:rsidRPr="00DC3083">
        <w:t>Improving Perceptions of Health Literacy Practices and Indicators of Metabolic Syndrome in Adults with Severe Mental Illness</w:t>
      </w:r>
    </w:p>
    <w:p w:rsidR="00416D06" w:rsidRPr="00416D06" w:rsidRDefault="00416D06" w:rsidP="00416D06">
      <w:pPr>
        <w:autoSpaceDE/>
        <w:autoSpaceDN/>
        <w:adjustRightInd/>
        <w:snapToGrid/>
        <w:spacing w:after="160" w:line="259" w:lineRule="auto"/>
        <w:jc w:val="center"/>
        <w:rPr>
          <w:rFonts w:eastAsia="Calibri"/>
        </w:rPr>
      </w:pPr>
      <w:r w:rsidRPr="00416D06">
        <w:rPr>
          <w:rFonts w:eastAsia="Calibri"/>
        </w:rPr>
        <w:t xml:space="preserve">By </w:t>
      </w:r>
      <w:r w:rsidR="0069376E">
        <w:rPr>
          <w:rFonts w:eastAsia="Calibri"/>
        </w:rPr>
        <w:t>Deanna L. Schloemer</w:t>
      </w:r>
    </w:p>
    <w:p w:rsidR="00416D06" w:rsidRPr="00416D06" w:rsidRDefault="00416D06" w:rsidP="00416D06">
      <w:pPr>
        <w:autoSpaceDE/>
        <w:autoSpaceDN/>
        <w:adjustRightInd/>
        <w:snapToGrid/>
        <w:spacing w:after="160" w:line="259" w:lineRule="auto"/>
        <w:jc w:val="center"/>
        <w:rPr>
          <w:rFonts w:eastAsia="Calibri"/>
        </w:rPr>
      </w:pPr>
    </w:p>
    <w:p w:rsidR="00416D06" w:rsidRPr="00416D06" w:rsidRDefault="00416D06" w:rsidP="00416D06">
      <w:pPr>
        <w:autoSpaceDE/>
        <w:autoSpaceDN/>
        <w:adjustRightInd/>
        <w:snapToGrid/>
        <w:spacing w:after="160" w:line="259" w:lineRule="auto"/>
        <w:jc w:val="center"/>
        <w:rPr>
          <w:rFonts w:eastAsia="Calibri"/>
        </w:rPr>
      </w:pPr>
    </w:p>
    <w:p w:rsidR="001757F7" w:rsidRPr="00416D06" w:rsidRDefault="001757F7" w:rsidP="00416D06">
      <w:pPr>
        <w:autoSpaceDE/>
        <w:autoSpaceDN/>
        <w:adjustRightInd/>
        <w:snapToGrid/>
        <w:spacing w:after="160" w:line="259" w:lineRule="auto"/>
        <w:jc w:val="center"/>
        <w:rPr>
          <w:rFonts w:eastAsia="Calibri"/>
        </w:rPr>
      </w:pPr>
    </w:p>
    <w:p w:rsidR="00416D06" w:rsidRPr="00416D06" w:rsidRDefault="00416D06" w:rsidP="00416D06">
      <w:pPr>
        <w:autoSpaceDE/>
        <w:autoSpaceDN/>
        <w:adjustRightInd/>
        <w:snapToGrid/>
        <w:spacing w:after="160" w:line="259" w:lineRule="auto"/>
        <w:rPr>
          <w:rFonts w:eastAsia="Calibri"/>
        </w:rPr>
      </w:pPr>
      <w:r w:rsidRPr="00416D06">
        <w:rPr>
          <w:rFonts w:eastAsia="Calibri"/>
        </w:rPr>
        <w:t>APPROVED BY:</w:t>
      </w:r>
    </w:p>
    <w:p w:rsidR="00416D06" w:rsidRPr="00416D06" w:rsidRDefault="00416D06" w:rsidP="00416D06">
      <w:pPr>
        <w:autoSpaceDE/>
        <w:autoSpaceDN/>
        <w:adjustRightInd/>
        <w:snapToGrid/>
        <w:spacing w:after="160" w:line="259" w:lineRule="auto"/>
        <w:rPr>
          <w:rFonts w:eastAsia="Calibri"/>
        </w:rPr>
      </w:pPr>
    </w:p>
    <w:p w:rsidR="00416D06" w:rsidRPr="00416D06" w:rsidRDefault="00416D06" w:rsidP="00416D06">
      <w:pPr>
        <w:autoSpaceDE/>
        <w:autoSpaceDN/>
        <w:adjustRightInd/>
        <w:snapToGrid/>
        <w:spacing w:after="160" w:line="259" w:lineRule="auto"/>
        <w:rPr>
          <w:rFonts w:eastAsia="Calibri"/>
        </w:rPr>
      </w:pPr>
      <w:r w:rsidRPr="00416D06">
        <w:rPr>
          <w:rFonts w:eastAsia="Calibri"/>
        </w:rPr>
        <w:t>______________________________________</w:t>
      </w:r>
      <w:r>
        <w:rPr>
          <w:rFonts w:eastAsia="Calibri"/>
        </w:rPr>
        <w:t>_________</w:t>
      </w:r>
      <w:r>
        <w:rPr>
          <w:rFonts w:eastAsia="Calibri"/>
        </w:rPr>
        <w:tab/>
        <w:t>_________________</w:t>
      </w:r>
    </w:p>
    <w:p w:rsidR="00416D06" w:rsidRPr="00416D06" w:rsidRDefault="00416D06" w:rsidP="00416D06">
      <w:pPr>
        <w:autoSpaceDE/>
        <w:autoSpaceDN/>
        <w:adjustRightInd/>
        <w:snapToGrid/>
        <w:spacing w:after="160" w:line="259" w:lineRule="auto"/>
        <w:rPr>
          <w:rFonts w:eastAsia="Calibri"/>
        </w:rPr>
      </w:pPr>
      <w:r w:rsidRPr="00416D06">
        <w:rPr>
          <w:rFonts w:eastAsia="Calibri"/>
        </w:rPr>
        <w:t>Advisor/Chair</w:t>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t>Date</w:t>
      </w:r>
    </w:p>
    <w:p w:rsidR="00416D06" w:rsidRPr="00416D06" w:rsidRDefault="00416D06" w:rsidP="00416D06">
      <w:pPr>
        <w:autoSpaceDE/>
        <w:autoSpaceDN/>
        <w:adjustRightInd/>
        <w:snapToGrid/>
        <w:spacing w:after="160" w:line="259" w:lineRule="auto"/>
        <w:rPr>
          <w:rFonts w:eastAsia="Calibri"/>
        </w:rPr>
      </w:pPr>
    </w:p>
    <w:p w:rsidR="00416D06" w:rsidRPr="00416D06" w:rsidRDefault="00416D06" w:rsidP="00416D06">
      <w:pPr>
        <w:autoSpaceDE/>
        <w:autoSpaceDN/>
        <w:adjustRightInd/>
        <w:snapToGrid/>
        <w:spacing w:after="160" w:line="259" w:lineRule="auto"/>
        <w:rPr>
          <w:rFonts w:eastAsia="Calibri"/>
        </w:rPr>
      </w:pPr>
      <w:r w:rsidRPr="00416D06">
        <w:rPr>
          <w:rFonts w:eastAsia="Calibri"/>
        </w:rPr>
        <w:t>_______________________________________________</w:t>
      </w:r>
      <w:r w:rsidRPr="00416D06">
        <w:rPr>
          <w:rFonts w:eastAsia="Calibri"/>
        </w:rPr>
        <w:tab/>
      </w:r>
      <w:r>
        <w:rPr>
          <w:rFonts w:eastAsia="Calibri"/>
        </w:rPr>
        <w:t>_________________</w:t>
      </w:r>
      <w:r w:rsidRPr="00416D06">
        <w:rPr>
          <w:rFonts w:eastAsia="Calibri"/>
        </w:rPr>
        <w:t>_</w:t>
      </w:r>
    </w:p>
    <w:p w:rsidR="00416D06" w:rsidRPr="00416D06" w:rsidRDefault="00416D06" w:rsidP="00416D06">
      <w:pPr>
        <w:autoSpaceDE/>
        <w:autoSpaceDN/>
        <w:adjustRightInd/>
        <w:snapToGrid/>
        <w:spacing w:after="160" w:line="259" w:lineRule="auto"/>
        <w:rPr>
          <w:rFonts w:eastAsia="Calibri"/>
        </w:rPr>
      </w:pPr>
      <w:r w:rsidRPr="00416D06">
        <w:rPr>
          <w:rFonts w:eastAsia="Calibri"/>
        </w:rPr>
        <w:t>Committee Member</w:t>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t>Date</w:t>
      </w:r>
      <w:r w:rsidRPr="00416D06">
        <w:rPr>
          <w:rFonts w:eastAsia="Calibri"/>
        </w:rPr>
        <w:tab/>
      </w:r>
      <w:r w:rsidRPr="00416D06">
        <w:rPr>
          <w:rFonts w:eastAsia="Calibri"/>
        </w:rPr>
        <w:tab/>
      </w:r>
    </w:p>
    <w:p w:rsidR="00416D06" w:rsidRPr="00416D06" w:rsidRDefault="00416D06" w:rsidP="001757F7">
      <w:pPr>
        <w:autoSpaceDE/>
        <w:autoSpaceDN/>
        <w:adjustRightInd/>
        <w:snapToGrid/>
        <w:spacing w:after="160" w:line="259" w:lineRule="auto"/>
        <w:rPr>
          <w:rFonts w:eastAsia="Calibri"/>
        </w:rPr>
      </w:pPr>
    </w:p>
    <w:p w:rsidR="00416D06" w:rsidRPr="00416D06" w:rsidRDefault="00416D06" w:rsidP="00416D06">
      <w:pPr>
        <w:autoSpaceDE/>
        <w:autoSpaceDN/>
        <w:adjustRightInd/>
        <w:snapToGrid/>
        <w:spacing w:after="160" w:line="259" w:lineRule="auto"/>
        <w:rPr>
          <w:rFonts w:eastAsia="Calibri"/>
        </w:rPr>
      </w:pPr>
      <w:r w:rsidRPr="00416D06">
        <w:rPr>
          <w:rFonts w:eastAsia="Calibri"/>
        </w:rPr>
        <w:t>_______________________________________________</w:t>
      </w:r>
      <w:r w:rsidRPr="00416D06">
        <w:rPr>
          <w:rFonts w:eastAsia="Calibri"/>
        </w:rPr>
        <w:tab/>
        <w:t>__________________</w:t>
      </w:r>
    </w:p>
    <w:p w:rsidR="00416D06" w:rsidRPr="00416D06" w:rsidRDefault="00416D06" w:rsidP="00416D06">
      <w:pPr>
        <w:autoSpaceDE/>
        <w:autoSpaceDN/>
        <w:adjustRightInd/>
        <w:snapToGrid/>
        <w:spacing w:after="160" w:line="259" w:lineRule="auto"/>
        <w:rPr>
          <w:rFonts w:eastAsia="Calibri"/>
        </w:rPr>
      </w:pPr>
      <w:r w:rsidRPr="00416D06">
        <w:rPr>
          <w:rFonts w:eastAsia="Calibri"/>
        </w:rPr>
        <w:t>Graduate Program Director (if required)</w:t>
      </w:r>
      <w:r w:rsidRPr="00416D06">
        <w:rPr>
          <w:rFonts w:eastAsia="Calibri"/>
        </w:rPr>
        <w:tab/>
      </w:r>
      <w:r w:rsidRPr="00416D06">
        <w:rPr>
          <w:rFonts w:eastAsia="Calibri"/>
        </w:rPr>
        <w:tab/>
      </w:r>
      <w:r w:rsidRPr="00416D06">
        <w:rPr>
          <w:rFonts w:eastAsia="Calibri"/>
        </w:rPr>
        <w:tab/>
      </w:r>
      <w:r w:rsidRPr="00416D06">
        <w:rPr>
          <w:rFonts w:eastAsia="Calibri"/>
        </w:rPr>
        <w:tab/>
        <w:t>Date</w:t>
      </w:r>
      <w:r w:rsidRPr="00416D06">
        <w:rPr>
          <w:rFonts w:eastAsia="Calibri"/>
        </w:rPr>
        <w:tab/>
      </w:r>
      <w:r w:rsidRPr="00416D06">
        <w:rPr>
          <w:rFonts w:eastAsia="Calibri"/>
        </w:rPr>
        <w:tab/>
      </w:r>
    </w:p>
    <w:p w:rsidR="00416D06" w:rsidRPr="00416D06" w:rsidRDefault="00416D06" w:rsidP="00416D06">
      <w:pPr>
        <w:autoSpaceDE/>
        <w:autoSpaceDN/>
        <w:adjustRightInd/>
        <w:snapToGrid/>
        <w:spacing w:after="160" w:line="259" w:lineRule="auto"/>
        <w:jc w:val="center"/>
        <w:rPr>
          <w:rFonts w:eastAsia="Calibri"/>
        </w:rPr>
      </w:pPr>
    </w:p>
    <w:p w:rsidR="00416D06" w:rsidRPr="00416D06" w:rsidRDefault="00416D06" w:rsidP="00416D06">
      <w:pPr>
        <w:autoSpaceDE/>
        <w:autoSpaceDN/>
        <w:adjustRightInd/>
        <w:snapToGrid/>
        <w:spacing w:after="160" w:line="259" w:lineRule="auto"/>
        <w:rPr>
          <w:rFonts w:eastAsia="Calibri"/>
        </w:rPr>
      </w:pPr>
    </w:p>
    <w:p w:rsidR="00416D06" w:rsidRPr="00416D06" w:rsidRDefault="00416D06" w:rsidP="00416D06">
      <w:pPr>
        <w:autoSpaceDE/>
        <w:autoSpaceDN/>
        <w:adjustRightInd/>
        <w:snapToGrid/>
        <w:spacing w:after="160" w:line="259" w:lineRule="auto"/>
        <w:rPr>
          <w:rFonts w:eastAsia="Calibri"/>
        </w:rPr>
      </w:pPr>
    </w:p>
    <w:p w:rsidR="00416D06" w:rsidRPr="00416D06" w:rsidRDefault="00416D06" w:rsidP="00416D06">
      <w:pPr>
        <w:autoSpaceDE/>
        <w:autoSpaceDN/>
        <w:adjustRightInd/>
        <w:snapToGrid/>
        <w:spacing w:after="160" w:line="259" w:lineRule="auto"/>
        <w:rPr>
          <w:rFonts w:eastAsia="Calibri"/>
        </w:rPr>
      </w:pPr>
    </w:p>
    <w:p w:rsidR="00416D06" w:rsidRPr="00416D06" w:rsidRDefault="00416D06" w:rsidP="00416D06">
      <w:pPr>
        <w:autoSpaceDE/>
        <w:autoSpaceDN/>
        <w:adjustRightInd/>
        <w:snapToGrid/>
        <w:spacing w:after="160" w:line="259" w:lineRule="auto"/>
        <w:rPr>
          <w:rFonts w:eastAsia="Calibri"/>
        </w:rPr>
      </w:pPr>
    </w:p>
    <w:p w:rsidR="00B14EF8" w:rsidRPr="00E9011B" w:rsidRDefault="00416D06" w:rsidP="00E9011B">
      <w:pPr>
        <w:pStyle w:val="CenteredTextSingleSpace"/>
        <w:spacing w:line="480" w:lineRule="auto"/>
        <w:rPr>
          <w:iCs/>
        </w:rPr>
      </w:pPr>
      <w:r>
        <w:rPr>
          <w:iCs/>
        </w:rPr>
        <w:br w:type="page"/>
      </w:r>
    </w:p>
    <w:p w:rsidR="0069376E" w:rsidRDefault="0069376E" w:rsidP="0069376E">
      <w:pPr>
        <w:pStyle w:val="APA"/>
        <w:jc w:val="center"/>
      </w:pPr>
      <w:bookmarkStart w:id="0" w:name="Abstract"/>
      <w:bookmarkStart w:id="1" w:name="Dedication"/>
      <w:bookmarkEnd w:id="0"/>
      <w:bookmarkEnd w:id="1"/>
      <w:r w:rsidRPr="00DC3083">
        <w:lastRenderedPageBreak/>
        <w:t>Improving Perceptions of Health Literacy Practices and Indicators of Metabolic Syndrome in Adults with Severe Mental Illness</w:t>
      </w:r>
    </w:p>
    <w:p w:rsidR="00F71F92" w:rsidRPr="00F71F92" w:rsidRDefault="00F71F92" w:rsidP="00F71F92">
      <w:pPr>
        <w:spacing w:line="480" w:lineRule="auto"/>
        <w:jc w:val="center"/>
      </w:pPr>
      <w:r w:rsidRPr="00F71F92">
        <w:rPr>
          <w:rFonts w:eastAsia="Calibri"/>
        </w:rPr>
        <w:br/>
      </w:r>
    </w:p>
    <w:p w:rsidR="00522798" w:rsidRPr="00F71F92" w:rsidRDefault="00522798" w:rsidP="00F71F92">
      <w:pPr>
        <w:autoSpaceDE/>
        <w:autoSpaceDN/>
        <w:adjustRightInd/>
        <w:snapToGrid/>
        <w:spacing w:after="160" w:line="259" w:lineRule="auto"/>
        <w:jc w:val="center"/>
        <w:rPr>
          <w:rFonts w:eastAsia="Calibri"/>
        </w:rPr>
      </w:pPr>
    </w:p>
    <w:p w:rsidR="00F71F92" w:rsidRPr="00F71F92" w:rsidRDefault="00F71F92" w:rsidP="00F71F92">
      <w:pPr>
        <w:autoSpaceDE/>
        <w:autoSpaceDN/>
        <w:adjustRightInd/>
        <w:snapToGrid/>
        <w:spacing w:after="160" w:line="259" w:lineRule="auto"/>
        <w:jc w:val="center"/>
        <w:rPr>
          <w:rFonts w:eastAsia="Calibri"/>
        </w:rPr>
      </w:pPr>
    </w:p>
    <w:p w:rsidR="00F71F92" w:rsidRPr="00F71F92" w:rsidRDefault="00F71F92" w:rsidP="00522798">
      <w:pPr>
        <w:autoSpaceDE/>
        <w:autoSpaceDN/>
        <w:adjustRightInd/>
        <w:snapToGrid/>
        <w:spacing w:after="160" w:line="259" w:lineRule="auto"/>
        <w:rPr>
          <w:rFonts w:eastAsia="Calibri"/>
        </w:rPr>
      </w:pPr>
    </w:p>
    <w:p w:rsidR="00F71F92" w:rsidRPr="00F71F92" w:rsidRDefault="00F71F92" w:rsidP="00F71F92">
      <w:pPr>
        <w:autoSpaceDE/>
        <w:autoSpaceDN/>
        <w:adjustRightInd/>
        <w:snapToGrid/>
        <w:spacing w:after="160" w:line="259" w:lineRule="auto"/>
        <w:jc w:val="center"/>
        <w:rPr>
          <w:rFonts w:eastAsia="Calibri"/>
        </w:rPr>
      </w:pPr>
    </w:p>
    <w:p w:rsidR="00F71F92" w:rsidRPr="00F71F92" w:rsidRDefault="00F71F92" w:rsidP="00F71F92">
      <w:pPr>
        <w:autoSpaceDE/>
        <w:autoSpaceDN/>
        <w:adjustRightInd/>
        <w:snapToGrid/>
        <w:spacing w:after="160" w:line="259" w:lineRule="auto"/>
        <w:jc w:val="center"/>
        <w:rPr>
          <w:rFonts w:eastAsia="Calibri"/>
        </w:rPr>
      </w:pPr>
      <w:r w:rsidRPr="00F71F92">
        <w:rPr>
          <w:rFonts w:eastAsia="Calibri"/>
        </w:rPr>
        <w:t>By</w:t>
      </w:r>
    </w:p>
    <w:p w:rsidR="00F71F92" w:rsidRPr="00F71F92" w:rsidRDefault="00F71F92" w:rsidP="00F71F92">
      <w:pPr>
        <w:autoSpaceDE/>
        <w:autoSpaceDN/>
        <w:adjustRightInd/>
        <w:snapToGrid/>
        <w:spacing w:after="160" w:line="259" w:lineRule="auto"/>
        <w:jc w:val="center"/>
        <w:rPr>
          <w:rFonts w:eastAsia="Calibri"/>
        </w:rPr>
      </w:pPr>
    </w:p>
    <w:p w:rsidR="00F71F92" w:rsidRPr="00F71F92" w:rsidRDefault="0069376E" w:rsidP="00F71F92">
      <w:pPr>
        <w:autoSpaceDE/>
        <w:autoSpaceDN/>
        <w:adjustRightInd/>
        <w:snapToGrid/>
        <w:spacing w:after="160" w:line="259" w:lineRule="auto"/>
        <w:jc w:val="center"/>
        <w:rPr>
          <w:rFonts w:eastAsia="Calibri"/>
        </w:rPr>
      </w:pPr>
      <w:r>
        <w:rPr>
          <w:rFonts w:eastAsia="Calibri"/>
        </w:rPr>
        <w:t>Deanna L. Schloemer</w:t>
      </w:r>
    </w:p>
    <w:p w:rsidR="00F71F92" w:rsidRPr="00F71F92" w:rsidRDefault="00F71F92" w:rsidP="00F71F92">
      <w:pPr>
        <w:autoSpaceDE/>
        <w:autoSpaceDN/>
        <w:adjustRightInd/>
        <w:snapToGrid/>
        <w:spacing w:after="160" w:line="259" w:lineRule="auto"/>
        <w:jc w:val="center"/>
        <w:rPr>
          <w:rFonts w:eastAsia="Calibri"/>
        </w:rPr>
      </w:pPr>
    </w:p>
    <w:p w:rsidR="00F71F92" w:rsidRPr="00F71F92" w:rsidRDefault="00F71F92" w:rsidP="00F71F92">
      <w:pPr>
        <w:autoSpaceDE/>
        <w:autoSpaceDN/>
        <w:adjustRightInd/>
        <w:snapToGrid/>
        <w:spacing w:after="160" w:line="259" w:lineRule="auto"/>
        <w:jc w:val="center"/>
        <w:rPr>
          <w:rFonts w:eastAsia="Calibri"/>
        </w:rPr>
      </w:pPr>
    </w:p>
    <w:p w:rsidR="00F71F92" w:rsidRPr="00F71F92" w:rsidRDefault="00F71F92" w:rsidP="00F71F92">
      <w:pPr>
        <w:autoSpaceDE/>
        <w:autoSpaceDN/>
        <w:adjustRightInd/>
        <w:snapToGrid/>
        <w:spacing w:after="160" w:line="259" w:lineRule="auto"/>
        <w:jc w:val="center"/>
        <w:rPr>
          <w:rFonts w:eastAsia="Calibri"/>
        </w:rPr>
      </w:pPr>
    </w:p>
    <w:p w:rsidR="00F71F92" w:rsidRDefault="00F71F92" w:rsidP="00F71F92">
      <w:pPr>
        <w:autoSpaceDE/>
        <w:autoSpaceDN/>
        <w:adjustRightInd/>
        <w:snapToGrid/>
        <w:spacing w:after="160" w:line="259" w:lineRule="auto"/>
        <w:jc w:val="center"/>
        <w:rPr>
          <w:rFonts w:eastAsia="Calibri"/>
        </w:rPr>
      </w:pPr>
    </w:p>
    <w:p w:rsidR="00522798" w:rsidRDefault="00522798" w:rsidP="00F71F92">
      <w:pPr>
        <w:autoSpaceDE/>
        <w:autoSpaceDN/>
        <w:adjustRightInd/>
        <w:snapToGrid/>
        <w:spacing w:after="160" w:line="259" w:lineRule="auto"/>
        <w:jc w:val="center"/>
        <w:rPr>
          <w:rFonts w:eastAsia="Calibri"/>
        </w:rPr>
      </w:pPr>
    </w:p>
    <w:p w:rsidR="00522798" w:rsidRPr="00F71F92" w:rsidRDefault="00522798" w:rsidP="00F71F92">
      <w:pPr>
        <w:autoSpaceDE/>
        <w:autoSpaceDN/>
        <w:adjustRightInd/>
        <w:snapToGrid/>
        <w:spacing w:after="160" w:line="259" w:lineRule="auto"/>
        <w:jc w:val="center"/>
        <w:rPr>
          <w:rFonts w:eastAsia="Calibri"/>
        </w:rPr>
      </w:pPr>
    </w:p>
    <w:p w:rsidR="00F71F92" w:rsidRPr="00F71F92" w:rsidRDefault="00F71F92" w:rsidP="00F71F92">
      <w:pPr>
        <w:autoSpaceDE/>
        <w:autoSpaceDN/>
        <w:adjustRightInd/>
        <w:snapToGrid/>
        <w:spacing w:after="160" w:line="259" w:lineRule="auto"/>
        <w:jc w:val="center"/>
        <w:rPr>
          <w:rFonts w:eastAsia="Calibri"/>
        </w:rPr>
      </w:pPr>
    </w:p>
    <w:p w:rsidR="00F71F92" w:rsidRPr="00F71F92" w:rsidRDefault="00F71F92" w:rsidP="00522798">
      <w:pPr>
        <w:autoSpaceDE/>
        <w:autoSpaceDN/>
        <w:adjustRightInd/>
        <w:snapToGrid/>
        <w:spacing w:after="160" w:line="259" w:lineRule="auto"/>
        <w:rPr>
          <w:rFonts w:eastAsia="Calibri"/>
        </w:rPr>
      </w:pPr>
    </w:p>
    <w:p w:rsidR="00F71F92" w:rsidRPr="00F71F92" w:rsidRDefault="00F71F92" w:rsidP="00F71F92">
      <w:pPr>
        <w:autoSpaceDE/>
        <w:autoSpaceDN/>
        <w:adjustRightInd/>
        <w:snapToGrid/>
        <w:spacing w:after="160" w:line="259" w:lineRule="auto"/>
        <w:jc w:val="center"/>
        <w:rPr>
          <w:rFonts w:eastAsia="Calibri"/>
        </w:rPr>
      </w:pPr>
      <w:r>
        <w:rPr>
          <w:rFonts w:eastAsia="Calibri"/>
        </w:rPr>
        <w:t>DNP Project</w:t>
      </w:r>
      <w:r w:rsidRPr="00F71F92">
        <w:rPr>
          <w:rFonts w:eastAsia="Calibri"/>
        </w:rPr>
        <w:t xml:space="preserve"> submitted to the Department of</w:t>
      </w:r>
      <w:r>
        <w:rPr>
          <w:rFonts w:eastAsia="Calibri"/>
        </w:rPr>
        <w:t xml:space="preserve"> Nursing</w:t>
      </w:r>
    </w:p>
    <w:p w:rsidR="00F71F92" w:rsidRPr="00F71F92" w:rsidRDefault="00F71F92" w:rsidP="00F71F92">
      <w:pPr>
        <w:autoSpaceDE/>
        <w:autoSpaceDN/>
        <w:adjustRightInd/>
        <w:snapToGrid/>
        <w:spacing w:after="160" w:line="259" w:lineRule="auto"/>
        <w:jc w:val="center"/>
        <w:rPr>
          <w:rFonts w:eastAsia="Calibri"/>
        </w:rPr>
      </w:pPr>
      <w:proofErr w:type="gramStart"/>
      <w:r w:rsidRPr="00F71F92">
        <w:rPr>
          <w:rFonts w:eastAsia="Calibri"/>
        </w:rPr>
        <w:t>of</w:t>
      </w:r>
      <w:proofErr w:type="gramEnd"/>
      <w:r w:rsidRPr="00F71F92">
        <w:rPr>
          <w:rFonts w:eastAsia="Calibri"/>
        </w:rPr>
        <w:t xml:space="preserve"> Salisbury University in partial fulfillment of the requirements</w:t>
      </w:r>
    </w:p>
    <w:p w:rsidR="00F71F92" w:rsidRPr="00F71F92" w:rsidRDefault="00F71F92" w:rsidP="00F71F92">
      <w:pPr>
        <w:autoSpaceDE/>
        <w:autoSpaceDN/>
        <w:adjustRightInd/>
        <w:snapToGrid/>
        <w:spacing w:after="160" w:line="259" w:lineRule="auto"/>
        <w:jc w:val="center"/>
        <w:rPr>
          <w:rFonts w:eastAsia="Calibri"/>
        </w:rPr>
      </w:pPr>
      <w:proofErr w:type="gramStart"/>
      <w:r w:rsidRPr="00F71F92">
        <w:rPr>
          <w:rFonts w:eastAsia="Calibri"/>
        </w:rPr>
        <w:t>for</w:t>
      </w:r>
      <w:proofErr w:type="gramEnd"/>
      <w:r w:rsidRPr="00F71F92">
        <w:rPr>
          <w:rFonts w:eastAsia="Calibri"/>
        </w:rPr>
        <w:t xml:space="preserve"> the degree of</w:t>
      </w:r>
    </w:p>
    <w:p w:rsidR="00F71F92" w:rsidRPr="00F71F92" w:rsidRDefault="00F71F92" w:rsidP="00F71F92">
      <w:pPr>
        <w:autoSpaceDE/>
        <w:autoSpaceDN/>
        <w:adjustRightInd/>
        <w:snapToGrid/>
        <w:spacing w:after="160" w:line="259" w:lineRule="auto"/>
        <w:jc w:val="center"/>
        <w:rPr>
          <w:rFonts w:eastAsia="Calibri"/>
        </w:rPr>
      </w:pPr>
      <w:r>
        <w:rPr>
          <w:rFonts w:eastAsia="Calibri"/>
        </w:rPr>
        <w:t>Doctor of Nursing Practice</w:t>
      </w:r>
    </w:p>
    <w:p w:rsidR="00261D6D" w:rsidRDefault="00D26D63" w:rsidP="00F71F92">
      <w:pPr>
        <w:autoSpaceDE/>
        <w:autoSpaceDN/>
        <w:adjustRightInd/>
        <w:snapToGrid/>
        <w:spacing w:after="160" w:line="259" w:lineRule="auto"/>
        <w:jc w:val="center"/>
        <w:rPr>
          <w:rFonts w:eastAsia="Calibri"/>
        </w:rPr>
      </w:pPr>
      <w:r>
        <w:rPr>
          <w:rFonts w:eastAsia="Calibri"/>
        </w:rPr>
        <w:t>May 14</w:t>
      </w:r>
      <w:r w:rsidR="001261EE">
        <w:rPr>
          <w:rFonts w:eastAsia="Calibri"/>
        </w:rPr>
        <w:t>, 2018</w:t>
      </w:r>
    </w:p>
    <w:p w:rsidR="00261D6D" w:rsidRDefault="00261D6D" w:rsidP="00261D6D">
      <w:pPr>
        <w:jc w:val="center"/>
        <w:rPr>
          <w:rFonts w:eastAsia="Calibri"/>
        </w:rPr>
      </w:pPr>
      <w:r>
        <w:rPr>
          <w:rFonts w:eastAsia="Calibri"/>
        </w:rPr>
        <w:br w:type="page"/>
      </w: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Pr="00261D6D" w:rsidRDefault="00261D6D" w:rsidP="00261D6D">
      <w:pPr>
        <w:jc w:val="center"/>
        <w:rPr>
          <w:rFonts w:eastAsia="Calibri"/>
        </w:rPr>
      </w:pPr>
      <w:r w:rsidRPr="00261D6D">
        <w:rPr>
          <w:rFonts w:eastAsia="Calibri"/>
        </w:rPr>
        <w:t>Copyright</w:t>
      </w:r>
    </w:p>
    <w:p w:rsidR="00261D6D" w:rsidRPr="00261D6D" w:rsidRDefault="00261D6D" w:rsidP="00261D6D">
      <w:pPr>
        <w:autoSpaceDE/>
        <w:autoSpaceDN/>
        <w:adjustRightInd/>
        <w:snapToGrid/>
        <w:spacing w:after="160" w:line="259" w:lineRule="auto"/>
        <w:jc w:val="center"/>
        <w:rPr>
          <w:rFonts w:eastAsia="Calibri"/>
        </w:rPr>
      </w:pPr>
    </w:p>
    <w:p w:rsidR="00261D6D" w:rsidRPr="00261D6D" w:rsidRDefault="00261D6D" w:rsidP="00261D6D">
      <w:pPr>
        <w:autoSpaceDE/>
        <w:autoSpaceDN/>
        <w:adjustRightInd/>
        <w:snapToGrid/>
        <w:spacing w:after="160" w:line="259" w:lineRule="auto"/>
        <w:jc w:val="center"/>
        <w:rPr>
          <w:rFonts w:eastAsia="Calibri"/>
        </w:rPr>
      </w:pPr>
      <w:r w:rsidRPr="00261D6D">
        <w:rPr>
          <w:rFonts w:eastAsia="Calibri"/>
        </w:rPr>
        <w:t>By</w:t>
      </w:r>
    </w:p>
    <w:p w:rsidR="00261D6D" w:rsidRPr="00261D6D" w:rsidRDefault="00261D6D" w:rsidP="00261D6D">
      <w:pPr>
        <w:autoSpaceDE/>
        <w:autoSpaceDN/>
        <w:adjustRightInd/>
        <w:snapToGrid/>
        <w:spacing w:after="160" w:line="259" w:lineRule="auto"/>
        <w:jc w:val="center"/>
        <w:rPr>
          <w:rFonts w:eastAsia="Calibri"/>
        </w:rPr>
      </w:pPr>
    </w:p>
    <w:p w:rsidR="00261D6D" w:rsidRPr="00261D6D" w:rsidRDefault="0069376E" w:rsidP="00261D6D">
      <w:pPr>
        <w:autoSpaceDE/>
        <w:autoSpaceDN/>
        <w:adjustRightInd/>
        <w:snapToGrid/>
        <w:spacing w:after="160" w:line="259" w:lineRule="auto"/>
        <w:jc w:val="center"/>
        <w:rPr>
          <w:rFonts w:eastAsia="Calibri"/>
        </w:rPr>
      </w:pPr>
      <w:r>
        <w:rPr>
          <w:rFonts w:eastAsia="Calibri"/>
        </w:rPr>
        <w:t>Deanna L. Schloemer</w:t>
      </w:r>
    </w:p>
    <w:p w:rsidR="00261D6D" w:rsidRPr="00261D6D" w:rsidRDefault="00261D6D" w:rsidP="00261D6D">
      <w:pPr>
        <w:autoSpaceDE/>
        <w:autoSpaceDN/>
        <w:adjustRightInd/>
        <w:snapToGrid/>
        <w:spacing w:after="160" w:line="259" w:lineRule="auto"/>
        <w:jc w:val="center"/>
        <w:rPr>
          <w:rFonts w:eastAsia="Calibri"/>
        </w:rPr>
      </w:pPr>
    </w:p>
    <w:p w:rsidR="00261D6D" w:rsidRPr="00261D6D" w:rsidRDefault="0069376E" w:rsidP="00261D6D">
      <w:pPr>
        <w:autoSpaceDE/>
        <w:autoSpaceDN/>
        <w:adjustRightInd/>
        <w:snapToGrid/>
        <w:spacing w:after="160" w:line="259" w:lineRule="auto"/>
        <w:jc w:val="center"/>
        <w:rPr>
          <w:rFonts w:eastAsia="Calibri"/>
        </w:rPr>
      </w:pPr>
      <w:r>
        <w:rPr>
          <w:rFonts w:eastAsia="Calibri"/>
        </w:rPr>
        <w:t>2018</w:t>
      </w:r>
    </w:p>
    <w:p w:rsidR="00F71F92" w:rsidRPr="00F71F92" w:rsidRDefault="00F71F92" w:rsidP="00F71F92">
      <w:pPr>
        <w:autoSpaceDE/>
        <w:autoSpaceDN/>
        <w:adjustRightInd/>
        <w:snapToGrid/>
        <w:spacing w:after="160" w:line="259" w:lineRule="auto"/>
        <w:jc w:val="center"/>
        <w:rPr>
          <w:rFonts w:eastAsia="Calibri"/>
        </w:rPr>
      </w:pPr>
    </w:p>
    <w:p w:rsidR="00B14EF8" w:rsidRPr="00261D6D" w:rsidRDefault="008C53D5" w:rsidP="00E37EBD">
      <w:pPr>
        <w:pStyle w:val="APALevel0noTOC"/>
        <w:rPr>
          <w:b/>
        </w:rPr>
      </w:pPr>
      <w:r w:rsidRPr="00261D6D">
        <w:rPr>
          <w:b/>
        </w:rPr>
        <w:lastRenderedPageBreak/>
        <w:t>Dedication</w:t>
      </w:r>
    </w:p>
    <w:p w:rsidR="00E37EBD" w:rsidRDefault="0069376E" w:rsidP="00E37EBD">
      <w:pPr>
        <w:pStyle w:val="BodyText"/>
      </w:pPr>
      <w:r>
        <w:t xml:space="preserve">To Ramsay Hunt Syndrome.  Without such a diagnosis, I would not have slowed down enough to end up back in Salisbury, supported by my loving family, re-examining my path in life. </w:t>
      </w:r>
    </w:p>
    <w:p w:rsidR="00B14EF8" w:rsidRPr="00261D6D" w:rsidRDefault="008C53D5" w:rsidP="00E37EBD">
      <w:pPr>
        <w:pStyle w:val="APALevel0noTOC"/>
        <w:rPr>
          <w:b/>
        </w:rPr>
      </w:pPr>
      <w:r w:rsidRPr="00261D6D">
        <w:rPr>
          <w:b/>
        </w:rPr>
        <w:lastRenderedPageBreak/>
        <w:t>Acknowledgments</w:t>
      </w:r>
    </w:p>
    <w:p w:rsidR="00B14EF8" w:rsidRDefault="0069376E" w:rsidP="00B649F7">
      <w:pPr>
        <w:pStyle w:val="BodyText"/>
      </w:pPr>
      <w:r>
        <w:t>Thanks to my DNP committee chair, Dr. Mary DiBartolo and my committee member, Dr. Laurie Rockelli for all their hard work advising, editing, and perfecting.</w:t>
      </w:r>
      <w:r w:rsidR="00AF44BE">
        <w:t xml:space="preserve">  All of the faculty and staff at Salisbury University have been exceptional in helping to mold me into a </w:t>
      </w:r>
      <w:proofErr w:type="spellStart"/>
      <w:r w:rsidR="00AF44BE">
        <w:t>doctorally</w:t>
      </w:r>
      <w:proofErr w:type="spellEnd"/>
      <w:r w:rsidR="00AF44BE">
        <w:t>-prepared advanced practice nurse.</w:t>
      </w:r>
    </w:p>
    <w:p w:rsidR="003E7FAD" w:rsidRDefault="0069376E" w:rsidP="00883AC1">
      <w:pPr>
        <w:pStyle w:val="BodyText"/>
      </w:pPr>
      <w:r>
        <w:t xml:space="preserve">A heartfelt thanks to my family and friends, particularly my parents, Mike and Dede Singleton, for supporting me, encouraging me, and putting up with me throughout this long process.  </w:t>
      </w:r>
      <w:r w:rsidR="005A10D2">
        <w:t>Their</w:t>
      </w:r>
      <w:r>
        <w:t xml:space="preserve"> love and encouragement know no bounds.  </w:t>
      </w:r>
    </w:p>
    <w:p w:rsidR="00F71F92" w:rsidRDefault="0069376E" w:rsidP="00883AC1">
      <w:pPr>
        <w:pStyle w:val="BodyText"/>
      </w:pPr>
      <w:r>
        <w:t xml:space="preserve">A sincere thank you to </w:t>
      </w:r>
      <w:r w:rsidR="00AF44BE">
        <w:t>all</w:t>
      </w:r>
      <w:r>
        <w:t xml:space="preserve"> the leadership and staff</w:t>
      </w:r>
      <w:r w:rsidR="00AF44BE">
        <w:t xml:space="preserve"> </w:t>
      </w:r>
      <w:r>
        <w:t>at the Lower Shore Clinic for taking a chance on a doctoral student</w:t>
      </w:r>
      <w:r w:rsidR="00AF44BE">
        <w:t xml:space="preserve"> with lofty goals for her final project.  A special thanks to Dimitri </w:t>
      </w:r>
      <w:proofErr w:type="spellStart"/>
      <w:r w:rsidR="00AF44BE">
        <w:t>Cavathas</w:t>
      </w:r>
      <w:proofErr w:type="spellEnd"/>
      <w:r w:rsidR="00AF44BE">
        <w:t xml:space="preserve">, CEO, Kristine </w:t>
      </w:r>
      <w:proofErr w:type="spellStart"/>
      <w:r w:rsidR="00AF44BE">
        <w:t>Garlitz</w:t>
      </w:r>
      <w:proofErr w:type="spellEnd"/>
      <w:r w:rsidR="00AF44BE">
        <w:t xml:space="preserve">, clinic director, and </w:t>
      </w:r>
      <w:proofErr w:type="spellStart"/>
      <w:r w:rsidR="00AF44BE">
        <w:t>Yeardly</w:t>
      </w:r>
      <w:proofErr w:type="spellEnd"/>
      <w:r w:rsidR="00AF44BE">
        <w:t xml:space="preserve"> Green, Vice President of Terrapin Pharmacy, for helping to make these goals come true.  A final thanks to </w:t>
      </w:r>
      <w:proofErr w:type="spellStart"/>
      <w:r w:rsidR="00AF44BE">
        <w:t>Casie</w:t>
      </w:r>
      <w:proofErr w:type="spellEnd"/>
      <w:r w:rsidR="00AF44BE">
        <w:t xml:space="preserve"> Wilson, Courtney Dennis, Rebecca Flanders, and Andy Kar</w:t>
      </w:r>
      <w:r w:rsidR="009726C7">
        <w:t>ten</w:t>
      </w:r>
      <w:bookmarkStart w:id="2" w:name="_GoBack"/>
      <w:bookmarkEnd w:id="2"/>
      <w:r w:rsidR="00AF44BE">
        <w:t xml:space="preserve"> for all of their hard work and dedication as members of this team.</w:t>
      </w:r>
    </w:p>
    <w:p w:rsidR="00F71F92" w:rsidRPr="00741E38" w:rsidRDefault="00F71F92" w:rsidP="00261D6D">
      <w:pPr>
        <w:pStyle w:val="APALevel0noTOC"/>
        <w:rPr>
          <w:b/>
        </w:rPr>
      </w:pPr>
      <w:r w:rsidRPr="00741E38">
        <w:rPr>
          <w:b/>
        </w:rPr>
        <w:lastRenderedPageBreak/>
        <w:t>Abstract</w:t>
      </w:r>
    </w:p>
    <w:p w:rsidR="00883AC1" w:rsidRDefault="00EB67E4" w:rsidP="00B34EF9">
      <w:pPr>
        <w:pStyle w:val="APA"/>
      </w:pPr>
      <w:r w:rsidRPr="00DC3083">
        <w:t>Low health literacy is a major problem in the U.S.</w:t>
      </w:r>
      <w:r>
        <w:t xml:space="preserve"> </w:t>
      </w:r>
      <w:r w:rsidRPr="00DC3083">
        <w:t>which can negatively impact</w:t>
      </w:r>
      <w:r w:rsidR="001757F7">
        <w:t xml:space="preserve"> health and</w:t>
      </w:r>
      <w:r w:rsidRPr="00DC3083">
        <w:t xml:space="preserve"> </w:t>
      </w:r>
      <w:r>
        <w:t xml:space="preserve">indicators of </w:t>
      </w:r>
      <w:r w:rsidRPr="00DC3083">
        <w:t>metabolic syndrome, particularly in</w:t>
      </w:r>
      <w:r>
        <w:t xml:space="preserve"> the underserved population of</w:t>
      </w:r>
      <w:r w:rsidRPr="00DC3083">
        <w:t xml:space="preserve"> those with severe mental illness</w:t>
      </w:r>
      <w:r>
        <w:t xml:space="preserve">.  </w:t>
      </w:r>
      <w:r w:rsidRPr="00DC3083">
        <w:t xml:space="preserve">The purpose of this </w:t>
      </w:r>
      <w:r>
        <w:t xml:space="preserve">pilot </w:t>
      </w:r>
      <w:r w:rsidRPr="00DC3083">
        <w:t xml:space="preserve">project was to improve the health literacy in persons with mental illness </w:t>
      </w:r>
      <w:r>
        <w:t>at an outpatient mental health clinic utilizing</w:t>
      </w:r>
      <w:r w:rsidRPr="00DC3083">
        <w:t xml:space="preserve"> </w:t>
      </w:r>
      <w:r w:rsidR="001757F7">
        <w:t xml:space="preserve">the </w:t>
      </w:r>
      <w:r w:rsidRPr="00DC3083">
        <w:t>AHRQ</w:t>
      </w:r>
      <w:r>
        <w:t>’s</w:t>
      </w:r>
      <w:r w:rsidRPr="00DC3083">
        <w:t xml:space="preserve"> </w:t>
      </w:r>
      <w:r w:rsidRPr="00DC3083">
        <w:rPr>
          <w:i/>
        </w:rPr>
        <w:t xml:space="preserve">Health Literacy Universal Precautions Toolkit </w:t>
      </w:r>
      <w:r>
        <w:t>with the goal of improving</w:t>
      </w:r>
      <w:r w:rsidRPr="00DC3083">
        <w:t xml:space="preserve"> </w:t>
      </w:r>
      <w:r>
        <w:t xml:space="preserve">the </w:t>
      </w:r>
      <w:r w:rsidRPr="00DC3083">
        <w:t xml:space="preserve">indicators </w:t>
      </w:r>
      <w:r>
        <w:t>of</w:t>
      </w:r>
      <w:r w:rsidRPr="00DC3083">
        <w:t xml:space="preserve"> metabolic syndrome.  </w:t>
      </w:r>
      <w:r w:rsidR="001757F7">
        <w:t xml:space="preserve">Medical records were reviewed to collect data about metabolic syndrome indicators pre- and post-intervention.  </w:t>
      </w:r>
      <w:r>
        <w:t>P</w:t>
      </w:r>
      <w:r w:rsidRPr="00DC3083">
        <w:t>erceptions of health literacy</w:t>
      </w:r>
      <w:r>
        <w:t>-related</w:t>
      </w:r>
      <w:r w:rsidRPr="00DC3083">
        <w:t xml:space="preserve"> practices</w:t>
      </w:r>
      <w:r>
        <w:t xml:space="preserve"> among clients and clinic staff were also examined</w:t>
      </w:r>
      <w:r w:rsidRPr="00DC3083">
        <w:t>.</w:t>
      </w:r>
      <w:r>
        <w:t xml:space="preserve">  The intervention consisted of a health literacy quality improvement team and </w:t>
      </w:r>
      <w:r w:rsidRPr="00DC3083">
        <w:t>implement</w:t>
      </w:r>
      <w:r>
        <w:t>ation of select t</w:t>
      </w:r>
      <w:r w:rsidRPr="00DC3083">
        <w:t xml:space="preserve">ools from the </w:t>
      </w:r>
      <w:r w:rsidRPr="00DC3083">
        <w:rPr>
          <w:i/>
        </w:rPr>
        <w:t xml:space="preserve">Health Literacy Universal Precautions Toolkit </w:t>
      </w:r>
      <w:r>
        <w:t xml:space="preserve">over a three-month period.  </w:t>
      </w:r>
      <w:r w:rsidRPr="00DC3083">
        <w:t>Paired-sample t-tests</w:t>
      </w:r>
      <w:r>
        <w:t xml:space="preserve"> </w:t>
      </w:r>
      <w:r w:rsidRPr="00DC3083">
        <w:t xml:space="preserve">were </w:t>
      </w:r>
      <w:r>
        <w:t>used to</w:t>
      </w:r>
      <w:r w:rsidRPr="00DC3083">
        <w:t xml:space="preserve"> determine </w:t>
      </w:r>
      <w:r>
        <w:t>differences</w:t>
      </w:r>
      <w:r w:rsidR="00B61540">
        <w:t xml:space="preserve"> in</w:t>
      </w:r>
      <w:r w:rsidRPr="00DC3083">
        <w:t xml:space="preserve"> metabolic syndrome </w:t>
      </w:r>
      <w:r>
        <w:t xml:space="preserve">indicators post-practice changes and Wilcoxon signed-rank tests were used to examine if perceptions in health literacy practices improved among clients and staff. </w:t>
      </w:r>
      <w:r w:rsidRPr="00DC3083">
        <w:t xml:space="preserve"> </w:t>
      </w:r>
      <w:r>
        <w:t>There were no significant differences pre- and post-intervention with regards to improvement in metabolic syndrome indicators (n=18).  For the 10 clients completing pre- and post-intervention health literacy surveys, only one item had statistical significance (p=.02</w:t>
      </w:r>
      <w:r w:rsidR="001757F7">
        <w:t>5).  T</w:t>
      </w:r>
      <w:r>
        <w:t>wo items</w:t>
      </w:r>
      <w:r w:rsidR="001757F7">
        <w:t xml:space="preserve"> the staff health literacy assessment</w:t>
      </w:r>
      <w:r>
        <w:t xml:space="preserve"> showed significant improvement (p=.046; p=.041).  While the results did not support that the intervention to improve health literacy was associated with improvements in metabolic syndrome indicators in persons with severe mental illness, more research is warranted in larger samples in this understudied population.  </w:t>
      </w:r>
    </w:p>
    <w:p w:rsidR="00883AC1" w:rsidRDefault="00883AC1" w:rsidP="00745E25">
      <w:pPr>
        <w:pStyle w:val="BodyText"/>
        <w:jc w:val="center"/>
        <w:sectPr w:rsidR="00883AC1" w:rsidSect="0003432E">
          <w:headerReference w:type="even" r:id="rId11"/>
          <w:headerReference w:type="default" r:id="rId12"/>
          <w:footerReference w:type="even" r:id="rId13"/>
          <w:footerReference w:type="default" r:id="rId14"/>
          <w:headerReference w:type="first" r:id="rId15"/>
          <w:pgSz w:w="12240" w:h="15840" w:code="1"/>
          <w:pgMar w:top="1440" w:right="1440" w:bottom="1915" w:left="2160" w:header="1440" w:footer="1440" w:gutter="0"/>
          <w:pgNumType w:fmt="lowerRoman" w:start="2"/>
          <w:cols w:space="720"/>
          <w:noEndnote/>
        </w:sectPr>
      </w:pPr>
    </w:p>
    <w:p w:rsidR="00B14EF8" w:rsidRDefault="00B14EF8" w:rsidP="00827F7D">
      <w:pPr>
        <w:pStyle w:val="APALevel0noTOC"/>
      </w:pPr>
      <w:r>
        <w:lastRenderedPageBreak/>
        <w:t>T</w:t>
      </w:r>
      <w:r w:rsidR="00B649F7">
        <w:t>able</w:t>
      </w:r>
      <w:r>
        <w:t xml:space="preserve"> </w:t>
      </w:r>
      <w:r w:rsidR="00B649F7">
        <w:t>of</w:t>
      </w:r>
      <w:r>
        <w:t xml:space="preserve"> C</w:t>
      </w:r>
      <w:r w:rsidR="00B649F7">
        <w:t>ontents</w:t>
      </w:r>
    </w:p>
    <w:p w:rsidR="005F167E" w:rsidRDefault="00F770F6">
      <w:pPr>
        <w:pStyle w:val="TOC1"/>
        <w:rPr>
          <w:rFonts w:asciiTheme="minorHAnsi" w:eastAsiaTheme="minorEastAsia" w:hAnsiTheme="minorHAnsi" w:cstheme="minorBidi"/>
          <w:sz w:val="22"/>
          <w:szCs w:val="22"/>
        </w:rPr>
      </w:pPr>
      <w:r>
        <w:rPr>
          <w:b/>
          <w:bCs/>
        </w:rPr>
        <w:fldChar w:fldCharType="begin"/>
      </w:r>
      <w:r>
        <w:rPr>
          <w:b/>
          <w:bCs/>
        </w:rPr>
        <w:instrText xml:space="preserve"> TOC \h \z \t "APA Level 1,2,APA Level 2,3,APA Level 0,1" </w:instrText>
      </w:r>
      <w:r>
        <w:rPr>
          <w:b/>
          <w:bCs/>
        </w:rPr>
        <w:fldChar w:fldCharType="separate"/>
      </w:r>
      <w:hyperlink w:anchor="_Toc514059876" w:history="1">
        <w:r w:rsidR="005F167E" w:rsidRPr="0089015C">
          <w:rPr>
            <w:rStyle w:val="Hyperlink"/>
          </w:rPr>
          <w:t>List of Tables</w:t>
        </w:r>
        <w:r w:rsidR="005F167E">
          <w:rPr>
            <w:webHidden/>
          </w:rPr>
          <w:tab/>
        </w:r>
        <w:r w:rsidR="005F167E">
          <w:rPr>
            <w:webHidden/>
          </w:rPr>
          <w:fldChar w:fldCharType="begin"/>
        </w:r>
        <w:r w:rsidR="005F167E">
          <w:rPr>
            <w:webHidden/>
          </w:rPr>
          <w:instrText xml:space="preserve"> PAGEREF _Toc514059876 \h </w:instrText>
        </w:r>
        <w:r w:rsidR="005F167E">
          <w:rPr>
            <w:webHidden/>
          </w:rPr>
        </w:r>
        <w:r w:rsidR="005F167E">
          <w:rPr>
            <w:webHidden/>
          </w:rPr>
          <w:fldChar w:fldCharType="separate"/>
        </w:r>
        <w:r w:rsidR="009726C7">
          <w:rPr>
            <w:webHidden/>
          </w:rPr>
          <w:t>iv</w:t>
        </w:r>
        <w:r w:rsidR="005F167E">
          <w:rPr>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877" w:history="1">
        <w:r w:rsidRPr="0089015C">
          <w:rPr>
            <w:rStyle w:val="Hyperlink"/>
          </w:rPr>
          <w:t>List of Figures</w:t>
        </w:r>
        <w:r>
          <w:rPr>
            <w:webHidden/>
          </w:rPr>
          <w:tab/>
        </w:r>
        <w:r>
          <w:rPr>
            <w:webHidden/>
          </w:rPr>
          <w:fldChar w:fldCharType="begin"/>
        </w:r>
        <w:r>
          <w:rPr>
            <w:webHidden/>
          </w:rPr>
          <w:instrText xml:space="preserve"> PAGEREF _Toc514059877 \h </w:instrText>
        </w:r>
        <w:r>
          <w:rPr>
            <w:webHidden/>
          </w:rPr>
        </w:r>
        <w:r>
          <w:rPr>
            <w:webHidden/>
          </w:rPr>
          <w:fldChar w:fldCharType="separate"/>
        </w:r>
        <w:r w:rsidR="009726C7">
          <w:rPr>
            <w:webHidden/>
          </w:rPr>
          <w:t>v</w:t>
        </w:r>
        <w:r>
          <w:rPr>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878" w:history="1">
        <w:r w:rsidRPr="0089015C">
          <w:rPr>
            <w:rStyle w:val="Hyperlink"/>
          </w:rPr>
          <w:t>Project Overview</w:t>
        </w:r>
        <w:r>
          <w:rPr>
            <w:webHidden/>
          </w:rPr>
          <w:tab/>
        </w:r>
        <w:r>
          <w:rPr>
            <w:webHidden/>
          </w:rPr>
          <w:fldChar w:fldCharType="begin"/>
        </w:r>
        <w:r>
          <w:rPr>
            <w:webHidden/>
          </w:rPr>
          <w:instrText xml:space="preserve"> PAGEREF _Toc514059878 \h </w:instrText>
        </w:r>
        <w:r>
          <w:rPr>
            <w:webHidden/>
          </w:rPr>
        </w:r>
        <w:r>
          <w:rPr>
            <w:webHidden/>
          </w:rPr>
          <w:fldChar w:fldCharType="separate"/>
        </w:r>
        <w:r w:rsidR="009726C7">
          <w:rPr>
            <w:webHidden/>
          </w:rPr>
          <w:t>1</w:t>
        </w:r>
        <w:r>
          <w:rPr>
            <w:webHidden/>
          </w:rPr>
          <w:fldChar w:fldCharType="end"/>
        </w:r>
      </w:hyperlink>
    </w:p>
    <w:p w:rsidR="005F167E" w:rsidRDefault="005F167E">
      <w:pPr>
        <w:pStyle w:val="TOC2"/>
        <w:rPr>
          <w:rFonts w:asciiTheme="minorHAnsi" w:eastAsiaTheme="minorEastAsia" w:hAnsiTheme="minorHAnsi" w:cstheme="minorBidi"/>
          <w:sz w:val="22"/>
          <w:szCs w:val="22"/>
        </w:rPr>
      </w:pPr>
      <w:hyperlink w:anchor="_Toc514059879" w:history="1">
        <w:r w:rsidRPr="0089015C">
          <w:rPr>
            <w:rStyle w:val="Hyperlink"/>
          </w:rPr>
          <w:t>Introduction</w:t>
        </w:r>
        <w:r>
          <w:rPr>
            <w:webHidden/>
          </w:rPr>
          <w:tab/>
        </w:r>
        <w:r>
          <w:rPr>
            <w:webHidden/>
          </w:rPr>
          <w:fldChar w:fldCharType="begin"/>
        </w:r>
        <w:r>
          <w:rPr>
            <w:webHidden/>
          </w:rPr>
          <w:instrText xml:space="preserve"> PAGEREF _Toc514059879 \h </w:instrText>
        </w:r>
        <w:r>
          <w:rPr>
            <w:webHidden/>
          </w:rPr>
        </w:r>
        <w:r>
          <w:rPr>
            <w:webHidden/>
          </w:rPr>
          <w:fldChar w:fldCharType="separate"/>
        </w:r>
        <w:r w:rsidR="009726C7">
          <w:rPr>
            <w:webHidden/>
          </w:rPr>
          <w:t>1</w:t>
        </w:r>
        <w:r>
          <w:rPr>
            <w:webHidden/>
          </w:rPr>
          <w:fldChar w:fldCharType="end"/>
        </w:r>
      </w:hyperlink>
    </w:p>
    <w:p w:rsidR="005F167E" w:rsidRDefault="005F167E">
      <w:pPr>
        <w:pStyle w:val="TOC3"/>
        <w:tabs>
          <w:tab w:val="right" w:leader="dot" w:pos="8630"/>
        </w:tabs>
        <w:rPr>
          <w:rFonts w:asciiTheme="minorHAnsi" w:eastAsiaTheme="minorEastAsia" w:hAnsiTheme="minorHAnsi" w:cstheme="minorBidi"/>
          <w:noProof/>
          <w:sz w:val="22"/>
          <w:szCs w:val="22"/>
        </w:rPr>
      </w:pPr>
      <w:hyperlink w:anchor="_Toc514059880" w:history="1">
        <w:r w:rsidRPr="0089015C">
          <w:rPr>
            <w:rStyle w:val="Hyperlink"/>
            <w:noProof/>
          </w:rPr>
          <w:t>Problem Statement</w:t>
        </w:r>
        <w:r>
          <w:rPr>
            <w:noProof/>
            <w:webHidden/>
          </w:rPr>
          <w:tab/>
        </w:r>
        <w:r>
          <w:rPr>
            <w:noProof/>
            <w:webHidden/>
          </w:rPr>
          <w:fldChar w:fldCharType="begin"/>
        </w:r>
        <w:r>
          <w:rPr>
            <w:noProof/>
            <w:webHidden/>
          </w:rPr>
          <w:instrText xml:space="preserve"> PAGEREF _Toc514059880 \h </w:instrText>
        </w:r>
        <w:r>
          <w:rPr>
            <w:noProof/>
            <w:webHidden/>
          </w:rPr>
        </w:r>
        <w:r>
          <w:rPr>
            <w:noProof/>
            <w:webHidden/>
          </w:rPr>
          <w:fldChar w:fldCharType="separate"/>
        </w:r>
        <w:r w:rsidR="009726C7">
          <w:rPr>
            <w:noProof/>
            <w:webHidden/>
          </w:rPr>
          <w:t>3</w:t>
        </w:r>
        <w:r>
          <w:rPr>
            <w:noProof/>
            <w:webHidden/>
          </w:rPr>
          <w:fldChar w:fldCharType="end"/>
        </w:r>
      </w:hyperlink>
    </w:p>
    <w:p w:rsidR="005F167E" w:rsidRDefault="005F167E">
      <w:pPr>
        <w:pStyle w:val="TOC3"/>
        <w:tabs>
          <w:tab w:val="right" w:leader="dot" w:pos="8630"/>
        </w:tabs>
        <w:rPr>
          <w:rFonts w:asciiTheme="minorHAnsi" w:eastAsiaTheme="minorEastAsia" w:hAnsiTheme="minorHAnsi" w:cstheme="minorBidi"/>
          <w:noProof/>
          <w:sz w:val="22"/>
          <w:szCs w:val="22"/>
        </w:rPr>
      </w:pPr>
      <w:hyperlink w:anchor="_Toc514059881" w:history="1">
        <w:r w:rsidRPr="0089015C">
          <w:rPr>
            <w:rStyle w:val="Hyperlink"/>
            <w:noProof/>
          </w:rPr>
          <w:t>Purpose of Project</w:t>
        </w:r>
        <w:r>
          <w:rPr>
            <w:noProof/>
            <w:webHidden/>
          </w:rPr>
          <w:tab/>
        </w:r>
        <w:r>
          <w:rPr>
            <w:noProof/>
            <w:webHidden/>
          </w:rPr>
          <w:fldChar w:fldCharType="begin"/>
        </w:r>
        <w:r>
          <w:rPr>
            <w:noProof/>
            <w:webHidden/>
          </w:rPr>
          <w:instrText xml:space="preserve"> PAGEREF _Toc514059881 \h </w:instrText>
        </w:r>
        <w:r>
          <w:rPr>
            <w:noProof/>
            <w:webHidden/>
          </w:rPr>
        </w:r>
        <w:r>
          <w:rPr>
            <w:noProof/>
            <w:webHidden/>
          </w:rPr>
          <w:fldChar w:fldCharType="separate"/>
        </w:r>
        <w:r w:rsidR="009726C7">
          <w:rPr>
            <w:noProof/>
            <w:webHidden/>
          </w:rPr>
          <w:t>3</w:t>
        </w:r>
        <w:r>
          <w:rPr>
            <w:noProof/>
            <w:webHidden/>
          </w:rPr>
          <w:fldChar w:fldCharType="end"/>
        </w:r>
      </w:hyperlink>
    </w:p>
    <w:p w:rsidR="005F167E" w:rsidRDefault="005F167E">
      <w:pPr>
        <w:pStyle w:val="TOC3"/>
        <w:tabs>
          <w:tab w:val="right" w:leader="dot" w:pos="8630"/>
        </w:tabs>
        <w:rPr>
          <w:rFonts w:asciiTheme="minorHAnsi" w:eastAsiaTheme="minorEastAsia" w:hAnsiTheme="minorHAnsi" w:cstheme="minorBidi"/>
          <w:noProof/>
          <w:sz w:val="22"/>
          <w:szCs w:val="22"/>
        </w:rPr>
      </w:pPr>
      <w:hyperlink w:anchor="_Toc514059882" w:history="1">
        <w:r w:rsidRPr="0089015C">
          <w:rPr>
            <w:rStyle w:val="Hyperlink"/>
            <w:noProof/>
          </w:rPr>
          <w:t>Clinical Question—PICO</w:t>
        </w:r>
        <w:r>
          <w:rPr>
            <w:noProof/>
            <w:webHidden/>
          </w:rPr>
          <w:tab/>
        </w:r>
        <w:r>
          <w:rPr>
            <w:noProof/>
            <w:webHidden/>
          </w:rPr>
          <w:fldChar w:fldCharType="begin"/>
        </w:r>
        <w:r>
          <w:rPr>
            <w:noProof/>
            <w:webHidden/>
          </w:rPr>
          <w:instrText xml:space="preserve"> PAGEREF _Toc514059882 \h </w:instrText>
        </w:r>
        <w:r>
          <w:rPr>
            <w:noProof/>
            <w:webHidden/>
          </w:rPr>
        </w:r>
        <w:r>
          <w:rPr>
            <w:noProof/>
            <w:webHidden/>
          </w:rPr>
          <w:fldChar w:fldCharType="separate"/>
        </w:r>
        <w:r w:rsidR="009726C7">
          <w:rPr>
            <w:noProof/>
            <w:webHidden/>
          </w:rPr>
          <w:t>4</w:t>
        </w:r>
        <w:r>
          <w:rPr>
            <w:noProof/>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883" w:history="1">
        <w:r w:rsidRPr="0089015C">
          <w:rPr>
            <w:rStyle w:val="Hyperlink"/>
          </w:rPr>
          <w:t>Analysis of Related Literature</w:t>
        </w:r>
        <w:r>
          <w:rPr>
            <w:webHidden/>
          </w:rPr>
          <w:tab/>
        </w:r>
        <w:r>
          <w:rPr>
            <w:webHidden/>
          </w:rPr>
          <w:fldChar w:fldCharType="begin"/>
        </w:r>
        <w:r>
          <w:rPr>
            <w:webHidden/>
          </w:rPr>
          <w:instrText xml:space="preserve"> PAGEREF _Toc514059883 \h </w:instrText>
        </w:r>
        <w:r>
          <w:rPr>
            <w:webHidden/>
          </w:rPr>
        </w:r>
        <w:r>
          <w:rPr>
            <w:webHidden/>
          </w:rPr>
          <w:fldChar w:fldCharType="separate"/>
        </w:r>
        <w:r w:rsidR="009726C7">
          <w:rPr>
            <w:webHidden/>
          </w:rPr>
          <w:t>5</w:t>
        </w:r>
        <w:r>
          <w:rPr>
            <w:webHidden/>
          </w:rPr>
          <w:fldChar w:fldCharType="end"/>
        </w:r>
      </w:hyperlink>
    </w:p>
    <w:p w:rsidR="005F167E" w:rsidRDefault="005F167E">
      <w:pPr>
        <w:pStyle w:val="TOC2"/>
        <w:rPr>
          <w:rFonts w:asciiTheme="minorHAnsi" w:eastAsiaTheme="minorEastAsia" w:hAnsiTheme="minorHAnsi" w:cstheme="minorBidi"/>
          <w:sz w:val="22"/>
          <w:szCs w:val="22"/>
        </w:rPr>
      </w:pPr>
      <w:hyperlink w:anchor="_Toc514059884" w:history="1">
        <w:r w:rsidRPr="0089015C">
          <w:rPr>
            <w:rStyle w:val="Hyperlink"/>
          </w:rPr>
          <w:t>Review of the Literature</w:t>
        </w:r>
        <w:r>
          <w:rPr>
            <w:webHidden/>
          </w:rPr>
          <w:tab/>
        </w:r>
        <w:r>
          <w:rPr>
            <w:webHidden/>
          </w:rPr>
          <w:fldChar w:fldCharType="begin"/>
        </w:r>
        <w:r>
          <w:rPr>
            <w:webHidden/>
          </w:rPr>
          <w:instrText xml:space="preserve"> PAGEREF _Toc514059884 \h </w:instrText>
        </w:r>
        <w:r>
          <w:rPr>
            <w:webHidden/>
          </w:rPr>
        </w:r>
        <w:r>
          <w:rPr>
            <w:webHidden/>
          </w:rPr>
          <w:fldChar w:fldCharType="separate"/>
        </w:r>
        <w:r w:rsidR="009726C7">
          <w:rPr>
            <w:webHidden/>
          </w:rPr>
          <w:t>5</w:t>
        </w:r>
        <w:r>
          <w:rPr>
            <w:webHidden/>
          </w:rPr>
          <w:fldChar w:fldCharType="end"/>
        </w:r>
      </w:hyperlink>
    </w:p>
    <w:p w:rsidR="005F167E" w:rsidRDefault="005F167E">
      <w:pPr>
        <w:pStyle w:val="TOC3"/>
        <w:tabs>
          <w:tab w:val="right" w:leader="dot" w:pos="8630"/>
        </w:tabs>
        <w:rPr>
          <w:rFonts w:asciiTheme="minorHAnsi" w:eastAsiaTheme="minorEastAsia" w:hAnsiTheme="minorHAnsi" w:cstheme="minorBidi"/>
          <w:noProof/>
          <w:sz w:val="22"/>
          <w:szCs w:val="22"/>
        </w:rPr>
      </w:pPr>
      <w:hyperlink w:anchor="_Toc514059885" w:history="1">
        <w:r w:rsidRPr="0089015C">
          <w:rPr>
            <w:rStyle w:val="Hyperlink"/>
            <w:noProof/>
          </w:rPr>
          <w:t>Search Strategy</w:t>
        </w:r>
        <w:r>
          <w:rPr>
            <w:noProof/>
            <w:webHidden/>
          </w:rPr>
          <w:tab/>
        </w:r>
        <w:r>
          <w:rPr>
            <w:noProof/>
            <w:webHidden/>
          </w:rPr>
          <w:fldChar w:fldCharType="begin"/>
        </w:r>
        <w:r>
          <w:rPr>
            <w:noProof/>
            <w:webHidden/>
          </w:rPr>
          <w:instrText xml:space="preserve"> PAGEREF _Toc514059885 \h </w:instrText>
        </w:r>
        <w:r>
          <w:rPr>
            <w:noProof/>
            <w:webHidden/>
          </w:rPr>
        </w:r>
        <w:r>
          <w:rPr>
            <w:noProof/>
            <w:webHidden/>
          </w:rPr>
          <w:fldChar w:fldCharType="separate"/>
        </w:r>
        <w:r w:rsidR="009726C7">
          <w:rPr>
            <w:noProof/>
            <w:webHidden/>
          </w:rPr>
          <w:t>5</w:t>
        </w:r>
        <w:r>
          <w:rPr>
            <w:noProof/>
            <w:webHidden/>
          </w:rPr>
          <w:fldChar w:fldCharType="end"/>
        </w:r>
      </w:hyperlink>
    </w:p>
    <w:p w:rsidR="005F167E" w:rsidRDefault="005F167E">
      <w:pPr>
        <w:pStyle w:val="TOC3"/>
        <w:tabs>
          <w:tab w:val="right" w:leader="dot" w:pos="8630"/>
        </w:tabs>
        <w:rPr>
          <w:rFonts w:asciiTheme="minorHAnsi" w:eastAsiaTheme="minorEastAsia" w:hAnsiTheme="minorHAnsi" w:cstheme="minorBidi"/>
          <w:noProof/>
          <w:sz w:val="22"/>
          <w:szCs w:val="22"/>
        </w:rPr>
      </w:pPr>
      <w:hyperlink w:anchor="_Toc514059886" w:history="1">
        <w:r w:rsidRPr="0089015C">
          <w:rPr>
            <w:rStyle w:val="Hyperlink"/>
            <w:noProof/>
          </w:rPr>
          <w:t>Governmental Agencies</w:t>
        </w:r>
        <w:r>
          <w:rPr>
            <w:noProof/>
            <w:webHidden/>
          </w:rPr>
          <w:tab/>
        </w:r>
        <w:r>
          <w:rPr>
            <w:noProof/>
            <w:webHidden/>
          </w:rPr>
          <w:fldChar w:fldCharType="begin"/>
        </w:r>
        <w:r>
          <w:rPr>
            <w:noProof/>
            <w:webHidden/>
          </w:rPr>
          <w:instrText xml:space="preserve"> PAGEREF _Toc514059886 \h </w:instrText>
        </w:r>
        <w:r>
          <w:rPr>
            <w:noProof/>
            <w:webHidden/>
          </w:rPr>
        </w:r>
        <w:r>
          <w:rPr>
            <w:noProof/>
            <w:webHidden/>
          </w:rPr>
          <w:fldChar w:fldCharType="separate"/>
        </w:r>
        <w:r w:rsidR="009726C7">
          <w:rPr>
            <w:noProof/>
            <w:webHidden/>
          </w:rPr>
          <w:t>6</w:t>
        </w:r>
        <w:r>
          <w:rPr>
            <w:noProof/>
            <w:webHidden/>
          </w:rPr>
          <w:fldChar w:fldCharType="end"/>
        </w:r>
      </w:hyperlink>
    </w:p>
    <w:p w:rsidR="005F167E" w:rsidRDefault="005F167E">
      <w:pPr>
        <w:pStyle w:val="TOC3"/>
        <w:tabs>
          <w:tab w:val="right" w:leader="dot" w:pos="8630"/>
        </w:tabs>
        <w:rPr>
          <w:rFonts w:asciiTheme="minorHAnsi" w:eastAsiaTheme="minorEastAsia" w:hAnsiTheme="minorHAnsi" w:cstheme="minorBidi"/>
          <w:noProof/>
          <w:sz w:val="22"/>
          <w:szCs w:val="22"/>
        </w:rPr>
      </w:pPr>
      <w:hyperlink w:anchor="_Toc514059887" w:history="1">
        <w:r w:rsidRPr="0089015C">
          <w:rPr>
            <w:rStyle w:val="Hyperlink"/>
            <w:noProof/>
          </w:rPr>
          <w:t>Health Literacy and Mental Illness</w:t>
        </w:r>
        <w:r>
          <w:rPr>
            <w:noProof/>
            <w:webHidden/>
          </w:rPr>
          <w:tab/>
        </w:r>
        <w:r>
          <w:rPr>
            <w:noProof/>
            <w:webHidden/>
          </w:rPr>
          <w:fldChar w:fldCharType="begin"/>
        </w:r>
        <w:r>
          <w:rPr>
            <w:noProof/>
            <w:webHidden/>
          </w:rPr>
          <w:instrText xml:space="preserve"> PAGEREF _Toc514059887 \h </w:instrText>
        </w:r>
        <w:r>
          <w:rPr>
            <w:noProof/>
            <w:webHidden/>
          </w:rPr>
        </w:r>
        <w:r>
          <w:rPr>
            <w:noProof/>
            <w:webHidden/>
          </w:rPr>
          <w:fldChar w:fldCharType="separate"/>
        </w:r>
        <w:r w:rsidR="009726C7">
          <w:rPr>
            <w:noProof/>
            <w:webHidden/>
          </w:rPr>
          <w:t>8</w:t>
        </w:r>
        <w:r>
          <w:rPr>
            <w:noProof/>
            <w:webHidden/>
          </w:rPr>
          <w:fldChar w:fldCharType="end"/>
        </w:r>
      </w:hyperlink>
    </w:p>
    <w:p w:rsidR="005F167E" w:rsidRDefault="005F167E">
      <w:pPr>
        <w:pStyle w:val="TOC3"/>
        <w:tabs>
          <w:tab w:val="right" w:leader="dot" w:pos="8630"/>
        </w:tabs>
        <w:rPr>
          <w:rFonts w:asciiTheme="minorHAnsi" w:eastAsiaTheme="minorEastAsia" w:hAnsiTheme="minorHAnsi" w:cstheme="minorBidi"/>
          <w:noProof/>
          <w:sz w:val="22"/>
          <w:szCs w:val="22"/>
        </w:rPr>
      </w:pPr>
      <w:hyperlink w:anchor="_Toc514059888" w:history="1">
        <w:r w:rsidRPr="0089015C">
          <w:rPr>
            <w:rStyle w:val="Hyperlink"/>
            <w:noProof/>
          </w:rPr>
          <w:t>Improvement Strategies</w:t>
        </w:r>
        <w:r>
          <w:rPr>
            <w:noProof/>
            <w:webHidden/>
          </w:rPr>
          <w:tab/>
        </w:r>
        <w:r>
          <w:rPr>
            <w:noProof/>
            <w:webHidden/>
          </w:rPr>
          <w:fldChar w:fldCharType="begin"/>
        </w:r>
        <w:r>
          <w:rPr>
            <w:noProof/>
            <w:webHidden/>
          </w:rPr>
          <w:instrText xml:space="preserve"> PAGEREF _Toc514059888 \h </w:instrText>
        </w:r>
        <w:r>
          <w:rPr>
            <w:noProof/>
            <w:webHidden/>
          </w:rPr>
        </w:r>
        <w:r>
          <w:rPr>
            <w:noProof/>
            <w:webHidden/>
          </w:rPr>
          <w:fldChar w:fldCharType="separate"/>
        </w:r>
        <w:r w:rsidR="009726C7">
          <w:rPr>
            <w:noProof/>
            <w:webHidden/>
          </w:rPr>
          <w:t>10</w:t>
        </w:r>
        <w:r>
          <w:rPr>
            <w:noProof/>
            <w:webHidden/>
          </w:rPr>
          <w:fldChar w:fldCharType="end"/>
        </w:r>
      </w:hyperlink>
    </w:p>
    <w:p w:rsidR="005F167E" w:rsidRDefault="005F167E">
      <w:pPr>
        <w:pStyle w:val="TOC3"/>
        <w:tabs>
          <w:tab w:val="right" w:leader="dot" w:pos="8630"/>
        </w:tabs>
        <w:rPr>
          <w:rFonts w:asciiTheme="minorHAnsi" w:eastAsiaTheme="minorEastAsia" w:hAnsiTheme="minorHAnsi" w:cstheme="minorBidi"/>
          <w:noProof/>
          <w:sz w:val="22"/>
          <w:szCs w:val="22"/>
        </w:rPr>
      </w:pPr>
      <w:hyperlink w:anchor="_Toc514059889" w:history="1">
        <w:r w:rsidRPr="0089015C">
          <w:rPr>
            <w:rStyle w:val="Hyperlink"/>
            <w:noProof/>
          </w:rPr>
          <w:t>Summary</w:t>
        </w:r>
        <w:r>
          <w:rPr>
            <w:noProof/>
            <w:webHidden/>
          </w:rPr>
          <w:tab/>
        </w:r>
        <w:r>
          <w:rPr>
            <w:noProof/>
            <w:webHidden/>
          </w:rPr>
          <w:fldChar w:fldCharType="begin"/>
        </w:r>
        <w:r>
          <w:rPr>
            <w:noProof/>
            <w:webHidden/>
          </w:rPr>
          <w:instrText xml:space="preserve"> PAGEREF _Toc514059889 \h </w:instrText>
        </w:r>
        <w:r>
          <w:rPr>
            <w:noProof/>
            <w:webHidden/>
          </w:rPr>
        </w:r>
        <w:r>
          <w:rPr>
            <w:noProof/>
            <w:webHidden/>
          </w:rPr>
          <w:fldChar w:fldCharType="separate"/>
        </w:r>
        <w:r w:rsidR="009726C7">
          <w:rPr>
            <w:noProof/>
            <w:webHidden/>
          </w:rPr>
          <w:t>12</w:t>
        </w:r>
        <w:r>
          <w:rPr>
            <w:noProof/>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890" w:history="1">
        <w:r w:rsidRPr="0089015C">
          <w:rPr>
            <w:rStyle w:val="Hyperlink"/>
          </w:rPr>
          <w:t>Conceptual Framework</w:t>
        </w:r>
        <w:r>
          <w:rPr>
            <w:webHidden/>
          </w:rPr>
          <w:tab/>
        </w:r>
        <w:r>
          <w:rPr>
            <w:webHidden/>
          </w:rPr>
          <w:fldChar w:fldCharType="begin"/>
        </w:r>
        <w:r>
          <w:rPr>
            <w:webHidden/>
          </w:rPr>
          <w:instrText xml:space="preserve"> PAGEREF _Toc514059890 \h </w:instrText>
        </w:r>
        <w:r>
          <w:rPr>
            <w:webHidden/>
          </w:rPr>
        </w:r>
        <w:r>
          <w:rPr>
            <w:webHidden/>
          </w:rPr>
          <w:fldChar w:fldCharType="separate"/>
        </w:r>
        <w:r w:rsidR="009726C7">
          <w:rPr>
            <w:webHidden/>
          </w:rPr>
          <w:t>13</w:t>
        </w:r>
        <w:r>
          <w:rPr>
            <w:webHidden/>
          </w:rPr>
          <w:fldChar w:fldCharType="end"/>
        </w:r>
      </w:hyperlink>
    </w:p>
    <w:p w:rsidR="005F167E" w:rsidRDefault="005F167E">
      <w:pPr>
        <w:pStyle w:val="TOC2"/>
        <w:rPr>
          <w:rFonts w:asciiTheme="minorHAnsi" w:eastAsiaTheme="minorEastAsia" w:hAnsiTheme="minorHAnsi" w:cstheme="minorBidi"/>
          <w:sz w:val="22"/>
          <w:szCs w:val="22"/>
        </w:rPr>
      </w:pPr>
      <w:hyperlink w:anchor="_Toc514059891" w:history="1">
        <w:r w:rsidRPr="0089015C">
          <w:rPr>
            <w:rStyle w:val="Hyperlink"/>
          </w:rPr>
          <w:t>MAP-IT Framework</w:t>
        </w:r>
        <w:r>
          <w:rPr>
            <w:webHidden/>
          </w:rPr>
          <w:tab/>
        </w:r>
        <w:r>
          <w:rPr>
            <w:webHidden/>
          </w:rPr>
          <w:fldChar w:fldCharType="begin"/>
        </w:r>
        <w:r>
          <w:rPr>
            <w:webHidden/>
          </w:rPr>
          <w:instrText xml:space="preserve"> PAGEREF _Toc514059891 \h </w:instrText>
        </w:r>
        <w:r>
          <w:rPr>
            <w:webHidden/>
          </w:rPr>
        </w:r>
        <w:r>
          <w:rPr>
            <w:webHidden/>
          </w:rPr>
          <w:fldChar w:fldCharType="separate"/>
        </w:r>
        <w:r w:rsidR="009726C7">
          <w:rPr>
            <w:webHidden/>
          </w:rPr>
          <w:t>13</w:t>
        </w:r>
        <w:r>
          <w:rPr>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892" w:history="1">
        <w:r w:rsidRPr="0089015C">
          <w:rPr>
            <w:rStyle w:val="Hyperlink"/>
          </w:rPr>
          <w:t>Project Design</w:t>
        </w:r>
        <w:r>
          <w:rPr>
            <w:webHidden/>
          </w:rPr>
          <w:tab/>
        </w:r>
        <w:r>
          <w:rPr>
            <w:webHidden/>
          </w:rPr>
          <w:fldChar w:fldCharType="begin"/>
        </w:r>
        <w:r>
          <w:rPr>
            <w:webHidden/>
          </w:rPr>
          <w:instrText xml:space="preserve"> PAGEREF _Toc514059892 \h </w:instrText>
        </w:r>
        <w:r>
          <w:rPr>
            <w:webHidden/>
          </w:rPr>
        </w:r>
        <w:r>
          <w:rPr>
            <w:webHidden/>
          </w:rPr>
          <w:fldChar w:fldCharType="separate"/>
        </w:r>
        <w:r w:rsidR="009726C7">
          <w:rPr>
            <w:webHidden/>
          </w:rPr>
          <w:t>16</w:t>
        </w:r>
        <w:r>
          <w:rPr>
            <w:webHidden/>
          </w:rPr>
          <w:fldChar w:fldCharType="end"/>
        </w:r>
      </w:hyperlink>
    </w:p>
    <w:p w:rsidR="005F167E" w:rsidRDefault="005F167E">
      <w:pPr>
        <w:pStyle w:val="TOC2"/>
        <w:rPr>
          <w:rFonts w:asciiTheme="minorHAnsi" w:eastAsiaTheme="minorEastAsia" w:hAnsiTheme="minorHAnsi" w:cstheme="minorBidi"/>
          <w:sz w:val="22"/>
          <w:szCs w:val="22"/>
        </w:rPr>
      </w:pPr>
      <w:hyperlink w:anchor="_Toc514059893" w:history="1">
        <w:r w:rsidRPr="0089015C">
          <w:rPr>
            <w:rStyle w:val="Hyperlink"/>
          </w:rPr>
          <w:t>Methodology</w:t>
        </w:r>
        <w:r>
          <w:rPr>
            <w:webHidden/>
          </w:rPr>
          <w:tab/>
        </w:r>
        <w:r>
          <w:rPr>
            <w:webHidden/>
          </w:rPr>
          <w:fldChar w:fldCharType="begin"/>
        </w:r>
        <w:r>
          <w:rPr>
            <w:webHidden/>
          </w:rPr>
          <w:instrText xml:space="preserve"> PAGEREF _Toc514059893 \h </w:instrText>
        </w:r>
        <w:r>
          <w:rPr>
            <w:webHidden/>
          </w:rPr>
        </w:r>
        <w:r>
          <w:rPr>
            <w:webHidden/>
          </w:rPr>
          <w:fldChar w:fldCharType="separate"/>
        </w:r>
        <w:r w:rsidR="009726C7">
          <w:rPr>
            <w:webHidden/>
          </w:rPr>
          <w:t>16</w:t>
        </w:r>
        <w:r>
          <w:rPr>
            <w:webHidden/>
          </w:rPr>
          <w:fldChar w:fldCharType="end"/>
        </w:r>
      </w:hyperlink>
    </w:p>
    <w:p w:rsidR="005F167E" w:rsidRDefault="005F167E">
      <w:pPr>
        <w:pStyle w:val="TOC3"/>
        <w:tabs>
          <w:tab w:val="right" w:leader="dot" w:pos="8630"/>
        </w:tabs>
        <w:rPr>
          <w:rFonts w:asciiTheme="minorHAnsi" w:eastAsiaTheme="minorEastAsia" w:hAnsiTheme="minorHAnsi" w:cstheme="minorBidi"/>
          <w:noProof/>
          <w:sz w:val="22"/>
          <w:szCs w:val="22"/>
        </w:rPr>
      </w:pPr>
      <w:hyperlink w:anchor="_Toc514059894" w:history="1">
        <w:r w:rsidRPr="0089015C">
          <w:rPr>
            <w:rStyle w:val="Hyperlink"/>
            <w:noProof/>
          </w:rPr>
          <w:t>Participants</w:t>
        </w:r>
        <w:r>
          <w:rPr>
            <w:noProof/>
            <w:webHidden/>
          </w:rPr>
          <w:tab/>
        </w:r>
        <w:r>
          <w:rPr>
            <w:noProof/>
            <w:webHidden/>
          </w:rPr>
          <w:fldChar w:fldCharType="begin"/>
        </w:r>
        <w:r>
          <w:rPr>
            <w:noProof/>
            <w:webHidden/>
          </w:rPr>
          <w:instrText xml:space="preserve"> PAGEREF _Toc514059894 \h </w:instrText>
        </w:r>
        <w:r>
          <w:rPr>
            <w:noProof/>
            <w:webHidden/>
          </w:rPr>
        </w:r>
        <w:r>
          <w:rPr>
            <w:noProof/>
            <w:webHidden/>
          </w:rPr>
          <w:fldChar w:fldCharType="separate"/>
        </w:r>
        <w:r w:rsidR="009726C7">
          <w:rPr>
            <w:noProof/>
            <w:webHidden/>
          </w:rPr>
          <w:t>16</w:t>
        </w:r>
        <w:r>
          <w:rPr>
            <w:noProof/>
            <w:webHidden/>
          </w:rPr>
          <w:fldChar w:fldCharType="end"/>
        </w:r>
      </w:hyperlink>
    </w:p>
    <w:p w:rsidR="005F167E" w:rsidRDefault="005F167E">
      <w:pPr>
        <w:pStyle w:val="TOC3"/>
        <w:tabs>
          <w:tab w:val="right" w:leader="dot" w:pos="8630"/>
        </w:tabs>
        <w:rPr>
          <w:rFonts w:asciiTheme="minorHAnsi" w:eastAsiaTheme="minorEastAsia" w:hAnsiTheme="minorHAnsi" w:cstheme="minorBidi"/>
          <w:noProof/>
          <w:sz w:val="22"/>
          <w:szCs w:val="22"/>
        </w:rPr>
      </w:pPr>
      <w:hyperlink w:anchor="_Toc514059895" w:history="1">
        <w:r w:rsidRPr="0089015C">
          <w:rPr>
            <w:rStyle w:val="Hyperlink"/>
            <w:noProof/>
          </w:rPr>
          <w:t>Setting</w:t>
        </w:r>
        <w:r>
          <w:rPr>
            <w:rStyle w:val="Hyperlink"/>
            <w:noProof/>
          </w:rPr>
          <w:tab/>
        </w:r>
        <w:r>
          <w:rPr>
            <w:noProof/>
            <w:webHidden/>
          </w:rPr>
          <w:tab/>
        </w:r>
        <w:r>
          <w:rPr>
            <w:noProof/>
            <w:webHidden/>
          </w:rPr>
          <w:fldChar w:fldCharType="begin"/>
        </w:r>
        <w:r>
          <w:rPr>
            <w:noProof/>
            <w:webHidden/>
          </w:rPr>
          <w:instrText xml:space="preserve"> PAGEREF _Toc514059895 \h </w:instrText>
        </w:r>
        <w:r>
          <w:rPr>
            <w:noProof/>
            <w:webHidden/>
          </w:rPr>
        </w:r>
        <w:r>
          <w:rPr>
            <w:noProof/>
            <w:webHidden/>
          </w:rPr>
          <w:fldChar w:fldCharType="separate"/>
        </w:r>
        <w:r w:rsidR="009726C7">
          <w:rPr>
            <w:noProof/>
            <w:webHidden/>
          </w:rPr>
          <w:t>18</w:t>
        </w:r>
        <w:r>
          <w:rPr>
            <w:noProof/>
            <w:webHidden/>
          </w:rPr>
          <w:fldChar w:fldCharType="end"/>
        </w:r>
      </w:hyperlink>
    </w:p>
    <w:p w:rsidR="005F167E" w:rsidRDefault="005F167E">
      <w:pPr>
        <w:pStyle w:val="TOC3"/>
        <w:tabs>
          <w:tab w:val="right" w:leader="dot" w:pos="8630"/>
        </w:tabs>
        <w:rPr>
          <w:rFonts w:asciiTheme="minorHAnsi" w:eastAsiaTheme="minorEastAsia" w:hAnsiTheme="minorHAnsi" w:cstheme="minorBidi"/>
          <w:noProof/>
          <w:sz w:val="22"/>
          <w:szCs w:val="22"/>
        </w:rPr>
      </w:pPr>
      <w:hyperlink w:anchor="_Toc514059896" w:history="1">
        <w:r w:rsidRPr="0089015C">
          <w:rPr>
            <w:rStyle w:val="Hyperlink"/>
            <w:noProof/>
          </w:rPr>
          <w:t>Tools and Intervention</w:t>
        </w:r>
        <w:r>
          <w:rPr>
            <w:noProof/>
            <w:webHidden/>
          </w:rPr>
          <w:tab/>
        </w:r>
        <w:r>
          <w:rPr>
            <w:noProof/>
            <w:webHidden/>
          </w:rPr>
          <w:fldChar w:fldCharType="begin"/>
        </w:r>
        <w:r>
          <w:rPr>
            <w:noProof/>
            <w:webHidden/>
          </w:rPr>
          <w:instrText xml:space="preserve"> PAGEREF _Toc514059896 \h </w:instrText>
        </w:r>
        <w:r>
          <w:rPr>
            <w:noProof/>
            <w:webHidden/>
          </w:rPr>
        </w:r>
        <w:r>
          <w:rPr>
            <w:noProof/>
            <w:webHidden/>
          </w:rPr>
          <w:fldChar w:fldCharType="separate"/>
        </w:r>
        <w:r w:rsidR="009726C7">
          <w:rPr>
            <w:noProof/>
            <w:webHidden/>
          </w:rPr>
          <w:t>19</w:t>
        </w:r>
        <w:r>
          <w:rPr>
            <w:noProof/>
            <w:webHidden/>
          </w:rPr>
          <w:fldChar w:fldCharType="end"/>
        </w:r>
      </w:hyperlink>
    </w:p>
    <w:p w:rsidR="005F167E" w:rsidRDefault="005F167E">
      <w:pPr>
        <w:pStyle w:val="TOC3"/>
        <w:tabs>
          <w:tab w:val="right" w:leader="dot" w:pos="8630"/>
        </w:tabs>
        <w:rPr>
          <w:rFonts w:asciiTheme="minorHAnsi" w:eastAsiaTheme="minorEastAsia" w:hAnsiTheme="minorHAnsi" w:cstheme="minorBidi"/>
          <w:noProof/>
          <w:sz w:val="22"/>
          <w:szCs w:val="22"/>
        </w:rPr>
      </w:pPr>
      <w:hyperlink w:anchor="_Toc514059897" w:history="1">
        <w:r w:rsidRPr="0089015C">
          <w:rPr>
            <w:rStyle w:val="Hyperlink"/>
            <w:noProof/>
          </w:rPr>
          <w:t>Data Collection</w:t>
        </w:r>
        <w:r>
          <w:rPr>
            <w:noProof/>
            <w:webHidden/>
          </w:rPr>
          <w:tab/>
        </w:r>
        <w:r>
          <w:rPr>
            <w:noProof/>
            <w:webHidden/>
          </w:rPr>
          <w:fldChar w:fldCharType="begin"/>
        </w:r>
        <w:r>
          <w:rPr>
            <w:noProof/>
            <w:webHidden/>
          </w:rPr>
          <w:instrText xml:space="preserve"> PAGEREF _Toc514059897 \h </w:instrText>
        </w:r>
        <w:r>
          <w:rPr>
            <w:noProof/>
            <w:webHidden/>
          </w:rPr>
        </w:r>
        <w:r>
          <w:rPr>
            <w:noProof/>
            <w:webHidden/>
          </w:rPr>
          <w:fldChar w:fldCharType="separate"/>
        </w:r>
        <w:r w:rsidR="009726C7">
          <w:rPr>
            <w:noProof/>
            <w:webHidden/>
          </w:rPr>
          <w:t>22</w:t>
        </w:r>
        <w:r>
          <w:rPr>
            <w:noProof/>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898" w:history="1">
        <w:r w:rsidRPr="0089015C">
          <w:rPr>
            <w:rStyle w:val="Hyperlink"/>
          </w:rPr>
          <w:t>Project Implementation</w:t>
        </w:r>
        <w:r>
          <w:rPr>
            <w:webHidden/>
          </w:rPr>
          <w:tab/>
        </w:r>
        <w:r>
          <w:rPr>
            <w:webHidden/>
          </w:rPr>
          <w:fldChar w:fldCharType="begin"/>
        </w:r>
        <w:r>
          <w:rPr>
            <w:webHidden/>
          </w:rPr>
          <w:instrText xml:space="preserve"> PAGEREF _Toc514059898 \h </w:instrText>
        </w:r>
        <w:r>
          <w:rPr>
            <w:webHidden/>
          </w:rPr>
        </w:r>
        <w:r>
          <w:rPr>
            <w:webHidden/>
          </w:rPr>
          <w:fldChar w:fldCharType="separate"/>
        </w:r>
        <w:r w:rsidR="009726C7">
          <w:rPr>
            <w:webHidden/>
          </w:rPr>
          <w:t>25</w:t>
        </w:r>
        <w:r>
          <w:rPr>
            <w:webHidden/>
          </w:rPr>
          <w:fldChar w:fldCharType="end"/>
        </w:r>
      </w:hyperlink>
    </w:p>
    <w:p w:rsidR="005F167E" w:rsidRDefault="005F167E">
      <w:pPr>
        <w:pStyle w:val="TOC2"/>
        <w:rPr>
          <w:rFonts w:asciiTheme="minorHAnsi" w:eastAsiaTheme="minorEastAsia" w:hAnsiTheme="minorHAnsi" w:cstheme="minorBidi"/>
          <w:sz w:val="22"/>
          <w:szCs w:val="22"/>
        </w:rPr>
      </w:pPr>
      <w:hyperlink w:anchor="_Toc514059899" w:history="1">
        <w:r w:rsidRPr="0089015C">
          <w:rPr>
            <w:rStyle w:val="Hyperlink"/>
          </w:rPr>
          <w:t>Summative Evaluation</w:t>
        </w:r>
        <w:r>
          <w:rPr>
            <w:webHidden/>
          </w:rPr>
          <w:tab/>
        </w:r>
        <w:r>
          <w:rPr>
            <w:webHidden/>
          </w:rPr>
          <w:fldChar w:fldCharType="begin"/>
        </w:r>
        <w:r>
          <w:rPr>
            <w:webHidden/>
          </w:rPr>
          <w:instrText xml:space="preserve"> PAGEREF _Toc514059899 \h </w:instrText>
        </w:r>
        <w:r>
          <w:rPr>
            <w:webHidden/>
          </w:rPr>
        </w:r>
        <w:r>
          <w:rPr>
            <w:webHidden/>
          </w:rPr>
          <w:fldChar w:fldCharType="separate"/>
        </w:r>
        <w:r w:rsidR="009726C7">
          <w:rPr>
            <w:webHidden/>
          </w:rPr>
          <w:t>25</w:t>
        </w:r>
        <w:r>
          <w:rPr>
            <w:webHidden/>
          </w:rPr>
          <w:fldChar w:fldCharType="end"/>
        </w:r>
      </w:hyperlink>
    </w:p>
    <w:p w:rsidR="005F167E" w:rsidRDefault="005F167E">
      <w:pPr>
        <w:pStyle w:val="TOC2"/>
        <w:rPr>
          <w:rFonts w:asciiTheme="minorHAnsi" w:eastAsiaTheme="minorEastAsia" w:hAnsiTheme="minorHAnsi" w:cstheme="minorBidi"/>
          <w:sz w:val="22"/>
          <w:szCs w:val="22"/>
        </w:rPr>
      </w:pPr>
      <w:hyperlink w:anchor="_Toc514059900" w:history="1">
        <w:r w:rsidRPr="0089015C">
          <w:rPr>
            <w:rStyle w:val="Hyperlink"/>
          </w:rPr>
          <w:t>Barriers and Facilitators</w:t>
        </w:r>
        <w:r>
          <w:rPr>
            <w:webHidden/>
          </w:rPr>
          <w:tab/>
        </w:r>
        <w:r>
          <w:rPr>
            <w:webHidden/>
          </w:rPr>
          <w:fldChar w:fldCharType="begin"/>
        </w:r>
        <w:r>
          <w:rPr>
            <w:webHidden/>
          </w:rPr>
          <w:instrText xml:space="preserve"> PAGEREF _Toc514059900 \h </w:instrText>
        </w:r>
        <w:r>
          <w:rPr>
            <w:webHidden/>
          </w:rPr>
        </w:r>
        <w:r>
          <w:rPr>
            <w:webHidden/>
          </w:rPr>
          <w:fldChar w:fldCharType="separate"/>
        </w:r>
        <w:r w:rsidR="009726C7">
          <w:rPr>
            <w:webHidden/>
          </w:rPr>
          <w:t>26</w:t>
        </w:r>
        <w:r>
          <w:rPr>
            <w:webHidden/>
          </w:rPr>
          <w:fldChar w:fldCharType="end"/>
        </w:r>
      </w:hyperlink>
    </w:p>
    <w:p w:rsidR="005F167E" w:rsidRDefault="005F167E">
      <w:pPr>
        <w:pStyle w:val="TOC3"/>
        <w:tabs>
          <w:tab w:val="right" w:leader="dot" w:pos="8630"/>
        </w:tabs>
        <w:rPr>
          <w:rFonts w:asciiTheme="minorHAnsi" w:eastAsiaTheme="minorEastAsia" w:hAnsiTheme="minorHAnsi" w:cstheme="minorBidi"/>
          <w:noProof/>
          <w:sz w:val="22"/>
          <w:szCs w:val="22"/>
        </w:rPr>
      </w:pPr>
      <w:hyperlink w:anchor="_Toc514059901" w:history="1">
        <w:r w:rsidRPr="0089015C">
          <w:rPr>
            <w:rStyle w:val="Hyperlink"/>
            <w:noProof/>
          </w:rPr>
          <w:t>Barriers</w:t>
        </w:r>
        <w:r>
          <w:rPr>
            <w:noProof/>
            <w:webHidden/>
          </w:rPr>
          <w:tab/>
        </w:r>
        <w:r>
          <w:rPr>
            <w:noProof/>
            <w:webHidden/>
          </w:rPr>
          <w:fldChar w:fldCharType="begin"/>
        </w:r>
        <w:r>
          <w:rPr>
            <w:noProof/>
            <w:webHidden/>
          </w:rPr>
          <w:instrText xml:space="preserve"> PAGEREF _Toc514059901 \h </w:instrText>
        </w:r>
        <w:r>
          <w:rPr>
            <w:noProof/>
            <w:webHidden/>
          </w:rPr>
        </w:r>
        <w:r>
          <w:rPr>
            <w:noProof/>
            <w:webHidden/>
          </w:rPr>
          <w:fldChar w:fldCharType="separate"/>
        </w:r>
        <w:r w:rsidR="009726C7">
          <w:rPr>
            <w:noProof/>
            <w:webHidden/>
          </w:rPr>
          <w:t>26</w:t>
        </w:r>
        <w:r>
          <w:rPr>
            <w:noProof/>
            <w:webHidden/>
          </w:rPr>
          <w:fldChar w:fldCharType="end"/>
        </w:r>
      </w:hyperlink>
    </w:p>
    <w:p w:rsidR="005F167E" w:rsidRDefault="005F167E">
      <w:pPr>
        <w:pStyle w:val="TOC3"/>
        <w:tabs>
          <w:tab w:val="right" w:leader="dot" w:pos="8630"/>
        </w:tabs>
        <w:rPr>
          <w:rFonts w:asciiTheme="minorHAnsi" w:eastAsiaTheme="minorEastAsia" w:hAnsiTheme="minorHAnsi" w:cstheme="minorBidi"/>
          <w:noProof/>
          <w:sz w:val="22"/>
          <w:szCs w:val="22"/>
        </w:rPr>
      </w:pPr>
      <w:hyperlink w:anchor="_Toc514059902" w:history="1">
        <w:r w:rsidRPr="0089015C">
          <w:rPr>
            <w:rStyle w:val="Hyperlink"/>
            <w:noProof/>
          </w:rPr>
          <w:t>Facilitators</w:t>
        </w:r>
        <w:r>
          <w:rPr>
            <w:noProof/>
            <w:webHidden/>
          </w:rPr>
          <w:tab/>
        </w:r>
        <w:r>
          <w:rPr>
            <w:noProof/>
            <w:webHidden/>
          </w:rPr>
          <w:fldChar w:fldCharType="begin"/>
        </w:r>
        <w:r>
          <w:rPr>
            <w:noProof/>
            <w:webHidden/>
          </w:rPr>
          <w:instrText xml:space="preserve"> PAGEREF _Toc514059902 \h </w:instrText>
        </w:r>
        <w:r>
          <w:rPr>
            <w:noProof/>
            <w:webHidden/>
          </w:rPr>
        </w:r>
        <w:r>
          <w:rPr>
            <w:noProof/>
            <w:webHidden/>
          </w:rPr>
          <w:fldChar w:fldCharType="separate"/>
        </w:r>
        <w:r w:rsidR="009726C7">
          <w:rPr>
            <w:noProof/>
            <w:webHidden/>
          </w:rPr>
          <w:t>27</w:t>
        </w:r>
        <w:r>
          <w:rPr>
            <w:noProof/>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903" w:history="1">
        <w:r w:rsidRPr="0089015C">
          <w:rPr>
            <w:rStyle w:val="Hyperlink"/>
          </w:rPr>
          <w:t>Analysis and Outcomes</w:t>
        </w:r>
        <w:r>
          <w:rPr>
            <w:webHidden/>
          </w:rPr>
          <w:tab/>
        </w:r>
        <w:r>
          <w:rPr>
            <w:webHidden/>
          </w:rPr>
          <w:fldChar w:fldCharType="begin"/>
        </w:r>
        <w:r>
          <w:rPr>
            <w:webHidden/>
          </w:rPr>
          <w:instrText xml:space="preserve"> PAGEREF _Toc514059903 \h </w:instrText>
        </w:r>
        <w:r>
          <w:rPr>
            <w:webHidden/>
          </w:rPr>
        </w:r>
        <w:r>
          <w:rPr>
            <w:webHidden/>
          </w:rPr>
          <w:fldChar w:fldCharType="separate"/>
        </w:r>
        <w:r w:rsidR="009726C7">
          <w:rPr>
            <w:webHidden/>
          </w:rPr>
          <w:t>28</w:t>
        </w:r>
        <w:r>
          <w:rPr>
            <w:webHidden/>
          </w:rPr>
          <w:fldChar w:fldCharType="end"/>
        </w:r>
      </w:hyperlink>
    </w:p>
    <w:p w:rsidR="005F167E" w:rsidRDefault="005F167E">
      <w:pPr>
        <w:pStyle w:val="TOC2"/>
        <w:rPr>
          <w:rFonts w:asciiTheme="minorHAnsi" w:eastAsiaTheme="minorEastAsia" w:hAnsiTheme="minorHAnsi" w:cstheme="minorBidi"/>
          <w:sz w:val="22"/>
          <w:szCs w:val="22"/>
        </w:rPr>
      </w:pPr>
      <w:hyperlink w:anchor="_Toc514059904" w:history="1">
        <w:r w:rsidRPr="0089015C">
          <w:rPr>
            <w:rStyle w:val="Hyperlink"/>
          </w:rPr>
          <w:t>Analysis</w:t>
        </w:r>
        <w:r>
          <w:rPr>
            <w:webHidden/>
          </w:rPr>
          <w:tab/>
        </w:r>
        <w:r>
          <w:rPr>
            <w:webHidden/>
          </w:rPr>
          <w:fldChar w:fldCharType="begin"/>
        </w:r>
        <w:r>
          <w:rPr>
            <w:webHidden/>
          </w:rPr>
          <w:instrText xml:space="preserve"> PAGEREF _Toc514059904 \h </w:instrText>
        </w:r>
        <w:r>
          <w:rPr>
            <w:webHidden/>
          </w:rPr>
        </w:r>
        <w:r>
          <w:rPr>
            <w:webHidden/>
          </w:rPr>
          <w:fldChar w:fldCharType="separate"/>
        </w:r>
        <w:r w:rsidR="009726C7">
          <w:rPr>
            <w:webHidden/>
          </w:rPr>
          <w:t>28</w:t>
        </w:r>
        <w:r>
          <w:rPr>
            <w:webHidden/>
          </w:rPr>
          <w:fldChar w:fldCharType="end"/>
        </w:r>
      </w:hyperlink>
    </w:p>
    <w:p w:rsidR="005F167E" w:rsidRDefault="005F167E">
      <w:pPr>
        <w:pStyle w:val="TOC3"/>
        <w:tabs>
          <w:tab w:val="right" w:leader="dot" w:pos="8630"/>
        </w:tabs>
        <w:rPr>
          <w:rFonts w:asciiTheme="minorHAnsi" w:eastAsiaTheme="minorEastAsia" w:hAnsiTheme="minorHAnsi" w:cstheme="minorBidi"/>
          <w:noProof/>
          <w:sz w:val="22"/>
          <w:szCs w:val="22"/>
        </w:rPr>
      </w:pPr>
      <w:hyperlink w:anchor="_Toc514059905" w:history="1">
        <w:r w:rsidRPr="0089015C">
          <w:rPr>
            <w:rStyle w:val="Hyperlink"/>
            <w:noProof/>
          </w:rPr>
          <w:t>Metabolic Syndrome Sample</w:t>
        </w:r>
        <w:r>
          <w:rPr>
            <w:noProof/>
            <w:webHidden/>
          </w:rPr>
          <w:tab/>
        </w:r>
        <w:r>
          <w:rPr>
            <w:noProof/>
            <w:webHidden/>
          </w:rPr>
          <w:fldChar w:fldCharType="begin"/>
        </w:r>
        <w:r>
          <w:rPr>
            <w:noProof/>
            <w:webHidden/>
          </w:rPr>
          <w:instrText xml:space="preserve"> PAGEREF _Toc514059905 \h </w:instrText>
        </w:r>
        <w:r>
          <w:rPr>
            <w:noProof/>
            <w:webHidden/>
          </w:rPr>
        </w:r>
        <w:r>
          <w:rPr>
            <w:noProof/>
            <w:webHidden/>
          </w:rPr>
          <w:fldChar w:fldCharType="separate"/>
        </w:r>
        <w:r w:rsidR="009726C7">
          <w:rPr>
            <w:noProof/>
            <w:webHidden/>
          </w:rPr>
          <w:t>28</w:t>
        </w:r>
        <w:r>
          <w:rPr>
            <w:noProof/>
            <w:webHidden/>
          </w:rPr>
          <w:fldChar w:fldCharType="end"/>
        </w:r>
      </w:hyperlink>
    </w:p>
    <w:p w:rsidR="005F167E" w:rsidRDefault="005F167E">
      <w:pPr>
        <w:pStyle w:val="TOC3"/>
        <w:tabs>
          <w:tab w:val="right" w:leader="dot" w:pos="8630"/>
        </w:tabs>
        <w:rPr>
          <w:rFonts w:asciiTheme="minorHAnsi" w:eastAsiaTheme="minorEastAsia" w:hAnsiTheme="minorHAnsi" w:cstheme="minorBidi"/>
          <w:noProof/>
          <w:sz w:val="22"/>
          <w:szCs w:val="22"/>
        </w:rPr>
      </w:pPr>
      <w:hyperlink w:anchor="_Toc514059906" w:history="1">
        <w:r w:rsidRPr="0089015C">
          <w:rPr>
            <w:rStyle w:val="Hyperlink"/>
            <w:i/>
            <w:noProof/>
          </w:rPr>
          <w:t>Health Literacy Patient Survey</w:t>
        </w:r>
        <w:r w:rsidRPr="0089015C">
          <w:rPr>
            <w:rStyle w:val="Hyperlink"/>
            <w:noProof/>
          </w:rPr>
          <w:t xml:space="preserve"> Sample</w:t>
        </w:r>
        <w:r>
          <w:rPr>
            <w:noProof/>
            <w:webHidden/>
          </w:rPr>
          <w:tab/>
        </w:r>
        <w:r>
          <w:rPr>
            <w:noProof/>
            <w:webHidden/>
          </w:rPr>
          <w:fldChar w:fldCharType="begin"/>
        </w:r>
        <w:r>
          <w:rPr>
            <w:noProof/>
            <w:webHidden/>
          </w:rPr>
          <w:instrText xml:space="preserve"> PAGEREF _Toc514059906 \h </w:instrText>
        </w:r>
        <w:r>
          <w:rPr>
            <w:noProof/>
            <w:webHidden/>
          </w:rPr>
        </w:r>
        <w:r>
          <w:rPr>
            <w:noProof/>
            <w:webHidden/>
          </w:rPr>
          <w:fldChar w:fldCharType="separate"/>
        </w:r>
        <w:r w:rsidR="009726C7">
          <w:rPr>
            <w:noProof/>
            <w:webHidden/>
          </w:rPr>
          <w:t>29</w:t>
        </w:r>
        <w:r>
          <w:rPr>
            <w:noProof/>
            <w:webHidden/>
          </w:rPr>
          <w:fldChar w:fldCharType="end"/>
        </w:r>
      </w:hyperlink>
    </w:p>
    <w:p w:rsidR="005F167E" w:rsidRDefault="005F167E">
      <w:pPr>
        <w:pStyle w:val="TOC3"/>
        <w:tabs>
          <w:tab w:val="right" w:leader="dot" w:pos="8630"/>
        </w:tabs>
        <w:rPr>
          <w:rFonts w:asciiTheme="minorHAnsi" w:eastAsiaTheme="minorEastAsia" w:hAnsiTheme="minorHAnsi" w:cstheme="minorBidi"/>
          <w:noProof/>
          <w:sz w:val="22"/>
          <w:szCs w:val="22"/>
        </w:rPr>
      </w:pPr>
      <w:hyperlink w:anchor="_Toc514059907" w:history="1">
        <w:r w:rsidRPr="0089015C">
          <w:rPr>
            <w:rStyle w:val="Hyperlink"/>
            <w:noProof/>
          </w:rPr>
          <w:t xml:space="preserve">Staff </w:t>
        </w:r>
        <w:r w:rsidRPr="0089015C">
          <w:rPr>
            <w:rStyle w:val="Hyperlink"/>
            <w:i/>
            <w:noProof/>
          </w:rPr>
          <w:t>Primary Care Health Literacy Assessment</w:t>
        </w:r>
        <w:r>
          <w:rPr>
            <w:noProof/>
            <w:webHidden/>
          </w:rPr>
          <w:tab/>
        </w:r>
        <w:r>
          <w:rPr>
            <w:noProof/>
            <w:webHidden/>
          </w:rPr>
          <w:fldChar w:fldCharType="begin"/>
        </w:r>
        <w:r>
          <w:rPr>
            <w:noProof/>
            <w:webHidden/>
          </w:rPr>
          <w:instrText xml:space="preserve"> PAGEREF _Toc514059907 \h </w:instrText>
        </w:r>
        <w:r>
          <w:rPr>
            <w:noProof/>
            <w:webHidden/>
          </w:rPr>
        </w:r>
        <w:r>
          <w:rPr>
            <w:noProof/>
            <w:webHidden/>
          </w:rPr>
          <w:fldChar w:fldCharType="separate"/>
        </w:r>
        <w:r w:rsidR="009726C7">
          <w:rPr>
            <w:noProof/>
            <w:webHidden/>
          </w:rPr>
          <w:t>30</w:t>
        </w:r>
        <w:r>
          <w:rPr>
            <w:noProof/>
            <w:webHidden/>
          </w:rPr>
          <w:fldChar w:fldCharType="end"/>
        </w:r>
      </w:hyperlink>
    </w:p>
    <w:p w:rsidR="005F167E" w:rsidRDefault="005F167E">
      <w:pPr>
        <w:pStyle w:val="TOC2"/>
        <w:rPr>
          <w:rFonts w:asciiTheme="minorHAnsi" w:eastAsiaTheme="minorEastAsia" w:hAnsiTheme="minorHAnsi" w:cstheme="minorBidi"/>
          <w:sz w:val="22"/>
          <w:szCs w:val="22"/>
        </w:rPr>
      </w:pPr>
      <w:hyperlink w:anchor="_Toc514059908" w:history="1">
        <w:r w:rsidRPr="0089015C">
          <w:rPr>
            <w:rStyle w:val="Hyperlink"/>
          </w:rPr>
          <w:t>Outcomes</w:t>
        </w:r>
        <w:r>
          <w:rPr>
            <w:webHidden/>
          </w:rPr>
          <w:tab/>
        </w:r>
        <w:r>
          <w:rPr>
            <w:webHidden/>
          </w:rPr>
          <w:fldChar w:fldCharType="begin"/>
        </w:r>
        <w:r>
          <w:rPr>
            <w:webHidden/>
          </w:rPr>
          <w:instrText xml:space="preserve"> PAGEREF _Toc514059908 \h </w:instrText>
        </w:r>
        <w:r>
          <w:rPr>
            <w:webHidden/>
          </w:rPr>
        </w:r>
        <w:r>
          <w:rPr>
            <w:webHidden/>
          </w:rPr>
          <w:fldChar w:fldCharType="separate"/>
        </w:r>
        <w:r w:rsidR="009726C7">
          <w:rPr>
            <w:webHidden/>
          </w:rPr>
          <w:t>30</w:t>
        </w:r>
        <w:r>
          <w:rPr>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909" w:history="1">
        <w:r w:rsidRPr="0089015C">
          <w:rPr>
            <w:rStyle w:val="Hyperlink"/>
          </w:rPr>
          <w:t>Recommendations</w:t>
        </w:r>
        <w:r>
          <w:rPr>
            <w:webHidden/>
          </w:rPr>
          <w:tab/>
        </w:r>
        <w:r>
          <w:rPr>
            <w:webHidden/>
          </w:rPr>
          <w:fldChar w:fldCharType="begin"/>
        </w:r>
        <w:r>
          <w:rPr>
            <w:webHidden/>
          </w:rPr>
          <w:instrText xml:space="preserve"> PAGEREF _Toc514059909 \h </w:instrText>
        </w:r>
        <w:r>
          <w:rPr>
            <w:webHidden/>
          </w:rPr>
        </w:r>
        <w:r>
          <w:rPr>
            <w:webHidden/>
          </w:rPr>
          <w:fldChar w:fldCharType="separate"/>
        </w:r>
        <w:r w:rsidR="009726C7">
          <w:rPr>
            <w:webHidden/>
          </w:rPr>
          <w:t>34</w:t>
        </w:r>
        <w:r>
          <w:rPr>
            <w:webHidden/>
          </w:rPr>
          <w:fldChar w:fldCharType="end"/>
        </w:r>
      </w:hyperlink>
    </w:p>
    <w:p w:rsidR="005F167E" w:rsidRDefault="005F167E">
      <w:pPr>
        <w:pStyle w:val="TOC2"/>
        <w:rPr>
          <w:rFonts w:asciiTheme="minorHAnsi" w:eastAsiaTheme="minorEastAsia" w:hAnsiTheme="minorHAnsi" w:cstheme="minorBidi"/>
          <w:sz w:val="22"/>
          <w:szCs w:val="22"/>
        </w:rPr>
      </w:pPr>
      <w:hyperlink w:anchor="_Toc514059910" w:history="1">
        <w:r w:rsidRPr="0089015C">
          <w:rPr>
            <w:rStyle w:val="Hyperlink"/>
          </w:rPr>
          <w:t>Significance</w:t>
        </w:r>
        <w:r>
          <w:rPr>
            <w:webHidden/>
          </w:rPr>
          <w:tab/>
        </w:r>
        <w:r>
          <w:rPr>
            <w:webHidden/>
          </w:rPr>
          <w:fldChar w:fldCharType="begin"/>
        </w:r>
        <w:r>
          <w:rPr>
            <w:webHidden/>
          </w:rPr>
          <w:instrText xml:space="preserve"> PAGEREF _Toc514059910 \h </w:instrText>
        </w:r>
        <w:r>
          <w:rPr>
            <w:webHidden/>
          </w:rPr>
        </w:r>
        <w:r>
          <w:rPr>
            <w:webHidden/>
          </w:rPr>
          <w:fldChar w:fldCharType="separate"/>
        </w:r>
        <w:r w:rsidR="009726C7">
          <w:rPr>
            <w:webHidden/>
          </w:rPr>
          <w:t>34</w:t>
        </w:r>
        <w:r>
          <w:rPr>
            <w:webHidden/>
          </w:rPr>
          <w:fldChar w:fldCharType="end"/>
        </w:r>
      </w:hyperlink>
    </w:p>
    <w:p w:rsidR="005F167E" w:rsidRDefault="005F167E">
      <w:pPr>
        <w:pStyle w:val="TOC2"/>
        <w:rPr>
          <w:rFonts w:asciiTheme="minorHAnsi" w:eastAsiaTheme="minorEastAsia" w:hAnsiTheme="minorHAnsi" w:cstheme="minorBidi"/>
          <w:sz w:val="22"/>
          <w:szCs w:val="22"/>
        </w:rPr>
      </w:pPr>
      <w:hyperlink w:anchor="_Toc514059911" w:history="1">
        <w:r w:rsidRPr="0089015C">
          <w:rPr>
            <w:rStyle w:val="Hyperlink"/>
          </w:rPr>
          <w:t>Sustainability</w:t>
        </w:r>
        <w:r>
          <w:rPr>
            <w:webHidden/>
          </w:rPr>
          <w:tab/>
        </w:r>
        <w:r>
          <w:rPr>
            <w:webHidden/>
          </w:rPr>
          <w:fldChar w:fldCharType="begin"/>
        </w:r>
        <w:r>
          <w:rPr>
            <w:webHidden/>
          </w:rPr>
          <w:instrText xml:space="preserve"> PAGEREF _Toc514059911 \h </w:instrText>
        </w:r>
        <w:r>
          <w:rPr>
            <w:webHidden/>
          </w:rPr>
        </w:r>
        <w:r>
          <w:rPr>
            <w:webHidden/>
          </w:rPr>
          <w:fldChar w:fldCharType="separate"/>
        </w:r>
        <w:r w:rsidR="009726C7">
          <w:rPr>
            <w:webHidden/>
          </w:rPr>
          <w:t>35</w:t>
        </w:r>
        <w:r>
          <w:rPr>
            <w:webHidden/>
          </w:rPr>
          <w:fldChar w:fldCharType="end"/>
        </w:r>
      </w:hyperlink>
    </w:p>
    <w:p w:rsidR="005F167E" w:rsidRDefault="005F167E">
      <w:pPr>
        <w:pStyle w:val="TOC2"/>
        <w:rPr>
          <w:rFonts w:asciiTheme="minorHAnsi" w:eastAsiaTheme="minorEastAsia" w:hAnsiTheme="minorHAnsi" w:cstheme="minorBidi"/>
          <w:sz w:val="22"/>
          <w:szCs w:val="22"/>
        </w:rPr>
      </w:pPr>
      <w:hyperlink w:anchor="_Toc514059912" w:history="1">
        <w:r w:rsidRPr="0089015C">
          <w:rPr>
            <w:rStyle w:val="Hyperlink"/>
          </w:rPr>
          <w:t>DNP Role Discussion</w:t>
        </w:r>
        <w:r>
          <w:rPr>
            <w:webHidden/>
          </w:rPr>
          <w:tab/>
        </w:r>
        <w:r>
          <w:rPr>
            <w:webHidden/>
          </w:rPr>
          <w:fldChar w:fldCharType="begin"/>
        </w:r>
        <w:r>
          <w:rPr>
            <w:webHidden/>
          </w:rPr>
          <w:instrText xml:space="preserve"> PAGEREF _Toc514059912 \h </w:instrText>
        </w:r>
        <w:r>
          <w:rPr>
            <w:webHidden/>
          </w:rPr>
        </w:r>
        <w:r>
          <w:rPr>
            <w:webHidden/>
          </w:rPr>
          <w:fldChar w:fldCharType="separate"/>
        </w:r>
        <w:r w:rsidR="009726C7">
          <w:rPr>
            <w:webHidden/>
          </w:rPr>
          <w:t>36</w:t>
        </w:r>
        <w:r>
          <w:rPr>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913" w:history="1">
        <w:r w:rsidRPr="0089015C">
          <w:rPr>
            <w:rStyle w:val="Hyperlink"/>
          </w:rPr>
          <w:t>Dissemination Plan</w:t>
        </w:r>
        <w:r>
          <w:rPr>
            <w:webHidden/>
          </w:rPr>
          <w:tab/>
        </w:r>
        <w:r>
          <w:rPr>
            <w:webHidden/>
          </w:rPr>
          <w:fldChar w:fldCharType="begin"/>
        </w:r>
        <w:r>
          <w:rPr>
            <w:webHidden/>
          </w:rPr>
          <w:instrText xml:space="preserve"> PAGEREF _Toc514059913 \h </w:instrText>
        </w:r>
        <w:r>
          <w:rPr>
            <w:webHidden/>
          </w:rPr>
        </w:r>
        <w:r>
          <w:rPr>
            <w:webHidden/>
          </w:rPr>
          <w:fldChar w:fldCharType="separate"/>
        </w:r>
        <w:r w:rsidR="009726C7">
          <w:rPr>
            <w:webHidden/>
          </w:rPr>
          <w:t>41</w:t>
        </w:r>
        <w:r>
          <w:rPr>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914" w:history="1">
        <w:r w:rsidRPr="0089015C">
          <w:rPr>
            <w:rStyle w:val="Hyperlink"/>
          </w:rPr>
          <w:t>References</w:t>
        </w:r>
        <w:r>
          <w:rPr>
            <w:webHidden/>
          </w:rPr>
          <w:tab/>
        </w:r>
        <w:r>
          <w:rPr>
            <w:webHidden/>
          </w:rPr>
          <w:fldChar w:fldCharType="begin"/>
        </w:r>
        <w:r>
          <w:rPr>
            <w:webHidden/>
          </w:rPr>
          <w:instrText xml:space="preserve"> PAGEREF _Toc514059914 \h </w:instrText>
        </w:r>
        <w:r>
          <w:rPr>
            <w:webHidden/>
          </w:rPr>
        </w:r>
        <w:r>
          <w:rPr>
            <w:webHidden/>
          </w:rPr>
          <w:fldChar w:fldCharType="separate"/>
        </w:r>
        <w:r w:rsidR="009726C7">
          <w:rPr>
            <w:webHidden/>
          </w:rPr>
          <w:t>42</w:t>
        </w:r>
        <w:r>
          <w:rPr>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915" w:history="1">
        <w:r w:rsidRPr="0089015C">
          <w:rPr>
            <w:rStyle w:val="Hyperlink"/>
          </w:rPr>
          <w:t>Appendix A: PRISMA Flow Diagram</w:t>
        </w:r>
        <w:r>
          <w:rPr>
            <w:webHidden/>
          </w:rPr>
          <w:tab/>
        </w:r>
        <w:r>
          <w:rPr>
            <w:webHidden/>
          </w:rPr>
          <w:fldChar w:fldCharType="begin"/>
        </w:r>
        <w:r>
          <w:rPr>
            <w:webHidden/>
          </w:rPr>
          <w:instrText xml:space="preserve"> PAGEREF _Toc514059915 \h </w:instrText>
        </w:r>
        <w:r>
          <w:rPr>
            <w:webHidden/>
          </w:rPr>
        </w:r>
        <w:r>
          <w:rPr>
            <w:webHidden/>
          </w:rPr>
          <w:fldChar w:fldCharType="separate"/>
        </w:r>
        <w:r w:rsidR="009726C7">
          <w:rPr>
            <w:webHidden/>
          </w:rPr>
          <w:t>46</w:t>
        </w:r>
        <w:r>
          <w:rPr>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916" w:history="1">
        <w:r w:rsidRPr="0089015C">
          <w:rPr>
            <w:rStyle w:val="Hyperlink"/>
          </w:rPr>
          <w:t>Appendix B: Literature Summary Table</w:t>
        </w:r>
        <w:r>
          <w:rPr>
            <w:webHidden/>
          </w:rPr>
          <w:tab/>
        </w:r>
        <w:r>
          <w:rPr>
            <w:webHidden/>
          </w:rPr>
          <w:fldChar w:fldCharType="begin"/>
        </w:r>
        <w:r>
          <w:rPr>
            <w:webHidden/>
          </w:rPr>
          <w:instrText xml:space="preserve"> PAGEREF _Toc514059916 \h </w:instrText>
        </w:r>
        <w:r>
          <w:rPr>
            <w:webHidden/>
          </w:rPr>
        </w:r>
        <w:r>
          <w:rPr>
            <w:webHidden/>
          </w:rPr>
          <w:fldChar w:fldCharType="separate"/>
        </w:r>
        <w:r w:rsidR="009726C7">
          <w:rPr>
            <w:webHidden/>
          </w:rPr>
          <w:t>47</w:t>
        </w:r>
        <w:r>
          <w:rPr>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917" w:history="1">
        <w:r w:rsidRPr="0089015C">
          <w:rPr>
            <w:rStyle w:val="Hyperlink"/>
          </w:rPr>
          <w:t>Appendix C: Sampling Diagram</w:t>
        </w:r>
        <w:r>
          <w:rPr>
            <w:webHidden/>
          </w:rPr>
          <w:tab/>
        </w:r>
        <w:r>
          <w:rPr>
            <w:webHidden/>
          </w:rPr>
          <w:fldChar w:fldCharType="begin"/>
        </w:r>
        <w:r>
          <w:rPr>
            <w:webHidden/>
          </w:rPr>
          <w:instrText xml:space="preserve"> PAGEREF _Toc514059917 \h </w:instrText>
        </w:r>
        <w:r>
          <w:rPr>
            <w:webHidden/>
          </w:rPr>
        </w:r>
        <w:r>
          <w:rPr>
            <w:webHidden/>
          </w:rPr>
          <w:fldChar w:fldCharType="separate"/>
        </w:r>
        <w:r w:rsidR="009726C7">
          <w:rPr>
            <w:webHidden/>
          </w:rPr>
          <w:t>53</w:t>
        </w:r>
        <w:r>
          <w:rPr>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918" w:history="1">
        <w:r w:rsidRPr="0089015C">
          <w:rPr>
            <w:rStyle w:val="Hyperlink"/>
          </w:rPr>
          <w:t>Appendix D: SWOT Analysis</w:t>
        </w:r>
        <w:r>
          <w:rPr>
            <w:webHidden/>
          </w:rPr>
          <w:tab/>
        </w:r>
        <w:r>
          <w:rPr>
            <w:webHidden/>
          </w:rPr>
          <w:fldChar w:fldCharType="begin"/>
        </w:r>
        <w:r>
          <w:rPr>
            <w:webHidden/>
          </w:rPr>
          <w:instrText xml:space="preserve"> PAGEREF _Toc514059918 \h </w:instrText>
        </w:r>
        <w:r>
          <w:rPr>
            <w:webHidden/>
          </w:rPr>
        </w:r>
        <w:r>
          <w:rPr>
            <w:webHidden/>
          </w:rPr>
          <w:fldChar w:fldCharType="separate"/>
        </w:r>
        <w:r w:rsidR="009726C7">
          <w:rPr>
            <w:webHidden/>
          </w:rPr>
          <w:t>54</w:t>
        </w:r>
        <w:r>
          <w:rPr>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919" w:history="1">
        <w:r w:rsidRPr="0089015C">
          <w:rPr>
            <w:rStyle w:val="Hyperlink"/>
          </w:rPr>
          <w:t>Appendix E: Letters of Collaboration from the Lower Shore Clinic</w:t>
        </w:r>
        <w:r>
          <w:rPr>
            <w:webHidden/>
          </w:rPr>
          <w:tab/>
        </w:r>
        <w:r>
          <w:rPr>
            <w:webHidden/>
          </w:rPr>
          <w:fldChar w:fldCharType="begin"/>
        </w:r>
        <w:r>
          <w:rPr>
            <w:webHidden/>
          </w:rPr>
          <w:instrText xml:space="preserve"> PAGEREF _Toc514059919 \h </w:instrText>
        </w:r>
        <w:r>
          <w:rPr>
            <w:webHidden/>
          </w:rPr>
        </w:r>
        <w:r>
          <w:rPr>
            <w:webHidden/>
          </w:rPr>
          <w:fldChar w:fldCharType="separate"/>
        </w:r>
        <w:r w:rsidR="009726C7">
          <w:rPr>
            <w:webHidden/>
          </w:rPr>
          <w:t>55</w:t>
        </w:r>
        <w:r>
          <w:rPr>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920" w:history="1">
        <w:r w:rsidRPr="0089015C">
          <w:rPr>
            <w:rStyle w:val="Hyperlink"/>
          </w:rPr>
          <w:t>Appendix F: Health Literacy Patient Survey</w:t>
        </w:r>
        <w:r>
          <w:rPr>
            <w:webHidden/>
          </w:rPr>
          <w:tab/>
        </w:r>
        <w:r>
          <w:rPr>
            <w:webHidden/>
          </w:rPr>
          <w:fldChar w:fldCharType="begin"/>
        </w:r>
        <w:r>
          <w:rPr>
            <w:webHidden/>
          </w:rPr>
          <w:instrText xml:space="preserve"> PAGEREF _Toc514059920 \h </w:instrText>
        </w:r>
        <w:r>
          <w:rPr>
            <w:webHidden/>
          </w:rPr>
        </w:r>
        <w:r>
          <w:rPr>
            <w:webHidden/>
          </w:rPr>
          <w:fldChar w:fldCharType="separate"/>
        </w:r>
        <w:r w:rsidR="009726C7">
          <w:rPr>
            <w:webHidden/>
          </w:rPr>
          <w:t>57</w:t>
        </w:r>
        <w:r>
          <w:rPr>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921" w:history="1">
        <w:r w:rsidRPr="0089015C">
          <w:rPr>
            <w:rStyle w:val="Hyperlink"/>
          </w:rPr>
          <w:t>Appendix G: Primary Care Health Literacy Assessment</w:t>
        </w:r>
        <w:r>
          <w:rPr>
            <w:webHidden/>
          </w:rPr>
          <w:tab/>
        </w:r>
        <w:r>
          <w:rPr>
            <w:webHidden/>
          </w:rPr>
          <w:fldChar w:fldCharType="begin"/>
        </w:r>
        <w:r>
          <w:rPr>
            <w:webHidden/>
          </w:rPr>
          <w:instrText xml:space="preserve"> PAGEREF _Toc514059921 \h </w:instrText>
        </w:r>
        <w:r>
          <w:rPr>
            <w:webHidden/>
          </w:rPr>
        </w:r>
        <w:r>
          <w:rPr>
            <w:webHidden/>
          </w:rPr>
          <w:fldChar w:fldCharType="separate"/>
        </w:r>
        <w:r w:rsidR="009726C7">
          <w:rPr>
            <w:webHidden/>
          </w:rPr>
          <w:t>67</w:t>
        </w:r>
        <w:r>
          <w:rPr>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922" w:history="1">
        <w:r w:rsidRPr="0089015C">
          <w:rPr>
            <w:rStyle w:val="Hyperlink"/>
          </w:rPr>
          <w:t xml:space="preserve">Appendix H: Descriptive Statistics on Pre-Intervention </w:t>
        </w:r>
        <w:r w:rsidRPr="0089015C">
          <w:rPr>
            <w:rStyle w:val="Hyperlink"/>
            <w:i/>
          </w:rPr>
          <w:t>Primary Care Health Literacy Assessment</w:t>
        </w:r>
        <w:r>
          <w:rPr>
            <w:webHidden/>
          </w:rPr>
          <w:tab/>
        </w:r>
        <w:r>
          <w:rPr>
            <w:webHidden/>
          </w:rPr>
          <w:fldChar w:fldCharType="begin"/>
        </w:r>
        <w:r>
          <w:rPr>
            <w:webHidden/>
          </w:rPr>
          <w:instrText xml:space="preserve"> PAGEREF _Toc514059922 \h </w:instrText>
        </w:r>
        <w:r>
          <w:rPr>
            <w:webHidden/>
          </w:rPr>
        </w:r>
        <w:r>
          <w:rPr>
            <w:webHidden/>
          </w:rPr>
          <w:fldChar w:fldCharType="separate"/>
        </w:r>
        <w:r w:rsidR="009726C7">
          <w:rPr>
            <w:webHidden/>
          </w:rPr>
          <w:t>73</w:t>
        </w:r>
        <w:r>
          <w:rPr>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923" w:history="1">
        <w:r w:rsidRPr="0089015C">
          <w:rPr>
            <w:rStyle w:val="Hyperlink"/>
          </w:rPr>
          <w:t>Appendix I: Paired Samples T-test on Metabolic Syndrome Data</w:t>
        </w:r>
        <w:r>
          <w:rPr>
            <w:webHidden/>
          </w:rPr>
          <w:tab/>
        </w:r>
        <w:r>
          <w:rPr>
            <w:webHidden/>
          </w:rPr>
          <w:fldChar w:fldCharType="begin"/>
        </w:r>
        <w:r>
          <w:rPr>
            <w:webHidden/>
          </w:rPr>
          <w:instrText xml:space="preserve"> PAGEREF _Toc514059923 \h </w:instrText>
        </w:r>
        <w:r>
          <w:rPr>
            <w:webHidden/>
          </w:rPr>
        </w:r>
        <w:r>
          <w:rPr>
            <w:webHidden/>
          </w:rPr>
          <w:fldChar w:fldCharType="separate"/>
        </w:r>
        <w:r w:rsidR="009726C7">
          <w:rPr>
            <w:webHidden/>
          </w:rPr>
          <w:t>75</w:t>
        </w:r>
        <w:r>
          <w:rPr>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924" w:history="1">
        <w:r w:rsidRPr="0089015C">
          <w:rPr>
            <w:rStyle w:val="Hyperlink"/>
          </w:rPr>
          <w:t>Appendix J: Descriptive Statistics on Mental Health Diagnosis on Metabolic Syndrome Data</w:t>
        </w:r>
        <w:r>
          <w:rPr>
            <w:webHidden/>
          </w:rPr>
          <w:tab/>
        </w:r>
        <w:r>
          <w:rPr>
            <w:webHidden/>
          </w:rPr>
          <w:fldChar w:fldCharType="begin"/>
        </w:r>
        <w:r>
          <w:rPr>
            <w:webHidden/>
          </w:rPr>
          <w:instrText xml:space="preserve"> PAGEREF _Toc514059924 \h </w:instrText>
        </w:r>
        <w:r>
          <w:rPr>
            <w:webHidden/>
          </w:rPr>
        </w:r>
        <w:r>
          <w:rPr>
            <w:webHidden/>
          </w:rPr>
          <w:fldChar w:fldCharType="separate"/>
        </w:r>
        <w:r w:rsidR="009726C7">
          <w:rPr>
            <w:webHidden/>
          </w:rPr>
          <w:t>76</w:t>
        </w:r>
        <w:r>
          <w:rPr>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925" w:history="1">
        <w:r w:rsidRPr="0089015C">
          <w:rPr>
            <w:rStyle w:val="Hyperlink"/>
          </w:rPr>
          <w:t>Appendix K: Descriptive Statistics on Level of Education on Metabolic Syndrome Data</w:t>
        </w:r>
        <w:r>
          <w:rPr>
            <w:webHidden/>
          </w:rPr>
          <w:tab/>
        </w:r>
        <w:r>
          <w:rPr>
            <w:webHidden/>
          </w:rPr>
          <w:fldChar w:fldCharType="begin"/>
        </w:r>
        <w:r>
          <w:rPr>
            <w:webHidden/>
          </w:rPr>
          <w:instrText xml:space="preserve"> PAGEREF _Toc514059925 \h </w:instrText>
        </w:r>
        <w:r>
          <w:rPr>
            <w:webHidden/>
          </w:rPr>
        </w:r>
        <w:r>
          <w:rPr>
            <w:webHidden/>
          </w:rPr>
          <w:fldChar w:fldCharType="separate"/>
        </w:r>
        <w:r w:rsidR="009726C7">
          <w:rPr>
            <w:webHidden/>
          </w:rPr>
          <w:t>77</w:t>
        </w:r>
        <w:r>
          <w:rPr>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926" w:history="1">
        <w:r w:rsidRPr="0089015C">
          <w:rPr>
            <w:rStyle w:val="Hyperlink"/>
          </w:rPr>
          <w:t xml:space="preserve">Appendix L: Wilcoxon Signed-Rank Test on </w:t>
        </w:r>
        <w:r w:rsidRPr="0089015C">
          <w:rPr>
            <w:rStyle w:val="Hyperlink"/>
            <w:i/>
          </w:rPr>
          <w:t>Health Literacy Patient Survey</w:t>
        </w:r>
        <w:r w:rsidRPr="0089015C">
          <w:rPr>
            <w:rStyle w:val="Hyperlink"/>
          </w:rPr>
          <w:t xml:space="preserve"> Data</w:t>
        </w:r>
        <w:r>
          <w:rPr>
            <w:webHidden/>
          </w:rPr>
          <w:tab/>
        </w:r>
        <w:r>
          <w:rPr>
            <w:webHidden/>
          </w:rPr>
          <w:fldChar w:fldCharType="begin"/>
        </w:r>
        <w:r>
          <w:rPr>
            <w:webHidden/>
          </w:rPr>
          <w:instrText xml:space="preserve"> PAGEREF _Toc514059926 \h </w:instrText>
        </w:r>
        <w:r>
          <w:rPr>
            <w:webHidden/>
          </w:rPr>
        </w:r>
        <w:r>
          <w:rPr>
            <w:webHidden/>
          </w:rPr>
          <w:fldChar w:fldCharType="separate"/>
        </w:r>
        <w:r w:rsidR="009726C7">
          <w:rPr>
            <w:webHidden/>
          </w:rPr>
          <w:t>78</w:t>
        </w:r>
        <w:r>
          <w:rPr>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927" w:history="1">
        <w:r w:rsidRPr="0089015C">
          <w:rPr>
            <w:rStyle w:val="Hyperlink"/>
          </w:rPr>
          <w:t xml:space="preserve">Appendix M: Descriptive Statistics for Mental Health Diagnosis on </w:t>
        </w:r>
        <w:r w:rsidRPr="0089015C">
          <w:rPr>
            <w:rStyle w:val="Hyperlink"/>
            <w:i/>
          </w:rPr>
          <w:t>Health Literacy Patient Survey</w:t>
        </w:r>
        <w:r w:rsidRPr="0089015C">
          <w:rPr>
            <w:rStyle w:val="Hyperlink"/>
          </w:rPr>
          <w:t xml:space="preserve"> Data</w:t>
        </w:r>
        <w:r>
          <w:rPr>
            <w:webHidden/>
          </w:rPr>
          <w:tab/>
        </w:r>
        <w:r>
          <w:rPr>
            <w:webHidden/>
          </w:rPr>
          <w:fldChar w:fldCharType="begin"/>
        </w:r>
        <w:r>
          <w:rPr>
            <w:webHidden/>
          </w:rPr>
          <w:instrText xml:space="preserve"> PAGEREF _Toc514059927 \h </w:instrText>
        </w:r>
        <w:r>
          <w:rPr>
            <w:webHidden/>
          </w:rPr>
        </w:r>
        <w:r>
          <w:rPr>
            <w:webHidden/>
          </w:rPr>
          <w:fldChar w:fldCharType="separate"/>
        </w:r>
        <w:r w:rsidR="009726C7">
          <w:rPr>
            <w:webHidden/>
          </w:rPr>
          <w:t>79</w:t>
        </w:r>
        <w:r>
          <w:rPr>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928" w:history="1">
        <w:r w:rsidRPr="0089015C">
          <w:rPr>
            <w:rStyle w:val="Hyperlink"/>
          </w:rPr>
          <w:t xml:space="preserve">Appendix N: Descriptive Statistics for Level of Education on </w:t>
        </w:r>
        <w:r w:rsidRPr="0089015C">
          <w:rPr>
            <w:rStyle w:val="Hyperlink"/>
            <w:i/>
          </w:rPr>
          <w:t>Health Literacy Patient Survey</w:t>
        </w:r>
        <w:r w:rsidRPr="0089015C">
          <w:rPr>
            <w:rStyle w:val="Hyperlink"/>
          </w:rPr>
          <w:t xml:space="preserve"> Data</w:t>
        </w:r>
        <w:r>
          <w:rPr>
            <w:webHidden/>
          </w:rPr>
          <w:tab/>
        </w:r>
        <w:r>
          <w:rPr>
            <w:webHidden/>
          </w:rPr>
          <w:fldChar w:fldCharType="begin"/>
        </w:r>
        <w:r>
          <w:rPr>
            <w:webHidden/>
          </w:rPr>
          <w:instrText xml:space="preserve"> PAGEREF _Toc514059928 \h </w:instrText>
        </w:r>
        <w:r>
          <w:rPr>
            <w:webHidden/>
          </w:rPr>
        </w:r>
        <w:r>
          <w:rPr>
            <w:webHidden/>
          </w:rPr>
          <w:fldChar w:fldCharType="separate"/>
        </w:r>
        <w:r w:rsidR="009726C7">
          <w:rPr>
            <w:webHidden/>
          </w:rPr>
          <w:t>80</w:t>
        </w:r>
        <w:r>
          <w:rPr>
            <w:webHidden/>
          </w:rPr>
          <w:fldChar w:fldCharType="end"/>
        </w:r>
      </w:hyperlink>
    </w:p>
    <w:p w:rsidR="005F167E" w:rsidRDefault="005F167E">
      <w:pPr>
        <w:pStyle w:val="TOC1"/>
        <w:rPr>
          <w:rFonts w:asciiTheme="minorHAnsi" w:eastAsiaTheme="minorEastAsia" w:hAnsiTheme="minorHAnsi" w:cstheme="minorBidi"/>
          <w:sz w:val="22"/>
          <w:szCs w:val="22"/>
        </w:rPr>
      </w:pPr>
      <w:hyperlink w:anchor="_Toc514059929" w:history="1">
        <w:r w:rsidRPr="0089015C">
          <w:rPr>
            <w:rStyle w:val="Hyperlink"/>
          </w:rPr>
          <w:t xml:space="preserve">Appendix O: Wilcoxon Signed-Rank Test on Staff Pre- and Post-Intervention </w:t>
        </w:r>
        <w:r w:rsidRPr="0089015C">
          <w:rPr>
            <w:rStyle w:val="Hyperlink"/>
            <w:i/>
          </w:rPr>
          <w:t>Primary Care Health Literacy Assessment</w:t>
        </w:r>
        <w:r>
          <w:rPr>
            <w:webHidden/>
          </w:rPr>
          <w:tab/>
        </w:r>
        <w:r>
          <w:rPr>
            <w:webHidden/>
          </w:rPr>
          <w:fldChar w:fldCharType="begin"/>
        </w:r>
        <w:r>
          <w:rPr>
            <w:webHidden/>
          </w:rPr>
          <w:instrText xml:space="preserve"> PAGEREF _Toc514059929 \h </w:instrText>
        </w:r>
        <w:r>
          <w:rPr>
            <w:webHidden/>
          </w:rPr>
        </w:r>
        <w:r>
          <w:rPr>
            <w:webHidden/>
          </w:rPr>
          <w:fldChar w:fldCharType="separate"/>
        </w:r>
        <w:r w:rsidR="009726C7">
          <w:rPr>
            <w:webHidden/>
          </w:rPr>
          <w:t>81</w:t>
        </w:r>
        <w:r>
          <w:rPr>
            <w:webHidden/>
          </w:rPr>
          <w:fldChar w:fldCharType="end"/>
        </w:r>
      </w:hyperlink>
    </w:p>
    <w:p w:rsidR="00D41D26" w:rsidRPr="005F5EC7" w:rsidRDefault="00F770F6" w:rsidP="00685EE4">
      <w:pPr>
        <w:rPr>
          <w:color w:val="0000FF"/>
        </w:rPr>
      </w:pPr>
      <w:r>
        <w:rPr>
          <w:b/>
          <w:bCs/>
          <w:noProof/>
        </w:rPr>
        <w:fldChar w:fldCharType="end"/>
      </w:r>
    </w:p>
    <w:p w:rsidR="00326062" w:rsidRPr="00326062" w:rsidRDefault="00326062" w:rsidP="00326062">
      <w:pPr>
        <w:rPr>
          <w:color w:val="0000FF"/>
        </w:rPr>
      </w:pPr>
    </w:p>
    <w:p w:rsidR="00144764" w:rsidRDefault="0003432E" w:rsidP="00144764">
      <w:pPr>
        <w:pStyle w:val="APALevel0"/>
      </w:pPr>
      <w:r>
        <w:br w:type="page"/>
      </w:r>
      <w:bookmarkStart w:id="3" w:name="_Toc514059876"/>
      <w:r w:rsidR="00685EB3">
        <w:lastRenderedPageBreak/>
        <w:t>List of Tables</w:t>
      </w:r>
      <w:bookmarkEnd w:id="3"/>
    </w:p>
    <w:p w:rsidR="005F167E" w:rsidRPr="00D40508" w:rsidRDefault="00CC67FE" w:rsidP="005F167E">
      <w:pPr>
        <w:pStyle w:val="TOC1"/>
        <w:rPr>
          <w:rFonts w:asciiTheme="minorHAnsi" w:eastAsiaTheme="minorEastAsia" w:hAnsiTheme="minorHAnsi" w:cstheme="minorBidi"/>
          <w:sz w:val="22"/>
          <w:szCs w:val="22"/>
        </w:rPr>
      </w:pPr>
      <w:r w:rsidRPr="00D40508">
        <w:fldChar w:fldCharType="begin"/>
      </w:r>
      <w:r w:rsidRPr="00D40508">
        <w:instrText xml:space="preserve"> TOC \h \z \t "Caption,1" </w:instrText>
      </w:r>
      <w:r w:rsidRPr="00D40508">
        <w:fldChar w:fldCharType="separate"/>
      </w:r>
      <w:hyperlink w:anchor="_Toc514059954" w:history="1">
        <w:r w:rsidR="005F167E" w:rsidRPr="00D40508">
          <w:rPr>
            <w:rStyle w:val="Hyperlink"/>
            <w:u w:val="none"/>
          </w:rPr>
          <w:t>Table 1</w:t>
        </w:r>
        <w:r w:rsidR="005F167E" w:rsidRPr="00D40508">
          <w:rPr>
            <w:webHidden/>
          </w:rPr>
          <w:t>.</w:t>
        </w:r>
      </w:hyperlink>
      <w:r w:rsidR="00D40508" w:rsidRPr="00D40508">
        <w:rPr>
          <w:rStyle w:val="Hyperlink"/>
          <w:u w:val="none"/>
        </w:rPr>
        <w:t xml:space="preserve"> </w:t>
      </w:r>
      <w:hyperlink w:anchor="_Toc514059955" w:history="1">
        <w:r w:rsidR="005F167E" w:rsidRPr="00D40508">
          <w:rPr>
            <w:rStyle w:val="Hyperlink"/>
            <w:u w:val="none"/>
          </w:rPr>
          <w:t>Literature Summary Table</w:t>
        </w:r>
        <w:r w:rsidR="005F167E" w:rsidRPr="00D40508">
          <w:rPr>
            <w:webHidden/>
          </w:rPr>
          <w:tab/>
        </w:r>
        <w:r w:rsidR="005F167E" w:rsidRPr="00D40508">
          <w:rPr>
            <w:webHidden/>
          </w:rPr>
          <w:fldChar w:fldCharType="begin"/>
        </w:r>
        <w:r w:rsidR="005F167E" w:rsidRPr="00D40508">
          <w:rPr>
            <w:webHidden/>
          </w:rPr>
          <w:instrText xml:space="preserve"> PAGEREF _Toc514059955 \h </w:instrText>
        </w:r>
        <w:r w:rsidR="005F167E" w:rsidRPr="00D40508">
          <w:rPr>
            <w:webHidden/>
          </w:rPr>
        </w:r>
        <w:r w:rsidR="005F167E" w:rsidRPr="00D40508">
          <w:rPr>
            <w:webHidden/>
          </w:rPr>
          <w:fldChar w:fldCharType="separate"/>
        </w:r>
        <w:r w:rsidR="009726C7">
          <w:rPr>
            <w:webHidden/>
          </w:rPr>
          <w:t>47</w:t>
        </w:r>
        <w:r w:rsidR="005F167E" w:rsidRPr="00D40508">
          <w:rPr>
            <w:webHidden/>
          </w:rPr>
          <w:fldChar w:fldCharType="end"/>
        </w:r>
      </w:hyperlink>
    </w:p>
    <w:p w:rsidR="005F167E" w:rsidRPr="00D40508" w:rsidRDefault="005F167E" w:rsidP="005F167E">
      <w:pPr>
        <w:pStyle w:val="TOC1"/>
        <w:rPr>
          <w:rFonts w:asciiTheme="minorHAnsi" w:eastAsiaTheme="minorEastAsia" w:hAnsiTheme="minorHAnsi" w:cstheme="minorBidi"/>
          <w:sz w:val="22"/>
          <w:szCs w:val="22"/>
        </w:rPr>
      </w:pPr>
      <w:hyperlink w:anchor="_Toc514059956" w:history="1">
        <w:r w:rsidRPr="00D40508">
          <w:rPr>
            <w:rStyle w:val="Hyperlink"/>
            <w:u w:val="none"/>
          </w:rPr>
          <w:t>Table 2</w:t>
        </w:r>
        <w:r w:rsidRPr="00D40508">
          <w:rPr>
            <w:webHidden/>
          </w:rPr>
          <w:t>.</w:t>
        </w:r>
      </w:hyperlink>
      <w:r w:rsidR="00D40508" w:rsidRPr="00D40508">
        <w:rPr>
          <w:rStyle w:val="Hyperlink"/>
          <w:u w:val="none"/>
        </w:rPr>
        <w:t xml:space="preserve"> </w:t>
      </w:r>
      <w:hyperlink w:anchor="_Toc514059957" w:history="1">
        <w:r w:rsidRPr="00D40508">
          <w:rPr>
            <w:rStyle w:val="Hyperlink"/>
            <w:u w:val="none"/>
          </w:rPr>
          <w:t>SWOT Analysis of the Lower Shore Clinic</w:t>
        </w:r>
        <w:r w:rsidRPr="00D40508">
          <w:rPr>
            <w:webHidden/>
          </w:rPr>
          <w:tab/>
        </w:r>
        <w:r w:rsidRPr="00D40508">
          <w:rPr>
            <w:webHidden/>
          </w:rPr>
          <w:fldChar w:fldCharType="begin"/>
        </w:r>
        <w:r w:rsidRPr="00D40508">
          <w:rPr>
            <w:webHidden/>
          </w:rPr>
          <w:instrText xml:space="preserve"> PAGEREF _Toc514059957 \h </w:instrText>
        </w:r>
        <w:r w:rsidRPr="00D40508">
          <w:rPr>
            <w:webHidden/>
          </w:rPr>
        </w:r>
        <w:r w:rsidRPr="00D40508">
          <w:rPr>
            <w:webHidden/>
          </w:rPr>
          <w:fldChar w:fldCharType="separate"/>
        </w:r>
        <w:r w:rsidR="009726C7">
          <w:rPr>
            <w:webHidden/>
          </w:rPr>
          <w:t>54</w:t>
        </w:r>
        <w:r w:rsidRPr="00D40508">
          <w:rPr>
            <w:webHidden/>
          </w:rPr>
          <w:fldChar w:fldCharType="end"/>
        </w:r>
      </w:hyperlink>
    </w:p>
    <w:p w:rsidR="005F167E" w:rsidRPr="00D40508" w:rsidRDefault="005F167E" w:rsidP="005F167E">
      <w:pPr>
        <w:pStyle w:val="TOC1"/>
        <w:rPr>
          <w:rFonts w:asciiTheme="minorHAnsi" w:eastAsiaTheme="minorEastAsia" w:hAnsiTheme="minorHAnsi" w:cstheme="minorBidi"/>
          <w:sz w:val="22"/>
          <w:szCs w:val="22"/>
        </w:rPr>
      </w:pPr>
      <w:hyperlink w:anchor="_Toc514059958" w:history="1">
        <w:r w:rsidRPr="00D40508">
          <w:rPr>
            <w:rStyle w:val="Hyperlink"/>
            <w:u w:val="none"/>
          </w:rPr>
          <w:t>Table 3</w:t>
        </w:r>
        <w:r w:rsidRPr="00D40508">
          <w:rPr>
            <w:webHidden/>
          </w:rPr>
          <w:t>.</w:t>
        </w:r>
      </w:hyperlink>
      <w:r w:rsidRPr="00D40508">
        <w:rPr>
          <w:rStyle w:val="Hyperlink"/>
          <w:u w:val="none"/>
        </w:rPr>
        <w:t xml:space="preserve"> </w:t>
      </w:r>
      <w:hyperlink w:anchor="_Toc514059959" w:history="1">
        <w:r w:rsidRPr="00D40508">
          <w:rPr>
            <w:rStyle w:val="Hyperlink"/>
            <w:u w:val="none"/>
          </w:rPr>
          <w:t>Descriptive Statistics on Pre-Intervention Primary Care Health Literacy Assessment</w:t>
        </w:r>
        <w:r w:rsidRPr="00D40508">
          <w:rPr>
            <w:webHidden/>
          </w:rPr>
          <w:tab/>
        </w:r>
        <w:r w:rsidRPr="00D40508">
          <w:rPr>
            <w:webHidden/>
          </w:rPr>
          <w:fldChar w:fldCharType="begin"/>
        </w:r>
        <w:r w:rsidRPr="00D40508">
          <w:rPr>
            <w:webHidden/>
          </w:rPr>
          <w:instrText xml:space="preserve"> PAGEREF _Toc514059959 \h </w:instrText>
        </w:r>
        <w:r w:rsidRPr="00D40508">
          <w:rPr>
            <w:webHidden/>
          </w:rPr>
        </w:r>
        <w:r w:rsidRPr="00D40508">
          <w:rPr>
            <w:webHidden/>
          </w:rPr>
          <w:fldChar w:fldCharType="separate"/>
        </w:r>
        <w:r w:rsidR="009726C7">
          <w:rPr>
            <w:webHidden/>
          </w:rPr>
          <w:t>73</w:t>
        </w:r>
        <w:r w:rsidRPr="00D40508">
          <w:rPr>
            <w:webHidden/>
          </w:rPr>
          <w:fldChar w:fldCharType="end"/>
        </w:r>
      </w:hyperlink>
    </w:p>
    <w:p w:rsidR="005F167E" w:rsidRPr="00D40508" w:rsidRDefault="005F167E" w:rsidP="005F167E">
      <w:pPr>
        <w:pStyle w:val="TOC1"/>
        <w:rPr>
          <w:rFonts w:asciiTheme="minorHAnsi" w:eastAsiaTheme="minorEastAsia" w:hAnsiTheme="minorHAnsi" w:cstheme="minorBidi"/>
          <w:sz w:val="22"/>
          <w:szCs w:val="22"/>
        </w:rPr>
      </w:pPr>
      <w:hyperlink w:anchor="_Toc514059960" w:history="1">
        <w:r w:rsidRPr="00D40508">
          <w:rPr>
            <w:rStyle w:val="Hyperlink"/>
            <w:u w:val="none"/>
          </w:rPr>
          <w:t>Table 4</w:t>
        </w:r>
        <w:r w:rsidRPr="00D40508">
          <w:rPr>
            <w:webHidden/>
          </w:rPr>
          <w:t>.</w:t>
        </w:r>
      </w:hyperlink>
      <w:r w:rsidRPr="00D40508">
        <w:rPr>
          <w:rStyle w:val="Hyperlink"/>
          <w:u w:val="none"/>
        </w:rPr>
        <w:t xml:space="preserve"> </w:t>
      </w:r>
      <w:hyperlink w:anchor="_Toc514059961" w:history="1">
        <w:r w:rsidRPr="00D40508">
          <w:rPr>
            <w:rStyle w:val="Hyperlink"/>
            <w:u w:val="none"/>
          </w:rPr>
          <w:t>Paired Samples T-test on Metabolic Syndrome Data</w:t>
        </w:r>
        <w:r w:rsidRPr="00D40508">
          <w:rPr>
            <w:webHidden/>
          </w:rPr>
          <w:tab/>
        </w:r>
        <w:r w:rsidRPr="00D40508">
          <w:rPr>
            <w:webHidden/>
          </w:rPr>
          <w:fldChar w:fldCharType="begin"/>
        </w:r>
        <w:r w:rsidRPr="00D40508">
          <w:rPr>
            <w:webHidden/>
          </w:rPr>
          <w:instrText xml:space="preserve"> PAGEREF _Toc514059961 \h </w:instrText>
        </w:r>
        <w:r w:rsidRPr="00D40508">
          <w:rPr>
            <w:webHidden/>
          </w:rPr>
        </w:r>
        <w:r w:rsidRPr="00D40508">
          <w:rPr>
            <w:webHidden/>
          </w:rPr>
          <w:fldChar w:fldCharType="separate"/>
        </w:r>
        <w:r w:rsidR="009726C7">
          <w:rPr>
            <w:webHidden/>
          </w:rPr>
          <w:t>75</w:t>
        </w:r>
        <w:r w:rsidRPr="00D40508">
          <w:rPr>
            <w:webHidden/>
          </w:rPr>
          <w:fldChar w:fldCharType="end"/>
        </w:r>
      </w:hyperlink>
    </w:p>
    <w:p w:rsidR="005F167E" w:rsidRPr="00D40508" w:rsidRDefault="005F167E" w:rsidP="005F167E">
      <w:pPr>
        <w:pStyle w:val="TOC1"/>
        <w:rPr>
          <w:rFonts w:asciiTheme="minorHAnsi" w:eastAsiaTheme="minorEastAsia" w:hAnsiTheme="minorHAnsi" w:cstheme="minorBidi"/>
          <w:sz w:val="22"/>
          <w:szCs w:val="22"/>
        </w:rPr>
      </w:pPr>
      <w:hyperlink w:anchor="_Toc514059962" w:history="1">
        <w:r w:rsidRPr="00D40508">
          <w:rPr>
            <w:rStyle w:val="Hyperlink"/>
            <w:u w:val="none"/>
          </w:rPr>
          <w:t>Table 5</w:t>
        </w:r>
        <w:r w:rsidRPr="00D40508">
          <w:rPr>
            <w:webHidden/>
          </w:rPr>
          <w:t>.</w:t>
        </w:r>
      </w:hyperlink>
      <w:r w:rsidRPr="00D40508">
        <w:rPr>
          <w:rStyle w:val="Hyperlink"/>
          <w:u w:val="none"/>
        </w:rPr>
        <w:t xml:space="preserve"> </w:t>
      </w:r>
      <w:hyperlink w:anchor="_Toc514059963" w:history="1">
        <w:r w:rsidRPr="00D40508">
          <w:rPr>
            <w:rStyle w:val="Hyperlink"/>
            <w:u w:val="none"/>
          </w:rPr>
          <w:t>Descriptive Statistics on Mental Health Diagnosis on Metabolic Syndrome Data</w:t>
        </w:r>
        <w:r w:rsidRPr="00D40508">
          <w:rPr>
            <w:webHidden/>
          </w:rPr>
          <w:tab/>
        </w:r>
        <w:r w:rsidRPr="00D40508">
          <w:rPr>
            <w:webHidden/>
          </w:rPr>
          <w:fldChar w:fldCharType="begin"/>
        </w:r>
        <w:r w:rsidRPr="00D40508">
          <w:rPr>
            <w:webHidden/>
          </w:rPr>
          <w:instrText xml:space="preserve"> PAGEREF _Toc514059963 \h </w:instrText>
        </w:r>
        <w:r w:rsidRPr="00D40508">
          <w:rPr>
            <w:webHidden/>
          </w:rPr>
        </w:r>
        <w:r w:rsidRPr="00D40508">
          <w:rPr>
            <w:webHidden/>
          </w:rPr>
          <w:fldChar w:fldCharType="separate"/>
        </w:r>
        <w:r w:rsidR="009726C7">
          <w:rPr>
            <w:webHidden/>
          </w:rPr>
          <w:t>76</w:t>
        </w:r>
        <w:r w:rsidRPr="00D40508">
          <w:rPr>
            <w:webHidden/>
          </w:rPr>
          <w:fldChar w:fldCharType="end"/>
        </w:r>
      </w:hyperlink>
    </w:p>
    <w:p w:rsidR="005F167E" w:rsidRPr="00D40508" w:rsidRDefault="005F167E" w:rsidP="005F167E">
      <w:pPr>
        <w:pStyle w:val="TOC1"/>
        <w:rPr>
          <w:rFonts w:asciiTheme="minorHAnsi" w:eastAsiaTheme="minorEastAsia" w:hAnsiTheme="minorHAnsi" w:cstheme="minorBidi"/>
          <w:sz w:val="22"/>
          <w:szCs w:val="22"/>
        </w:rPr>
      </w:pPr>
      <w:hyperlink w:anchor="_Toc514059964" w:history="1">
        <w:r w:rsidRPr="00D40508">
          <w:rPr>
            <w:rStyle w:val="Hyperlink"/>
            <w:u w:val="none"/>
          </w:rPr>
          <w:t>Table 6</w:t>
        </w:r>
        <w:r w:rsidRPr="00D40508">
          <w:rPr>
            <w:webHidden/>
          </w:rPr>
          <w:t>.</w:t>
        </w:r>
      </w:hyperlink>
      <w:r w:rsidRPr="00D40508">
        <w:rPr>
          <w:rStyle w:val="Hyperlink"/>
          <w:u w:val="none"/>
        </w:rPr>
        <w:t xml:space="preserve"> </w:t>
      </w:r>
      <w:hyperlink w:anchor="_Toc514059965" w:history="1">
        <w:r w:rsidRPr="00D40508">
          <w:rPr>
            <w:rStyle w:val="Hyperlink"/>
            <w:u w:val="none"/>
          </w:rPr>
          <w:t>Descriptive Statistics on Level of Education on Metabolic Syndrome Data</w:t>
        </w:r>
        <w:r w:rsidRPr="00D40508">
          <w:rPr>
            <w:webHidden/>
          </w:rPr>
          <w:tab/>
        </w:r>
        <w:r w:rsidRPr="00D40508">
          <w:rPr>
            <w:webHidden/>
          </w:rPr>
          <w:fldChar w:fldCharType="begin"/>
        </w:r>
        <w:r w:rsidRPr="00D40508">
          <w:rPr>
            <w:webHidden/>
          </w:rPr>
          <w:instrText xml:space="preserve"> PAGEREF _Toc514059965 \h </w:instrText>
        </w:r>
        <w:r w:rsidRPr="00D40508">
          <w:rPr>
            <w:webHidden/>
          </w:rPr>
        </w:r>
        <w:r w:rsidRPr="00D40508">
          <w:rPr>
            <w:webHidden/>
          </w:rPr>
          <w:fldChar w:fldCharType="separate"/>
        </w:r>
        <w:r w:rsidR="009726C7">
          <w:rPr>
            <w:webHidden/>
          </w:rPr>
          <w:t>77</w:t>
        </w:r>
        <w:r w:rsidRPr="00D40508">
          <w:rPr>
            <w:webHidden/>
          </w:rPr>
          <w:fldChar w:fldCharType="end"/>
        </w:r>
      </w:hyperlink>
    </w:p>
    <w:p w:rsidR="005F167E" w:rsidRPr="00D40508" w:rsidRDefault="005F167E" w:rsidP="005F167E">
      <w:pPr>
        <w:pStyle w:val="TOC1"/>
        <w:rPr>
          <w:rFonts w:asciiTheme="minorHAnsi" w:eastAsiaTheme="minorEastAsia" w:hAnsiTheme="minorHAnsi" w:cstheme="minorBidi"/>
          <w:sz w:val="22"/>
          <w:szCs w:val="22"/>
        </w:rPr>
      </w:pPr>
      <w:hyperlink w:anchor="_Toc514059966" w:history="1">
        <w:r w:rsidRPr="00D40508">
          <w:rPr>
            <w:rStyle w:val="Hyperlink"/>
            <w:u w:val="none"/>
          </w:rPr>
          <w:t>Table 7</w:t>
        </w:r>
        <w:r w:rsidRPr="00D40508">
          <w:rPr>
            <w:webHidden/>
          </w:rPr>
          <w:t>.</w:t>
        </w:r>
      </w:hyperlink>
      <w:r w:rsidRPr="00D40508">
        <w:rPr>
          <w:rStyle w:val="Hyperlink"/>
          <w:u w:val="none"/>
        </w:rPr>
        <w:t xml:space="preserve"> </w:t>
      </w:r>
      <w:hyperlink w:anchor="_Toc514059967" w:history="1">
        <w:r w:rsidRPr="00D40508">
          <w:rPr>
            <w:rStyle w:val="Hyperlink"/>
            <w:u w:val="none"/>
          </w:rPr>
          <w:t>Wilcoxon Signed-Rank Test on Health Literacy Patient Survey Data</w:t>
        </w:r>
        <w:r w:rsidRPr="00D40508">
          <w:rPr>
            <w:webHidden/>
          </w:rPr>
          <w:tab/>
        </w:r>
        <w:r w:rsidRPr="00D40508">
          <w:rPr>
            <w:webHidden/>
          </w:rPr>
          <w:fldChar w:fldCharType="begin"/>
        </w:r>
        <w:r w:rsidRPr="00D40508">
          <w:rPr>
            <w:webHidden/>
          </w:rPr>
          <w:instrText xml:space="preserve"> PAGEREF _Toc514059967 \h </w:instrText>
        </w:r>
        <w:r w:rsidRPr="00D40508">
          <w:rPr>
            <w:webHidden/>
          </w:rPr>
        </w:r>
        <w:r w:rsidRPr="00D40508">
          <w:rPr>
            <w:webHidden/>
          </w:rPr>
          <w:fldChar w:fldCharType="separate"/>
        </w:r>
        <w:r w:rsidR="009726C7">
          <w:rPr>
            <w:webHidden/>
          </w:rPr>
          <w:t>78</w:t>
        </w:r>
        <w:r w:rsidRPr="00D40508">
          <w:rPr>
            <w:webHidden/>
          </w:rPr>
          <w:fldChar w:fldCharType="end"/>
        </w:r>
      </w:hyperlink>
    </w:p>
    <w:p w:rsidR="005F167E" w:rsidRPr="00D40508" w:rsidRDefault="005F167E" w:rsidP="005F167E">
      <w:pPr>
        <w:pStyle w:val="TOC1"/>
        <w:rPr>
          <w:rFonts w:asciiTheme="minorHAnsi" w:eastAsiaTheme="minorEastAsia" w:hAnsiTheme="minorHAnsi" w:cstheme="minorBidi"/>
          <w:sz w:val="22"/>
          <w:szCs w:val="22"/>
        </w:rPr>
      </w:pPr>
      <w:hyperlink w:anchor="_Toc514059968" w:history="1">
        <w:r w:rsidRPr="00D40508">
          <w:rPr>
            <w:rStyle w:val="Hyperlink"/>
            <w:u w:val="none"/>
          </w:rPr>
          <w:t>Table 8</w:t>
        </w:r>
        <w:r w:rsidRPr="00D40508">
          <w:rPr>
            <w:webHidden/>
          </w:rPr>
          <w:t>.</w:t>
        </w:r>
      </w:hyperlink>
      <w:r w:rsidRPr="00D40508">
        <w:rPr>
          <w:rStyle w:val="Hyperlink"/>
          <w:u w:val="none"/>
        </w:rPr>
        <w:t xml:space="preserve"> </w:t>
      </w:r>
      <w:hyperlink w:anchor="_Toc514059969" w:history="1">
        <w:r w:rsidRPr="00D40508">
          <w:rPr>
            <w:rStyle w:val="Hyperlink"/>
            <w:u w:val="none"/>
          </w:rPr>
          <w:t>Descriptive Statistics for Mental Health Diagnosis on Health Literacy Patient Survey Data</w:t>
        </w:r>
        <w:r w:rsidRPr="00D40508">
          <w:rPr>
            <w:webHidden/>
          </w:rPr>
          <w:tab/>
        </w:r>
        <w:r w:rsidRPr="00D40508">
          <w:rPr>
            <w:webHidden/>
          </w:rPr>
          <w:fldChar w:fldCharType="begin"/>
        </w:r>
        <w:r w:rsidRPr="00D40508">
          <w:rPr>
            <w:webHidden/>
          </w:rPr>
          <w:instrText xml:space="preserve"> PAGEREF _Toc514059969 \h </w:instrText>
        </w:r>
        <w:r w:rsidRPr="00D40508">
          <w:rPr>
            <w:webHidden/>
          </w:rPr>
        </w:r>
        <w:r w:rsidRPr="00D40508">
          <w:rPr>
            <w:webHidden/>
          </w:rPr>
          <w:fldChar w:fldCharType="separate"/>
        </w:r>
        <w:r w:rsidR="009726C7">
          <w:rPr>
            <w:webHidden/>
          </w:rPr>
          <w:t>79</w:t>
        </w:r>
        <w:r w:rsidRPr="00D40508">
          <w:rPr>
            <w:webHidden/>
          </w:rPr>
          <w:fldChar w:fldCharType="end"/>
        </w:r>
      </w:hyperlink>
    </w:p>
    <w:p w:rsidR="005F167E" w:rsidRPr="00D40508" w:rsidRDefault="005F167E" w:rsidP="005F167E">
      <w:pPr>
        <w:pStyle w:val="TOC1"/>
        <w:rPr>
          <w:rFonts w:asciiTheme="minorHAnsi" w:eastAsiaTheme="minorEastAsia" w:hAnsiTheme="minorHAnsi" w:cstheme="minorBidi"/>
          <w:sz w:val="22"/>
          <w:szCs w:val="22"/>
        </w:rPr>
      </w:pPr>
      <w:hyperlink w:anchor="_Toc514059970" w:history="1">
        <w:r w:rsidRPr="00D40508">
          <w:rPr>
            <w:rStyle w:val="Hyperlink"/>
            <w:u w:val="none"/>
          </w:rPr>
          <w:t>Table 9</w:t>
        </w:r>
        <w:r w:rsidRPr="00D40508">
          <w:rPr>
            <w:webHidden/>
          </w:rPr>
          <w:t>.</w:t>
        </w:r>
      </w:hyperlink>
      <w:r w:rsidRPr="00D40508">
        <w:rPr>
          <w:rStyle w:val="Hyperlink"/>
          <w:u w:val="none"/>
        </w:rPr>
        <w:t xml:space="preserve"> </w:t>
      </w:r>
      <w:hyperlink w:anchor="_Toc514059971" w:history="1">
        <w:r w:rsidRPr="00D40508">
          <w:rPr>
            <w:rStyle w:val="Hyperlink"/>
            <w:u w:val="none"/>
          </w:rPr>
          <w:t>Descriptive Statistics for Level of Education on Health Literacy Patient Survey Data</w:t>
        </w:r>
        <w:r w:rsidRPr="00D40508">
          <w:rPr>
            <w:webHidden/>
          </w:rPr>
          <w:tab/>
        </w:r>
        <w:r w:rsidRPr="00D40508">
          <w:rPr>
            <w:webHidden/>
          </w:rPr>
          <w:fldChar w:fldCharType="begin"/>
        </w:r>
        <w:r w:rsidRPr="00D40508">
          <w:rPr>
            <w:webHidden/>
          </w:rPr>
          <w:instrText xml:space="preserve"> PAGEREF _Toc514059971 \h </w:instrText>
        </w:r>
        <w:r w:rsidRPr="00D40508">
          <w:rPr>
            <w:webHidden/>
          </w:rPr>
        </w:r>
        <w:r w:rsidRPr="00D40508">
          <w:rPr>
            <w:webHidden/>
          </w:rPr>
          <w:fldChar w:fldCharType="separate"/>
        </w:r>
        <w:r w:rsidR="009726C7">
          <w:rPr>
            <w:webHidden/>
          </w:rPr>
          <w:t>80</w:t>
        </w:r>
        <w:r w:rsidRPr="00D40508">
          <w:rPr>
            <w:webHidden/>
          </w:rPr>
          <w:fldChar w:fldCharType="end"/>
        </w:r>
      </w:hyperlink>
    </w:p>
    <w:p w:rsidR="005F167E" w:rsidRPr="00D40508" w:rsidRDefault="005F167E" w:rsidP="005F167E">
      <w:pPr>
        <w:pStyle w:val="TOC1"/>
        <w:rPr>
          <w:rFonts w:asciiTheme="minorHAnsi" w:eastAsiaTheme="minorEastAsia" w:hAnsiTheme="minorHAnsi" w:cstheme="minorBidi"/>
          <w:sz w:val="22"/>
          <w:szCs w:val="22"/>
        </w:rPr>
      </w:pPr>
      <w:hyperlink w:anchor="_Toc514059972" w:history="1">
        <w:r w:rsidRPr="00D40508">
          <w:rPr>
            <w:rStyle w:val="Hyperlink"/>
            <w:u w:val="none"/>
          </w:rPr>
          <w:t>Table 10</w:t>
        </w:r>
        <w:r w:rsidRPr="00D40508">
          <w:rPr>
            <w:webHidden/>
          </w:rPr>
          <w:t>.</w:t>
        </w:r>
      </w:hyperlink>
      <w:r w:rsidRPr="00D40508">
        <w:rPr>
          <w:rStyle w:val="Hyperlink"/>
          <w:u w:val="none"/>
        </w:rPr>
        <w:t xml:space="preserve"> </w:t>
      </w:r>
      <w:hyperlink w:anchor="_Toc514059973" w:history="1">
        <w:r w:rsidRPr="00D40508">
          <w:rPr>
            <w:rStyle w:val="Hyperlink"/>
            <w:u w:val="none"/>
          </w:rPr>
          <w:t>Wilcoxon Signed-Rank Test on Staff Pre- and Post-Intervention Primary Care Health Literacy Assessment</w:t>
        </w:r>
        <w:r w:rsidRPr="00D40508">
          <w:rPr>
            <w:webHidden/>
          </w:rPr>
          <w:tab/>
        </w:r>
        <w:r w:rsidRPr="00D40508">
          <w:rPr>
            <w:webHidden/>
          </w:rPr>
          <w:fldChar w:fldCharType="begin"/>
        </w:r>
        <w:r w:rsidRPr="00D40508">
          <w:rPr>
            <w:webHidden/>
          </w:rPr>
          <w:instrText xml:space="preserve"> PAGEREF _Toc514059973 \h </w:instrText>
        </w:r>
        <w:r w:rsidRPr="00D40508">
          <w:rPr>
            <w:webHidden/>
          </w:rPr>
        </w:r>
        <w:r w:rsidRPr="00D40508">
          <w:rPr>
            <w:webHidden/>
          </w:rPr>
          <w:fldChar w:fldCharType="separate"/>
        </w:r>
        <w:r w:rsidR="009726C7">
          <w:rPr>
            <w:webHidden/>
          </w:rPr>
          <w:t>81</w:t>
        </w:r>
        <w:r w:rsidRPr="00D40508">
          <w:rPr>
            <w:webHidden/>
          </w:rPr>
          <w:fldChar w:fldCharType="end"/>
        </w:r>
      </w:hyperlink>
    </w:p>
    <w:p w:rsidR="00CC67FE" w:rsidRDefault="00CC67FE" w:rsidP="00CC67FE">
      <w:pPr>
        <w:pStyle w:val="APALevel0"/>
        <w:jc w:val="left"/>
      </w:pPr>
      <w:r w:rsidRPr="00D40508">
        <w:fldChar w:fldCharType="end"/>
      </w:r>
    </w:p>
    <w:p w:rsidR="00B14EF8" w:rsidRDefault="00B14EF8" w:rsidP="00B14EF8">
      <w:pPr>
        <w:pStyle w:val="BodyText"/>
      </w:pPr>
    </w:p>
    <w:p w:rsidR="00B14EF8" w:rsidRDefault="0003432E" w:rsidP="00B14EF8">
      <w:pPr>
        <w:pStyle w:val="APALevel0"/>
      </w:pPr>
      <w:r>
        <w:br w:type="page"/>
      </w:r>
      <w:bookmarkStart w:id="4" w:name="_Toc514059877"/>
      <w:r w:rsidR="00685EB3">
        <w:lastRenderedPageBreak/>
        <w:t>List of Figures</w:t>
      </w:r>
      <w:bookmarkEnd w:id="4"/>
    </w:p>
    <w:p w:rsidR="00DB386E" w:rsidRDefault="00CA483A" w:rsidP="00DB386E">
      <w:pPr>
        <w:pStyle w:val="BodyText"/>
        <w:tabs>
          <w:tab w:val="right" w:leader="dot" w:pos="8640"/>
        </w:tabs>
        <w:ind w:firstLine="0"/>
      </w:pPr>
      <w:r>
        <w:t xml:space="preserve">Figure 1. </w:t>
      </w:r>
      <w:r w:rsidR="00E5658B">
        <w:t>PRISMA Flow Diagram</w:t>
      </w:r>
      <w:r>
        <w:tab/>
      </w:r>
      <w:r w:rsidR="00DA6936">
        <w:t>46</w:t>
      </w:r>
    </w:p>
    <w:p w:rsidR="00E5658B" w:rsidRDefault="00E5658B" w:rsidP="00E5658B">
      <w:pPr>
        <w:pStyle w:val="BodyText"/>
        <w:tabs>
          <w:tab w:val="right" w:leader="dot" w:pos="8640"/>
        </w:tabs>
        <w:ind w:firstLine="0"/>
      </w:pPr>
      <w:r>
        <w:t>Figure 2. Sampling Diagram</w:t>
      </w:r>
      <w:r>
        <w:tab/>
      </w:r>
      <w:r w:rsidR="00DA6936">
        <w:t>53</w:t>
      </w:r>
    </w:p>
    <w:p w:rsidR="00B14EF8" w:rsidRDefault="00B14EF8" w:rsidP="00B14EF8">
      <w:pPr>
        <w:pStyle w:val="BodyText"/>
      </w:pPr>
    </w:p>
    <w:p w:rsidR="004C5D1F" w:rsidRDefault="004C5D1F">
      <w:pPr>
        <w:autoSpaceDE/>
        <w:autoSpaceDN/>
        <w:adjustRightInd/>
        <w:snapToGrid/>
      </w:pPr>
      <w:r>
        <w:br w:type="page"/>
      </w:r>
    </w:p>
    <w:p w:rsidR="00B14EF8" w:rsidRDefault="00B14EF8" w:rsidP="00B14EF8">
      <w:pPr>
        <w:pStyle w:val="BodyText"/>
        <w:sectPr w:rsidR="00B14EF8" w:rsidSect="00317DE0">
          <w:headerReference w:type="default" r:id="rId16"/>
          <w:footerReference w:type="default" r:id="rId17"/>
          <w:pgSz w:w="12240" w:h="15840" w:code="1"/>
          <w:pgMar w:top="1440" w:right="1440" w:bottom="1872" w:left="2160" w:header="1440" w:footer="1440" w:gutter="0"/>
          <w:pgNumType w:fmt="lowerRoman" w:start="1"/>
          <w:cols w:space="720"/>
          <w:noEndnote/>
        </w:sectPr>
      </w:pPr>
    </w:p>
    <w:p w:rsidR="00B14EF8" w:rsidRDefault="00261D6D" w:rsidP="00827F7D">
      <w:pPr>
        <w:pStyle w:val="APALevel0"/>
        <w:pageBreakBefore/>
        <w:contextualSpacing/>
      </w:pPr>
      <w:bookmarkStart w:id="5" w:name="Chapter_1"/>
      <w:bookmarkStart w:id="6" w:name="_Toc514059878"/>
      <w:bookmarkEnd w:id="5"/>
      <w:r>
        <w:lastRenderedPageBreak/>
        <w:t>Project Overview</w:t>
      </w:r>
      <w:bookmarkEnd w:id="6"/>
    </w:p>
    <w:p w:rsidR="00B14EF8" w:rsidRDefault="00E5658B" w:rsidP="002C3A00">
      <w:pPr>
        <w:pStyle w:val="APALevel1"/>
      </w:pPr>
      <w:bookmarkStart w:id="7" w:name="_Toc514059879"/>
      <w:r>
        <w:t>Introduction</w:t>
      </w:r>
      <w:bookmarkEnd w:id="7"/>
    </w:p>
    <w:p w:rsidR="00E5658B" w:rsidRDefault="00E5658B" w:rsidP="00187359">
      <w:pPr>
        <w:pStyle w:val="APA"/>
        <w:ind w:firstLine="720"/>
      </w:pPr>
      <w:r>
        <w:t xml:space="preserve">Health literacy is defined as </w:t>
      </w:r>
      <w:r w:rsidRPr="00D717CA">
        <w:t>“</w:t>
      </w:r>
      <w:r>
        <w:t>the degree to which individuals have the capacity to obtain, process, and understand basic health information and services needed to make appropriate health decisions</w:t>
      </w:r>
      <w:r w:rsidRPr="00D717CA">
        <w:t>”</w:t>
      </w:r>
      <w:r>
        <w:t xml:space="preserve"> (Institute of Medicine [IOM], 2004, </w:t>
      </w:r>
      <w:r w:rsidRPr="0067759A">
        <w:t>p</w:t>
      </w:r>
      <w:r>
        <w:t>.</w:t>
      </w:r>
      <w:r w:rsidRPr="0067759A">
        <w:t xml:space="preserve"> 4</w:t>
      </w:r>
      <w:r>
        <w:t xml:space="preserve">).  As many as nine out of </w:t>
      </w:r>
      <w:r w:rsidRPr="00D717CA">
        <w:t>10</w:t>
      </w:r>
      <w:r>
        <w:t xml:space="preserve"> adults in the United States have difficulty using the health information that is available to them in health care facilities and various other outlets </w:t>
      </w:r>
      <w:r w:rsidRPr="00685D64">
        <w:t>(U.S. Department of Health and Human Services, 2010).</w:t>
      </w:r>
      <w:r>
        <w:t xml:space="preserve">  </w:t>
      </w:r>
      <w:r w:rsidRPr="00685D64">
        <w:t>Furthermore,</w:t>
      </w:r>
      <w:r>
        <w:t xml:space="preserve"> low health literacy is associated with poor management of chronic conditions, such as diabetes and high blood pressure.</w:t>
      </w:r>
    </w:p>
    <w:p w:rsidR="00E5658B" w:rsidRDefault="00E5658B" w:rsidP="00187359">
      <w:pPr>
        <w:pStyle w:val="APA"/>
      </w:pPr>
      <w:r>
        <w:tab/>
        <w:t xml:space="preserve">Metabolic syndrome is a cluster of cardiac risk factors such as diabetes and prediabetes, abdominal obesity, high triglycerides, low HDL cholesterol, and high blood pressure (National Institutes of Health [NIH], 2016).  Several studies in Europe, North America, and Australia have found an increased prevalence of metabolic syndrome in those with severe and persistent mental illness.  </w:t>
      </w:r>
      <w:r w:rsidRPr="00685D64">
        <w:t>These studies also</w:t>
      </w:r>
      <w:r>
        <w:t xml:space="preserve"> </w:t>
      </w:r>
      <w:r w:rsidRPr="00D717CA">
        <w:t>found an overall lack of screening</w:t>
      </w:r>
      <w:r>
        <w:t xml:space="preserve"> for physical health needs in mental health patients, particularly metabolic syndrome (</w:t>
      </w:r>
      <w:proofErr w:type="spellStart"/>
      <w:r>
        <w:t>Brunero</w:t>
      </w:r>
      <w:proofErr w:type="spellEnd"/>
      <w:r>
        <w:t xml:space="preserve"> &amp; Lamont, 2009).</w:t>
      </w:r>
    </w:p>
    <w:p w:rsidR="00E5658B" w:rsidRDefault="00E5658B" w:rsidP="00187359">
      <w:pPr>
        <w:pStyle w:val="APA"/>
        <w:ind w:firstLine="720"/>
      </w:pPr>
      <w:r>
        <w:t xml:space="preserve">Severe mental illness is associated with deficits in concentration and memory, </w:t>
      </w:r>
      <w:r w:rsidRPr="00D717CA">
        <w:t>which can exacerbate</w:t>
      </w:r>
      <w:r>
        <w:t xml:space="preserve"> difficulties understanding health-related information.  Though there is a lack of research in this area in the U.S., it is </w:t>
      </w:r>
      <w:r w:rsidRPr="00D717CA">
        <w:t>not surprising</w:t>
      </w:r>
      <w:r>
        <w:t xml:space="preserve"> that those with severe mental illness would have impaired health literacy (</w:t>
      </w:r>
      <w:proofErr w:type="spellStart"/>
      <w:r>
        <w:t>Galletly</w:t>
      </w:r>
      <w:proofErr w:type="spellEnd"/>
      <w:r>
        <w:t xml:space="preserve">, </w:t>
      </w:r>
      <w:proofErr w:type="spellStart"/>
      <w:r>
        <w:t>Neaves</w:t>
      </w:r>
      <w:proofErr w:type="spellEnd"/>
      <w:r>
        <w:t xml:space="preserve">, Burton, Liu, &amp; Denson, 2012).  A recent study by Clausen, Watanabe-Galloway, </w:t>
      </w:r>
      <w:proofErr w:type="spellStart"/>
      <w:r>
        <w:t>Baerentzen</w:t>
      </w:r>
      <w:proofErr w:type="spellEnd"/>
      <w:r>
        <w:t xml:space="preserve">, and </w:t>
      </w:r>
      <w:proofErr w:type="spellStart"/>
      <w:r>
        <w:t>Britigan</w:t>
      </w:r>
      <w:proofErr w:type="spellEnd"/>
      <w:r>
        <w:t xml:space="preserve"> (2016) found that the prevalence of inadequate literacy among adults with </w:t>
      </w:r>
      <w:r>
        <w:lastRenderedPageBreak/>
        <w:t xml:space="preserve">serious mental illness was as high as 40-70%, much higher than the 26% of U.S. adults suggested by the national health assessment.  Low health literacy among those with severe and persistent mental illness affects this population's abilities to </w:t>
      </w:r>
      <w:r w:rsidRPr="001569C3">
        <w:t>effectively interpret health information which may result in poor self-care management,</w:t>
      </w:r>
      <w:r>
        <w:t xml:space="preserve"> increased disability and morbidity, and adverse health outcomes (Krishan, von </w:t>
      </w:r>
      <w:proofErr w:type="spellStart"/>
      <w:r>
        <w:t>Esenwein</w:t>
      </w:r>
      <w:proofErr w:type="spellEnd"/>
      <w:r>
        <w:t xml:space="preserve">, &amp; </w:t>
      </w:r>
      <w:proofErr w:type="spellStart"/>
      <w:r>
        <w:t>Druss</w:t>
      </w:r>
      <w:proofErr w:type="spellEnd"/>
      <w:r>
        <w:t>, 2012).</w:t>
      </w:r>
    </w:p>
    <w:p w:rsidR="00E5658B" w:rsidRDefault="00E5658B" w:rsidP="00187359">
      <w:pPr>
        <w:pStyle w:val="APA"/>
        <w:ind w:firstLine="720"/>
      </w:pPr>
      <w:r>
        <w:t xml:space="preserve">Reducing health disparities in a population involves changing the health system to meet </w:t>
      </w:r>
      <w:r w:rsidRPr="00D717CA">
        <w:t>its</w:t>
      </w:r>
      <w:r>
        <w:t xml:space="preserve"> needs (U.S. Department of Health and Human Services, 2010).  Implementing evidence-based strategies to improve health literacy in the population with severe mental illness is necessary.  </w:t>
      </w:r>
      <w:r w:rsidRPr="00D717CA">
        <w:t>The goal</w:t>
      </w:r>
      <w:r>
        <w:t xml:space="preserve"> of this project is to improve health literacy in a subset of this population, </w:t>
      </w:r>
      <w:r w:rsidRPr="00D717CA">
        <w:t>and subsequently, indicators</w:t>
      </w:r>
      <w:r>
        <w:t xml:space="preserve"> of metabolic syndrome (hemoglobin A1C, abdominal circumference, triglycerides, HDL cholesterol, and systolic blood pressure).  After implementation of this project, it is anticipated that the majority of clients will show a significant improvement in at least three out of five of these indicators.</w:t>
      </w:r>
    </w:p>
    <w:p w:rsidR="00E5658B" w:rsidRDefault="00E5658B" w:rsidP="00187359">
      <w:pPr>
        <w:pStyle w:val="APA"/>
      </w:pPr>
      <w:r>
        <w:tab/>
        <w:t xml:space="preserve">The Lower Shore Clinic is a National Health Service Corps site in Salisbury, Maryland providing highly accessible integrated psychiatric and primary health care to adults.  Many health </w:t>
      </w:r>
      <w:r w:rsidRPr="00685D64">
        <w:t>literacy-related</w:t>
      </w:r>
      <w:r>
        <w:t xml:space="preserve"> variables are apparent in the quality of care that is currently provided at the clinic.  First, these strengths and weaknesses must be formally assessed through the use of a self-assessment instrument that includes an action plan for reducing literacy-related barriers (U.S. Department of Health and Human Services, 2010).  The </w:t>
      </w:r>
      <w:r>
        <w:rPr>
          <w:i/>
        </w:rPr>
        <w:t xml:space="preserve">Health Literacy Universal Precautions Toolkit </w:t>
      </w:r>
      <w:r>
        <w:t xml:space="preserve">from the Agency for Healthcare Research and Quality (AHRQ) will be implemented at the Lower Shore </w:t>
      </w:r>
      <w:r>
        <w:lastRenderedPageBreak/>
        <w:t xml:space="preserve">Clinic.  It may be necessary to </w:t>
      </w:r>
      <w:r w:rsidRPr="00685D64">
        <w:t>redesign certain</w:t>
      </w:r>
      <w:r>
        <w:t xml:space="preserve"> forms and provide health literacy training for health care professionals within the organization (U.S. Department of Health and Human Services, 2010).</w:t>
      </w:r>
    </w:p>
    <w:p w:rsidR="00E5658B" w:rsidRDefault="00E5658B" w:rsidP="00187359">
      <w:pPr>
        <w:pStyle w:val="APA"/>
      </w:pPr>
      <w:r>
        <w:tab/>
        <w:t xml:space="preserve">Second, it is necessary to track goals and progress when planning a program designed to reach goals of </w:t>
      </w:r>
      <w:r w:rsidRPr="00716ED3">
        <w:rPr>
          <w:i/>
        </w:rPr>
        <w:t>Healthy People 2020</w:t>
      </w:r>
      <w:r>
        <w:t xml:space="preserve"> (U.S. Department of Health and Human Services, 2016).  In order to assess whether or not improvements in health literacy in an organization improves indicators of metabolic syndrome in a subset of the population, one must measure these indices before and after implementation of the program.  This will be done through record review.</w:t>
      </w:r>
    </w:p>
    <w:p w:rsidR="00B14EF8" w:rsidRDefault="00E5658B" w:rsidP="00187359">
      <w:pPr>
        <w:pStyle w:val="APALevel2"/>
        <w:contextualSpacing/>
      </w:pPr>
      <w:bookmarkStart w:id="8" w:name="_Toc514059880"/>
      <w:r>
        <w:t>Problem Statement</w:t>
      </w:r>
      <w:bookmarkEnd w:id="8"/>
    </w:p>
    <w:p w:rsidR="00E5658B" w:rsidRDefault="00E5658B" w:rsidP="00187359">
      <w:pPr>
        <w:pStyle w:val="APA"/>
        <w:ind w:firstLine="720"/>
      </w:pPr>
      <w:r>
        <w:t xml:space="preserve">Low health literacy is a major problem in the U.S. which can lead to poor health outcomes (U.S. Department of Health and Human Services, 2010).  Clients with severe mental illness may suffer from low health literacy and also metabolic syndrome </w:t>
      </w:r>
      <w:r w:rsidRPr="00D717CA">
        <w:t>(</w:t>
      </w:r>
      <w:proofErr w:type="spellStart"/>
      <w:r>
        <w:t>Galletly</w:t>
      </w:r>
      <w:proofErr w:type="spellEnd"/>
      <w:r>
        <w:t xml:space="preserve">, </w:t>
      </w:r>
      <w:proofErr w:type="spellStart"/>
      <w:r>
        <w:t>Neaves</w:t>
      </w:r>
      <w:proofErr w:type="spellEnd"/>
      <w:r>
        <w:t xml:space="preserve">, Burton, Liu, &amp; Denson, 2012; </w:t>
      </w:r>
      <w:proofErr w:type="spellStart"/>
      <w:r>
        <w:t>Brunero</w:t>
      </w:r>
      <w:proofErr w:type="spellEnd"/>
      <w:r>
        <w:t xml:space="preserve"> &amp; Lamont, 2009)</w:t>
      </w:r>
      <w:r w:rsidRPr="00D717CA">
        <w:t>.</w:t>
      </w:r>
      <w:r>
        <w:t xml:space="preserve">  Thus, it is important to implement strategies to enhance the health literacy of the population with severe mental illness to also try and improve health outcomes in metabolic syndrome.  The Lower Shore Clinic has a large population of clients with both severe mental illness and metabolic syndrome.  Therefore, there is a need for a project improving health literacy in this population at this facility.</w:t>
      </w:r>
    </w:p>
    <w:p w:rsidR="00E5658B" w:rsidRDefault="00E5658B" w:rsidP="00187359">
      <w:pPr>
        <w:pStyle w:val="APALevel2"/>
        <w:contextualSpacing/>
      </w:pPr>
      <w:bookmarkStart w:id="9" w:name="_Toc514059881"/>
      <w:r>
        <w:t>Purpose of Project</w:t>
      </w:r>
      <w:bookmarkEnd w:id="9"/>
    </w:p>
    <w:p w:rsidR="00E5658B" w:rsidRDefault="00E5658B" w:rsidP="00187359">
      <w:pPr>
        <w:pStyle w:val="APA"/>
        <w:ind w:firstLine="720"/>
      </w:pPr>
      <w:r>
        <w:t>A Doctor of Nursing P</w:t>
      </w:r>
      <w:r w:rsidRPr="00685D64">
        <w:t>ractice</w:t>
      </w:r>
      <w:r>
        <w:t xml:space="preserve"> (DNP)</w:t>
      </w:r>
      <w:r w:rsidRPr="00685D64">
        <w:t xml:space="preserve"> project</w:t>
      </w:r>
      <w:r>
        <w:t xml:space="preserve"> is designed for advanced nursing students to conduct rigorous scholarly inquiry in order to advance nursing knowledge and </w:t>
      </w:r>
      <w:r>
        <w:lastRenderedPageBreak/>
        <w:t xml:space="preserve">improve clinical practice (Moran, 2017).  The purpose of </w:t>
      </w:r>
      <w:r w:rsidRPr="00685D64">
        <w:t>this</w:t>
      </w:r>
      <w:r>
        <w:t xml:space="preserve"> project is to improve the health literacy in the population with severe mental illness that utilizes the Lower Shore Clinic for both primary care and mental health care</w:t>
      </w:r>
      <w:r w:rsidRPr="00685D64">
        <w:t xml:space="preserve">.  </w:t>
      </w:r>
      <w:r w:rsidRPr="00DC3083">
        <w:t xml:space="preserve">Based on the aforementioned premise that health literacy is linked to the management of chronic conditions, it is hoped that implementation of selected items from the </w:t>
      </w:r>
      <w:r w:rsidRPr="00DC3083">
        <w:rPr>
          <w:i/>
        </w:rPr>
        <w:t xml:space="preserve">Health Literacy Universal Precautions Toolkit </w:t>
      </w:r>
      <w:r w:rsidRPr="00DC3083">
        <w:t xml:space="preserve">from the AHRQ into everyday practice will improve health indicators for metabolic syndrome while also improving </w:t>
      </w:r>
      <w:r>
        <w:t>client</w:t>
      </w:r>
      <w:r w:rsidRPr="00DC3083">
        <w:t xml:space="preserve"> and staff perceptions of health literacy practices.</w:t>
      </w:r>
    </w:p>
    <w:p w:rsidR="00E5658B" w:rsidRDefault="00E5658B" w:rsidP="00187359">
      <w:pPr>
        <w:pStyle w:val="APALevel2"/>
        <w:contextualSpacing/>
      </w:pPr>
      <w:bookmarkStart w:id="10" w:name="_Toc514059882"/>
      <w:r>
        <w:t>Clinical Question—PICO</w:t>
      </w:r>
      <w:bookmarkEnd w:id="10"/>
    </w:p>
    <w:p w:rsidR="00E5658B" w:rsidRDefault="00E5658B" w:rsidP="00187359">
      <w:pPr>
        <w:pStyle w:val="APA"/>
        <w:ind w:firstLine="720"/>
      </w:pPr>
      <w:r w:rsidRPr="00DC3083">
        <w:t xml:space="preserve">Does implementation of the </w:t>
      </w:r>
      <w:r w:rsidRPr="00DC3083">
        <w:rPr>
          <w:i/>
        </w:rPr>
        <w:t>AHRQ Health Literacy Universal Precautions Toolkit</w:t>
      </w:r>
      <w:r w:rsidRPr="00DC3083">
        <w:t xml:space="preserve"> in an integrated primary care and mental health clinic improve indicators of metabolic syndrome in </w:t>
      </w:r>
      <w:r>
        <w:t>client</w:t>
      </w:r>
      <w:r w:rsidRPr="00DC3083">
        <w:t xml:space="preserve">s with severe mental illness who are in a psychiatric rehabilitation program as well as </w:t>
      </w:r>
      <w:r>
        <w:t>client</w:t>
      </w:r>
      <w:r w:rsidRPr="00DC3083">
        <w:t xml:space="preserve"> and staff perceptions of health literacy practices?</w:t>
      </w:r>
      <w:r>
        <w:t xml:space="preserve">  </w:t>
      </w:r>
    </w:p>
    <w:p w:rsidR="00B14EF8" w:rsidRPr="000409C5" w:rsidRDefault="000E5ADA" w:rsidP="000409C5">
      <w:pPr>
        <w:pStyle w:val="APALevel0"/>
      </w:pPr>
      <w:r>
        <w:br w:type="page"/>
      </w:r>
      <w:bookmarkStart w:id="11" w:name="_Toc514059883"/>
      <w:r w:rsidR="00B3072C">
        <w:lastRenderedPageBreak/>
        <w:t>Analysis of Related Literature</w:t>
      </w:r>
      <w:bookmarkEnd w:id="11"/>
    </w:p>
    <w:p w:rsidR="008A45A4" w:rsidRDefault="00E5658B" w:rsidP="008A45A4">
      <w:pPr>
        <w:pStyle w:val="APALevel1"/>
      </w:pPr>
      <w:bookmarkStart w:id="12" w:name="_Toc514059884"/>
      <w:r>
        <w:t>Review of the Literature</w:t>
      </w:r>
      <w:bookmarkEnd w:id="12"/>
    </w:p>
    <w:p w:rsidR="001E059C" w:rsidRDefault="001E059C" w:rsidP="001E059C">
      <w:pPr>
        <w:pStyle w:val="APALevel2"/>
      </w:pPr>
      <w:bookmarkStart w:id="13" w:name="_Toc514059885"/>
      <w:r>
        <w:t>Search Strategy</w:t>
      </w:r>
      <w:bookmarkEnd w:id="13"/>
    </w:p>
    <w:p w:rsidR="001E059C" w:rsidRDefault="001E059C" w:rsidP="001E059C">
      <w:pPr>
        <w:pStyle w:val="APA"/>
        <w:ind w:firstLine="720"/>
      </w:pPr>
      <w:r>
        <w:t xml:space="preserve">A systematic review of the literature was completed to answer the PICO question: </w:t>
      </w:r>
      <w:r w:rsidRPr="00DC3083">
        <w:t xml:space="preserve">Does implementation of the </w:t>
      </w:r>
      <w:r w:rsidRPr="00DC3083">
        <w:rPr>
          <w:i/>
        </w:rPr>
        <w:t>AHRQ Health Literacy Universal Precautions Toolkit</w:t>
      </w:r>
      <w:r w:rsidRPr="00DC3083">
        <w:t xml:space="preserve"> in an integrated primary care and mental health clinic improve indicators of metabolic syndrome in </w:t>
      </w:r>
      <w:r>
        <w:t>clients</w:t>
      </w:r>
      <w:r w:rsidRPr="00DC3083">
        <w:t xml:space="preserve"> with severe mental illness who are in a psychiatric rehabilitation program as well as </w:t>
      </w:r>
      <w:r>
        <w:t>client</w:t>
      </w:r>
      <w:r w:rsidRPr="00DC3083">
        <w:t xml:space="preserve"> and staff perceptions of health literacy practices?</w:t>
      </w:r>
      <w:r>
        <w:t xml:space="preserve">    </w:t>
      </w:r>
    </w:p>
    <w:p w:rsidR="001E059C" w:rsidRPr="00457F08" w:rsidRDefault="001E059C" w:rsidP="001E059C">
      <w:pPr>
        <w:pStyle w:val="APA"/>
        <w:ind w:firstLine="720"/>
        <w:rPr>
          <w:b/>
        </w:rPr>
      </w:pPr>
      <w:r>
        <w:t xml:space="preserve">Several databases including CINAHL, MEDLINE, and Google were searched using key terms.  Boolean combinations of the words health literacy, schizophrenia, health understanding, mental illness, health, understand, chronic, health information, mental, literacy, and </w:t>
      </w:r>
      <w:r>
        <w:rPr>
          <w:i/>
        </w:rPr>
        <w:t>H</w:t>
      </w:r>
      <w:r w:rsidRPr="008D3DCA">
        <w:rPr>
          <w:i/>
        </w:rPr>
        <w:t xml:space="preserve">ealth </w:t>
      </w:r>
      <w:r>
        <w:rPr>
          <w:i/>
        </w:rPr>
        <w:t>L</w:t>
      </w:r>
      <w:r w:rsidRPr="008D3DCA">
        <w:rPr>
          <w:i/>
        </w:rPr>
        <w:t xml:space="preserve">iteracy </w:t>
      </w:r>
      <w:r>
        <w:rPr>
          <w:i/>
        </w:rPr>
        <w:t>U</w:t>
      </w:r>
      <w:r w:rsidRPr="008D3DCA">
        <w:rPr>
          <w:i/>
        </w:rPr>
        <w:t xml:space="preserve">niversal </w:t>
      </w:r>
      <w:r>
        <w:rPr>
          <w:i/>
        </w:rPr>
        <w:t>P</w:t>
      </w:r>
      <w:r w:rsidRPr="008D3DCA">
        <w:rPr>
          <w:i/>
        </w:rPr>
        <w:t xml:space="preserve">recautions </w:t>
      </w:r>
      <w:r>
        <w:rPr>
          <w:i/>
        </w:rPr>
        <w:t>T</w:t>
      </w:r>
      <w:r w:rsidRPr="008D3DCA">
        <w:rPr>
          <w:i/>
        </w:rPr>
        <w:t>oolkit</w:t>
      </w:r>
      <w:r>
        <w:t xml:space="preserve"> were employed as search terms.  Additionally, hand searches utilizing the ancestry method were performed.  Databases were searched from September of 2016 to January of 2018.</w:t>
      </w:r>
    </w:p>
    <w:p w:rsidR="001E059C" w:rsidRDefault="001E059C" w:rsidP="001E059C">
      <w:pPr>
        <w:pStyle w:val="APA"/>
      </w:pPr>
      <w:r>
        <w:tab/>
        <w:t xml:space="preserve">In addition to the key terms, results were restricted to English language and peer reviewed whenever possible.  Initially, 365 articles were identified in the search.  Duplicate articles were eliminated.  Studies whose abstracts were not relevant to the PICO question were excluded.  Studies that measured outcomes that focused on mental health literacy and not general health literacy in those with mental illness were also eliminated.  Studies that did not discuss the </w:t>
      </w:r>
      <w:r>
        <w:rPr>
          <w:i/>
        </w:rPr>
        <w:t xml:space="preserve">AHRQ Health Literacy Universal Precautions Toolkit </w:t>
      </w:r>
      <w:r>
        <w:t xml:space="preserve">were also eliminated.  Included in the review were studies that focused on health literacy in those with mental illness, government documents that focus </w:t>
      </w:r>
      <w:r>
        <w:lastRenderedPageBreak/>
        <w:t xml:space="preserve">on the problem of and solutions to health literacy, and articles on the implementation of the </w:t>
      </w:r>
      <w:r>
        <w:rPr>
          <w:i/>
        </w:rPr>
        <w:t xml:space="preserve">AHRQ Health Literacy Universal Precautions Toolkit. </w:t>
      </w:r>
      <w:r>
        <w:t xml:space="preserve">This resulted in a total of 13 studies that helped in developing the doctoral project.  The attached PRISMA diagram (Appendix A) illustrates this systematic review of the literature and the attached literature summary table (Appendix B) summarizes the literature that was reviewed (Moher, </w:t>
      </w:r>
      <w:proofErr w:type="spellStart"/>
      <w:r>
        <w:t>Liberati</w:t>
      </w:r>
      <w:proofErr w:type="spellEnd"/>
      <w:r>
        <w:t xml:space="preserve">, </w:t>
      </w:r>
      <w:proofErr w:type="spellStart"/>
      <w:r>
        <w:t>Telzlaff</w:t>
      </w:r>
      <w:proofErr w:type="spellEnd"/>
      <w:r>
        <w:t>, &amp; Altman, 2009).</w:t>
      </w:r>
    </w:p>
    <w:p w:rsidR="001E059C" w:rsidRDefault="001E059C" w:rsidP="001E059C">
      <w:pPr>
        <w:pStyle w:val="APALevel2"/>
      </w:pPr>
      <w:bookmarkStart w:id="14" w:name="_Toc514059886"/>
      <w:r>
        <w:t>Governmental Agencies</w:t>
      </w:r>
      <w:bookmarkEnd w:id="14"/>
    </w:p>
    <w:p w:rsidR="001E059C" w:rsidRPr="00457F08" w:rsidRDefault="001E059C" w:rsidP="001E059C">
      <w:pPr>
        <w:pStyle w:val="APA"/>
        <w:ind w:firstLine="720"/>
        <w:rPr>
          <w:b/>
        </w:rPr>
      </w:pPr>
      <w:r>
        <w:t xml:space="preserve">The review of the literature illustrated the problem of limited health literacy as a nation.  The Institute of Medicine (IOM, 2004) reported that there are approximately 90 million adults with limited health literacy in the U. S.  In today’s complex healthcare environment, it is increasingly difficult for patients to seek information, understand their rights and responsibilities, and manage the healthcare of themselves and loved ones (IOM, 2004).  Issues with health literacy are poorly recognized by policy makers and healthcare providers alike, thus making health literacy a hidden problem (IOM, 2004).  Those with limited health literacy tend to have less ability to manage illness and disease, perform less health-promoting behaviors, report poorer overall health status, and are less likely to use preventative health services (IOM, 2004).  Enabling clients to understand and act in their own interest remains a neglected pathway to high-quality healthcare, therefore it is necessary to make health literacy a priority in quality improvement strategies (IOM, 2004, p. xii).  </w:t>
      </w:r>
    </w:p>
    <w:p w:rsidR="001E059C" w:rsidRDefault="001E059C" w:rsidP="001E059C">
      <w:pPr>
        <w:pStyle w:val="APA"/>
        <w:ind w:firstLine="720"/>
      </w:pPr>
      <w:r>
        <w:t xml:space="preserve">The U. S. Department of Health and Human Services (2010) developed a </w:t>
      </w:r>
      <w:r>
        <w:rPr>
          <w:i/>
        </w:rPr>
        <w:t>National Action Plan to Improve Health Literacy</w:t>
      </w:r>
      <w:r>
        <w:t xml:space="preserve"> which discusses many goals and </w:t>
      </w:r>
      <w:r>
        <w:lastRenderedPageBreak/>
        <w:t>strategies designed to create a health literate society.  The seven goals to improve health literacy are (U.S Department of Health and Human Services, 2010):</w:t>
      </w:r>
    </w:p>
    <w:p w:rsidR="001E059C" w:rsidRDefault="001E059C" w:rsidP="001E059C">
      <w:pPr>
        <w:pStyle w:val="APA"/>
        <w:ind w:left="720"/>
      </w:pPr>
      <w:r>
        <w:t>1. Develop and distribute health and safety information that is accurate, accessible, and actionable;</w:t>
      </w:r>
    </w:p>
    <w:p w:rsidR="001E059C" w:rsidRDefault="001E059C" w:rsidP="001E059C">
      <w:pPr>
        <w:pStyle w:val="APA"/>
        <w:ind w:left="720"/>
      </w:pPr>
      <w:r>
        <w:t>2. Promote changes in the health care system that improve health information, communication, informed decision-making, and access to health services;</w:t>
      </w:r>
    </w:p>
    <w:p w:rsidR="001E059C" w:rsidRDefault="001E059C" w:rsidP="001E059C">
      <w:pPr>
        <w:pStyle w:val="APA"/>
        <w:ind w:left="720"/>
      </w:pPr>
      <w:r>
        <w:t>3. Incorporate accurate, standards-based, and developmentally appropriate health and science information and curricula in child care and education through the university level;</w:t>
      </w:r>
    </w:p>
    <w:p w:rsidR="001E059C" w:rsidRDefault="001E059C" w:rsidP="001E059C">
      <w:pPr>
        <w:pStyle w:val="APA"/>
        <w:ind w:left="720"/>
      </w:pPr>
      <w:r>
        <w:t>4. Support and expand local efforts to provide adult education, English language instruction, and culturally and linguistically appropriate health information services in the community;</w:t>
      </w:r>
    </w:p>
    <w:p w:rsidR="001E059C" w:rsidRDefault="001E059C" w:rsidP="001E059C">
      <w:pPr>
        <w:pStyle w:val="APA"/>
        <w:ind w:left="720"/>
      </w:pPr>
      <w:r>
        <w:t>5. Build partnerships, develop guidance, and change policies;</w:t>
      </w:r>
    </w:p>
    <w:p w:rsidR="001E059C" w:rsidRDefault="001E059C" w:rsidP="001E059C">
      <w:pPr>
        <w:pStyle w:val="APA"/>
        <w:ind w:left="720"/>
      </w:pPr>
      <w:r>
        <w:t xml:space="preserve">6. Increase basic research and the development, implementation, and evaluation of practices and interventions to improve health literacy; and, </w:t>
      </w:r>
    </w:p>
    <w:p w:rsidR="001E059C" w:rsidRDefault="001E059C" w:rsidP="001E059C">
      <w:pPr>
        <w:pStyle w:val="APA"/>
        <w:ind w:left="720"/>
      </w:pPr>
      <w:r>
        <w:t>7. Increase the dissemination and use of evidence-based health literacy practices and interventions.</w:t>
      </w:r>
    </w:p>
    <w:p w:rsidR="001E059C" w:rsidRDefault="001E059C" w:rsidP="001E059C">
      <w:pPr>
        <w:pStyle w:val="APA"/>
      </w:pPr>
      <w:r>
        <w:t>These goals will help to achieve a society that provides every individual with access to accurate and actionable health information, delivers person-centered health information and services, and supports lifelong learning and skills to promote good health (U.S. Department of Health and Human Services, 2010, p. 1).  There are many strategies that organizations can enact in order to achieve these goals.</w:t>
      </w:r>
    </w:p>
    <w:p w:rsidR="001E059C" w:rsidRDefault="001E059C" w:rsidP="001E059C">
      <w:pPr>
        <w:pStyle w:val="APA"/>
        <w:ind w:firstLine="720"/>
      </w:pPr>
      <w:r>
        <w:lastRenderedPageBreak/>
        <w:t xml:space="preserve">The Agency for Healthcare Quality and Research (AHRQ, 2016) developed the </w:t>
      </w:r>
      <w:r>
        <w:rPr>
          <w:i/>
        </w:rPr>
        <w:t xml:space="preserve">Health Literacy Universal Precautions Toolkit, </w:t>
      </w:r>
      <w:r>
        <w:t>containing 21 tools that are designed to improve health literacy in primary care practices once implemented in a practice.  By utilizing tools such as “</w:t>
      </w:r>
      <w:proofErr w:type="spellStart"/>
      <w:r>
        <w:t>creat</w:t>
      </w:r>
      <w:proofErr w:type="spellEnd"/>
      <w:r>
        <w:t>[</w:t>
      </w:r>
      <w:proofErr w:type="spellStart"/>
      <w:r>
        <w:t>ing</w:t>
      </w:r>
      <w:proofErr w:type="spellEnd"/>
      <w:r>
        <w:t>] a health literacy improvement plan”, “us[</w:t>
      </w:r>
      <w:proofErr w:type="spellStart"/>
      <w:r>
        <w:t>ing</w:t>
      </w:r>
      <w:proofErr w:type="spellEnd"/>
      <w:r>
        <w:t>] the teach-back method”, and “us[</w:t>
      </w:r>
      <w:proofErr w:type="spellStart"/>
      <w:r>
        <w:t>ing</w:t>
      </w:r>
      <w:proofErr w:type="spellEnd"/>
      <w:r>
        <w:t xml:space="preserve">] health education material effectively” along with a universal precautions approach to every patient every time, health practices can improve the health literacy in their client population (AHRQ, 2016).  The </w:t>
      </w:r>
      <w:r>
        <w:rPr>
          <w:i/>
        </w:rPr>
        <w:t xml:space="preserve">Toolkit </w:t>
      </w:r>
      <w:r>
        <w:t>has over 30 resources such as sample forms, PowerPoint presentations, and worksheets that practices can utilize and adapt to suit their needs (AHRQ, 2016).  After its implementation, a practice can help clients reduce the complexity of the healthcare environment, increase client understanding of health information, and enhance support for clients of all literacy levels (AHRQ, 2016, p. 1).</w:t>
      </w:r>
    </w:p>
    <w:p w:rsidR="001E059C" w:rsidRDefault="001E059C" w:rsidP="001E059C">
      <w:pPr>
        <w:pStyle w:val="APALevel2"/>
      </w:pPr>
      <w:bookmarkStart w:id="15" w:name="_Toc514059887"/>
      <w:r>
        <w:t>Health Literacy and Mental Illness</w:t>
      </w:r>
      <w:bookmarkEnd w:id="15"/>
    </w:p>
    <w:p w:rsidR="001E059C" w:rsidRPr="008961F4" w:rsidRDefault="001E059C" w:rsidP="001E059C">
      <w:pPr>
        <w:pStyle w:val="APA"/>
        <w:ind w:firstLine="720"/>
        <w:rPr>
          <w:b/>
        </w:rPr>
      </w:pPr>
      <w:r>
        <w:t xml:space="preserve">Those with a diagnosed mental illness are at higher risk for developing chronic diseases (Clausen, Watanabe-Galloway, </w:t>
      </w:r>
      <w:proofErr w:type="spellStart"/>
      <w:r>
        <w:t>Baerentzen</w:t>
      </w:r>
      <w:proofErr w:type="spellEnd"/>
      <w:r>
        <w:t xml:space="preserve">, &amp; </w:t>
      </w:r>
      <w:proofErr w:type="spellStart"/>
      <w:r>
        <w:t>Britigan</w:t>
      </w:r>
      <w:proofErr w:type="spellEnd"/>
      <w:r>
        <w:t>, 2016).  Upon closer examination of</w:t>
      </w:r>
      <w:r>
        <w:t xml:space="preserve"> </w:t>
      </w:r>
      <w:r>
        <w:t>the literature addressing the population with mental illness, anywhere between 42% and 57% of a sample of that population is found to have limited literacy skills (Clausen et al., 2016).  Lower generalized assessment of functioning scores were associated with inadequate health literacy according to one instrument, the single item literacy screener (p&lt;0.001) (</w:t>
      </w:r>
      <w:r w:rsidRPr="007839B8">
        <w:t>Clausen et al., 2016).  Furthermore, they noted</w:t>
      </w:r>
      <w:r>
        <w:t xml:space="preserve"> the proportion of individuals with inadequate health literacy and schizophrenia was higher than those with adequate health literacy and schizophrenia (14.5% versus 1.5%, </w:t>
      </w:r>
      <w:r>
        <w:lastRenderedPageBreak/>
        <w:t xml:space="preserve">respectively).  Utilizing the newest vital sign assessment, both older age and having a schizoaffective diagnosis were significantly associated with lower health literacy </w:t>
      </w:r>
      <w:r w:rsidRPr="008961F4">
        <w:t>rates.  Although the results depended</w:t>
      </w:r>
      <w:r>
        <w:t xml:space="preserve"> on the instrument </w:t>
      </w:r>
      <w:r w:rsidRPr="007839B8">
        <w:t>used, these findings</w:t>
      </w:r>
      <w:r>
        <w:t xml:space="preserve"> illustrated that those with severe and persistent mental illness tend to have much lower literacy rates than that of the general population.   </w:t>
      </w:r>
    </w:p>
    <w:p w:rsidR="001E059C" w:rsidRDefault="001E059C" w:rsidP="001E059C">
      <w:pPr>
        <w:pStyle w:val="APA"/>
        <w:ind w:firstLine="720"/>
      </w:pPr>
      <w:r>
        <w:t>In contrast, an Australian study found that 97% of those studied with schizophrenia have adequate levels of health literacy, which is comparable to the general Australian population (</w:t>
      </w:r>
      <w:proofErr w:type="spellStart"/>
      <w:r>
        <w:t>Galletly</w:t>
      </w:r>
      <w:proofErr w:type="spellEnd"/>
      <w:r>
        <w:t xml:space="preserve">, </w:t>
      </w:r>
      <w:proofErr w:type="spellStart"/>
      <w:r>
        <w:t>Neaves</w:t>
      </w:r>
      <w:proofErr w:type="spellEnd"/>
      <w:r>
        <w:t>, Burton, Liu, &amp; Denson, 2012).  They also found that health literacy is positively associated with years of education (r=0.29, n=60, P=0.023) and that there is no association between health literacy and medication adherence (r= -0.05, n=60, P=0.697) (</w:t>
      </w:r>
      <w:proofErr w:type="spellStart"/>
      <w:r>
        <w:t>Galletly</w:t>
      </w:r>
      <w:proofErr w:type="spellEnd"/>
      <w:r>
        <w:t xml:space="preserve"> et al., 2012).  These studies contrast what has been found in the U.S., but it is possible that Australians maintain their higher levels of health literacy skills after the onset of mental illness (</w:t>
      </w:r>
      <w:proofErr w:type="spellStart"/>
      <w:r>
        <w:t>Galletly</w:t>
      </w:r>
      <w:proofErr w:type="spellEnd"/>
      <w:r>
        <w:t xml:space="preserve"> et al., 2012).  More studies with larger sample sizes and other assessment tools for health literacy are needed to verify these findings. </w:t>
      </w:r>
    </w:p>
    <w:p w:rsidR="001E059C" w:rsidRDefault="001E059C" w:rsidP="001E059C">
      <w:pPr>
        <w:pStyle w:val="APA"/>
        <w:ind w:firstLine="720"/>
      </w:pPr>
      <w:r>
        <w:t xml:space="preserve">A much larger study in the United States found that 46% of adults in an urban community mental health center have low health literacy (Krishan, von </w:t>
      </w:r>
      <w:proofErr w:type="spellStart"/>
      <w:r>
        <w:t>Esenwein</w:t>
      </w:r>
      <w:proofErr w:type="spellEnd"/>
      <w:r>
        <w:t xml:space="preserve">, &amp; </w:t>
      </w:r>
      <w:proofErr w:type="spellStart"/>
      <w:r>
        <w:t>Druss</w:t>
      </w:r>
      <w:proofErr w:type="spellEnd"/>
      <w:r>
        <w:t xml:space="preserve">, 2012).  Low health literacy in this study is associated with increased odds of inpatient medical hospitalizations when the analysis controlled for race, gender, age, education, and schizophrenia diagnosis (odds ratio = 3.71, 95% confidence interval =1.49-9.22, p=0.005) (Krishan et al., 2012).  This study utilized the rapid assessment of </w:t>
      </w:r>
      <w:r>
        <w:lastRenderedPageBreak/>
        <w:t xml:space="preserve">adult literacy in medicine (REALM) tool and the average score was 55.18+/- 8.13, indicating a third to eighth grade reading level (Krishan et al., 2012).  </w:t>
      </w:r>
    </w:p>
    <w:p w:rsidR="001E059C" w:rsidRDefault="001E059C" w:rsidP="001E059C">
      <w:pPr>
        <w:pStyle w:val="APA"/>
        <w:ind w:firstLine="720"/>
      </w:pPr>
      <w:r>
        <w:t xml:space="preserve">Lincoln et al. (2008) found that out of 100 adults conveniently sampled at an urban mental health outpatient clinic, the mean REALM literacy score was 55.9, indicating below an eighth grade reading level.  The researchers also found that psychotic disorder was associated with limited literacy (p=0.03) and those with a psychotic disorder were 2.7 times more likely (p=0.06) as those without psychotic disorder to meet criteria for limited literacy (Lincoln et al., 2008).  When statistical analyses were performed on a subset of clients under the age of 50, the researchers found that those with psychotic disorders were almost five times as likely as those without to have limited literacy (p&lt;0.05) (Lincoln et al., 2008).  </w:t>
      </w:r>
    </w:p>
    <w:p w:rsidR="001E059C" w:rsidRDefault="001E059C" w:rsidP="001E059C">
      <w:pPr>
        <w:pStyle w:val="APALevel2"/>
      </w:pPr>
      <w:bookmarkStart w:id="16" w:name="_Toc514059888"/>
      <w:r>
        <w:t>Improvement Strategies</w:t>
      </w:r>
      <w:bookmarkEnd w:id="16"/>
    </w:p>
    <w:p w:rsidR="001E059C" w:rsidRPr="008961F4" w:rsidRDefault="001E059C" w:rsidP="001E059C">
      <w:pPr>
        <w:pStyle w:val="APA"/>
        <w:ind w:firstLine="720"/>
        <w:rPr>
          <w:b/>
        </w:rPr>
      </w:pPr>
      <w:r>
        <w:t xml:space="preserve">Several studies explored ways to improve health literacy.  One study by </w:t>
      </w:r>
      <w:proofErr w:type="spellStart"/>
      <w:r>
        <w:t>Eckman</w:t>
      </w:r>
      <w:proofErr w:type="spellEnd"/>
      <w:r>
        <w:t xml:space="preserve"> et al. (2010) showed that knowledge of cardiovascular disease improved after educational interventions, such as video or text handouts (p&lt;0.0001).  </w:t>
      </w:r>
      <w:r w:rsidRPr="0029664D">
        <w:t>Specifically,</w:t>
      </w:r>
      <w:r>
        <w:t xml:space="preserve"> clients who received both printed material and video education had significant improvement in weight loss and exercise (p=0.05) (</w:t>
      </w:r>
      <w:proofErr w:type="spellStart"/>
      <w:r>
        <w:t>Eckman</w:t>
      </w:r>
      <w:proofErr w:type="spellEnd"/>
      <w:r>
        <w:t xml:space="preserve"> et al., 2010).  They also found that patients with lower health literacy benefited as much as those with higher literacy.   </w:t>
      </w:r>
    </w:p>
    <w:p w:rsidR="001E059C" w:rsidRDefault="001E059C" w:rsidP="001E059C">
      <w:pPr>
        <w:pStyle w:val="APA"/>
        <w:ind w:firstLine="720"/>
      </w:pPr>
      <w:r>
        <w:t>In Australia, a partnership was formed between two universities, eight service organizations, and the regional government in order to identify and respond to health literacy issues and develop and pilot interventions to improve health outcomes and reduce inequalities (</w:t>
      </w:r>
      <w:proofErr w:type="spellStart"/>
      <w:r>
        <w:t>Batterham</w:t>
      </w:r>
      <w:proofErr w:type="spellEnd"/>
      <w:r>
        <w:t xml:space="preserve"> et al., 2014).  The conceptual models that are best utilized to </w:t>
      </w:r>
      <w:r>
        <w:lastRenderedPageBreak/>
        <w:t xml:space="preserve">implement these large-scale community-based collaborative projects were intervention mapping, quality improvement </w:t>
      </w:r>
      <w:proofErr w:type="spellStart"/>
      <w:r>
        <w:t>collaboratives</w:t>
      </w:r>
      <w:proofErr w:type="spellEnd"/>
      <w:r>
        <w:t>, and realist synthesis (</w:t>
      </w:r>
      <w:proofErr w:type="spellStart"/>
      <w:r>
        <w:t>Batterham</w:t>
      </w:r>
      <w:proofErr w:type="spellEnd"/>
      <w:r>
        <w:t xml:space="preserve"> et al., 2014).  After this three-phase project, it is predicted that access, equity, and health outcomes will be improved (</w:t>
      </w:r>
      <w:proofErr w:type="spellStart"/>
      <w:r>
        <w:t>Batterham</w:t>
      </w:r>
      <w:proofErr w:type="spellEnd"/>
      <w:r>
        <w:t xml:space="preserve"> et al., 2014).</w:t>
      </w:r>
    </w:p>
    <w:p w:rsidR="001E059C" w:rsidRDefault="001E059C" w:rsidP="001E059C">
      <w:pPr>
        <w:pStyle w:val="APA"/>
        <w:ind w:firstLine="720"/>
      </w:pPr>
      <w:r>
        <w:t xml:space="preserve">Many other studies utilized one or more tools from the </w:t>
      </w:r>
      <w:r>
        <w:rPr>
          <w:i/>
        </w:rPr>
        <w:t xml:space="preserve">AHRQ Health Literacy Universal Precautions Toolkit. </w:t>
      </w:r>
      <w:r>
        <w:t xml:space="preserve"> The pilot testing of the </w:t>
      </w:r>
      <w:r>
        <w:rPr>
          <w:i/>
        </w:rPr>
        <w:t xml:space="preserve">Toolkit </w:t>
      </w:r>
      <w:r>
        <w:t>found ways to refine the kits so that they are more useful in practice and also found that the implementation of the kit is likely to take several months (</w:t>
      </w:r>
      <w:proofErr w:type="spellStart"/>
      <w:r>
        <w:t>DeWalt</w:t>
      </w:r>
      <w:proofErr w:type="spellEnd"/>
      <w:r>
        <w:t xml:space="preserve"> et al., 2011).  Callahan et al. (2013) utilized two tools within eight pharmacies and found that there were positive experiences with learning events and the staff offered suggestions and revisions to the </w:t>
      </w:r>
      <w:r w:rsidRPr="00595571">
        <w:rPr>
          <w:i/>
        </w:rPr>
        <w:t>Toolkit</w:t>
      </w:r>
      <w:r>
        <w:t xml:space="preserve"> to help manage patients with chronic diseases.  </w:t>
      </w:r>
      <w:proofErr w:type="spellStart"/>
      <w:r>
        <w:t>Brega</w:t>
      </w:r>
      <w:proofErr w:type="spellEnd"/>
      <w:r>
        <w:t xml:space="preserve"> et al. (2015) had four outpatient practices implement Tool 11 from the </w:t>
      </w:r>
      <w:r>
        <w:rPr>
          <w:i/>
        </w:rPr>
        <w:t>Toolkit</w:t>
      </w:r>
      <w:r>
        <w:t xml:space="preserve"> and found that the revised and newly developed documents had reading levels that were appropriate for most clients.  Another study of 12 primary care practices utilizing parts of the </w:t>
      </w:r>
      <w:r>
        <w:rPr>
          <w:i/>
        </w:rPr>
        <w:t>Toolkit</w:t>
      </w:r>
      <w:r>
        <w:t xml:space="preserve"> found that there were several barriers, which included competing demands or staff capacity, bureaucratic and technological challenges, limited quality improvement experience, and limited support from leadership (</w:t>
      </w:r>
      <w:proofErr w:type="spellStart"/>
      <w:r>
        <w:t>Mabachi</w:t>
      </w:r>
      <w:proofErr w:type="spellEnd"/>
      <w:r>
        <w:t xml:space="preserve"> et al., 2016).  They also found that practices utilized the </w:t>
      </w:r>
      <w:r>
        <w:rPr>
          <w:i/>
        </w:rPr>
        <w:t xml:space="preserve">Toolkit </w:t>
      </w:r>
      <w:r>
        <w:t>flexibly, either using some portions of assigned tools or utilizing tools in tandem (</w:t>
      </w:r>
      <w:proofErr w:type="spellStart"/>
      <w:r>
        <w:t>Mabachi</w:t>
      </w:r>
      <w:proofErr w:type="spellEnd"/>
      <w:r>
        <w:t xml:space="preserve"> et al., 2016).  At least 75% of the practices that were studied plan to continue use of the </w:t>
      </w:r>
      <w:r>
        <w:rPr>
          <w:i/>
        </w:rPr>
        <w:t xml:space="preserve">Toolkit </w:t>
      </w:r>
      <w:r>
        <w:t>as a quality improvement initiative (</w:t>
      </w:r>
      <w:proofErr w:type="spellStart"/>
      <w:r>
        <w:t>Mabachi</w:t>
      </w:r>
      <w:proofErr w:type="spellEnd"/>
      <w:r>
        <w:t xml:space="preserve"> et al., 2016).</w:t>
      </w:r>
    </w:p>
    <w:p w:rsidR="001E059C" w:rsidRPr="001E059C" w:rsidRDefault="001E059C" w:rsidP="001E059C">
      <w:pPr>
        <w:pStyle w:val="APALevel2"/>
      </w:pPr>
      <w:bookmarkStart w:id="17" w:name="_Toc514059889"/>
      <w:r>
        <w:lastRenderedPageBreak/>
        <w:t>Summary</w:t>
      </w:r>
      <w:bookmarkEnd w:id="17"/>
    </w:p>
    <w:p w:rsidR="001E059C" w:rsidRPr="005815E8" w:rsidRDefault="001E059C" w:rsidP="001E059C">
      <w:pPr>
        <w:pStyle w:val="APA"/>
        <w:ind w:firstLine="720"/>
      </w:pPr>
      <w:r>
        <w:t xml:space="preserve">This review of the literature revealed a significant dearth in the literature on general health literacy in those with schizophrenia or other mental illnesses.  The majority of studies on health literacy in those with mental illness found that health literacy is limited or inadequate, including reading comprehension and general literacy skills.  The one conflicting study that may not be generalizable to the population in the United States was from Australia.  There is also very little research about implementation of the </w:t>
      </w:r>
      <w:r>
        <w:rPr>
          <w:i/>
        </w:rPr>
        <w:t xml:space="preserve">AHRQ Health Literacy Universal Precautions Toolkit.  </w:t>
      </w:r>
      <w:r>
        <w:t xml:space="preserve">The few studies that were found </w:t>
      </w:r>
      <w:r w:rsidRPr="00D37296">
        <w:t>focused on</w:t>
      </w:r>
      <w:r>
        <w:t xml:space="preserve"> specific tools, utilized pharmacies as practice sites, or </w:t>
      </w:r>
      <w:r w:rsidRPr="008961F4">
        <w:t xml:space="preserve">did not measure </w:t>
      </w:r>
      <w:r>
        <w:t>client</w:t>
      </w:r>
      <w:r w:rsidRPr="008961F4">
        <w:t xml:space="preserve"> health outcomes.  For this reason, the doctoral project</w:t>
      </w:r>
      <w:r w:rsidRPr="00D37296">
        <w:t xml:space="preserve"> exploring whether the</w:t>
      </w:r>
      <w:r>
        <w:t xml:space="preserve"> implementation of the </w:t>
      </w:r>
      <w:r>
        <w:rPr>
          <w:i/>
        </w:rPr>
        <w:t xml:space="preserve">AHRQ Health Literacy Universal Precautions Toolkit </w:t>
      </w:r>
      <w:r>
        <w:t xml:space="preserve">in an integrated primary care and mental health clinic </w:t>
      </w:r>
      <w:r w:rsidRPr="00D37296">
        <w:t>improves</w:t>
      </w:r>
      <w:r>
        <w:t xml:space="preserve"> indicators of metabolic syndrome in clients with severe mental illness who are in a psychiatric rehabilitation program </w:t>
      </w:r>
      <w:r w:rsidRPr="00D37296">
        <w:t>is a valuable contribution to nursing science.</w:t>
      </w:r>
    </w:p>
    <w:p w:rsidR="00B14EF8" w:rsidRPr="000409C5" w:rsidRDefault="001E059C" w:rsidP="000409C5">
      <w:pPr>
        <w:pStyle w:val="APALevel0"/>
      </w:pPr>
      <w:r>
        <w:br w:type="page"/>
      </w:r>
      <w:bookmarkStart w:id="18" w:name="_Toc514059890"/>
      <w:r w:rsidR="000409C5" w:rsidRPr="000409C5">
        <w:lastRenderedPageBreak/>
        <w:t>Conceptual</w:t>
      </w:r>
      <w:r w:rsidR="00B3072C">
        <w:t xml:space="preserve"> Framework</w:t>
      </w:r>
      <w:bookmarkEnd w:id="18"/>
    </w:p>
    <w:p w:rsidR="00D149C1" w:rsidRDefault="00B3072C" w:rsidP="00D149C1">
      <w:pPr>
        <w:pStyle w:val="APALevel1"/>
      </w:pPr>
      <w:bookmarkStart w:id="19" w:name="_Toc514059891"/>
      <w:r>
        <w:t>MAP-IT Framework</w:t>
      </w:r>
      <w:bookmarkEnd w:id="19"/>
    </w:p>
    <w:p w:rsidR="00B3072C" w:rsidRDefault="00B3072C" w:rsidP="00B3072C">
      <w:pPr>
        <w:pStyle w:val="APA"/>
        <w:ind w:firstLine="720"/>
      </w:pPr>
      <w:r>
        <w:t xml:space="preserve">The MAP-IT framework will be utilized as a guide for this Doctor of Nursing Practice project.  This framework was developed by the U. S. Department of Health and Human Services </w:t>
      </w:r>
      <w:r w:rsidRPr="008E1629">
        <w:rPr>
          <w:i/>
        </w:rPr>
        <w:t>Healthy People 2020</w:t>
      </w:r>
      <w:r>
        <w:t xml:space="preserve"> project (2014) and is essential in planning and evaluating health interventions to achieve </w:t>
      </w:r>
      <w:r w:rsidRPr="008E1629">
        <w:rPr>
          <w:i/>
        </w:rPr>
        <w:t>Healthy People 2020</w:t>
      </w:r>
      <w:r>
        <w:t xml:space="preserve"> objectives, such as improving the health literacy of the population and the many objectives that relate to metabolic syndrome.  Though the MAP-IT framework is designed for public health, it can be modified slightly to meet the needs of one organization.  MAP-IT stands for mobilize, assess, plan, implement, and track.  </w:t>
      </w:r>
    </w:p>
    <w:p w:rsidR="00B3072C" w:rsidRPr="00642B7A" w:rsidRDefault="00B3072C" w:rsidP="00B3072C">
      <w:pPr>
        <w:pStyle w:val="APA"/>
      </w:pPr>
      <w:r>
        <w:tab/>
        <w:t xml:space="preserve">The first step is to mobilize partners.  The key individuals within the organization were mobilized into a coalition or task-force.  The DNP student researcher first began by having a meeting with the chief executive officer (CEO), clinical director, and health home director.  As the implementation phase of the project began, the student also invited other key individuals with broad representation within the practice to contribute to the coalition.  Roles and responsibilities for these individuals were assigned, meetings and events were planned, and education and training programs were implemented (Healthy People 2020, 2014).  This step in the framework is actually Tool 1 in the </w:t>
      </w:r>
      <w:proofErr w:type="spellStart"/>
      <w:r>
        <w:rPr>
          <w:i/>
        </w:rPr>
        <w:t>AHCoRQ</w:t>
      </w:r>
      <w:proofErr w:type="spellEnd"/>
      <w:r>
        <w:rPr>
          <w:i/>
        </w:rPr>
        <w:t xml:space="preserve"> Health Literacy Universal Precautions Toolkit</w:t>
      </w:r>
      <w:r>
        <w:t xml:space="preserve"> (AHRQ, 2015).  </w:t>
      </w:r>
    </w:p>
    <w:p w:rsidR="00B3072C" w:rsidRPr="002512A9" w:rsidRDefault="00B3072C" w:rsidP="00B3072C">
      <w:pPr>
        <w:pStyle w:val="APA"/>
      </w:pPr>
      <w:r>
        <w:tab/>
        <w:t xml:space="preserve">The next step in MAP-IT is to assess.  The coalition assessed the needs and resources in the practice and in the community.  They then worked together as a coalition to consider important issues and their feasibility, effectiveness, and measurability to set </w:t>
      </w:r>
      <w:r>
        <w:lastRenderedPageBreak/>
        <w:t xml:space="preserve">priorities.  The collection of baseline data is an important part of assessing where the organization stands before the </w:t>
      </w:r>
      <w:r w:rsidRPr="00C006D7">
        <w:rPr>
          <w:i/>
        </w:rPr>
        <w:t>Toolkit</w:t>
      </w:r>
      <w:r>
        <w:t xml:space="preserve"> is implemented and allows the coalition to track progress (Healthy People 2020, 2014).  The </w:t>
      </w:r>
      <w:r>
        <w:rPr>
          <w:i/>
        </w:rPr>
        <w:t xml:space="preserve">AHRQ Health Literacy Universal Precautions Toolkit </w:t>
      </w:r>
      <w:r>
        <w:t xml:space="preserve">includes a </w:t>
      </w:r>
      <w:r w:rsidRPr="00927F6D">
        <w:rPr>
          <w:i/>
        </w:rPr>
        <w:t>Primary Care Health Literacy Assessment</w:t>
      </w:r>
      <w:r>
        <w:t xml:space="preserve"> that the researcher used to examine how the practice is performing in key areas that influence client understanding, navigation, and self-management that she will share with the coalition (AHRQ, 2015).  The researcher also utilized client chart reviews to collect baseline data on indicators of metabolic syndrome.</w:t>
      </w:r>
    </w:p>
    <w:p w:rsidR="00B3072C" w:rsidRDefault="00B3072C" w:rsidP="00B3072C">
      <w:pPr>
        <w:pStyle w:val="APA"/>
      </w:pPr>
      <w:r>
        <w:tab/>
        <w:t xml:space="preserve">The P in MAP-IT stands for plan.  In this step, the coalition set specific objectives and created concrete steps in order to achieve them.  These objectives were challenging, yet realistic.  The coalition considered what interventions to make and planned out how they would track and measure progress (Healthy People 2020, 2014).  This step in the framework is Tool 2: Create a Health Literacy Improvement Plan in the </w:t>
      </w:r>
      <w:r>
        <w:rPr>
          <w:i/>
        </w:rPr>
        <w:t xml:space="preserve">AHRQ Health Literacy Universal Precautions Toolkit </w:t>
      </w:r>
      <w:r>
        <w:t xml:space="preserve">(AHRQ, 2015). </w:t>
      </w:r>
    </w:p>
    <w:p w:rsidR="00B3072C" w:rsidRDefault="00B3072C" w:rsidP="00B3072C">
      <w:pPr>
        <w:pStyle w:val="APA"/>
      </w:pPr>
      <w:r>
        <w:tab/>
        <w:t xml:space="preserve">The next step in this framework from </w:t>
      </w:r>
      <w:r w:rsidRPr="00D37296">
        <w:rPr>
          <w:i/>
        </w:rPr>
        <w:t>Healthy People 2020</w:t>
      </w:r>
      <w:r>
        <w:t xml:space="preserve"> is to implement the plan.  The coalition created and acted upon a detailed work plan with action steps.  It was imperative in this step that each member of the coalition knew who was responsible for completing each step and had clear communication within the practice.  A timeline for roll-out of each step of the work plan with deadlines was be helpful to stay on target (Healthy People 2020, 2014).  This implementation step involved the implementation of several other tools from the </w:t>
      </w:r>
      <w:r>
        <w:rPr>
          <w:i/>
        </w:rPr>
        <w:t xml:space="preserve">AHRQ Universal Precautions Toolkit </w:t>
      </w:r>
      <w:r>
        <w:t>(AHRQ, 2015).</w:t>
      </w:r>
    </w:p>
    <w:p w:rsidR="00B3072C" w:rsidRDefault="00B3072C" w:rsidP="00B3072C">
      <w:pPr>
        <w:pStyle w:val="APA"/>
      </w:pPr>
      <w:r>
        <w:lastRenderedPageBreak/>
        <w:tab/>
        <w:t xml:space="preserve">The final step in MAP-IT is to track progress.  The coalition collected and analyzed data to ensure that the changes that are implemented in the previous step were working (Healthy People 2020, 2014).  </w:t>
      </w:r>
      <w:r w:rsidRPr="00FA3579">
        <w:t xml:space="preserve">Each </w:t>
      </w:r>
      <w:r>
        <w:t xml:space="preserve">tool within the </w:t>
      </w:r>
      <w:r>
        <w:rPr>
          <w:i/>
        </w:rPr>
        <w:t>AHRQ Universal Precautions Toolkit</w:t>
      </w:r>
      <w:r>
        <w:t xml:space="preserve"> has instructions for how to track your progress (AHRQ, 2015).  This tracking was done with each new tool that was implemented.  A three-month chart review was also done to collect and analyze indicators of metabolic syndrome in the research participants to interpret whether the implementation of the plan had any effect on these outcomes.</w:t>
      </w:r>
    </w:p>
    <w:p w:rsidR="00E019FA" w:rsidRDefault="00E019FA">
      <w:pPr>
        <w:autoSpaceDE/>
        <w:autoSpaceDN/>
        <w:adjustRightInd/>
        <w:snapToGrid/>
      </w:pPr>
    </w:p>
    <w:p w:rsidR="00E019FA" w:rsidRDefault="00E019FA">
      <w:pPr>
        <w:autoSpaceDE/>
        <w:autoSpaceDN/>
        <w:adjustRightInd/>
        <w:snapToGrid/>
      </w:pPr>
      <w:r>
        <w:br w:type="page"/>
      </w:r>
    </w:p>
    <w:p w:rsidR="00B14EF8" w:rsidRDefault="000409C5" w:rsidP="00B14EF8">
      <w:pPr>
        <w:pStyle w:val="APALevel0"/>
      </w:pPr>
      <w:bookmarkStart w:id="20" w:name="_Toc514059892"/>
      <w:r>
        <w:lastRenderedPageBreak/>
        <w:t>Project Design</w:t>
      </w:r>
      <w:bookmarkEnd w:id="20"/>
    </w:p>
    <w:p w:rsidR="008A45A4" w:rsidRDefault="00B3072C" w:rsidP="008A45A4">
      <w:pPr>
        <w:pStyle w:val="APALevel1"/>
      </w:pPr>
      <w:bookmarkStart w:id="21" w:name="_Toc514059893"/>
      <w:r>
        <w:t>Methodology</w:t>
      </w:r>
      <w:bookmarkEnd w:id="21"/>
    </w:p>
    <w:p w:rsidR="00B3072C" w:rsidRDefault="00B3072C" w:rsidP="00B3072C">
      <w:pPr>
        <w:pStyle w:val="APA"/>
        <w:ind w:firstLine="720"/>
      </w:pPr>
      <w:bookmarkStart w:id="22" w:name="_Toc468096979"/>
      <w:r>
        <w:t>The goal of this DNP project is to answer the PICO question “</w:t>
      </w:r>
      <w:r w:rsidRPr="00DC3083">
        <w:t xml:space="preserve">Does implementation of the </w:t>
      </w:r>
      <w:r w:rsidRPr="00DC3083">
        <w:rPr>
          <w:i/>
        </w:rPr>
        <w:t>AHRQ Health Literacy Universal Precautions Toolkit</w:t>
      </w:r>
      <w:r w:rsidRPr="00DC3083">
        <w:t xml:space="preserve"> in an integrated primary care and mental health clinic improve indicators of metabolic syndrome in </w:t>
      </w:r>
      <w:r>
        <w:t>client</w:t>
      </w:r>
      <w:r w:rsidRPr="00DC3083">
        <w:t xml:space="preserve">s with severe mental illness who are in a psychiatric rehabilitation program as well as </w:t>
      </w:r>
      <w:r>
        <w:t>client</w:t>
      </w:r>
      <w:r w:rsidRPr="00DC3083">
        <w:t xml:space="preserve"> and staff perceptions of health literacy practices?  </w:t>
      </w:r>
    </w:p>
    <w:p w:rsidR="00B3072C" w:rsidRDefault="00B3072C" w:rsidP="00B3072C">
      <w:pPr>
        <w:pStyle w:val="APALevel2"/>
      </w:pPr>
      <w:bookmarkStart w:id="23" w:name="_Toc514059894"/>
      <w:r>
        <w:t>Participants</w:t>
      </w:r>
      <w:bookmarkEnd w:id="23"/>
    </w:p>
    <w:p w:rsidR="00B3072C" w:rsidRPr="00DC3083" w:rsidRDefault="00B3072C" w:rsidP="00B3072C">
      <w:pPr>
        <w:pStyle w:val="APA"/>
        <w:ind w:firstLine="720"/>
      </w:pPr>
      <w:r w:rsidRPr="00DC3083">
        <w:t xml:space="preserve">Convenience sampling was used to select participants that met the inclusion criteria of over 18 years of age, English-speaking, a diagnosis of severe mental illness, authority as own power of attorney or decision-maker, </w:t>
      </w:r>
      <w:r>
        <w:t xml:space="preserve">and </w:t>
      </w:r>
      <w:r w:rsidRPr="00DC3083">
        <w:t>utilization of the Lower Shore Clinic for primary</w:t>
      </w:r>
      <w:r>
        <w:t xml:space="preserve"> and mental health</w:t>
      </w:r>
      <w:r w:rsidRPr="00DC3083">
        <w:t xml:space="preserve"> care</w:t>
      </w:r>
      <w:r>
        <w:t>.  Medical record reviews were also used to determine whether participants had</w:t>
      </w:r>
      <w:r w:rsidRPr="00DC3083">
        <w:t xml:space="preserve"> at least three of the five indicators of metabolic syndrome.  Participants were recruited from an outpatient psychiatric rehabilitation program that is affiliated with the Lower Shore Clinic.  The researcher presented the research idea to possible participants at the psychiatric rehabilitation program prior to their wellness class and distribute</w:t>
      </w:r>
      <w:r>
        <w:t>d</w:t>
      </w:r>
      <w:r w:rsidRPr="00DC3083">
        <w:t xml:space="preserve"> informed consent forms and </w:t>
      </w:r>
      <w:r>
        <w:t xml:space="preserve">the </w:t>
      </w:r>
      <w:r w:rsidRPr="00CC3BE5">
        <w:rPr>
          <w:i/>
        </w:rPr>
        <w:t>Health Literacy Patient Survey</w:t>
      </w:r>
      <w:r w:rsidRPr="00DC3083">
        <w:t xml:space="preserve">.  The researcher was then available in a nearby private room for individual explanations of informed consent.  </w:t>
      </w:r>
      <w:r>
        <w:t>A total of 70 participants signed the informed consent.  Of those 70, the</w:t>
      </w:r>
      <w:r w:rsidRPr="00DC3083">
        <w:t xml:space="preserve"> researcher recruited </w:t>
      </w:r>
      <w:r>
        <w:t>10</w:t>
      </w:r>
      <w:r w:rsidRPr="00DC3083">
        <w:t xml:space="preserve"> participants </w:t>
      </w:r>
      <w:r>
        <w:t xml:space="preserve">that completed both the pre- and post-intervention </w:t>
      </w:r>
      <w:r w:rsidRPr="00CC3BE5">
        <w:rPr>
          <w:i/>
        </w:rPr>
        <w:t>Health Literacy Patient Survey</w:t>
      </w:r>
      <w:r>
        <w:t xml:space="preserve">.  Also, six staff members completed the </w:t>
      </w:r>
      <w:r>
        <w:lastRenderedPageBreak/>
        <w:t xml:space="preserve">pre- and post-intervention </w:t>
      </w:r>
      <w:r w:rsidRPr="00CC3BE5">
        <w:rPr>
          <w:i/>
        </w:rPr>
        <w:t>Primary Care Health Literacy Assessment</w:t>
      </w:r>
      <w:r>
        <w:t xml:space="preserve">.  A total of 18 individuals met the diagnostic criteria for metabolic syndrome (Appendix C).  </w:t>
      </w:r>
    </w:p>
    <w:p w:rsidR="00B3072C" w:rsidRPr="00DC3083" w:rsidRDefault="00B3072C" w:rsidP="00B3072C">
      <w:pPr>
        <w:pStyle w:val="APA"/>
      </w:pPr>
      <w:r w:rsidRPr="00DC3083">
        <w:tab/>
        <w:t xml:space="preserve">Once participants consented, the researcher compared the list of willing participants to a list of clients of the psychiatric rehabilitation program that do not have authority as their own power of attorney in order to ensure that these participants were not included in the project.  The researcher then performed record reviews at the Lower Shore Clinic to ensure that participants were </w:t>
      </w:r>
      <w:r>
        <w:t>client</w:t>
      </w:r>
      <w:r w:rsidRPr="00DC3083">
        <w:t>s of this clinic and met the inclusion criteria of having a diagnosis of severe mental illness.  Medical record reviews also determined if participants had at least three of the five indicators of metabolic syndrome such as: a waistline of 35 inches or more for women or 40 inches or more for men; a triglyceride level of 150 mg/</w:t>
      </w:r>
      <w:proofErr w:type="spellStart"/>
      <w:r w:rsidRPr="00DC3083">
        <w:t>dL</w:t>
      </w:r>
      <w:proofErr w:type="spellEnd"/>
      <w:r w:rsidRPr="00DC3083">
        <w:t xml:space="preserve"> or higher (or prescribed medication to treat high triglycerides); a high density lipoprotein (HDL) level of less than 50 mg/</w:t>
      </w:r>
      <w:proofErr w:type="spellStart"/>
      <w:r w:rsidRPr="00DC3083">
        <w:t>dL</w:t>
      </w:r>
      <w:proofErr w:type="spellEnd"/>
      <w:r w:rsidRPr="00DC3083">
        <w:t xml:space="preserve"> for women or less than 40 mg/</w:t>
      </w:r>
      <w:proofErr w:type="spellStart"/>
      <w:r w:rsidRPr="00DC3083">
        <w:t>dL</w:t>
      </w:r>
      <w:proofErr w:type="spellEnd"/>
      <w:r w:rsidRPr="00DC3083">
        <w:t xml:space="preserve"> for men (or prescribed medication to treat low HDL); a blood pressure of 130/85 mmHg or higher (or prescribed medication to treat hypertension); and, a fasting blood sugar level of 100 mg/</w:t>
      </w:r>
      <w:proofErr w:type="spellStart"/>
      <w:r w:rsidRPr="00DC3083">
        <w:t>dL</w:t>
      </w:r>
      <w:proofErr w:type="spellEnd"/>
      <w:r w:rsidRPr="00DC3083">
        <w:t xml:space="preserve"> or higher (or prescribed medication to treat hyperglycemia).  </w:t>
      </w:r>
      <w:r>
        <w:t xml:space="preserve">Of the original 70 consenting participants, 18 clients met criteria for a diagnosis of metabolic syndrome (Appendix C).  These are unique from the 10 clients that completed surveys (Appendix C).  </w:t>
      </w:r>
      <w:r w:rsidRPr="00DC3083">
        <w:t xml:space="preserve">Consent forms for participants who did not meet inclusion criteria were shredded.  </w:t>
      </w:r>
    </w:p>
    <w:p w:rsidR="00B3072C" w:rsidRDefault="00B3072C" w:rsidP="00B3072C">
      <w:pPr>
        <w:pStyle w:val="APA"/>
        <w:ind w:firstLine="720"/>
      </w:pPr>
      <w:r w:rsidRPr="00DC3083">
        <w:t xml:space="preserve">All </w:t>
      </w:r>
      <w:r>
        <w:t>clients</w:t>
      </w:r>
      <w:r w:rsidRPr="00DC3083">
        <w:t xml:space="preserve"> in the practice benefit from changes to health literacy practice within the organization, regardless of consent to participate in the research, status regarding metabolic syndrome or mental illness, or current health literacy level.  This is a practice-</w:t>
      </w:r>
      <w:r w:rsidRPr="00DC3083">
        <w:lastRenderedPageBreak/>
        <w:t xml:space="preserve">wide evidence-based change that affects everyone that comes through the doors of the Lower Shore Clinic.  </w:t>
      </w:r>
    </w:p>
    <w:p w:rsidR="00B3072C" w:rsidRDefault="00B3072C" w:rsidP="00C74F67">
      <w:pPr>
        <w:pStyle w:val="APALevel2"/>
      </w:pPr>
      <w:bookmarkStart w:id="24" w:name="_Toc514059895"/>
      <w:r>
        <w:t>Setting</w:t>
      </w:r>
      <w:bookmarkEnd w:id="24"/>
    </w:p>
    <w:p w:rsidR="00B3072C" w:rsidRPr="00DC3083" w:rsidRDefault="00B3072C" w:rsidP="00B3072C">
      <w:pPr>
        <w:pStyle w:val="APA"/>
        <w:ind w:firstLine="720"/>
      </w:pPr>
      <w:r w:rsidRPr="00DC3083">
        <w:t>Obtaining informed consent and distributing</w:t>
      </w:r>
      <w:r>
        <w:t xml:space="preserve"> the</w:t>
      </w:r>
      <w:r w:rsidRPr="00DC3083">
        <w:t xml:space="preserve"> </w:t>
      </w:r>
      <w:r w:rsidRPr="00CC3BE5">
        <w:rPr>
          <w:i/>
        </w:rPr>
        <w:t>Health Literacy Patient Survey</w:t>
      </w:r>
      <w:r w:rsidRPr="00DC3083">
        <w:t xml:space="preserve"> took place at Go-Getters, Inc., an outpatient psychiatric rehabilitation program that is affiliated with the Lower Shore Clinic.  All other aspects of the project, including medical record reviews and implementation of the </w:t>
      </w:r>
      <w:r w:rsidRPr="00DC3083">
        <w:rPr>
          <w:i/>
        </w:rPr>
        <w:t xml:space="preserve">AHRQ Health Literacy Universal Precautions Toolkit, </w:t>
      </w:r>
      <w:r w:rsidRPr="00DC3083">
        <w:t xml:space="preserve">occurred at the Lower Shore Clinic.  Strengths of the Lower Shore Clinic (Appendix </w:t>
      </w:r>
      <w:r>
        <w:t>D</w:t>
      </w:r>
      <w:r w:rsidRPr="00DC3083">
        <w:t xml:space="preserve">) include the fact that it is an integrated psychiatric and primary care clinic that provides individual, family, and group counseling, family psycho-education, medication prescription, same day access, and pharmacy services to residents of the Lower Eastern Shore of Maryland (Go-Getters, Inc., 2017).  While the Lower Shore Clinic sees clients with Medicare, Medicaid, or private insurance, it also qualifies as a National Health Service Corps site and accepts </w:t>
      </w:r>
      <w:r>
        <w:t>client</w:t>
      </w:r>
      <w:r w:rsidRPr="00DC3083">
        <w:t xml:space="preserve">s on a sliding scale basis if they are uninsured.  Its mission is to provide treatment to people regardless of their ability to pay.  The clinic employs a well-qualified, experienced, compassionate, </w:t>
      </w:r>
      <w:proofErr w:type="spellStart"/>
      <w:r w:rsidRPr="00DC3083">
        <w:t>interprofessional</w:t>
      </w:r>
      <w:proofErr w:type="spellEnd"/>
      <w:r w:rsidRPr="00DC3083">
        <w:t xml:space="preserve"> staff that works well together to meet the needs of their </w:t>
      </w:r>
      <w:r>
        <w:t>client</w:t>
      </w:r>
      <w:r w:rsidRPr="00DC3083">
        <w:t>s.  There are no other clinics in the area that offer the convenience, integration, accessibility, expertise, and care that the Lower Shore Clinic can offer.</w:t>
      </w:r>
    </w:p>
    <w:p w:rsidR="00B3072C" w:rsidRPr="00DC3083" w:rsidRDefault="00B3072C" w:rsidP="00B3072C">
      <w:pPr>
        <w:pStyle w:val="APA"/>
      </w:pPr>
      <w:r w:rsidRPr="00DC3083">
        <w:tab/>
        <w:t xml:space="preserve">Analysis of the weaknesses and threats of the Lower Shore Clinic (Appendix </w:t>
      </w:r>
      <w:r>
        <w:t>D</w:t>
      </w:r>
      <w:r w:rsidRPr="00DC3083">
        <w:t xml:space="preserve">) reveals a challenging </w:t>
      </w:r>
      <w:r>
        <w:t>client</w:t>
      </w:r>
      <w:r w:rsidRPr="00DC3083">
        <w:t xml:space="preserve"> population in a busy clinic that often</w:t>
      </w:r>
      <w:r>
        <w:t xml:space="preserve"> does not</w:t>
      </w:r>
      <w:r w:rsidRPr="00DC3083">
        <w:t xml:space="preserve"> produce enough revenue to cover its costs.  The current political environment, including the </w:t>
      </w:r>
      <w:r w:rsidRPr="00DC3083">
        <w:lastRenderedPageBreak/>
        <w:t>possible repeal of the Affordable Care Act (ACA), large budget cuts, and poor reimbursement rates, has generated a great deal of uncertainty.  There is also a lack of mental health and primary care providers in the area.</w:t>
      </w:r>
    </w:p>
    <w:p w:rsidR="00B3072C" w:rsidRDefault="00B3072C" w:rsidP="00B3072C">
      <w:pPr>
        <w:pStyle w:val="APA"/>
      </w:pPr>
      <w:r w:rsidRPr="00DC3083">
        <w:tab/>
        <w:t xml:space="preserve">Despite the identified weaknesses and threats, the Lower Shore Clinic was ideal for the project due to the complex </w:t>
      </w:r>
      <w:r>
        <w:t>client</w:t>
      </w:r>
      <w:r w:rsidRPr="00DC3083">
        <w:t xml:space="preserve"> population that is served.  Those with multiple comorbidities, mental health diagnoses, and a lack of resources are in need of projects designed to increase health literacy, as previously discussed in this paper.  The clinic also experiences unique opportunities (Appendix </w:t>
      </w:r>
      <w:r>
        <w:t>D</w:t>
      </w:r>
      <w:r w:rsidRPr="00DC3083">
        <w:t xml:space="preserve">) as a result of the recent passage of the Keep the Door Open Act in Maryland, such as receiving several grants from the Community Health Foundation and maintaining partnerships with larger corporations and community organizations.  Despite a recent transition from using paper charts, the implementation of an electronic health record (EHR) was at first a challenge to staff, but it also presented an opportunity for ways to improve health literacy and overall care at this clinic.  </w:t>
      </w:r>
    </w:p>
    <w:p w:rsidR="00B3072C" w:rsidRDefault="00B3072C" w:rsidP="00B3072C">
      <w:pPr>
        <w:pStyle w:val="APALevel2"/>
      </w:pPr>
      <w:bookmarkStart w:id="25" w:name="_Toc514059896"/>
      <w:r>
        <w:t>Tools and Intervention</w:t>
      </w:r>
      <w:bookmarkEnd w:id="25"/>
    </w:p>
    <w:p w:rsidR="00B3072C" w:rsidRPr="00DC3083" w:rsidRDefault="00B3072C" w:rsidP="00B3072C">
      <w:pPr>
        <w:pStyle w:val="APA"/>
        <w:ind w:firstLine="720"/>
      </w:pPr>
      <w:r w:rsidRPr="00DC3083">
        <w:t xml:space="preserve">The implementation of the </w:t>
      </w:r>
      <w:r w:rsidRPr="00DC3083">
        <w:rPr>
          <w:i/>
        </w:rPr>
        <w:t xml:space="preserve">AHRQ Health Literacy Universal Precautions Toolkit </w:t>
      </w:r>
      <w:r w:rsidRPr="00DC3083">
        <w:t>within the Lower Shore Clinic</w:t>
      </w:r>
      <w:r w:rsidRPr="00DC3083">
        <w:rPr>
          <w:i/>
        </w:rPr>
        <w:t xml:space="preserve"> </w:t>
      </w:r>
      <w:r w:rsidRPr="00DC3083">
        <w:t xml:space="preserve">was both the intervention to improve health literacy and indicators of metabolic syndrome in those with severe mental illness, as well as the tools used to perform the intervention.  The </w:t>
      </w:r>
      <w:r w:rsidRPr="00DC3083">
        <w:rPr>
          <w:i/>
        </w:rPr>
        <w:t xml:space="preserve">Toolkit </w:t>
      </w:r>
      <w:r w:rsidRPr="00DC3083">
        <w:t xml:space="preserve">contains 21 </w:t>
      </w:r>
      <w:r>
        <w:t>tool</w:t>
      </w:r>
      <w:r w:rsidRPr="00DC3083">
        <w:t xml:space="preserve">s addressing four focus areas that are important for improving health literacy within a practice (AHRQ, 2016).  These areas are spoken communication, written communication, self-management and empowerment, and supportive systems (AHRQ, 2016).  </w:t>
      </w:r>
    </w:p>
    <w:p w:rsidR="00B3072C" w:rsidRPr="00DC3083" w:rsidRDefault="00B3072C" w:rsidP="00B3072C">
      <w:pPr>
        <w:pStyle w:val="APA"/>
      </w:pPr>
      <w:r w:rsidRPr="00DC3083">
        <w:lastRenderedPageBreak/>
        <w:tab/>
        <w:t xml:space="preserve">Though it was not feasible for the researcher to implement every tool in the </w:t>
      </w:r>
      <w:r w:rsidRPr="00DC3083">
        <w:rPr>
          <w:i/>
        </w:rPr>
        <w:t xml:space="preserve">Health Literacy Universal Precautions Toolkit, </w:t>
      </w:r>
      <w:r w:rsidRPr="00DC3083">
        <w:t xml:space="preserve">the researcher strived to develop a culture of health literacy and quality improvement within the Lower Shore Clinic so that the practice can continue to make changes towards improving health literacy, quality, and ultimately </w:t>
      </w:r>
      <w:r>
        <w:t>client</w:t>
      </w:r>
      <w:r w:rsidRPr="00DC3083">
        <w:t xml:space="preserve"> outcomes within the practice.  The researcher began with Tool 1: Form a Team, Tool 2: Create a Health Literacy Improvement Plan, and Tool 3: Raise Awareness.  The goal of the project was to implement at least 2 other </w:t>
      </w:r>
      <w:r>
        <w:t>tool</w:t>
      </w:r>
      <w:r w:rsidRPr="00DC3083">
        <w:t xml:space="preserve">s from the </w:t>
      </w:r>
      <w:r w:rsidRPr="00DC3083">
        <w:rPr>
          <w:i/>
        </w:rPr>
        <w:t>Toolkit</w:t>
      </w:r>
      <w:r w:rsidRPr="00DC3083">
        <w:t xml:space="preserve"> that are identified as key areas in need of improvement.  </w:t>
      </w:r>
    </w:p>
    <w:p w:rsidR="00B3072C" w:rsidRPr="00DC3083" w:rsidRDefault="00B3072C" w:rsidP="00B3072C">
      <w:pPr>
        <w:pStyle w:val="APA"/>
      </w:pPr>
      <w:r w:rsidRPr="00DC3083">
        <w:tab/>
        <w:t xml:space="preserve">The </w:t>
      </w:r>
      <w:r w:rsidRPr="00DC3083">
        <w:rPr>
          <w:i/>
        </w:rPr>
        <w:t xml:space="preserve">AHRQ Health Literacy Universal Precautions Toolkit </w:t>
      </w:r>
      <w:r w:rsidRPr="00DC3083">
        <w:t xml:space="preserve">provides several instruments embedded within select </w:t>
      </w:r>
      <w:r>
        <w:t>tool</w:t>
      </w:r>
      <w:r w:rsidRPr="00DC3083">
        <w:t xml:space="preserve">s that can be used to assess whether certain interventions were successful.  One example of such an instrument is the </w:t>
      </w:r>
      <w:r w:rsidRPr="00927F6D">
        <w:rPr>
          <w:i/>
        </w:rPr>
        <w:t>Primary Care Health Literacy Assessment</w:t>
      </w:r>
      <w:r>
        <w:t xml:space="preserve"> (Appendix G)</w:t>
      </w:r>
      <w:r w:rsidRPr="00DC3083">
        <w:t xml:space="preserve">, which is embedded into Tool 2: Create a Health Literacy Improvement Plan.  The researcher </w:t>
      </w:r>
      <w:r>
        <w:t>implemented</w:t>
      </w:r>
      <w:r w:rsidRPr="00DC3083">
        <w:t xml:space="preserve"> this instrument </w:t>
      </w:r>
      <w:r>
        <w:t xml:space="preserve">with six staff members </w:t>
      </w:r>
      <w:r w:rsidRPr="00DC3083">
        <w:t xml:space="preserve">to obtain baseline and post-intervention health literacy data and practices within the Lower Shore Clinic.  The instrument is designed to be used by one or more members of the health literacy coalition in a healthcare practice.  Items on the instrument are based on the four aforementioned focus areas of the </w:t>
      </w:r>
      <w:r w:rsidRPr="00DC3083">
        <w:rPr>
          <w:i/>
        </w:rPr>
        <w:t xml:space="preserve">AHRQ Universal Precautions Toolkit </w:t>
      </w:r>
      <w:r w:rsidRPr="00DC3083">
        <w:t xml:space="preserve">as well as seven items on preparation for practice change (AHRQ, 2016).  Possible answers on the Assessment are a modified Likert scale ranging from “doing well” to “needs improvement”, “not doing”, and “N/A”.  The instrument also provides references to </w:t>
      </w:r>
      <w:r>
        <w:t>tool</w:t>
      </w:r>
      <w:r w:rsidRPr="00DC3083">
        <w:t xml:space="preserve">s within the </w:t>
      </w:r>
      <w:r w:rsidRPr="00DC3083">
        <w:rPr>
          <w:i/>
        </w:rPr>
        <w:t>Toolkit</w:t>
      </w:r>
      <w:r w:rsidRPr="00DC3083">
        <w:t xml:space="preserve"> that can help improve identified areas of deficiency (AHRQ, 2016).  There is no reliability or validity data available on this particular </w:t>
      </w:r>
      <w:r w:rsidRPr="00DC3083">
        <w:lastRenderedPageBreak/>
        <w:t xml:space="preserve">instrument created by the AHRQ.  </w:t>
      </w:r>
      <w:r>
        <w:t>Results from this instrument were used to direct the health literacy quality improvement team to identify areas in need of improvement (Append</w:t>
      </w:r>
      <w:r w:rsidR="00E37E57">
        <w:t>ix H</w:t>
      </w:r>
      <w:r>
        <w:t>).</w:t>
      </w:r>
    </w:p>
    <w:p w:rsidR="00B3072C" w:rsidRPr="00DC3083" w:rsidRDefault="00B3072C" w:rsidP="00B3072C">
      <w:pPr>
        <w:pStyle w:val="APA"/>
      </w:pPr>
      <w:r w:rsidRPr="00DC3083">
        <w:tab/>
        <w:t xml:space="preserve">Once areas that need improvement were identified, the team decided which </w:t>
      </w:r>
      <w:r>
        <w:t>tool</w:t>
      </w:r>
      <w:r w:rsidRPr="00DC3083">
        <w:t xml:space="preserve">s within the </w:t>
      </w:r>
      <w:r w:rsidRPr="00DC3083">
        <w:rPr>
          <w:i/>
        </w:rPr>
        <w:t>Toolkit</w:t>
      </w:r>
      <w:r w:rsidRPr="00DC3083">
        <w:t xml:space="preserve"> took priority for implementation within the Lower Shore Clinic.  Each </w:t>
      </w:r>
      <w:r>
        <w:t>tool</w:t>
      </w:r>
      <w:r w:rsidRPr="00DC3083">
        <w:t xml:space="preserve"> within the </w:t>
      </w:r>
      <w:r w:rsidRPr="00DC3083">
        <w:rPr>
          <w:i/>
        </w:rPr>
        <w:t xml:space="preserve">Toolkit </w:t>
      </w:r>
      <w:r w:rsidRPr="00DC3083">
        <w:t xml:space="preserve">contains an overview of the problem and why it is an important change, real-life examples of practice experiences, actions to take to implement the change, suggestions for how to track progress, and resources that are available for use.  The health literacy improvement team had regular meetings to discuss aspects of </w:t>
      </w:r>
      <w:r>
        <w:t>tool</w:t>
      </w:r>
      <w:r w:rsidRPr="00DC3083">
        <w:t>s chosen for implementation and the researcher assisted with the implementation and integration into everyday practice.</w:t>
      </w:r>
    </w:p>
    <w:p w:rsidR="00B3072C" w:rsidRDefault="00B3072C" w:rsidP="00B3072C">
      <w:pPr>
        <w:pStyle w:val="APA"/>
      </w:pPr>
      <w:r w:rsidRPr="00DC3083">
        <w:tab/>
        <w:t xml:space="preserve">Due to the fact that the practice did not use any type of </w:t>
      </w:r>
      <w:r>
        <w:t>client</w:t>
      </w:r>
      <w:r w:rsidRPr="00DC3083">
        <w:t xml:space="preserve"> satisfaction survey, it was necessary to implement this exercise in Tool 17: Get Patient Feedback.  This particular </w:t>
      </w:r>
      <w:r>
        <w:t>tool</w:t>
      </w:r>
      <w:r w:rsidRPr="00DC3083">
        <w:t xml:space="preserve"> provides several instruments that can be used to assess </w:t>
      </w:r>
      <w:r>
        <w:t>client</w:t>
      </w:r>
      <w:r w:rsidRPr="00DC3083">
        <w:t xml:space="preserve"> perceptions of health literacy practices within the Lower Shore Clinic.  In particular, the </w:t>
      </w:r>
      <w:r w:rsidRPr="00CC3BE5">
        <w:rPr>
          <w:i/>
        </w:rPr>
        <w:t>Health Literacy Patient Survey</w:t>
      </w:r>
      <w:r>
        <w:t xml:space="preserve"> (Appendix E)</w:t>
      </w:r>
      <w:r w:rsidRPr="00DC3083">
        <w:t xml:space="preserve"> was distributed to members of the psychiatric rehabilitation program at Go Getters before and after the </w:t>
      </w:r>
      <w:r w:rsidRPr="00DC3083">
        <w:rPr>
          <w:i/>
        </w:rPr>
        <w:t>AHRQ Health Literacy Universal Precautions Toolkit</w:t>
      </w:r>
      <w:r w:rsidRPr="00DC3083">
        <w:t xml:space="preserve"> was implemented.  In addition to the usual demographic information, this 42-item questionnaire explored </w:t>
      </w:r>
      <w:r>
        <w:t>client</w:t>
      </w:r>
      <w:r w:rsidRPr="00DC3083">
        <w:t xml:space="preserve"> perception of staff and provider’s health literacy practices, staff and provider medication review practices, written health information provided by staff/provider, and </w:t>
      </w:r>
      <w:r>
        <w:t>client</w:t>
      </w:r>
      <w:r w:rsidRPr="00DC3083">
        <w:t xml:space="preserve"> awareness of community resources (AHRQ, 2016).  Though there is no validity or reliability data on this particular survey in </w:t>
      </w:r>
      <w:r w:rsidRPr="00DC3083">
        <w:lastRenderedPageBreak/>
        <w:t xml:space="preserve">the </w:t>
      </w:r>
      <w:r w:rsidRPr="00DC3083">
        <w:rPr>
          <w:i/>
        </w:rPr>
        <w:t xml:space="preserve">AHRQ Health Literacy Universal Precautions Toolkit, </w:t>
      </w:r>
      <w:r w:rsidRPr="00DC3083">
        <w:t xml:space="preserve">it was recently developed by the AHRQ for the second updated version of the </w:t>
      </w:r>
      <w:r w:rsidRPr="00DC3083">
        <w:rPr>
          <w:i/>
        </w:rPr>
        <w:t>Toolkit</w:t>
      </w:r>
      <w:r w:rsidRPr="00DC3083">
        <w:t xml:space="preserve"> with several questions adapted from Consumer Assessment of Healthcare Providers and Systems (CAHPS®) surveys (AHRQ, 2016).  CAHPS® surveys are validated instruments (AHRQ, 2016).  This </w:t>
      </w:r>
      <w:r w:rsidRPr="00CC3BE5">
        <w:rPr>
          <w:i/>
        </w:rPr>
        <w:t>Health Literacy Patient Survey</w:t>
      </w:r>
      <w:r w:rsidRPr="00DC3083">
        <w:t xml:space="preserve"> instrument was distributed before after the implementation of several </w:t>
      </w:r>
      <w:r>
        <w:t>tool</w:t>
      </w:r>
      <w:r w:rsidRPr="00DC3083">
        <w:t xml:space="preserve">s in the </w:t>
      </w:r>
      <w:r w:rsidRPr="00DC3083">
        <w:rPr>
          <w:i/>
        </w:rPr>
        <w:t xml:space="preserve">Toolkit </w:t>
      </w:r>
      <w:r w:rsidRPr="00DC3083">
        <w:t xml:space="preserve">in order to measure satisfaction with health literacy practices. </w:t>
      </w:r>
    </w:p>
    <w:p w:rsidR="00B3072C" w:rsidRDefault="00B3072C" w:rsidP="00B3072C">
      <w:pPr>
        <w:pStyle w:val="APALevel2"/>
      </w:pPr>
      <w:bookmarkStart w:id="26" w:name="_Toc514059897"/>
      <w:r>
        <w:t>Data Collection</w:t>
      </w:r>
      <w:bookmarkEnd w:id="26"/>
    </w:p>
    <w:p w:rsidR="00B3072C" w:rsidRPr="00DC3083" w:rsidRDefault="00B3072C" w:rsidP="00B3072C">
      <w:pPr>
        <w:pStyle w:val="APA"/>
        <w:ind w:firstLine="720"/>
      </w:pPr>
      <w:r w:rsidRPr="00B3072C">
        <w:rPr>
          <w:rStyle w:val="APALevel3Char"/>
        </w:rPr>
        <w:t>Data.</w:t>
      </w:r>
      <w:r>
        <w:t xml:space="preserve">  </w:t>
      </w:r>
      <w:r w:rsidRPr="00DC3083">
        <w:t xml:space="preserve">After obtaining Salisbury University Institutional Review Board (IRB) approval, informed consent was obtained from participants and the researcher began data collection.  This process began in July of 2017 with distribution of the </w:t>
      </w:r>
      <w:r w:rsidRPr="00CC3BE5">
        <w:rPr>
          <w:i/>
        </w:rPr>
        <w:t>Health Literacy Patient Survey</w:t>
      </w:r>
      <w:r w:rsidRPr="00DC3083">
        <w:t xml:space="preserve"> and medical record reviews to determine if inclusion criteria for participation were met.  The researcher recorded pre-intervention data for participants on waistline measurements, triglyceride levels, HDL levels, blood pressure, and fasting blood sugar whenever it was available in the medical record.  The researcher also examined medical records for simple, non-identifying demographic information such as age, gender, and race in order to better describe the sample.  </w:t>
      </w:r>
    </w:p>
    <w:p w:rsidR="00B3072C" w:rsidRDefault="00B3072C" w:rsidP="00B3072C">
      <w:pPr>
        <w:pStyle w:val="APA"/>
        <w:ind w:firstLine="720"/>
      </w:pPr>
      <w:r w:rsidRPr="00DC3083">
        <w:t xml:space="preserve">After pre-intervention data was collected, the researcher began with Tool 1: Form a Team, Tool 2: Create a Health Literacy Improvement Plan, and Tool 3: Raise Awareness.  As previously discussed, Tool 2 involves data collection using an instrument known as the </w:t>
      </w:r>
      <w:r w:rsidRPr="00927F6D">
        <w:rPr>
          <w:i/>
        </w:rPr>
        <w:t>Primary Care Health Literacy Assessment</w:t>
      </w:r>
      <w:r w:rsidRPr="00DC3083">
        <w:t xml:space="preserve">.  This data was only completed by employees at the Lower Shore Clinic.  It was completely anonymous and only served </w:t>
      </w:r>
      <w:r w:rsidRPr="00DC3083">
        <w:lastRenderedPageBreak/>
        <w:t xml:space="preserve">to direct the health literacy improvement team on which </w:t>
      </w:r>
      <w:r>
        <w:t>tool</w:t>
      </w:r>
      <w:r w:rsidRPr="00DC3083">
        <w:t xml:space="preserve">s within the </w:t>
      </w:r>
      <w:r w:rsidRPr="00DC3083">
        <w:rPr>
          <w:i/>
        </w:rPr>
        <w:t>AHRQ Universal Precautions Toolkit</w:t>
      </w:r>
      <w:r w:rsidRPr="00DC3083">
        <w:t xml:space="preserve"> should take priority to guide practice changes. </w:t>
      </w:r>
    </w:p>
    <w:p w:rsidR="00B3072C" w:rsidRPr="00DC3083" w:rsidRDefault="00B3072C" w:rsidP="00B3072C">
      <w:pPr>
        <w:pStyle w:val="APA"/>
        <w:ind w:firstLine="720"/>
      </w:pPr>
      <w:r w:rsidRPr="00DC3083">
        <w:t xml:space="preserve">Other data that was collected during and after the implementation of the </w:t>
      </w:r>
      <w:r w:rsidRPr="00DC3083">
        <w:rPr>
          <w:i/>
        </w:rPr>
        <w:t xml:space="preserve">AHRQ Health Literacy Universal Precautions Toolkit </w:t>
      </w:r>
      <w:r w:rsidRPr="00DC3083">
        <w:t xml:space="preserve">was satisfaction data from the </w:t>
      </w:r>
      <w:r w:rsidRPr="00CC3BE5">
        <w:rPr>
          <w:i/>
        </w:rPr>
        <w:t>Health Literacy Patient Survey</w:t>
      </w:r>
      <w:r w:rsidRPr="00DC3083">
        <w:t xml:space="preserve">.  Surveys were anonymous and provided during the informed consent process and again at the psychiatric rehabilitation program Go Getters three months after the </w:t>
      </w:r>
      <w:r w:rsidRPr="00DC3083">
        <w:rPr>
          <w:i/>
        </w:rPr>
        <w:t>Toolkit</w:t>
      </w:r>
      <w:r w:rsidRPr="00DC3083">
        <w:t xml:space="preserve"> was implemented at the clinic.</w:t>
      </w:r>
      <w:r>
        <w:t xml:space="preserve">  Due to attrition, there were nine surveys that were able to be compared on paired-sample Wilcoxon signed-rank tests.</w:t>
      </w:r>
    </w:p>
    <w:p w:rsidR="00B3072C" w:rsidRDefault="00B3072C" w:rsidP="00B3072C">
      <w:pPr>
        <w:pStyle w:val="APA"/>
        <w:ind w:firstLine="720"/>
      </w:pPr>
      <w:r w:rsidRPr="00DC3083">
        <w:t xml:space="preserve">Approximately three months after the implementation of selected </w:t>
      </w:r>
      <w:r>
        <w:t>tool</w:t>
      </w:r>
      <w:r w:rsidRPr="00DC3083">
        <w:t xml:space="preserve">s from the </w:t>
      </w:r>
      <w:r w:rsidRPr="00DC3083">
        <w:rPr>
          <w:i/>
        </w:rPr>
        <w:t xml:space="preserve">AHRQ Health Literacy Universal Precautions Toolkit, </w:t>
      </w:r>
      <w:r w:rsidRPr="00DC3083">
        <w:t xml:space="preserve">the researcher again completed medical record reviews to record post-intervention data on waistline measurements, triglyceride levels, HDL levels, blood pressure, and fasting blood sugar whenever it was available in the medical record.  </w:t>
      </w:r>
      <w:r>
        <w:t>After attrition, six staff members at the Lower Shore Clinic</w:t>
      </w:r>
      <w:r w:rsidRPr="00DC3083">
        <w:t xml:space="preserve"> also completed post-intervention </w:t>
      </w:r>
      <w:r w:rsidRPr="00927F6D">
        <w:rPr>
          <w:i/>
        </w:rPr>
        <w:t>Primary Care Health Literacy Assessment</w:t>
      </w:r>
      <w:r w:rsidRPr="00DC3083">
        <w:t xml:space="preserve"> to determine if the changes that they made to the practice have improved the score of this instrument.  </w:t>
      </w:r>
    </w:p>
    <w:p w:rsidR="00B3072C" w:rsidRDefault="00B3072C" w:rsidP="00B3072C">
      <w:pPr>
        <w:pStyle w:val="APA"/>
        <w:ind w:firstLine="720"/>
      </w:pPr>
      <w:r w:rsidRPr="00B3072C">
        <w:rPr>
          <w:b/>
        </w:rPr>
        <w:t>Data security.</w:t>
      </w:r>
      <w:r>
        <w:t xml:space="preserve">  </w:t>
      </w:r>
      <w:r w:rsidRPr="00DC3083">
        <w:t xml:space="preserve">Data was stored on a password-protected computer using a password-protected </w:t>
      </w:r>
      <w:proofErr w:type="spellStart"/>
      <w:r w:rsidRPr="00DC3083">
        <w:t>MyClasses</w:t>
      </w:r>
      <w:proofErr w:type="spellEnd"/>
      <w:r w:rsidRPr="00DC3083">
        <w:t xml:space="preserve"> Canvas® file that was only able to be accessed by the research team.  Canvas® uses HTTPS for all communication, encrypts all inbound and outbound traffic using 128-bit TLS/SSL, and all data is stored on secure Amazon Web Services data centers (Canvas, 2017).  To ensure anonymity, participant names were not on data sheets.  Instead, data was kept in a separate codebook that was locked in the </w:t>
      </w:r>
      <w:r w:rsidRPr="00DC3083">
        <w:lastRenderedPageBreak/>
        <w:t>researcher’s file cabinet.  Informed consent forms were also kept locked in the researcher’s file cabinet; the forms for those who did not meet inclusion criteria were shredded.  All data will be kept for a minimum of six years after the research is completed and then destroyed.</w:t>
      </w:r>
    </w:p>
    <w:p w:rsidR="00B3072C" w:rsidRDefault="00B3072C" w:rsidP="00B3072C">
      <w:pPr>
        <w:pStyle w:val="APA"/>
        <w:ind w:firstLine="720"/>
      </w:pPr>
      <w:r w:rsidRPr="00B3072C">
        <w:rPr>
          <w:b/>
        </w:rPr>
        <w:t>Timeline.</w:t>
      </w:r>
      <w:r>
        <w:rPr>
          <w:b/>
        </w:rPr>
        <w:t xml:space="preserve">  </w:t>
      </w:r>
      <w:r w:rsidRPr="00DC3083">
        <w:t xml:space="preserve">Informed consenting, distribution of the pre-intervention </w:t>
      </w:r>
      <w:r w:rsidRPr="002804FE">
        <w:rPr>
          <w:i/>
        </w:rPr>
        <w:t>Health Literacy Patient Survey</w:t>
      </w:r>
      <w:r w:rsidRPr="00DC3083">
        <w:t xml:space="preserve">, </w:t>
      </w:r>
      <w:r>
        <w:t xml:space="preserve">distribution of the pre-intervention </w:t>
      </w:r>
      <w:r>
        <w:rPr>
          <w:i/>
        </w:rPr>
        <w:t xml:space="preserve">Primary Care Health Literacy Assessment, </w:t>
      </w:r>
      <w:r w:rsidRPr="00DC3083">
        <w:t xml:space="preserve">and record reviews began in July of 2017.  Implementation of the first three </w:t>
      </w:r>
      <w:r>
        <w:t>tool</w:t>
      </w:r>
      <w:r w:rsidRPr="00DC3083">
        <w:t xml:space="preserve">s from the </w:t>
      </w:r>
      <w:r w:rsidRPr="00DC3083">
        <w:rPr>
          <w:i/>
        </w:rPr>
        <w:t xml:space="preserve">Toolkit </w:t>
      </w:r>
      <w:r w:rsidRPr="00DC3083">
        <w:t xml:space="preserve">occurred in October of 2017.  Other </w:t>
      </w:r>
      <w:r>
        <w:t>tool</w:t>
      </w:r>
      <w:r w:rsidRPr="00DC3083">
        <w:t xml:space="preserve">s from the </w:t>
      </w:r>
      <w:r w:rsidRPr="00DC3083">
        <w:rPr>
          <w:i/>
        </w:rPr>
        <w:t xml:space="preserve">AHRQ Universal Precautions Toolkit </w:t>
      </w:r>
      <w:r w:rsidRPr="00DC3083">
        <w:t xml:space="preserve">were implemented October, 2017 through January, 2018.  Post-intervention record reviews, </w:t>
      </w:r>
      <w:r w:rsidRPr="00C675E9">
        <w:rPr>
          <w:i/>
        </w:rPr>
        <w:t>Primary Care Health Literacy Assessment</w:t>
      </w:r>
      <w:r w:rsidRPr="00DC3083">
        <w:t xml:space="preserve">, and </w:t>
      </w:r>
      <w:r>
        <w:t>client</w:t>
      </w:r>
      <w:r w:rsidRPr="00DC3083">
        <w:t xml:space="preserve"> satisfaction surveys occurred in </w:t>
      </w:r>
      <w:r>
        <w:t xml:space="preserve">February </w:t>
      </w:r>
      <w:r w:rsidRPr="00DC3083">
        <w:t xml:space="preserve">of 2018.  Data analysis occurred after post-intervention data </w:t>
      </w:r>
      <w:r>
        <w:t>was</w:t>
      </w:r>
      <w:r w:rsidRPr="00DC3083">
        <w:t xml:space="preserve"> collected in </w:t>
      </w:r>
      <w:r>
        <w:t>February</w:t>
      </w:r>
      <w:r w:rsidRPr="00DC3083">
        <w:t xml:space="preserve"> of 2018.  Summarizing the data, including plans for dissemination, </w:t>
      </w:r>
      <w:r>
        <w:t xml:space="preserve">occurred in March of 2018.  </w:t>
      </w:r>
    </w:p>
    <w:p w:rsidR="000409C5" w:rsidRPr="00416D06" w:rsidRDefault="000409C5" w:rsidP="00B3072C">
      <w:r w:rsidRPr="00416D06">
        <w:t xml:space="preserve"> </w:t>
      </w:r>
    </w:p>
    <w:p w:rsidR="000409C5" w:rsidRPr="0037185B" w:rsidRDefault="000409C5" w:rsidP="000409C5">
      <w:pPr>
        <w:pStyle w:val="APALevel0"/>
      </w:pPr>
      <w:r>
        <w:rPr>
          <w:sz w:val="22"/>
          <w:szCs w:val="22"/>
        </w:rPr>
        <w:br w:type="page"/>
      </w:r>
      <w:bookmarkStart w:id="27" w:name="_Toc514059898"/>
      <w:r w:rsidRPr="0037185B">
        <w:lastRenderedPageBreak/>
        <w:t>Project Implementation</w:t>
      </w:r>
      <w:bookmarkEnd w:id="27"/>
    </w:p>
    <w:p w:rsidR="000409C5" w:rsidRPr="0037185B" w:rsidRDefault="0037185B" w:rsidP="000409C5">
      <w:pPr>
        <w:pStyle w:val="APALevel1"/>
      </w:pPr>
      <w:bookmarkStart w:id="28" w:name="_Toc514059899"/>
      <w:r w:rsidRPr="0037185B">
        <w:t>Summative Evaluation</w:t>
      </w:r>
      <w:bookmarkEnd w:id="28"/>
    </w:p>
    <w:p w:rsidR="0037185B" w:rsidRDefault="0037185B" w:rsidP="0037185B">
      <w:pPr>
        <w:pStyle w:val="APA"/>
        <w:ind w:firstLine="720"/>
      </w:pPr>
      <w:r>
        <w:t xml:space="preserve">Due to staff constraints, salary concerns, and other issues that are involved with the daily operations of a healthcare organization, the health literacy quality improvement team (created during Tool 1 of the </w:t>
      </w:r>
      <w:r>
        <w:rPr>
          <w:i/>
        </w:rPr>
        <w:t>AHRQ Health Literacy Universal Precautions Toolkit</w:t>
      </w:r>
      <w:r>
        <w:t>) consisted of four members and the researcher.  Members were interdisciplinary, from several areas of the clinic.  The team consisted of a registered nurse, a licensed therapist, a front desk staff member, and a community outreach member.  There was change with one member of the team due to staff turnover at the clinic.  The team met once every two weeks for three months’ time.</w:t>
      </w:r>
    </w:p>
    <w:p w:rsidR="0037185B" w:rsidRDefault="0037185B" w:rsidP="0037185B">
      <w:pPr>
        <w:pStyle w:val="APA"/>
        <w:ind w:firstLine="720"/>
      </w:pPr>
      <w:r>
        <w:t xml:space="preserve">After group analysis of the pre-intervention data from the </w:t>
      </w:r>
      <w:r w:rsidRPr="00927F6D">
        <w:rPr>
          <w:i/>
        </w:rPr>
        <w:t>Primary Care Health Literacy Assessment</w:t>
      </w:r>
      <w:r w:rsidR="00E37E57">
        <w:t xml:space="preserve"> (Appendix H</w:t>
      </w:r>
      <w:r>
        <w:t xml:space="preserve">), the health literacy quality improvement team chose to work on four tools from the </w:t>
      </w:r>
      <w:r>
        <w:rPr>
          <w:i/>
        </w:rPr>
        <w:t xml:space="preserve">Health Literacy Universal Precautions Toolkit </w:t>
      </w:r>
      <w:r>
        <w:t>in addition to Tools 1, 2, and 3.</w:t>
      </w:r>
      <w:r>
        <w:rPr>
          <w:i/>
        </w:rPr>
        <w:t xml:space="preserve">  </w:t>
      </w:r>
      <w:r>
        <w:t xml:space="preserve">Those tools were Tool 11: Assess, Select, and Create Easy-to-Understand Materials, Tool 12: Use Health Education Material Successfully, Tool 17: Get Patient Feedback, and Tool 9: Address Language Issues.  The researcher, as the leader of the team, informally led the group through completion of Plan, Do, Study, Act (PDSA) cycles with each tool implemented from the </w:t>
      </w:r>
      <w:r>
        <w:rPr>
          <w:i/>
        </w:rPr>
        <w:t xml:space="preserve">Toolkit.  </w:t>
      </w:r>
      <w:r>
        <w:t>Examples of improvements made as a result of this project include a patient education system on a television in the waiting room, after-visit summaries implemented in the EHR, organization of written materials, client feedback surveys in the waiting room, language warnings in the EHR, and staff buttons to encourage questions.</w:t>
      </w:r>
    </w:p>
    <w:p w:rsidR="0037185B" w:rsidRDefault="0037185B" w:rsidP="0037185B">
      <w:pPr>
        <w:pStyle w:val="APALevel1"/>
      </w:pPr>
      <w:bookmarkStart w:id="29" w:name="_Toc514059900"/>
      <w:r>
        <w:lastRenderedPageBreak/>
        <w:t>Barriers and Facilitators</w:t>
      </w:r>
      <w:bookmarkEnd w:id="29"/>
    </w:p>
    <w:p w:rsidR="0037185B" w:rsidRDefault="0037185B" w:rsidP="0037185B">
      <w:pPr>
        <w:pStyle w:val="APALevel2"/>
      </w:pPr>
      <w:bookmarkStart w:id="30" w:name="_Toc514059901"/>
      <w:r>
        <w:t>Barriers</w:t>
      </w:r>
      <w:bookmarkEnd w:id="30"/>
    </w:p>
    <w:p w:rsidR="00BD191F" w:rsidRDefault="0037185B" w:rsidP="0037185B">
      <w:pPr>
        <w:pStyle w:val="BodyText"/>
      </w:pPr>
      <w:r>
        <w:t>Very few participants had waist circumference measurements recorded in their patient charts.  Even among the 18 participants that were included in the study, less than half had post-intervention data on triglycerides and HDL cholesterol for comparison purposes.  The lack of data available in the charts severely limited the number of participants able to be included in the study.  Not having a prescriber on the health literacy quality improvement team was a limit, as a prescriber would have had the ability to order labs to collect this data.  During the time period of the project, there was attrition with both clients and staff members.</w:t>
      </w:r>
      <w:r w:rsidR="00BD191F">
        <w:t xml:space="preserve">  This also limited the data available.</w:t>
      </w:r>
    </w:p>
    <w:p w:rsidR="00BD191F" w:rsidRDefault="0037185B" w:rsidP="0037185B">
      <w:pPr>
        <w:pStyle w:val="BodyText"/>
      </w:pPr>
      <w:r>
        <w:t>In a nonprofit organ</w:t>
      </w:r>
      <w:r w:rsidR="00BD191F">
        <w:t>ization</w:t>
      </w:r>
      <w:r>
        <w:t>, funds and resources can be very limited.  The health literacy quality improvement team proposed several practice changes that were unable to be implemented during the course of this project due to limited resources</w:t>
      </w:r>
      <w:r w:rsidR="00BD191F">
        <w:t xml:space="preserve"> or reliance on the very busy clinic director to apply some of the changes.  </w:t>
      </w:r>
    </w:p>
    <w:p w:rsidR="0037185B" w:rsidRDefault="00BD191F" w:rsidP="0037185B">
      <w:pPr>
        <w:pStyle w:val="BodyText"/>
      </w:pPr>
      <w:r>
        <w:t xml:space="preserve">Another limitation to this project are the </w:t>
      </w:r>
      <w:r>
        <w:rPr>
          <w:i/>
        </w:rPr>
        <w:t xml:space="preserve">Health Literacy Patient Survey </w:t>
      </w:r>
      <w:r>
        <w:t xml:space="preserve">and </w:t>
      </w:r>
      <w:r>
        <w:rPr>
          <w:i/>
        </w:rPr>
        <w:t xml:space="preserve">Primary Care Health Literacy Assessment, </w:t>
      </w:r>
      <w:r>
        <w:t xml:space="preserve">themselves.  Despite both of these surveys being developed by the AHRQ for use with the </w:t>
      </w:r>
      <w:r>
        <w:rPr>
          <w:i/>
        </w:rPr>
        <w:t>Health Literacy Universal Precautions Toolkit</w:t>
      </w:r>
      <w:r>
        <w:t>, they do not work well for a population with low health literacy or severe mental illness.  The patient survey contained 42 items with a great deal of wording.  Many of the items on the survey also contained skip patterns.  It was evident on data entry that many participants did not understand the questions, as they did not follow the skip patterns built into the survey.</w:t>
      </w:r>
    </w:p>
    <w:p w:rsidR="00E00DE9" w:rsidRDefault="00E00DE9" w:rsidP="00E00DE9">
      <w:pPr>
        <w:pStyle w:val="APALevel2"/>
      </w:pPr>
      <w:bookmarkStart w:id="31" w:name="_Toc514059902"/>
      <w:r>
        <w:lastRenderedPageBreak/>
        <w:t>Facilitators</w:t>
      </w:r>
      <w:bookmarkEnd w:id="31"/>
    </w:p>
    <w:p w:rsidR="00E00DE9" w:rsidRPr="00E00DE9" w:rsidRDefault="00E00DE9" w:rsidP="00E00DE9">
      <w:pPr>
        <w:pStyle w:val="BodyText"/>
      </w:pPr>
      <w:r>
        <w:t xml:space="preserve">Despite the barriers identified throughout the quality improvement process, there were a great deal of facilitators, as well.  The clinic leadership was very receptive to the project.  The clinic director and chief executive officer signed on to be on the project as soon as the DNP student researcher presented the idea.  They also invited leadership from the pharmacy to be included in the meeting.  This led to the purchase of a large, 80 inch television screen for displaying health informational patient education videos in the lobby of the clinic.  The clinic </w:t>
      </w:r>
      <w:r w:rsidR="00A80601">
        <w:t xml:space="preserve">will continue displaying these videos in the lobby even after the completion of the quality improvement project.  </w:t>
      </w:r>
    </w:p>
    <w:p w:rsidR="00ED2630" w:rsidRDefault="00ED2630" w:rsidP="00ED2630">
      <w:pPr>
        <w:pStyle w:val="APALevel0"/>
      </w:pPr>
      <w:r>
        <w:rPr>
          <w:sz w:val="22"/>
          <w:szCs w:val="22"/>
        </w:rPr>
        <w:br w:type="page"/>
      </w:r>
      <w:bookmarkStart w:id="32" w:name="_Toc514059903"/>
      <w:r>
        <w:lastRenderedPageBreak/>
        <w:t xml:space="preserve">Analysis and </w:t>
      </w:r>
      <w:r w:rsidR="00522798">
        <w:t>Outcomes</w:t>
      </w:r>
      <w:bookmarkEnd w:id="32"/>
    </w:p>
    <w:p w:rsidR="00ED2630" w:rsidRDefault="00522798" w:rsidP="00ED2630">
      <w:pPr>
        <w:pStyle w:val="APALevel1"/>
      </w:pPr>
      <w:bookmarkStart w:id="33" w:name="_Toc514059904"/>
      <w:r>
        <w:t>Analysis</w:t>
      </w:r>
      <w:bookmarkEnd w:id="33"/>
    </w:p>
    <w:p w:rsidR="00522798" w:rsidRDefault="00522798" w:rsidP="00522798">
      <w:pPr>
        <w:pStyle w:val="APA"/>
        <w:ind w:firstLine="720"/>
        <w:rPr>
          <w:i/>
        </w:rPr>
      </w:pPr>
      <w:r w:rsidRPr="008B1E60">
        <w:t>Using the Statistical Package for Social Sciences® (SPSS)</w:t>
      </w:r>
      <w:r>
        <w:t xml:space="preserve"> </w:t>
      </w:r>
      <w:r w:rsidRPr="000B529F">
        <w:t>version</w:t>
      </w:r>
      <w:r>
        <w:t xml:space="preserve"> 24, </w:t>
      </w:r>
      <w:r w:rsidRPr="008B1E60">
        <w:t xml:space="preserve">descriptive statistics </w:t>
      </w:r>
      <w:r>
        <w:t>were</w:t>
      </w:r>
      <w:r w:rsidRPr="008B1E60">
        <w:t xml:space="preserve"> used to analyze the demographic data in order to describe the study sample.  Pre- and post-intervention data on metabolic syndrome indicators</w:t>
      </w:r>
      <w:r w:rsidRPr="007D6B43">
        <w:t xml:space="preserve"> </w:t>
      </w:r>
      <w:r>
        <w:t>were</w:t>
      </w:r>
      <w:r w:rsidRPr="008B1E60">
        <w:t xml:space="preserve"> comp</w:t>
      </w:r>
      <w:r>
        <w:t>ared</w:t>
      </w:r>
      <w:r w:rsidRPr="008B1E60">
        <w:t xml:space="preserve"> using paired sample t-tests.</w:t>
      </w:r>
      <w:r>
        <w:t xml:space="preserve"> </w:t>
      </w:r>
      <w:r w:rsidRPr="008B1E60">
        <w:t xml:space="preserve"> </w:t>
      </w:r>
      <w:r>
        <w:t xml:space="preserve">Answers from the </w:t>
      </w:r>
      <w:r w:rsidRPr="002804FE">
        <w:rPr>
          <w:i/>
        </w:rPr>
        <w:t>Health Literacy Patient Survey</w:t>
      </w:r>
      <w:r>
        <w:t xml:space="preserve"> were compared using related-samples Wilcoxon signed-rank tests.  When analyzing data on staff answers on the </w:t>
      </w:r>
      <w:r w:rsidRPr="002804FE">
        <w:rPr>
          <w:i/>
        </w:rPr>
        <w:t>Primary Care Health Literacy Assessment</w:t>
      </w:r>
      <w:r>
        <w:t xml:space="preserve">, descriptive statistics were used to analyze the central tendencies for each item on the instrument.  This data was utilized by the health literacy team to guide quality improvement efforts within the organization.  Paired sample Wilcoxon signed-rank tests were then performed on the pre-and post- intervention answers to the </w:t>
      </w:r>
      <w:r w:rsidRPr="002804FE">
        <w:rPr>
          <w:i/>
        </w:rPr>
        <w:t>Primary Care Health Literacy Assessment.</w:t>
      </w:r>
    </w:p>
    <w:p w:rsidR="00522798" w:rsidRDefault="00522798" w:rsidP="00522798">
      <w:pPr>
        <w:pStyle w:val="APALevel2"/>
      </w:pPr>
      <w:bookmarkStart w:id="34" w:name="_Toc514059905"/>
      <w:r>
        <w:t>Metabolic Syndrome Sample</w:t>
      </w:r>
      <w:bookmarkEnd w:id="34"/>
    </w:p>
    <w:p w:rsidR="00522798" w:rsidRDefault="00522798" w:rsidP="00522798">
      <w:pPr>
        <w:pStyle w:val="APA"/>
        <w:ind w:firstLine="720"/>
      </w:pPr>
      <w:r>
        <w:t xml:space="preserve">Of the 18 participants with enough chart data to determine that they had metabolic syndrome prior to the implementation of the </w:t>
      </w:r>
      <w:r>
        <w:rPr>
          <w:i/>
        </w:rPr>
        <w:t>AHRQ Health Literacy Universal Precautions Toolkit</w:t>
      </w:r>
      <w:r>
        <w:t>, there was not significant evidence to conclude that the intervention had an effect on the indicators o</w:t>
      </w:r>
      <w:r w:rsidR="00E37E57">
        <w:t>f metabolic syndrome (Appendix I</w:t>
      </w:r>
      <w:r>
        <w:t xml:space="preserve">).  Of the 18 participants with metabolic syndrome, only one participant had waist circumference data to compare pre- and post- intervention, eight had data on triglycerides and HDL cholesterol, nine had hemoglobin A1C data, 12 had fasting blood sugar data, and 18 had systolic and diastolic blood pressures.  This sample had an average age of 55.32.  Demographically, this sample was 61.1% black and 38.9% white, and 42.1% female and </w:t>
      </w:r>
      <w:r>
        <w:lastRenderedPageBreak/>
        <w:t>57.9% male.  The mental health diagnoses were mostly schizophrenia and schizoaffective disorder, with the few remaining having diagnoses of bipolar disorder, major depressive disorder, or u</w:t>
      </w:r>
      <w:r w:rsidR="00E37E57">
        <w:t>nspecified psychosis (Appendix J</w:t>
      </w:r>
      <w:r>
        <w:t xml:space="preserve">).  The majority of the sample (53.3%) were high school graduates, while the rest were fairly evenly distributed with other levels of education ranging from less than high school </w:t>
      </w:r>
      <w:r w:rsidR="00E37E57">
        <w:t>to college graduates (Appendix K</w:t>
      </w:r>
      <w:r>
        <w:t xml:space="preserve">).  </w:t>
      </w:r>
    </w:p>
    <w:p w:rsidR="00522798" w:rsidRDefault="00522798" w:rsidP="00522798">
      <w:pPr>
        <w:pStyle w:val="APALevel2"/>
      </w:pPr>
      <w:bookmarkStart w:id="35" w:name="_Toc514059906"/>
      <w:r>
        <w:rPr>
          <w:i/>
        </w:rPr>
        <w:t>Health Literacy Patient Survey</w:t>
      </w:r>
      <w:r>
        <w:t xml:space="preserve"> Sample</w:t>
      </w:r>
      <w:bookmarkEnd w:id="35"/>
    </w:p>
    <w:p w:rsidR="00522798" w:rsidRDefault="00522798" w:rsidP="00522798">
      <w:pPr>
        <w:pStyle w:val="APA"/>
        <w:ind w:firstLine="720"/>
      </w:pPr>
      <w:r>
        <w:t xml:space="preserve">Upon analysis of the nine paired pre- and post-intervention health literacy surveys, only one question, item 20, on the </w:t>
      </w:r>
      <w:r w:rsidRPr="00927F6D">
        <w:rPr>
          <w:i/>
        </w:rPr>
        <w:t>Health Literacy Patient Survey</w:t>
      </w:r>
      <w:r>
        <w:t xml:space="preserve"> showed significant improvement from pre-intervention data to post-interv</w:t>
      </w:r>
      <w:r w:rsidR="0040102C">
        <w:t>ention data (p=.025) (Appendix L</w:t>
      </w:r>
      <w:r>
        <w:t>).  The question that corresponds to this item states “in the last 6 months, did anyone from this practice ask you to bring in all the prescription and over-the-counter medicines that you were taking”.  The descriptive statistics for the ten participants completing pre- and post-intervention surveys were that the majority of clients had a mental health diagnosis of schizophrenia or schizoaffective disorder (30% and 40%, respectively), while the others had bipolar disorder, major depressive disorder, and other dia</w:t>
      </w:r>
      <w:r w:rsidR="0040102C">
        <w:t>gnoses, respectively (Appendix M</w:t>
      </w:r>
      <w:r>
        <w:t>).  Forty percent of this sample were between ages 55 and 64, 60% were male, 40% were female, 50% were white, 30% were black, and 20% were other.  A large portion (40%) of the sample had a high school diploma or GED, while the rest ranged from less than high school to four-year college graduates (Appe</w:t>
      </w:r>
      <w:r w:rsidR="0040102C">
        <w:t>ndix N</w:t>
      </w:r>
      <w:r>
        <w:t>).  Interestingly, 70% of participants self-identified as speaking English very well, 20% well, and 10% (1 person) not at all.</w:t>
      </w:r>
    </w:p>
    <w:p w:rsidR="00522798" w:rsidRDefault="00522798" w:rsidP="00522798">
      <w:pPr>
        <w:pStyle w:val="APALevel2"/>
      </w:pPr>
      <w:bookmarkStart w:id="36" w:name="_Toc514059907"/>
      <w:r>
        <w:lastRenderedPageBreak/>
        <w:t xml:space="preserve">Staff </w:t>
      </w:r>
      <w:r>
        <w:rPr>
          <w:i/>
        </w:rPr>
        <w:t>Primary Care Health Literacy Assessment</w:t>
      </w:r>
      <w:bookmarkEnd w:id="36"/>
    </w:p>
    <w:p w:rsidR="00522798" w:rsidRDefault="00522798" w:rsidP="00522798">
      <w:pPr>
        <w:pStyle w:val="APA"/>
        <w:ind w:firstLine="720"/>
      </w:pPr>
      <w:r>
        <w:t xml:space="preserve">Paired samples Wilcoxon signed-rank analysis of the pre- and post-intervention staff perception data from the </w:t>
      </w:r>
      <w:r w:rsidRPr="00927F6D">
        <w:rPr>
          <w:i/>
        </w:rPr>
        <w:t>Primary Care Health Literacy Assessment</w:t>
      </w:r>
      <w:r>
        <w:t xml:space="preserve"> showed that there is significant evidence to conclude that the implementation of the </w:t>
      </w:r>
      <w:r>
        <w:rPr>
          <w:i/>
        </w:rPr>
        <w:t xml:space="preserve">AHRQ Health Literacy Universal Precautions Toolkit </w:t>
      </w:r>
      <w:r>
        <w:t>only improved in questions 20 (p=.046) and 28 (</w:t>
      </w:r>
      <w:r w:rsidR="0040102C">
        <w:t>p=.041) (Appendix O</w:t>
      </w:r>
      <w:r>
        <w:t xml:space="preserve">).  Item 20 states “our practice always uses appropriate language services (e.g., trained medical interpreters, trained bilingual clinicians, materials in other languages) with patients who do not speak English very well”.  This relates to Tool 9: Address Language Differences.  Item 28 states “our practice’s patient education materials are concise, use plain language, and are organized and formatted to make them easy to read and understand”.  This relates to Tool 11: Assess, Select, and Create Easy-to-Understand Materials.  </w:t>
      </w:r>
    </w:p>
    <w:p w:rsidR="00522798" w:rsidRPr="00577EFE" w:rsidRDefault="00522798" w:rsidP="00522798">
      <w:pPr>
        <w:pStyle w:val="APALevel1"/>
      </w:pPr>
      <w:bookmarkStart w:id="37" w:name="_Toc514059908"/>
      <w:r>
        <w:t>Outcomes</w:t>
      </w:r>
      <w:bookmarkEnd w:id="37"/>
    </w:p>
    <w:p w:rsidR="00522798" w:rsidRDefault="00522798" w:rsidP="00522798">
      <w:pPr>
        <w:pStyle w:val="APA"/>
        <w:ind w:firstLine="720"/>
      </w:pPr>
      <w:r w:rsidRPr="00685D64">
        <w:t xml:space="preserve">Based on the aforementioned premise that health literacy is linked to the management of chronic conditions, </w:t>
      </w:r>
      <w:r>
        <w:t xml:space="preserve">this project sought to illustrate that </w:t>
      </w:r>
      <w:r w:rsidRPr="000D3CCA">
        <w:t>implementing selected</w:t>
      </w:r>
      <w:r>
        <w:t xml:space="preserve"> tool</w:t>
      </w:r>
      <w:r w:rsidRPr="000D3CCA">
        <w:t>s</w:t>
      </w:r>
      <w:r>
        <w:t xml:space="preserve"> from the </w:t>
      </w:r>
      <w:r>
        <w:rPr>
          <w:i/>
        </w:rPr>
        <w:t>AHRQ Health Literacy Universal Precautions Toolkit</w:t>
      </w:r>
      <w:r>
        <w:t xml:space="preserve"> </w:t>
      </w:r>
      <w:r w:rsidRPr="00685D64">
        <w:t>into</w:t>
      </w:r>
      <w:r>
        <w:t xml:space="preserve"> everyday practice would improve health indicators for metabolic syndrome </w:t>
      </w:r>
      <w:r w:rsidRPr="000D3CCA">
        <w:t>in persons with s</w:t>
      </w:r>
      <w:r>
        <w:t xml:space="preserve">evere mental illness and increase client and staff perceptions of health literacy practices at the Lower Shore Clinic.  Unfortunately, due to a minimal amount of data collected, these results cannot be concluded.  There was no significant improvement in indicators of metabolic syndrome or client perceptions of health literacy practices.  Despite the small n, there was significant improvement in two items related staff </w:t>
      </w:r>
      <w:r>
        <w:lastRenderedPageBreak/>
        <w:t>perceptions of addressing language differences and client education materials, both of which were tools that the health literacy quality improvement team implemented.  However, these results are not generalizable due to the sample size.</w:t>
      </w:r>
    </w:p>
    <w:p w:rsidR="00522798" w:rsidRDefault="00522798" w:rsidP="00522798">
      <w:pPr>
        <w:pStyle w:val="APA"/>
      </w:pPr>
      <w:r>
        <w:rPr>
          <w:b/>
        </w:rPr>
        <w:tab/>
      </w:r>
      <w:r>
        <w:t>As stated previously, only 18 of the 70 participants that consented to be in the research met inclusion criteria and had a diagnosis of metabolic syndrome prior to the implementation of the quality improvement project.  As subjects must have three of the five indicators of metabolic syndrome [</w:t>
      </w:r>
      <w:r w:rsidRPr="00DC3083">
        <w:t>a waistline of 35 inches or more for women or 40 inches or more for men; a triglyceride level of 150 mg/</w:t>
      </w:r>
      <w:proofErr w:type="spellStart"/>
      <w:r w:rsidRPr="00DC3083">
        <w:t>dL</w:t>
      </w:r>
      <w:proofErr w:type="spellEnd"/>
      <w:r w:rsidRPr="00DC3083">
        <w:t xml:space="preserve"> or higher (or prescribed medication to treat high triglycerides); a high density lipoprotein (HDL) level of less than 50 mg/</w:t>
      </w:r>
      <w:proofErr w:type="spellStart"/>
      <w:r w:rsidRPr="00DC3083">
        <w:t>dL</w:t>
      </w:r>
      <w:proofErr w:type="spellEnd"/>
      <w:r w:rsidRPr="00DC3083">
        <w:t xml:space="preserve"> for women or less than 40 mg/</w:t>
      </w:r>
      <w:proofErr w:type="spellStart"/>
      <w:r w:rsidRPr="00DC3083">
        <w:t>dL</w:t>
      </w:r>
      <w:proofErr w:type="spellEnd"/>
      <w:r w:rsidRPr="00DC3083">
        <w:t xml:space="preserve"> for men (or prescribed medication to treat low HDL); a blood pressure of 130/85 mmHg or higher (or prescribed medication to treat hypertension); and, a fasting blood sugar level of 100 mg/</w:t>
      </w:r>
      <w:proofErr w:type="spellStart"/>
      <w:r w:rsidRPr="00DC3083">
        <w:t>dL</w:t>
      </w:r>
      <w:proofErr w:type="spellEnd"/>
      <w:r w:rsidRPr="00DC3083">
        <w:t xml:space="preserve"> or higher (or prescribed medication to treat hyperglycemia)</w:t>
      </w:r>
      <w:r>
        <w:t>] in order to be diagnosed, it became difficult to obtain a larger sample</w:t>
      </w:r>
      <w:r w:rsidRPr="00DC3083">
        <w:t xml:space="preserve">.  </w:t>
      </w:r>
      <w:r>
        <w:t xml:space="preserve">The majority of clients did not have a waist circumference measured in their charts, thus leaving the researcher with only four indicators of metabolic syndrome for which data was available.  Many clients did not have lab data in their charts, particularly for cholesterol levels, so this severely limited the number of participants that could be included in the study.  Even among the 18 participants that were included, less than half had post-intervention data on triglycerides and HDL cholesterol for comparison purposes.  The researcher suspects that a much larger percentage of consenting participants could have been identified as having metabolic syndrome, but unfortunately there was not enough data in the medical records to confirm this diagnosis.  </w:t>
      </w:r>
    </w:p>
    <w:p w:rsidR="00522798" w:rsidRDefault="00522798" w:rsidP="00522798">
      <w:pPr>
        <w:pStyle w:val="APA"/>
      </w:pPr>
      <w:r>
        <w:lastRenderedPageBreak/>
        <w:tab/>
        <w:t xml:space="preserve">Regarding the </w:t>
      </w:r>
      <w:r w:rsidRPr="002804FE">
        <w:rPr>
          <w:i/>
        </w:rPr>
        <w:t>Health Literacy Patient Survey</w:t>
      </w:r>
      <w:r>
        <w:t xml:space="preserve">, while a large number of participants completed pre- and post- intervention surveys, very few were able to be paired.  There were only 10 participants from the pre-intervention surveys that also completed post-intervention surveys.  Despite this survey being developed by the AHRQ for use with the </w:t>
      </w:r>
      <w:r>
        <w:rPr>
          <w:i/>
        </w:rPr>
        <w:t>Health Literacy Universal Precautions Toolkit</w:t>
      </w:r>
      <w:r>
        <w:t xml:space="preserve">, it does not work very well for a population with low health literacy or severe mental illness.  The survey contains 42 items with a great deal of wording.  Many of the items on the survey also contained skip patterns.  It was evident on data entry that many participants did not understand the questions, as they did not follow the skip patterns built into the survey.  While this could have been mitigated with a computer-administered survey, this method of administration is also a challenge with a low-health literate population.  Most likely, the length and difficulty of the survey contributed to the lack of significant results. </w:t>
      </w:r>
    </w:p>
    <w:p w:rsidR="00522798" w:rsidRDefault="00522798" w:rsidP="00522798">
      <w:pPr>
        <w:pStyle w:val="APA"/>
      </w:pPr>
      <w:r>
        <w:tab/>
        <w:t xml:space="preserve">The </w:t>
      </w:r>
      <w:r w:rsidRPr="00927F6D">
        <w:rPr>
          <w:i/>
        </w:rPr>
        <w:t>Primary Care Health Literacy Assessment</w:t>
      </w:r>
      <w:r>
        <w:t xml:space="preserve"> analysis did show significant improvement in one question related to Tool 11: Assess, Select, and Create Easy-to-Understand Materials.  This is an interesting change.  Despite the health literacy quality improvement team selecting Tool 11 as one of their focus-tools, very little was implemented regarding this tool.  While the team researched and selected better written materials and organized the written materials that they had, they were unable to organize these in a central location, as the rack system had not yet been mounted at the practice at the time of the post-test.  Though Tool 11 focuses largely on written materials, the team did make one large improvement with a patient education video system located in the waiting room, which could have affected the results of this question on the survey.  The </w:t>
      </w:r>
      <w:r>
        <w:lastRenderedPageBreak/>
        <w:t xml:space="preserve">significant results in question 20, which are related to Tool 9: Address Language Issues, were also unsurprising given the efforts of the health literacy quality improvement team.  Though the team was unable to find many high-quality written materials in Haitian-creole, they were able to implement language warnings in the EHR and educate the staff about how to create and view these warnings.  This may have affected staff utilization of the language-line service when interacting with clients. </w:t>
      </w:r>
    </w:p>
    <w:p w:rsidR="00522798" w:rsidRDefault="00522798" w:rsidP="00522798">
      <w:pPr>
        <w:pStyle w:val="APA"/>
      </w:pPr>
      <w:r>
        <w:tab/>
        <w:t xml:space="preserve">Though the statistical analyses of the items measured did not show much significance, the biggest outcome achieved was with the staff knowledge of the quality improvement process.  Members of the health literacy quality improvement team came to meetings every two weeks with a positive outlook and suggested several creative solutions to improve health literacy practices at the Lower Shore Clinic.  They informally learned how to complete PDSA cycles with every change that was implemented at the clinic.  At the conclusion of the project, these staff members felt ready to take on another quality improvement challenge as a team; they chose improving communication between staff.  </w:t>
      </w:r>
    </w:p>
    <w:p w:rsidR="00522798" w:rsidRPr="00522798" w:rsidRDefault="00522798" w:rsidP="00522798">
      <w:pPr>
        <w:pStyle w:val="BodyText"/>
      </w:pPr>
    </w:p>
    <w:p w:rsidR="00522798" w:rsidRPr="00522798" w:rsidRDefault="00522798" w:rsidP="00522798">
      <w:pPr>
        <w:pStyle w:val="BodyText"/>
      </w:pPr>
    </w:p>
    <w:bookmarkEnd w:id="22"/>
    <w:p w:rsidR="00566D42" w:rsidRDefault="00C44D1E" w:rsidP="00566D42">
      <w:pPr>
        <w:pStyle w:val="APALevel0"/>
      </w:pPr>
      <w:r>
        <w:br w:type="page"/>
      </w:r>
      <w:bookmarkStart w:id="38" w:name="_Toc514059909"/>
      <w:r w:rsidR="00595B2A">
        <w:lastRenderedPageBreak/>
        <w:t>Recommendations</w:t>
      </w:r>
      <w:bookmarkEnd w:id="38"/>
    </w:p>
    <w:p w:rsidR="00566D42" w:rsidRDefault="00522798" w:rsidP="00566D42">
      <w:pPr>
        <w:pStyle w:val="APALevel1"/>
      </w:pPr>
      <w:bookmarkStart w:id="39" w:name="_Toc514059910"/>
      <w:r>
        <w:t>Significance</w:t>
      </w:r>
      <w:bookmarkEnd w:id="39"/>
    </w:p>
    <w:p w:rsidR="00522798" w:rsidRDefault="00522798" w:rsidP="00522798">
      <w:pPr>
        <w:pStyle w:val="APA"/>
        <w:ind w:firstLine="720"/>
      </w:pPr>
      <w:r>
        <w:t xml:space="preserve">Three months of data to identify significant trends in health outcomes such as these is a very short period of time.  Clients struggle with these illnesses for life and often it takes years of lifestyle changes and medications to impact certain health outcomes.  The researcher was also limited by the fact that she is not a prescriber at this practice, so she is unable to order labs on these clients.  Though there were no significant improvements in metabolic syndrome in those with severe mental illness in this short time period, given the n in this study, it still may be possible that improving the health literacy of a specific, challenging, underserved population can enhance health outcomes.  </w:t>
      </w:r>
    </w:p>
    <w:p w:rsidR="00522798" w:rsidRPr="003D7625" w:rsidRDefault="00522798" w:rsidP="00522798">
      <w:pPr>
        <w:pStyle w:val="APA"/>
        <w:ind w:firstLine="720"/>
      </w:pPr>
      <w:r>
        <w:t xml:space="preserve">Improving health literacy and indicators of metabolic syndrome meets several </w:t>
      </w:r>
      <w:r>
        <w:rPr>
          <w:i/>
        </w:rPr>
        <w:t xml:space="preserve">Healthy People 2020 </w:t>
      </w:r>
      <w:r>
        <w:t xml:space="preserve">objectives.  </w:t>
      </w:r>
      <w:r w:rsidRPr="00D73852">
        <w:t xml:space="preserve">Implementing a health literacy intervention to subsequently </w:t>
      </w:r>
      <w:r>
        <w:t xml:space="preserve">improve knowledge about health issues </w:t>
      </w:r>
      <w:r w:rsidRPr="00D73852">
        <w:t>could also potentially</w:t>
      </w:r>
      <w:r>
        <w:t xml:space="preserve"> reduce client errors in taking medications, decrease emergency department utilization, </w:t>
      </w:r>
      <w:r w:rsidRPr="00D73852">
        <w:t>increase utilization of preventive services</w:t>
      </w:r>
      <w:r>
        <w:t>,</w:t>
      </w:r>
      <w:r w:rsidRPr="00D73852">
        <w:t xml:space="preserve"> </w:t>
      </w:r>
      <w:r>
        <w:t xml:space="preserve">and decrease </w:t>
      </w:r>
      <w:r w:rsidRPr="00D73852">
        <w:t>overall</w:t>
      </w:r>
      <w:r>
        <w:t xml:space="preserve"> healthcare costs (AHRQ, 2016).  Though the latter outcomes are not measured in this particular project, there is evidence that </w:t>
      </w:r>
      <w:r w:rsidRPr="00D73852">
        <w:t>limited health literacy can negatively impact all of the above</w:t>
      </w:r>
      <w:r>
        <w:t xml:space="preserve"> (IOM, 2004).  </w:t>
      </w:r>
      <w:r w:rsidRPr="00D73852">
        <w:t>Future research exploring this practice change intervention</w:t>
      </w:r>
      <w:r>
        <w:t xml:space="preserve"> over a longer period of time with more control over data</w:t>
      </w:r>
      <w:r w:rsidRPr="00D73852">
        <w:t xml:space="preserve"> is needed to</w:t>
      </w:r>
      <w:r>
        <w:t xml:space="preserve"> better</w:t>
      </w:r>
      <w:r w:rsidRPr="00D73852">
        <w:t xml:space="preserve"> examine these and other pertinent outcomes.</w:t>
      </w:r>
      <w:r>
        <w:t xml:space="preserve">  </w:t>
      </w:r>
    </w:p>
    <w:p w:rsidR="00595B2A" w:rsidRDefault="00522798" w:rsidP="00595B2A">
      <w:pPr>
        <w:pStyle w:val="APA"/>
        <w:ind w:firstLine="720"/>
      </w:pPr>
      <w:r w:rsidRPr="00D73852">
        <w:t xml:space="preserve">In summary, this practice project has the potential to positively impact the Lower Shore Clinic practice in many ways.  First, implementing a health care literacy intervention specifically for clinic </w:t>
      </w:r>
      <w:r>
        <w:t>client</w:t>
      </w:r>
      <w:r w:rsidRPr="00D73852">
        <w:t>s with s</w:t>
      </w:r>
      <w:r>
        <w:t xml:space="preserve">evere mental illness </w:t>
      </w:r>
      <w:r w:rsidRPr="00D73852">
        <w:t xml:space="preserve">is a significant step </w:t>
      </w:r>
      <w:r w:rsidRPr="00D73852">
        <w:lastRenderedPageBreak/>
        <w:t xml:space="preserve">for this organization in terms of utilizing proactive strategies to enhance health outcomes in a targeted group.  This practice change not only positively impacts this vulnerable population, but could also impact all </w:t>
      </w:r>
      <w:r>
        <w:t>client</w:t>
      </w:r>
      <w:r w:rsidRPr="00D73852">
        <w:t>s served by the clinic.  Evidence shows that interventions designed for those with limited health literacy also benefit those with stronger health literacy skills (AHRQ, 2016).  Furthermore, implementation of an evidence-based, systematic quality improvement project</w:t>
      </w:r>
      <w:r>
        <w:t>,</w:t>
      </w:r>
      <w:r w:rsidRPr="00D73852">
        <w:t xml:space="preserve"> such as the </w:t>
      </w:r>
      <w:r w:rsidRPr="00D73852">
        <w:rPr>
          <w:i/>
        </w:rPr>
        <w:t>AHRQ Health Literacy Universal Precautions Toolkit</w:t>
      </w:r>
      <w:r>
        <w:rPr>
          <w:i/>
        </w:rPr>
        <w:t>,</w:t>
      </w:r>
      <w:r w:rsidRPr="00D73852">
        <w:rPr>
          <w:i/>
        </w:rPr>
        <w:t xml:space="preserve"> </w:t>
      </w:r>
      <w:r w:rsidRPr="00D73852">
        <w:t xml:space="preserve">will also help to </w:t>
      </w:r>
      <w:r>
        <w:t xml:space="preserve">educate staff about quality improvement and </w:t>
      </w:r>
      <w:r w:rsidRPr="00D73852">
        <w:t>create a culture that values quality improvement initiatives and safety at the Lower Shore Clinic.</w:t>
      </w:r>
      <w:r>
        <w:t xml:space="preserve">  </w:t>
      </w:r>
      <w:r w:rsidRPr="00D73852">
        <w:t>Such a culture could assist the practice in meeting certain standards for accreditation that are examined by regulating agencies</w:t>
      </w:r>
      <w:r>
        <w:t xml:space="preserve"> </w:t>
      </w:r>
      <w:r w:rsidRPr="00D73852">
        <w:t>as well as guide related health literacy initiatives in the future</w:t>
      </w:r>
      <w:r>
        <w:t xml:space="preserve">. </w:t>
      </w:r>
    </w:p>
    <w:p w:rsidR="00595B2A" w:rsidRDefault="00C44D1E" w:rsidP="00595B2A">
      <w:pPr>
        <w:pStyle w:val="APALevel1"/>
      </w:pPr>
      <w:bookmarkStart w:id="40" w:name="_Toc514059911"/>
      <w:r w:rsidRPr="00C44D1E">
        <w:t>Sustainability</w:t>
      </w:r>
      <w:bookmarkEnd w:id="40"/>
    </w:p>
    <w:p w:rsidR="00C44D1E" w:rsidRPr="00C44D1E" w:rsidRDefault="00C44D1E" w:rsidP="00C44D1E">
      <w:pPr>
        <w:pStyle w:val="BodyText"/>
      </w:pPr>
      <w:r>
        <w:t>The greatest economic consideration</w:t>
      </w:r>
      <w:r w:rsidR="00DC3121">
        <w:t>s</w:t>
      </w:r>
      <w:r>
        <w:t xml:space="preserve"> when assessing the sustainability of this evidence-based practice change at </w:t>
      </w:r>
      <w:r w:rsidR="00DC3121">
        <w:t>an organization</w:t>
      </w:r>
      <w:r>
        <w:t xml:space="preserve"> such as the Lower Shore Clinic</w:t>
      </w:r>
      <w:r w:rsidR="00DC3121">
        <w:t xml:space="preserve"> are time and cost.  Five employees met for a total of two hours each month, and there is also a salary associated with this amount of time.  All other pieces of this project were completed during the employees’ down time.  Only one employee, the mental health counselor, lost two billable hours per month as a member of the health literacy quality improvement team instead of seeing patients during these hours.  The television was no cost to the clinic, as it was paid for by Terrapin Pharmacy.  The patient education system, </w:t>
      </w:r>
      <w:proofErr w:type="spellStart"/>
      <w:r w:rsidR="00DC3121">
        <w:t>ViewMedica</w:t>
      </w:r>
      <w:proofErr w:type="spellEnd"/>
      <w:r w:rsidR="00DC3121">
        <w:t xml:space="preserve">, has a cost of 75 dollars per month.  The Amazon </w:t>
      </w:r>
      <w:proofErr w:type="spellStart"/>
      <w:r w:rsidR="00DC3121">
        <w:t>FireStick</w:t>
      </w:r>
      <w:proofErr w:type="spellEnd"/>
      <w:r w:rsidR="00DC3121">
        <w:t xml:space="preserve"> that runs the </w:t>
      </w:r>
      <w:proofErr w:type="spellStart"/>
      <w:r w:rsidR="00DC3121">
        <w:lastRenderedPageBreak/>
        <w:t>ViewMedica</w:t>
      </w:r>
      <w:proofErr w:type="spellEnd"/>
      <w:r w:rsidR="00DC3121">
        <w:t xml:space="preserve"> videos was a one-time cost of 40 dollars.  There is also a small cost associated with the printing of brochures and other written patient education materials.  </w:t>
      </w:r>
    </w:p>
    <w:p w:rsidR="00595B2A" w:rsidRDefault="00595B2A" w:rsidP="00DC3121">
      <w:pPr>
        <w:pStyle w:val="APALevel1"/>
      </w:pPr>
      <w:bookmarkStart w:id="41" w:name="_Toc514059912"/>
      <w:r w:rsidRPr="00DC3121">
        <w:t xml:space="preserve">DNP Role </w:t>
      </w:r>
      <w:r w:rsidR="00DC3121">
        <w:t>Discussion</w:t>
      </w:r>
      <w:bookmarkEnd w:id="41"/>
    </w:p>
    <w:p w:rsidR="00DC3121" w:rsidRPr="00281AEA" w:rsidRDefault="00DC3121" w:rsidP="00DC3121">
      <w:pPr>
        <w:pStyle w:val="APA"/>
        <w:ind w:firstLine="720"/>
      </w:pPr>
      <w:r>
        <w:t xml:space="preserve">The DNP Project is not only a required program deliverable, but also demonstrates doctoral competencies and lays the groundwork for future scholarship (Moran, 2017, p. 7).  The DNP Project should demonstrate the student’s achievement of the eight DNP </w:t>
      </w:r>
      <w:r>
        <w:rPr>
          <w:i/>
        </w:rPr>
        <w:t>Essentials of Doctoral Education</w:t>
      </w:r>
      <w:r>
        <w:t xml:space="preserve"> written by the American Association of Colleges of Nursing (AACN, 2006).  Not only does the DNP Project need to meet the </w:t>
      </w:r>
      <w:r>
        <w:rPr>
          <w:i/>
        </w:rPr>
        <w:t xml:space="preserve">DNP Essentials, </w:t>
      </w:r>
      <w:r>
        <w:t xml:space="preserve">it can also meet many of the </w:t>
      </w:r>
      <w:r>
        <w:rPr>
          <w:i/>
        </w:rPr>
        <w:t>Nurse Practitioner Core Competencies</w:t>
      </w:r>
      <w:r>
        <w:t xml:space="preserve"> set forth by the National Organization of Nurse Practitioner Faculties (NONPF, 2017)</w:t>
      </w:r>
      <w:r>
        <w:rPr>
          <w:i/>
        </w:rPr>
        <w:t xml:space="preserve">.  </w:t>
      </w:r>
      <w:r>
        <w:t xml:space="preserve">A DNP program graduate in an FNP concentration should be able to prove that they have met all </w:t>
      </w:r>
      <w:r>
        <w:rPr>
          <w:i/>
        </w:rPr>
        <w:t xml:space="preserve">Essentials </w:t>
      </w:r>
      <w:r>
        <w:t xml:space="preserve">and </w:t>
      </w:r>
      <w:r>
        <w:rPr>
          <w:i/>
        </w:rPr>
        <w:t xml:space="preserve">Core Competencies </w:t>
      </w:r>
      <w:r>
        <w:t xml:space="preserve">prior to commencement.  This project on </w:t>
      </w:r>
      <w:r w:rsidRPr="00836A0D">
        <w:t>Improving Perceptions of Health Literacy Practices and Indicators of Metabolic Syndrome in Adults with Severe Mental Illness</w:t>
      </w:r>
      <w:r>
        <w:t xml:space="preserve"> meets both the AACN </w:t>
      </w:r>
      <w:r>
        <w:rPr>
          <w:i/>
        </w:rPr>
        <w:t xml:space="preserve">Essentials </w:t>
      </w:r>
      <w:r>
        <w:t xml:space="preserve">and the NONPF </w:t>
      </w:r>
      <w:r>
        <w:rPr>
          <w:i/>
        </w:rPr>
        <w:t xml:space="preserve">Core Competencies, </w:t>
      </w:r>
      <w:r>
        <w:t>as evidenced below.</w:t>
      </w:r>
    </w:p>
    <w:p w:rsidR="00DC3121" w:rsidRDefault="00DC3121" w:rsidP="00DC3121">
      <w:pPr>
        <w:pStyle w:val="APA"/>
        <w:rPr>
          <w:b/>
        </w:rPr>
      </w:pPr>
      <w:r w:rsidRPr="00D52E9D">
        <w:rPr>
          <w:b/>
          <w:i/>
        </w:rPr>
        <w:t>Essential I</w:t>
      </w:r>
      <w:r>
        <w:rPr>
          <w:b/>
        </w:rPr>
        <w:t xml:space="preserve"> and Scientific Foundation </w:t>
      </w:r>
      <w:r w:rsidRPr="004C22A9">
        <w:rPr>
          <w:b/>
          <w:i/>
        </w:rPr>
        <w:t>Core Competencies</w:t>
      </w:r>
    </w:p>
    <w:p w:rsidR="00DC3121" w:rsidRDefault="00DC3121" w:rsidP="00DC3121">
      <w:pPr>
        <w:pStyle w:val="APA"/>
      </w:pPr>
      <w:r>
        <w:tab/>
      </w:r>
      <w:r>
        <w:rPr>
          <w:i/>
        </w:rPr>
        <w:t xml:space="preserve">Essential I </w:t>
      </w:r>
      <w:r>
        <w:t xml:space="preserve">of the </w:t>
      </w:r>
      <w:r>
        <w:rPr>
          <w:i/>
        </w:rPr>
        <w:t xml:space="preserve">DNP Essentials </w:t>
      </w:r>
      <w:r>
        <w:t xml:space="preserve">is the scientific underpinnings of practice (AACN, 2006).  This relates to the NONPF (2017) scientific foundation </w:t>
      </w:r>
      <w:r w:rsidRPr="004C22A9">
        <w:rPr>
          <w:i/>
        </w:rPr>
        <w:t>Core Competencies</w:t>
      </w:r>
      <w:r>
        <w:t xml:space="preserve">.  The DNP Project included an extensive literature review in order to translate research into practice.  Research was found on health literacy and health outcomes in populations with mental illness which helped to determine the nature and significance of the health phenomenon (AACN, 2006).  Research was also found on </w:t>
      </w:r>
      <w:r>
        <w:lastRenderedPageBreak/>
        <w:t>strategies to alleviate the issue.  As this project involves a quality improvement initiative, the DNP student relied on her knowledge of complex organizational structures and change theories in order to promote and incorporate the evidence-based practice change.  The DNP student also analyzed outcomes of the DNP Project to evaluate its effectiveness.</w:t>
      </w:r>
    </w:p>
    <w:p w:rsidR="00DC3121" w:rsidRDefault="00DC3121" w:rsidP="00DC3121">
      <w:pPr>
        <w:pStyle w:val="APA"/>
      </w:pPr>
      <w:r>
        <w:rPr>
          <w:b/>
          <w:i/>
        </w:rPr>
        <w:t>Essential II</w:t>
      </w:r>
      <w:r>
        <w:rPr>
          <w:b/>
        </w:rPr>
        <w:t xml:space="preserve"> and Leadership, Quality, and Health Delivery System </w:t>
      </w:r>
      <w:r w:rsidRPr="004C22A9">
        <w:rPr>
          <w:b/>
          <w:i/>
        </w:rPr>
        <w:t>Core Competencies</w:t>
      </w:r>
    </w:p>
    <w:p w:rsidR="00DC3121" w:rsidRDefault="00DC3121" w:rsidP="00DC3121">
      <w:pPr>
        <w:pStyle w:val="APA"/>
      </w:pPr>
      <w:r>
        <w:tab/>
      </w:r>
      <w:r>
        <w:rPr>
          <w:i/>
        </w:rPr>
        <w:t xml:space="preserve">DNP Essential II </w:t>
      </w:r>
      <w:r>
        <w:t xml:space="preserve">and NONPF’s (2017) leadership, quality, and health delivery system </w:t>
      </w:r>
      <w:r w:rsidRPr="00BF483B">
        <w:rPr>
          <w:i/>
        </w:rPr>
        <w:t>Core Competencies</w:t>
      </w:r>
      <w:r>
        <w:t xml:space="preserve"> relate to the organizational and systems leadership for quality improvement and systems thinking (AACN, 2006).  The DNP student led her own multidisciplinary quality improvement team within a healthcare organization with the goal of improving health literacy.  By doing this, she assessed an organization, identified systems’ issues, and facilitated an organization-wide change in practice delivery (AACN, 2006).  The student applied key concepts of complexity science and change to recommend a systematic and innovative evidence-based practice change plan (NONPF, 2017).  The DNP student not only implemented the quality improvement project, but also evaluated its relationship to cost and health outcomes.</w:t>
      </w:r>
    </w:p>
    <w:p w:rsidR="00DC3121" w:rsidRDefault="00DC3121" w:rsidP="00DC3121">
      <w:pPr>
        <w:pStyle w:val="APA"/>
        <w:rPr>
          <w:b/>
        </w:rPr>
      </w:pPr>
      <w:r>
        <w:rPr>
          <w:b/>
          <w:i/>
        </w:rPr>
        <w:t xml:space="preserve">Essential III </w:t>
      </w:r>
      <w:r>
        <w:rPr>
          <w:b/>
        </w:rPr>
        <w:t xml:space="preserve">and Practice Inquiry </w:t>
      </w:r>
      <w:r w:rsidRPr="004C22A9">
        <w:rPr>
          <w:b/>
          <w:i/>
        </w:rPr>
        <w:t>Core Competencies</w:t>
      </w:r>
    </w:p>
    <w:p w:rsidR="00DC3121" w:rsidRDefault="00DC3121" w:rsidP="00DC3121">
      <w:pPr>
        <w:pStyle w:val="APA"/>
      </w:pPr>
      <w:r>
        <w:tab/>
      </w:r>
      <w:r>
        <w:rPr>
          <w:i/>
        </w:rPr>
        <w:t>Essential III</w:t>
      </w:r>
      <w:r>
        <w:t xml:space="preserve"> is the clinical scholarship and analytical methods for evidence-based practice </w:t>
      </w:r>
      <w:r>
        <w:rPr>
          <w:i/>
        </w:rPr>
        <w:t xml:space="preserve">DNP Essential </w:t>
      </w:r>
      <w:r>
        <w:t xml:space="preserve">(AACN, 2006) which is most closely related to NONPF’s (2017) practice inquiry </w:t>
      </w:r>
      <w:r w:rsidRPr="00BF483B">
        <w:rPr>
          <w:i/>
        </w:rPr>
        <w:t>Core Competencies</w:t>
      </w:r>
      <w:r>
        <w:t xml:space="preserve">.  As stated in the analysis of </w:t>
      </w:r>
      <w:r>
        <w:rPr>
          <w:i/>
        </w:rPr>
        <w:t>Essential I</w:t>
      </w:r>
      <w:r>
        <w:t xml:space="preserve">, the DNP student performed an extensive literature review in order to appraise literature and other </w:t>
      </w:r>
      <w:r>
        <w:lastRenderedPageBreak/>
        <w:t>evidence and help design the quality improvement practice change (AACN, 2006).  The DNP student will also disseminate the evidence from this DNP Project to diverse audiences using multiple modalities in order to improve healthcare outcomes (NONPF, 2017).</w:t>
      </w:r>
    </w:p>
    <w:p w:rsidR="00DC3121" w:rsidRPr="004C22A9" w:rsidRDefault="00DC3121" w:rsidP="00DC3121">
      <w:pPr>
        <w:pStyle w:val="APA"/>
        <w:rPr>
          <w:b/>
          <w:i/>
        </w:rPr>
      </w:pPr>
      <w:r>
        <w:rPr>
          <w:b/>
          <w:i/>
        </w:rPr>
        <w:t xml:space="preserve">Essential IV </w:t>
      </w:r>
      <w:r>
        <w:rPr>
          <w:b/>
        </w:rPr>
        <w:t xml:space="preserve">and Technology and Information Literacy </w:t>
      </w:r>
      <w:r w:rsidRPr="004C22A9">
        <w:rPr>
          <w:b/>
          <w:i/>
        </w:rPr>
        <w:t>Core Competencies</w:t>
      </w:r>
    </w:p>
    <w:p w:rsidR="00DC3121" w:rsidRDefault="00DC3121" w:rsidP="00DC3121">
      <w:pPr>
        <w:pStyle w:val="APA"/>
      </w:pPr>
      <w:r>
        <w:tab/>
      </w:r>
      <w:r>
        <w:rPr>
          <w:i/>
        </w:rPr>
        <w:t>DNP Essential IV</w:t>
      </w:r>
      <w:r>
        <w:t xml:space="preserve"> is information systems/technology and patient care technology for the improvement and transformation of health care (AACN, 206), which is very similar to NONPF’s (2017) technology and information literacy </w:t>
      </w:r>
      <w:r w:rsidRPr="00BF483B">
        <w:rPr>
          <w:i/>
        </w:rPr>
        <w:t>Core Competencies</w:t>
      </w:r>
      <w:r>
        <w:t xml:space="preserve">.  The DNP student used the electronic health record (EHR), Credible, in order to gather client data and measure the outcomes of the project.  The project also included inputting several tools into Credible, including a client summary printout to be given at the end of client visits to primary care providers.  The DNP student also implemented and maintained a patient education system in the waiting room and programmed several unique text-based slides to make health and clinic information more accessible to the population of clients seen there. </w:t>
      </w:r>
    </w:p>
    <w:p w:rsidR="00DC3121" w:rsidRDefault="00DC3121" w:rsidP="00DC3121">
      <w:pPr>
        <w:pStyle w:val="APA"/>
      </w:pPr>
      <w:r>
        <w:rPr>
          <w:b/>
          <w:i/>
        </w:rPr>
        <w:t xml:space="preserve">Essential V </w:t>
      </w:r>
      <w:r>
        <w:rPr>
          <w:b/>
        </w:rPr>
        <w:t xml:space="preserve">and Policy </w:t>
      </w:r>
      <w:r w:rsidRPr="004C22A9">
        <w:rPr>
          <w:b/>
          <w:i/>
        </w:rPr>
        <w:t>Core Competencies</w:t>
      </w:r>
    </w:p>
    <w:p w:rsidR="00DC3121" w:rsidRPr="00C93BE9" w:rsidRDefault="00DC3121" w:rsidP="00DC3121">
      <w:pPr>
        <w:pStyle w:val="APA"/>
      </w:pPr>
      <w:r>
        <w:tab/>
        <w:t>H</w:t>
      </w:r>
      <w:r w:rsidRPr="00502816">
        <w:t xml:space="preserve">ealth care policy for advocacy in health care, or </w:t>
      </w:r>
      <w:r w:rsidRPr="00502816">
        <w:rPr>
          <w:i/>
        </w:rPr>
        <w:t>DNP Essential V</w:t>
      </w:r>
      <w:r w:rsidRPr="00502816">
        <w:t xml:space="preserve"> (AACN, 2006) is very similar to NONPF’s (2017) </w:t>
      </w:r>
      <w:r>
        <w:t>p</w:t>
      </w:r>
      <w:r w:rsidRPr="00502816">
        <w:t xml:space="preserve">olicy </w:t>
      </w:r>
      <w:r w:rsidRPr="00BF483B">
        <w:rPr>
          <w:i/>
        </w:rPr>
        <w:t>Core Competencies</w:t>
      </w:r>
      <w:r w:rsidRPr="00502816">
        <w:t xml:space="preserve">.  </w:t>
      </w:r>
      <w:r>
        <w:t xml:space="preserve">The DNP Project included policy recommendations from such institutions as the Agency for Healthcare Research and Quality, the Institute of Medicine, and </w:t>
      </w:r>
      <w:r>
        <w:rPr>
          <w:i/>
        </w:rPr>
        <w:t xml:space="preserve">Healthy People 2020.  </w:t>
      </w:r>
      <w:r w:rsidRPr="00502816">
        <w:t xml:space="preserve">This DNP </w:t>
      </w:r>
      <w:r>
        <w:t>P</w:t>
      </w:r>
      <w:r w:rsidRPr="00502816">
        <w:t>roject focuses on a universal precautions approach to health literacy, which</w:t>
      </w:r>
      <w:r>
        <w:t xml:space="preserve"> requires an “every client, every time” approach to imparting health information.  This required an </w:t>
      </w:r>
      <w:r>
        <w:lastRenderedPageBreak/>
        <w:t xml:space="preserve">institutional-level policy change regarding communication and patient education materials.  As a result of the DNP Project, all members of the organization use this approach to health literacy.  </w:t>
      </w:r>
    </w:p>
    <w:p w:rsidR="00DC3121" w:rsidRDefault="00DC3121" w:rsidP="00DC3121">
      <w:pPr>
        <w:pStyle w:val="APA"/>
        <w:rPr>
          <w:b/>
          <w:i/>
        </w:rPr>
      </w:pPr>
      <w:r>
        <w:rPr>
          <w:b/>
          <w:i/>
        </w:rPr>
        <w:t xml:space="preserve">Essential VI </w:t>
      </w:r>
    </w:p>
    <w:p w:rsidR="00DC3121" w:rsidRPr="000908CA" w:rsidRDefault="00DC3121" w:rsidP="00DC3121">
      <w:pPr>
        <w:pStyle w:val="APA"/>
      </w:pPr>
      <w:r>
        <w:tab/>
      </w:r>
      <w:proofErr w:type="spellStart"/>
      <w:r>
        <w:t>Interprofessional</w:t>
      </w:r>
      <w:proofErr w:type="spellEnd"/>
      <w:r>
        <w:t xml:space="preserve"> collaboration for improving patient and population health outcomes is </w:t>
      </w:r>
      <w:r>
        <w:rPr>
          <w:i/>
        </w:rPr>
        <w:t xml:space="preserve">AACN’s </w:t>
      </w:r>
      <w:r>
        <w:t xml:space="preserve">(2006) </w:t>
      </w:r>
      <w:r>
        <w:rPr>
          <w:i/>
        </w:rPr>
        <w:t xml:space="preserve">DNP Essential VI.  </w:t>
      </w:r>
      <w:r>
        <w:t xml:space="preserve">The DNP student led an </w:t>
      </w:r>
      <w:proofErr w:type="spellStart"/>
      <w:r>
        <w:t>interprofessional</w:t>
      </w:r>
      <w:proofErr w:type="spellEnd"/>
      <w:r>
        <w:t xml:space="preserve"> quality improvement team and collaborated with many health professionals from different disciplines within the organization to create change in a healthcare delivery system (AACN, 2006).  The health literacy quality improvement team consisted of a registered nurse, therapist, certified nursing assistant, and front desk personnel.  The team also collaborated with the clinic staff, at large, which consists of a greater variety of healthcare professionals.  The DNP student collaborated with the clinic director and chief executive officer to implement several of the practice changes identified in the </w:t>
      </w:r>
      <w:r>
        <w:rPr>
          <w:i/>
        </w:rPr>
        <w:t>AHRQ Health Literacy Universal Precautions Toolkit</w:t>
      </w:r>
      <w:r>
        <w:t xml:space="preserve">.  For example, the DNP student met with the clinic director, health home director, CEO of the organization, and Vice President of the pharmacy in order to implement the waiting room patient education system.  </w:t>
      </w:r>
    </w:p>
    <w:p w:rsidR="00DC3121" w:rsidRDefault="00DC3121" w:rsidP="00DC3121">
      <w:pPr>
        <w:pStyle w:val="APA"/>
        <w:rPr>
          <w:b/>
          <w:i/>
        </w:rPr>
      </w:pPr>
      <w:r>
        <w:rPr>
          <w:b/>
          <w:i/>
        </w:rPr>
        <w:t>Essential VII</w:t>
      </w:r>
    </w:p>
    <w:p w:rsidR="00DC3121" w:rsidRPr="000908CA" w:rsidRDefault="00DC3121" w:rsidP="00DC3121">
      <w:pPr>
        <w:pStyle w:val="APA"/>
      </w:pPr>
      <w:r>
        <w:rPr>
          <w:i/>
        </w:rPr>
        <w:tab/>
      </w:r>
      <w:r>
        <w:t xml:space="preserve">AACN’s (2006) </w:t>
      </w:r>
      <w:r>
        <w:rPr>
          <w:i/>
        </w:rPr>
        <w:t xml:space="preserve">DNP Essential VII </w:t>
      </w:r>
      <w:r>
        <w:t xml:space="preserve">is clinical prevention and population health for improving the nation’s health.  The entire DNP project was designed to improve the health literacy of all clients utilizing the clinic and specifically improve the health outcomes of clients with severe mental illness and metabolic syndrome.  </w:t>
      </w:r>
    </w:p>
    <w:p w:rsidR="00DC3121" w:rsidRDefault="00DC3121" w:rsidP="00DC3121">
      <w:pPr>
        <w:pStyle w:val="APA"/>
        <w:rPr>
          <w:b/>
        </w:rPr>
      </w:pPr>
      <w:r>
        <w:rPr>
          <w:b/>
          <w:i/>
        </w:rPr>
        <w:t xml:space="preserve">Essential VIII </w:t>
      </w:r>
      <w:r>
        <w:rPr>
          <w:b/>
        </w:rPr>
        <w:t xml:space="preserve">and Independent Practice </w:t>
      </w:r>
      <w:r w:rsidRPr="004C22A9">
        <w:rPr>
          <w:b/>
          <w:i/>
        </w:rPr>
        <w:t>Core Competencies</w:t>
      </w:r>
      <w:r>
        <w:rPr>
          <w:b/>
        </w:rPr>
        <w:t xml:space="preserve"> </w:t>
      </w:r>
    </w:p>
    <w:p w:rsidR="00DC3121" w:rsidRPr="006F4C00" w:rsidRDefault="00DC3121" w:rsidP="00DC3121">
      <w:pPr>
        <w:pStyle w:val="APA"/>
      </w:pPr>
      <w:r>
        <w:lastRenderedPageBreak/>
        <w:tab/>
      </w:r>
      <w:r>
        <w:rPr>
          <w:i/>
        </w:rPr>
        <w:t>Essential VIII</w:t>
      </w:r>
      <w:r>
        <w:t xml:space="preserve"> is advanced nursing practice (AACN, 2006).  This is similar to NONPF’s (2017) independent practice </w:t>
      </w:r>
      <w:r w:rsidRPr="00BF483B">
        <w:rPr>
          <w:i/>
        </w:rPr>
        <w:t>Core Competencies</w:t>
      </w:r>
      <w:r>
        <w:t>.  Throughout this project, the DNP student demonstrated critical thinking abilities that required expertise, advanced knowledge, and mastery of nursing practice (AACN, 2006).  The project required advanced levels of clinical judgment and systems thinking in order to design, implement, and evaluate the evidence-based practice change (AACN, 2006).</w:t>
      </w:r>
    </w:p>
    <w:p w:rsidR="00DC3121" w:rsidRDefault="00DC3121" w:rsidP="00DC3121">
      <w:pPr>
        <w:pStyle w:val="APA"/>
        <w:rPr>
          <w:b/>
        </w:rPr>
      </w:pPr>
      <w:r>
        <w:rPr>
          <w:b/>
        </w:rPr>
        <w:t xml:space="preserve">Ethics </w:t>
      </w:r>
      <w:r w:rsidRPr="004C22A9">
        <w:rPr>
          <w:b/>
          <w:i/>
        </w:rPr>
        <w:t>Core Competencies</w:t>
      </w:r>
    </w:p>
    <w:p w:rsidR="00DC3121" w:rsidRDefault="00DC3121" w:rsidP="00DC3121">
      <w:pPr>
        <w:pStyle w:val="APA"/>
      </w:pPr>
      <w:r>
        <w:tab/>
        <w:t xml:space="preserve">The NONPF (2017) Ethics </w:t>
      </w:r>
      <w:r w:rsidRPr="00BF483B">
        <w:rPr>
          <w:i/>
        </w:rPr>
        <w:t>Core Competencies</w:t>
      </w:r>
      <w:r>
        <w:t xml:space="preserve"> were clearly demonstrated in this DNP Project.  The poor health outcomes related to low health literacy, particularly experienced in those with severe mental illness, is an ethical issue of inequity in healthcare.  This DNP Project applied an ethical universal precautions approach to health literacy in order to try and address this inequity.  </w:t>
      </w:r>
    </w:p>
    <w:p w:rsidR="00DC3121" w:rsidRPr="00DC3121" w:rsidRDefault="00DC3121" w:rsidP="00DC3121">
      <w:pPr>
        <w:pStyle w:val="APA"/>
      </w:pPr>
      <w:r>
        <w:tab/>
        <w:t xml:space="preserve">The AACN’s (2004) </w:t>
      </w:r>
      <w:r>
        <w:rPr>
          <w:i/>
        </w:rPr>
        <w:t>Position Statement on the Practice Doctorate in Nursing</w:t>
      </w:r>
      <w:r>
        <w:t xml:space="preserve"> was a direct result of warnings and calls from the American Hospital Association, Institute of Medicine, and Joint Commission to move healthcare in the United States towards a focus on patient-centered care, interdisciplinary team care, evidence-based practice, quality improvement, and informatics (</w:t>
      </w:r>
      <w:proofErr w:type="spellStart"/>
      <w:r>
        <w:t>Chism</w:t>
      </w:r>
      <w:proofErr w:type="spellEnd"/>
      <w:r>
        <w:t xml:space="preserve">, 2013).  Through meeting the </w:t>
      </w:r>
      <w:r>
        <w:rPr>
          <w:i/>
        </w:rPr>
        <w:t>DNP</w:t>
      </w:r>
      <w:r w:rsidRPr="00BF483B">
        <w:rPr>
          <w:i/>
        </w:rPr>
        <w:t xml:space="preserve"> Essentials</w:t>
      </w:r>
      <w:r>
        <w:t xml:space="preserve"> and the </w:t>
      </w:r>
      <w:r>
        <w:rPr>
          <w:i/>
        </w:rPr>
        <w:t xml:space="preserve">Nurse Practitioner Core Competencies, </w:t>
      </w:r>
      <w:r>
        <w:t xml:space="preserve">a DNP graduate in a nurse practitioner program is well-positioned to not only participate, but to lead this change in healthcare. </w:t>
      </w:r>
      <w:r>
        <w:rPr>
          <w:i/>
        </w:rPr>
        <w:t xml:space="preserve"> </w:t>
      </w:r>
      <w:r w:rsidRPr="00BF483B">
        <w:t>This</w:t>
      </w:r>
      <w:r>
        <w:t xml:space="preserve"> project illustrates that the DNP student can meet these objectives in the future as a Family Nurse Practitioner with a Doctor of Nursing Practice degree and contribute towards advancing healthcare in the United States.</w:t>
      </w:r>
    </w:p>
    <w:p w:rsidR="00B14EF8" w:rsidRPr="00EB67E4" w:rsidRDefault="000C7C2F" w:rsidP="000C7C2F">
      <w:pPr>
        <w:pStyle w:val="APALevel0"/>
        <w:rPr>
          <w:highlight w:val="yellow"/>
        </w:rPr>
      </w:pPr>
      <w:r>
        <w:rPr>
          <w:highlight w:val="yellow"/>
        </w:rPr>
        <w:br w:type="page"/>
      </w:r>
      <w:bookmarkStart w:id="42" w:name="_Toc514059913"/>
      <w:r w:rsidR="005234CF" w:rsidRPr="000C7C2F">
        <w:lastRenderedPageBreak/>
        <w:t>Dissemination Plan</w:t>
      </w:r>
      <w:bookmarkEnd w:id="42"/>
    </w:p>
    <w:p w:rsidR="000C7C2F" w:rsidRDefault="000C7C2F" w:rsidP="000C7C2F">
      <w:pPr>
        <w:pStyle w:val="BodyText"/>
      </w:pPr>
      <w:r>
        <w:t xml:space="preserve">Scholarly work is not complete until it has been disseminated.  The above DNP Project, implemented at the Lower Shore Clinic in Salisbury, Maryland, will be made publicly available in many ways.  The project was presented the Salisbury University and the public at the DNP Project Presentation.  Bound copies of the project will be placed in the Salisbury University Department of Nursing and in SU Libraries.  The project will be electronically submitted to ProQuest and SOAR@SU.  Finally, a manuscript will be submitted to a scholarly nursing journal for publication.  </w:t>
      </w:r>
    </w:p>
    <w:p w:rsidR="00B14EF8" w:rsidRDefault="00687E0E" w:rsidP="00566D42">
      <w:pPr>
        <w:pStyle w:val="APALevel0"/>
      </w:pPr>
      <w:bookmarkStart w:id="43" w:name="References"/>
      <w:bookmarkEnd w:id="43"/>
      <w:r>
        <w:br w:type="page"/>
      </w:r>
      <w:bookmarkStart w:id="44" w:name="_Toc514059914"/>
      <w:r>
        <w:lastRenderedPageBreak/>
        <w:t>References</w:t>
      </w:r>
      <w:bookmarkEnd w:id="44"/>
    </w:p>
    <w:p w:rsidR="00595B2A" w:rsidRPr="008F453D" w:rsidRDefault="00595B2A" w:rsidP="00595B2A">
      <w:pPr>
        <w:pStyle w:val="APA"/>
        <w:ind w:left="720" w:hanging="720"/>
        <w:jc w:val="both"/>
        <w:rPr>
          <w:szCs w:val="24"/>
        </w:rPr>
      </w:pPr>
      <w:r w:rsidRPr="008F453D">
        <w:rPr>
          <w:szCs w:val="24"/>
        </w:rPr>
        <w:t xml:space="preserve">Agency for Healthcare Research and Quality [AHRQ]. (2015). </w:t>
      </w:r>
      <w:r w:rsidRPr="008F453D">
        <w:rPr>
          <w:i/>
          <w:szCs w:val="24"/>
        </w:rPr>
        <w:t xml:space="preserve">AHRQ Health Literacy Universal Precautions Toolkit </w:t>
      </w:r>
      <w:r w:rsidRPr="008F453D">
        <w:rPr>
          <w:szCs w:val="24"/>
        </w:rPr>
        <w:t>(2</w:t>
      </w:r>
      <w:r w:rsidRPr="008F453D">
        <w:rPr>
          <w:szCs w:val="24"/>
          <w:vertAlign w:val="superscript"/>
        </w:rPr>
        <w:t>nd</w:t>
      </w:r>
      <w:r w:rsidRPr="008F453D">
        <w:rPr>
          <w:szCs w:val="24"/>
        </w:rPr>
        <w:t xml:space="preserve"> </w:t>
      </w:r>
      <w:proofErr w:type="gramStart"/>
      <w:r w:rsidRPr="008F453D">
        <w:rPr>
          <w:szCs w:val="24"/>
        </w:rPr>
        <w:t>ed</w:t>
      </w:r>
      <w:proofErr w:type="gramEnd"/>
      <w:r w:rsidRPr="008F453D">
        <w:rPr>
          <w:szCs w:val="24"/>
        </w:rPr>
        <w:t xml:space="preserve">.). Rockville, MD: AHRQ. </w:t>
      </w:r>
    </w:p>
    <w:p w:rsidR="00DC3121" w:rsidRDefault="00DC3121" w:rsidP="00DC3121">
      <w:pPr>
        <w:pStyle w:val="APA"/>
        <w:ind w:left="720" w:hanging="720"/>
      </w:pPr>
      <w:r>
        <w:t xml:space="preserve">American Association of Colleges of Nursing [AACN]. (2006). </w:t>
      </w:r>
      <w:proofErr w:type="gramStart"/>
      <w:r>
        <w:rPr>
          <w:i/>
        </w:rPr>
        <w:t>The</w:t>
      </w:r>
      <w:proofErr w:type="gramEnd"/>
      <w:r>
        <w:rPr>
          <w:i/>
        </w:rPr>
        <w:t xml:space="preserve"> essentials of doctoral education for advanced nursing practice. </w:t>
      </w:r>
      <w:r>
        <w:t xml:space="preserve">Washington, DC: AACN. Retrieved from </w:t>
      </w:r>
      <w:r w:rsidRPr="00836A0D">
        <w:t>http://www.aacnnursing.org/Portals/42/Publications/DNPEssentials.pdf</w:t>
      </w:r>
      <w:r>
        <w:t xml:space="preserve"> </w:t>
      </w:r>
    </w:p>
    <w:p w:rsidR="00595B2A" w:rsidRPr="005815E8" w:rsidRDefault="00595B2A" w:rsidP="00595B2A">
      <w:pPr>
        <w:pStyle w:val="APA"/>
        <w:ind w:left="720" w:hanging="720"/>
      </w:pPr>
      <w:proofErr w:type="spellStart"/>
      <w:r>
        <w:t>Batterham</w:t>
      </w:r>
      <w:proofErr w:type="spellEnd"/>
      <w:r>
        <w:t xml:space="preserve">, R. W., </w:t>
      </w:r>
      <w:proofErr w:type="spellStart"/>
      <w:r>
        <w:t>Buchbinder</w:t>
      </w:r>
      <w:proofErr w:type="spellEnd"/>
      <w:r>
        <w:t xml:space="preserve">, R., Beauchamp, A., Dodson, S., </w:t>
      </w:r>
      <w:proofErr w:type="spellStart"/>
      <w:r>
        <w:t>Elsworth</w:t>
      </w:r>
      <w:proofErr w:type="spellEnd"/>
      <w:r>
        <w:t xml:space="preserve">, G. R., &amp; Osborne, R. H. (2014). The </w:t>
      </w:r>
      <w:proofErr w:type="spellStart"/>
      <w:r>
        <w:t>OPtimising</w:t>
      </w:r>
      <w:proofErr w:type="spellEnd"/>
      <w:r>
        <w:t xml:space="preserve"> Health </w:t>
      </w:r>
      <w:proofErr w:type="spellStart"/>
      <w:r>
        <w:t>LiterAcy</w:t>
      </w:r>
      <w:proofErr w:type="spellEnd"/>
      <w:r>
        <w:t xml:space="preserve"> (Ophelia) process: Study protocol for using health literacy profiling and community health engagement to create and implement health reform. </w:t>
      </w:r>
      <w:r>
        <w:rPr>
          <w:i/>
        </w:rPr>
        <w:t>BMC Public Health, 14</w:t>
      </w:r>
      <w:r>
        <w:t xml:space="preserve">(694), 1-10. </w:t>
      </w:r>
      <w:r w:rsidRPr="005815E8">
        <w:t>http://www.biomedcentral.com/1471-2458/14/694</w:t>
      </w:r>
      <w:r>
        <w:t xml:space="preserve"> </w:t>
      </w:r>
    </w:p>
    <w:p w:rsidR="00595B2A" w:rsidRPr="004639D8" w:rsidRDefault="00595B2A" w:rsidP="00595B2A">
      <w:pPr>
        <w:pStyle w:val="APA"/>
        <w:ind w:left="720" w:hanging="720"/>
      </w:pPr>
      <w:proofErr w:type="spellStart"/>
      <w:r>
        <w:t>Brega</w:t>
      </w:r>
      <w:proofErr w:type="spellEnd"/>
      <w:r>
        <w:t xml:space="preserve">, A. G., Freedman, M. A. G., LeBlanc, W. G., Barnard, J., </w:t>
      </w:r>
      <w:proofErr w:type="spellStart"/>
      <w:r>
        <w:t>Mabachi</w:t>
      </w:r>
      <w:proofErr w:type="spellEnd"/>
      <w:r>
        <w:t xml:space="preserve">, N. M., </w:t>
      </w:r>
      <w:proofErr w:type="spellStart"/>
      <w:r>
        <w:t>Cifuentes</w:t>
      </w:r>
      <w:proofErr w:type="spellEnd"/>
      <w:r>
        <w:t xml:space="preserve">, M., …West, D. R. (2016). Using the Health Literacy Universal Precautions Toolkit to improve the quality of patient materials. </w:t>
      </w:r>
      <w:r>
        <w:rPr>
          <w:i/>
        </w:rPr>
        <w:t>Journal of Health Communication, 20</w:t>
      </w:r>
      <w:r>
        <w:t>(</w:t>
      </w:r>
      <w:proofErr w:type="spellStart"/>
      <w:r>
        <w:t>Suppl</w:t>
      </w:r>
      <w:proofErr w:type="spellEnd"/>
      <w:r>
        <w:t xml:space="preserve"> 2), 69-76. </w:t>
      </w:r>
      <w:proofErr w:type="spellStart"/>
      <w:proofErr w:type="gramStart"/>
      <w:r>
        <w:t>doi</w:t>
      </w:r>
      <w:proofErr w:type="spellEnd"/>
      <w:proofErr w:type="gramEnd"/>
      <w:r>
        <w:t xml:space="preserve">: 10.1080/10810730.2015.1081997 </w:t>
      </w:r>
    </w:p>
    <w:p w:rsidR="00595B2A" w:rsidRPr="00765575" w:rsidRDefault="00595B2A" w:rsidP="00595B2A">
      <w:pPr>
        <w:pStyle w:val="APA"/>
        <w:ind w:left="720" w:hanging="720"/>
        <w:jc w:val="both"/>
      </w:pPr>
      <w:proofErr w:type="spellStart"/>
      <w:r>
        <w:t>Brunero</w:t>
      </w:r>
      <w:proofErr w:type="spellEnd"/>
      <w:r>
        <w:t xml:space="preserve">, S., &amp; Lamont, S. (2009). Systematic screening for metabolic syndrome in consumers with severe mental illness. </w:t>
      </w:r>
      <w:r>
        <w:rPr>
          <w:i/>
        </w:rPr>
        <w:t xml:space="preserve">International Journal of Mental Health Nursing, 18, </w:t>
      </w:r>
      <w:r>
        <w:t xml:space="preserve">144-150. </w:t>
      </w:r>
      <w:proofErr w:type="spellStart"/>
      <w:proofErr w:type="gramStart"/>
      <w:r>
        <w:t>doi</w:t>
      </w:r>
      <w:proofErr w:type="spellEnd"/>
      <w:proofErr w:type="gramEnd"/>
      <w:r>
        <w:t xml:space="preserve">: 10.111/j.1447-0349.2009.00595.x </w:t>
      </w:r>
    </w:p>
    <w:p w:rsidR="00595B2A" w:rsidRPr="004E3D58" w:rsidRDefault="00595B2A" w:rsidP="00595B2A">
      <w:pPr>
        <w:pStyle w:val="APA"/>
        <w:ind w:left="720" w:hanging="720"/>
      </w:pPr>
      <w:r>
        <w:t xml:space="preserve">Callahan, L. F., Hawk, V., Rudd, R., Hackney, B, Bhandari, S., </w:t>
      </w:r>
      <w:proofErr w:type="spellStart"/>
      <w:r>
        <w:t>Prizer</w:t>
      </w:r>
      <w:proofErr w:type="spellEnd"/>
      <w:r>
        <w:t>, L. P</w:t>
      </w:r>
      <w:proofErr w:type="gramStart"/>
      <w:r>
        <w:t>., …</w:t>
      </w:r>
      <w:proofErr w:type="spellStart"/>
      <w:r>
        <w:t>DeWalt</w:t>
      </w:r>
      <w:proofErr w:type="spellEnd"/>
      <w:proofErr w:type="gramEnd"/>
      <w:r>
        <w:t xml:space="preserve">, D. (2013). Adaptation of the health literacy universal precautions toolkit for rheumatology and cardiology—Applications for pharmacy professionals to </w:t>
      </w:r>
      <w:r>
        <w:lastRenderedPageBreak/>
        <w:t xml:space="preserve">improve self-management and outcomes in patients with chronic disease. </w:t>
      </w:r>
      <w:r>
        <w:rPr>
          <w:i/>
        </w:rPr>
        <w:t>Research in Social and Administrative Pharmacy, 9</w:t>
      </w:r>
      <w:r>
        <w:t xml:space="preserve">, 597-608. </w:t>
      </w:r>
      <w:proofErr w:type="spellStart"/>
      <w:proofErr w:type="gramStart"/>
      <w:r>
        <w:t>doi</w:t>
      </w:r>
      <w:proofErr w:type="spellEnd"/>
      <w:proofErr w:type="gramEnd"/>
      <w:r>
        <w:t xml:space="preserve">: 10.1016/j.sapharm.2013.04.016 </w:t>
      </w:r>
    </w:p>
    <w:p w:rsidR="00595B2A" w:rsidRDefault="00595B2A" w:rsidP="00595B2A">
      <w:pPr>
        <w:pStyle w:val="APA"/>
        <w:ind w:left="720" w:hanging="720"/>
      </w:pPr>
      <w:r>
        <w:t xml:space="preserve">Canvas. (2017). Canvas security overview. Retrieved from </w:t>
      </w:r>
      <w:r w:rsidRPr="00C90691">
        <w:t>https://www.canvaslms.com/security</w:t>
      </w:r>
      <w:r>
        <w:t xml:space="preserve"> </w:t>
      </w:r>
    </w:p>
    <w:p w:rsidR="00DC3121" w:rsidRPr="00836A0D" w:rsidRDefault="00DC3121" w:rsidP="00DC3121">
      <w:pPr>
        <w:pStyle w:val="APA"/>
        <w:ind w:left="720" w:hanging="720"/>
      </w:pPr>
      <w:proofErr w:type="spellStart"/>
      <w:r>
        <w:t>Chism</w:t>
      </w:r>
      <w:proofErr w:type="spellEnd"/>
      <w:r>
        <w:t xml:space="preserve">, L. A. (2013). </w:t>
      </w:r>
      <w:r>
        <w:rPr>
          <w:i/>
        </w:rPr>
        <w:t xml:space="preserve">The doctor of nursing practice: A guidebook for role development and professional issues </w:t>
      </w:r>
      <w:r>
        <w:t>(2</w:t>
      </w:r>
      <w:r w:rsidRPr="00836A0D">
        <w:rPr>
          <w:vertAlign w:val="superscript"/>
        </w:rPr>
        <w:t>nd</w:t>
      </w:r>
      <w:r>
        <w:t xml:space="preserve"> </w:t>
      </w:r>
      <w:proofErr w:type="gramStart"/>
      <w:r>
        <w:t>ed</w:t>
      </w:r>
      <w:proofErr w:type="gramEnd"/>
      <w:r>
        <w:t xml:space="preserve">.). Burlington, MA: Jones &amp; Bartlett Learning.  </w:t>
      </w:r>
    </w:p>
    <w:p w:rsidR="00595B2A" w:rsidRDefault="00595B2A" w:rsidP="00595B2A">
      <w:pPr>
        <w:pStyle w:val="APA"/>
        <w:ind w:left="720" w:hanging="720"/>
      </w:pPr>
      <w:r>
        <w:t xml:space="preserve">Clausen, W., Watanabe-Galloway, S., </w:t>
      </w:r>
      <w:proofErr w:type="spellStart"/>
      <w:r>
        <w:t>Baerentzen</w:t>
      </w:r>
      <w:proofErr w:type="spellEnd"/>
      <w:r>
        <w:t xml:space="preserve">, M. B., &amp; </w:t>
      </w:r>
      <w:proofErr w:type="spellStart"/>
      <w:r>
        <w:t>Britigan</w:t>
      </w:r>
      <w:proofErr w:type="spellEnd"/>
      <w:r>
        <w:t xml:space="preserve">, D. H. (2016). Health literacy among people with serious mental illness. </w:t>
      </w:r>
      <w:r>
        <w:rPr>
          <w:i/>
        </w:rPr>
        <w:t>Community Mental Health Journal, 52</w:t>
      </w:r>
      <w:r>
        <w:t xml:space="preserve">(4), 399-405. </w:t>
      </w:r>
      <w:proofErr w:type="spellStart"/>
      <w:proofErr w:type="gramStart"/>
      <w:r>
        <w:t>doi</w:t>
      </w:r>
      <w:proofErr w:type="spellEnd"/>
      <w:proofErr w:type="gramEnd"/>
      <w:r>
        <w:t>: 10.1007/s10597-015-9951-8</w:t>
      </w:r>
    </w:p>
    <w:p w:rsidR="00595B2A" w:rsidRDefault="00595B2A" w:rsidP="00595B2A">
      <w:pPr>
        <w:pStyle w:val="APA"/>
        <w:ind w:left="720" w:hanging="720"/>
      </w:pPr>
      <w:proofErr w:type="spellStart"/>
      <w:r>
        <w:t>DeWalt</w:t>
      </w:r>
      <w:proofErr w:type="spellEnd"/>
      <w:r>
        <w:t xml:space="preserve">, D. A., Callahan, L. F., Hawk, V. H., </w:t>
      </w:r>
      <w:proofErr w:type="spellStart"/>
      <w:r>
        <w:t>Broucksou</w:t>
      </w:r>
      <w:proofErr w:type="spellEnd"/>
      <w:r>
        <w:t xml:space="preserve">, K. A., </w:t>
      </w:r>
      <w:proofErr w:type="spellStart"/>
      <w:r>
        <w:t>Hink</w:t>
      </w:r>
      <w:proofErr w:type="spellEnd"/>
      <w:r>
        <w:t xml:space="preserve">, A., Rudd, R., &amp; Brach, C. (2010). </w:t>
      </w:r>
      <w:r>
        <w:rPr>
          <w:i/>
        </w:rPr>
        <w:t xml:space="preserve">Health Literacy Universal Precautions Toolkit. </w:t>
      </w:r>
      <w:r>
        <w:t>Rockville, Maryland: Agency for Healthcare Research and Quality [AHRQ].</w:t>
      </w:r>
    </w:p>
    <w:p w:rsidR="00595B2A" w:rsidRPr="004E3D58" w:rsidRDefault="00595B2A" w:rsidP="00595B2A">
      <w:pPr>
        <w:pStyle w:val="APA"/>
        <w:ind w:left="720" w:hanging="720"/>
      </w:pPr>
      <w:proofErr w:type="spellStart"/>
      <w:r>
        <w:t>Eckman</w:t>
      </w:r>
      <w:proofErr w:type="spellEnd"/>
      <w:r>
        <w:t xml:space="preserve">, M. H., Wise, R., Leonard, A. C., Dixon, E., Burrows, C., Khan, F., &amp; Warm, E. (2012). Impact of health literacy on outcomes and effectiveness of an educational intervention in patients with chronic diseases. </w:t>
      </w:r>
      <w:r>
        <w:rPr>
          <w:i/>
        </w:rPr>
        <w:t>Patient Education and Counseling, 87</w:t>
      </w:r>
      <w:r>
        <w:t xml:space="preserve">, 143-151. </w:t>
      </w:r>
      <w:proofErr w:type="spellStart"/>
      <w:proofErr w:type="gramStart"/>
      <w:r>
        <w:t>doi</w:t>
      </w:r>
      <w:proofErr w:type="spellEnd"/>
      <w:proofErr w:type="gramEnd"/>
      <w:r>
        <w:t xml:space="preserve">: 10.1016/j.pec.2011.07.020 </w:t>
      </w:r>
    </w:p>
    <w:p w:rsidR="00595B2A" w:rsidRPr="00381B02" w:rsidRDefault="00595B2A" w:rsidP="00595B2A">
      <w:pPr>
        <w:pStyle w:val="APA"/>
        <w:ind w:left="720" w:hanging="720"/>
      </w:pPr>
      <w:proofErr w:type="spellStart"/>
      <w:r>
        <w:t>Galletly</w:t>
      </w:r>
      <w:proofErr w:type="spellEnd"/>
      <w:r>
        <w:t xml:space="preserve">, C., </w:t>
      </w:r>
      <w:proofErr w:type="spellStart"/>
      <w:r>
        <w:t>Neaves</w:t>
      </w:r>
      <w:proofErr w:type="spellEnd"/>
      <w:r>
        <w:t xml:space="preserve">, A., Burton, C., Liu, D., &amp; Denson, L. A. (2012). Evaluating health literacy in people with mental illness using the Test of Functional Health Literacy in Adults. </w:t>
      </w:r>
      <w:r>
        <w:rPr>
          <w:i/>
        </w:rPr>
        <w:t>Nursing Outlook, 60</w:t>
      </w:r>
      <w:r>
        <w:t xml:space="preserve">(5), 316-321. </w:t>
      </w:r>
      <w:proofErr w:type="spellStart"/>
      <w:proofErr w:type="gramStart"/>
      <w:r>
        <w:t>doi</w:t>
      </w:r>
      <w:proofErr w:type="spellEnd"/>
      <w:proofErr w:type="gramEnd"/>
      <w:r>
        <w:t>: 10.1016/j.outlook.2012.01.003</w:t>
      </w:r>
    </w:p>
    <w:p w:rsidR="00595B2A" w:rsidRPr="000C0A4B" w:rsidRDefault="00595B2A" w:rsidP="00595B2A">
      <w:pPr>
        <w:pStyle w:val="APA"/>
        <w:ind w:left="720" w:hanging="720"/>
      </w:pPr>
      <w:r>
        <w:t>Go-Getters, Inc. (2017). Lower Shore Clinic, I</w:t>
      </w:r>
      <w:r w:rsidRPr="000C0A4B">
        <w:t>nc</w:t>
      </w:r>
      <w:r>
        <w:rPr>
          <w:i/>
        </w:rPr>
        <w:t xml:space="preserve">. Go-Getters, Inc. </w:t>
      </w:r>
      <w:r>
        <w:t xml:space="preserve">Retrieved from: </w:t>
      </w:r>
      <w:r w:rsidRPr="000C0A4B">
        <w:t>http://www.gogettersinc.org/Lower-Shore-Clinic.html</w:t>
      </w:r>
      <w:r>
        <w:t xml:space="preserve"> </w:t>
      </w:r>
    </w:p>
    <w:p w:rsidR="00595B2A" w:rsidRPr="00712068" w:rsidRDefault="00595B2A" w:rsidP="00595B2A">
      <w:pPr>
        <w:pStyle w:val="APA"/>
        <w:ind w:left="720" w:hanging="720"/>
      </w:pPr>
      <w:r>
        <w:lastRenderedPageBreak/>
        <w:t xml:space="preserve">Healthy People 2020. (2014). MAP-IT: A guide to using Healthy People 2020 in your community. </w:t>
      </w:r>
      <w:r>
        <w:rPr>
          <w:i/>
        </w:rPr>
        <w:t xml:space="preserve">Program planning. </w:t>
      </w:r>
      <w:r>
        <w:t xml:space="preserve">Retrieved from </w:t>
      </w:r>
      <w:r w:rsidRPr="00712068">
        <w:t>https://www.healthypeople.gov/2020/tools-and-resources/Program-Planning</w:t>
      </w:r>
      <w:r>
        <w:t xml:space="preserve"> </w:t>
      </w:r>
    </w:p>
    <w:p w:rsidR="00595B2A" w:rsidRDefault="00595B2A" w:rsidP="00595B2A">
      <w:pPr>
        <w:pStyle w:val="APA"/>
        <w:ind w:left="720" w:hanging="720"/>
      </w:pPr>
      <w:r>
        <w:t xml:space="preserve">Institute of Medicine [IOM]. (2004). </w:t>
      </w:r>
      <w:r>
        <w:rPr>
          <w:i/>
        </w:rPr>
        <w:t xml:space="preserve">Health literacy: A prescription to end confusion. </w:t>
      </w:r>
      <w:r>
        <w:t xml:space="preserve">Washington, D.C.: National Academies Press. </w:t>
      </w:r>
    </w:p>
    <w:p w:rsidR="00595B2A" w:rsidRDefault="00595B2A" w:rsidP="00595B2A">
      <w:pPr>
        <w:pStyle w:val="APA"/>
        <w:ind w:left="720" w:hanging="720"/>
      </w:pPr>
      <w:r w:rsidRPr="002E4BB6">
        <w:t xml:space="preserve">Krishan, S., von </w:t>
      </w:r>
      <w:proofErr w:type="spellStart"/>
      <w:r w:rsidRPr="002E4BB6">
        <w:t>Esenwein</w:t>
      </w:r>
      <w:proofErr w:type="spellEnd"/>
      <w:r w:rsidRPr="002E4BB6">
        <w:t xml:space="preserve">, S. A., &amp; </w:t>
      </w:r>
      <w:proofErr w:type="spellStart"/>
      <w:r w:rsidRPr="002E4BB6">
        <w:t>Druss</w:t>
      </w:r>
      <w:proofErr w:type="spellEnd"/>
      <w:r w:rsidRPr="002E4BB6">
        <w:t xml:space="preserve">, B. G. (2012). The health literacy of adults with severe mental illness. </w:t>
      </w:r>
      <w:r w:rsidRPr="002E4BB6">
        <w:rPr>
          <w:i/>
        </w:rPr>
        <w:t>Psychiatric Services, 63</w:t>
      </w:r>
      <w:r w:rsidRPr="002E4BB6">
        <w:t xml:space="preserve">(4), 397. </w:t>
      </w:r>
      <w:proofErr w:type="spellStart"/>
      <w:proofErr w:type="gramStart"/>
      <w:r>
        <w:t>d</w:t>
      </w:r>
      <w:r w:rsidRPr="002E4BB6">
        <w:t>oi</w:t>
      </w:r>
      <w:proofErr w:type="spellEnd"/>
      <w:proofErr w:type="gramEnd"/>
      <w:r w:rsidRPr="002E4BB6">
        <w:t xml:space="preserve">: 10.1176/appi.ps.20120p397 </w:t>
      </w:r>
    </w:p>
    <w:p w:rsidR="00595B2A" w:rsidRPr="00F10829" w:rsidRDefault="00595B2A" w:rsidP="00595B2A">
      <w:pPr>
        <w:pStyle w:val="APA"/>
        <w:ind w:left="720" w:hanging="720"/>
      </w:pPr>
      <w:proofErr w:type="spellStart"/>
      <w:r>
        <w:t>Mabachi</w:t>
      </w:r>
      <w:proofErr w:type="spellEnd"/>
      <w:r>
        <w:t xml:space="preserve">, N. M., </w:t>
      </w:r>
      <w:proofErr w:type="spellStart"/>
      <w:r>
        <w:t>Cifuentes</w:t>
      </w:r>
      <w:proofErr w:type="spellEnd"/>
      <w:r>
        <w:t xml:space="preserve">, M., Barnard, J., </w:t>
      </w:r>
      <w:proofErr w:type="spellStart"/>
      <w:r>
        <w:t>Brega</w:t>
      </w:r>
      <w:proofErr w:type="spellEnd"/>
      <w:r>
        <w:t>, A. G., Albright, K., Weiss, B. D</w:t>
      </w:r>
      <w:proofErr w:type="gramStart"/>
      <w:r>
        <w:t>., …West</w:t>
      </w:r>
      <w:proofErr w:type="gramEnd"/>
      <w:r>
        <w:t xml:space="preserve">, D. (2016). Demonstration of the Health Literacy Universal Precautions Toolkit: Lessons for quality improvement. </w:t>
      </w:r>
      <w:r>
        <w:rPr>
          <w:i/>
        </w:rPr>
        <w:t>Journal of Ambulatory Care Management, 39</w:t>
      </w:r>
      <w:r>
        <w:t xml:space="preserve">(3), 199-208. </w:t>
      </w:r>
      <w:proofErr w:type="spellStart"/>
      <w:proofErr w:type="gramStart"/>
      <w:r>
        <w:t>doi</w:t>
      </w:r>
      <w:proofErr w:type="spellEnd"/>
      <w:proofErr w:type="gramEnd"/>
      <w:r>
        <w:t xml:space="preserve">: 10.1097/JAC.0000000000000102 </w:t>
      </w:r>
    </w:p>
    <w:p w:rsidR="00595B2A" w:rsidRPr="0016780C" w:rsidRDefault="00595B2A" w:rsidP="00595B2A">
      <w:pPr>
        <w:pStyle w:val="APA"/>
        <w:ind w:left="720" w:hanging="720"/>
      </w:pPr>
      <w:r w:rsidRPr="0016780C">
        <w:t xml:space="preserve">Moher, D., </w:t>
      </w:r>
      <w:proofErr w:type="spellStart"/>
      <w:r w:rsidRPr="0016780C">
        <w:t>Liberati</w:t>
      </w:r>
      <w:proofErr w:type="spellEnd"/>
      <w:r w:rsidRPr="0016780C">
        <w:t xml:space="preserve">, A., </w:t>
      </w:r>
      <w:proofErr w:type="spellStart"/>
      <w:r w:rsidRPr="0016780C">
        <w:t>Telzlaff</w:t>
      </w:r>
      <w:proofErr w:type="spellEnd"/>
      <w:r w:rsidRPr="0016780C">
        <w:t xml:space="preserve">, J., &amp; Altman, D. G., </w:t>
      </w:r>
      <w:proofErr w:type="gramStart"/>
      <w:r w:rsidRPr="0016780C">
        <w:t>The</w:t>
      </w:r>
      <w:proofErr w:type="gramEnd"/>
      <w:r w:rsidRPr="0016780C">
        <w:t xml:space="preserve"> PRISMA Group. (2009). </w:t>
      </w:r>
      <w:proofErr w:type="gramStart"/>
      <w:r w:rsidRPr="0016780C">
        <w:t>Preferred</w:t>
      </w:r>
      <w:proofErr w:type="gramEnd"/>
      <w:r w:rsidRPr="0016780C">
        <w:t xml:space="preserve"> reporting items for systematic reviews and meta-analyses: The PRISMA statement. </w:t>
      </w:r>
      <w:proofErr w:type="spellStart"/>
      <w:r w:rsidRPr="008E1629">
        <w:rPr>
          <w:i/>
        </w:rPr>
        <w:t>PloS</w:t>
      </w:r>
      <w:proofErr w:type="spellEnd"/>
      <w:r w:rsidRPr="008E1629">
        <w:rPr>
          <w:i/>
        </w:rPr>
        <w:t xml:space="preserve"> Med, 6</w:t>
      </w:r>
      <w:r w:rsidRPr="0016780C">
        <w:t xml:space="preserve">(6): e1000097. </w:t>
      </w:r>
      <w:proofErr w:type="spellStart"/>
      <w:proofErr w:type="gramStart"/>
      <w:r>
        <w:t>d</w:t>
      </w:r>
      <w:r w:rsidRPr="0016780C">
        <w:t>oi</w:t>
      </w:r>
      <w:proofErr w:type="spellEnd"/>
      <w:proofErr w:type="gramEnd"/>
      <w:r w:rsidRPr="0016780C">
        <w:t>: 10.1371/journal.pmed1000097</w:t>
      </w:r>
    </w:p>
    <w:p w:rsidR="00595B2A" w:rsidRPr="004D4D0F" w:rsidRDefault="00595B2A" w:rsidP="00595B2A">
      <w:pPr>
        <w:pStyle w:val="APA"/>
        <w:ind w:left="720" w:hanging="720"/>
      </w:pPr>
      <w:r>
        <w:t xml:space="preserve">Moran, K. (2017). </w:t>
      </w:r>
      <w:r>
        <w:rPr>
          <w:i/>
        </w:rPr>
        <w:t xml:space="preserve">The doctor of nursing practice scholarly project: A framework for success </w:t>
      </w:r>
      <w:r>
        <w:t>(2</w:t>
      </w:r>
      <w:r w:rsidRPr="004D4D0F">
        <w:rPr>
          <w:vertAlign w:val="superscript"/>
        </w:rPr>
        <w:t>nd</w:t>
      </w:r>
      <w:r w:rsidR="00724C16">
        <w:t xml:space="preserve"> </w:t>
      </w:r>
      <w:proofErr w:type="gramStart"/>
      <w:r w:rsidR="00724C16">
        <w:t>ed</w:t>
      </w:r>
      <w:proofErr w:type="gramEnd"/>
      <w:r w:rsidR="00724C16">
        <w:t xml:space="preserve">.). </w:t>
      </w:r>
      <w:r>
        <w:t>Burlington, MA: Jones &amp; Bartlett Learning.</w:t>
      </w:r>
    </w:p>
    <w:p w:rsidR="00595B2A" w:rsidRDefault="00595B2A" w:rsidP="00595B2A">
      <w:pPr>
        <w:pStyle w:val="APA"/>
        <w:ind w:left="720" w:hanging="720"/>
      </w:pPr>
      <w:r>
        <w:t xml:space="preserve">National Institutes of Health [NIH]. (2016). </w:t>
      </w:r>
      <w:proofErr w:type="gramStart"/>
      <w:r>
        <w:t>What</w:t>
      </w:r>
      <w:proofErr w:type="gramEnd"/>
      <w:r>
        <w:t xml:space="preserve"> is metabolic syndrome? </w:t>
      </w:r>
      <w:r>
        <w:rPr>
          <w:i/>
        </w:rPr>
        <w:t xml:space="preserve">Metabolic syndrome. </w:t>
      </w:r>
      <w:r>
        <w:t xml:space="preserve">Retrieved from </w:t>
      </w:r>
      <w:r w:rsidRPr="00765575">
        <w:t>http://www.nhlbi.nih.gov/health/health-topics/topics/ms</w:t>
      </w:r>
      <w:r>
        <w:t xml:space="preserve"> </w:t>
      </w:r>
    </w:p>
    <w:p w:rsidR="00A31F8E" w:rsidRDefault="00724C16" w:rsidP="003E4E39">
      <w:pPr>
        <w:pStyle w:val="APA"/>
        <w:ind w:left="720" w:hanging="720"/>
      </w:pPr>
      <w:r>
        <w:t xml:space="preserve">The National Organization of Nurse Practitioner Faculties [NONPF]. (2017). </w:t>
      </w:r>
      <w:r>
        <w:rPr>
          <w:i/>
        </w:rPr>
        <w:t xml:space="preserve">Nurse practitioner core competencies with suggested curriculum content. </w:t>
      </w:r>
      <w:r>
        <w:t xml:space="preserve">Washington, </w:t>
      </w:r>
      <w:r>
        <w:lastRenderedPageBreak/>
        <w:t xml:space="preserve">DC: NONPF. Retrieved from </w:t>
      </w:r>
      <w:r w:rsidRPr="00836A0D">
        <w:t>http://c.ymcdn.com/sites/www.nonpf.org/resource/resmgr/competencies/2017_NPCoreComps_with_Curric.pdf</w:t>
      </w:r>
      <w:r w:rsidR="003E4E39">
        <w:t xml:space="preserve"> </w:t>
      </w:r>
    </w:p>
    <w:p w:rsidR="00595B2A" w:rsidRDefault="00595B2A" w:rsidP="003E4E39">
      <w:pPr>
        <w:pStyle w:val="APA"/>
        <w:ind w:left="720" w:hanging="720"/>
      </w:pPr>
      <w:r>
        <w:t xml:space="preserve">U.S. Department of Health and Human Services, Office of Disease Prevention and Health Promotion. (2010). </w:t>
      </w:r>
      <w:r>
        <w:rPr>
          <w:i/>
        </w:rPr>
        <w:t xml:space="preserve">National action plan to improve health literacy. </w:t>
      </w:r>
      <w:r>
        <w:t xml:space="preserve">Washington, D.C.: Author. </w:t>
      </w:r>
    </w:p>
    <w:p w:rsidR="00595B2A" w:rsidRDefault="00595B2A" w:rsidP="00595B2A">
      <w:pPr>
        <w:pStyle w:val="APA"/>
        <w:ind w:left="720" w:hanging="720"/>
      </w:pPr>
      <w:r>
        <w:t xml:space="preserve">U.S. Department of Health and Human Services, Office of Disease Prevention and Health Promotion. (2016). Program planning. </w:t>
      </w:r>
      <w:r>
        <w:rPr>
          <w:rStyle w:val="Emphasis"/>
        </w:rPr>
        <w:t xml:space="preserve">Healthy People 2020. </w:t>
      </w:r>
      <w:r>
        <w:t xml:space="preserve">Retrieved from </w:t>
      </w:r>
      <w:r w:rsidRPr="00F02F9A">
        <w:t>https://www.healthypeople.gov/2020/tools-and-resources/Program-Planning</w:t>
      </w:r>
    </w:p>
    <w:p w:rsidR="00FD2C47" w:rsidRPr="00C055A7" w:rsidRDefault="00724C16" w:rsidP="00C055A7">
      <w:pPr>
        <w:pStyle w:val="APALevel0"/>
      </w:pPr>
      <w:r>
        <w:br w:type="page"/>
      </w:r>
      <w:bookmarkStart w:id="45" w:name="_Toc514059915"/>
      <w:r w:rsidR="00ED2E62" w:rsidRPr="00C055A7">
        <w:lastRenderedPageBreak/>
        <w:t>Appendix</w:t>
      </w:r>
      <w:r w:rsidR="00B14EF8" w:rsidRPr="00C055A7">
        <w:t xml:space="preserve"> A</w:t>
      </w:r>
      <w:r w:rsidR="000C7C2F" w:rsidRPr="00C055A7">
        <w:t>: PRISMA Flow Diagram</w:t>
      </w:r>
      <w:bookmarkEnd w:id="45"/>
    </w:p>
    <w:p w:rsidR="003E4ADD" w:rsidRDefault="00E3160E" w:rsidP="000B07D2">
      <w:pPr>
        <w:pStyle w:val="APA"/>
        <w:rPr>
          <w:noProof/>
        </w:rPr>
      </w:pPr>
      <w:r w:rsidRPr="00D27331">
        <w:rPr>
          <w:noProof/>
        </w:rPr>
        <w:drawing>
          <wp:inline distT="0" distB="0" distL="0" distR="0">
            <wp:extent cx="4705350" cy="5743575"/>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b="8098"/>
                    <a:stretch>
                      <a:fillRect/>
                    </a:stretch>
                  </pic:blipFill>
                  <pic:spPr bwMode="auto">
                    <a:xfrm>
                      <a:off x="0" y="0"/>
                      <a:ext cx="4705350" cy="5743575"/>
                    </a:xfrm>
                    <a:prstGeom prst="rect">
                      <a:avLst/>
                    </a:prstGeom>
                    <a:noFill/>
                    <a:ln>
                      <a:noFill/>
                    </a:ln>
                  </pic:spPr>
                </pic:pic>
              </a:graphicData>
            </a:graphic>
          </wp:inline>
        </w:drawing>
      </w:r>
    </w:p>
    <w:p w:rsidR="006E1D76" w:rsidRDefault="006E1D76" w:rsidP="000B07D2">
      <w:pPr>
        <w:pStyle w:val="APA"/>
        <w:rPr>
          <w:noProof/>
        </w:rPr>
      </w:pPr>
      <w:r>
        <w:rPr>
          <w:i/>
          <w:noProof/>
        </w:rPr>
        <w:t xml:space="preserve">Figure 1. </w:t>
      </w:r>
      <w:r>
        <w:rPr>
          <w:noProof/>
        </w:rPr>
        <w:t>PRISMA Flow diagram.</w:t>
      </w:r>
    </w:p>
    <w:p w:rsidR="000C7C2F" w:rsidRPr="00930AC3" w:rsidRDefault="000C7C2F" w:rsidP="000B07D2">
      <w:pPr>
        <w:pStyle w:val="APA"/>
        <w:rPr>
          <w:noProof/>
        </w:rPr>
      </w:pPr>
      <w:r>
        <w:rPr>
          <w:i/>
          <w:noProof/>
        </w:rPr>
        <w:t xml:space="preserve">Note. </w:t>
      </w:r>
      <w:r w:rsidR="00930AC3">
        <w:rPr>
          <w:noProof/>
        </w:rPr>
        <w:t>From “</w:t>
      </w:r>
      <w:r w:rsidR="00930AC3">
        <w:rPr>
          <w:i/>
          <w:noProof/>
        </w:rPr>
        <w:t>P</w:t>
      </w:r>
      <w:r w:rsidR="00930AC3">
        <w:rPr>
          <w:noProof/>
        </w:rPr>
        <w:t xml:space="preserve">referred </w:t>
      </w:r>
      <w:r w:rsidR="00930AC3">
        <w:rPr>
          <w:i/>
          <w:noProof/>
        </w:rPr>
        <w:t>R</w:t>
      </w:r>
      <w:r w:rsidR="00930AC3">
        <w:rPr>
          <w:noProof/>
        </w:rPr>
        <w:t xml:space="preserve">eporting </w:t>
      </w:r>
      <w:r w:rsidR="00930AC3">
        <w:rPr>
          <w:i/>
          <w:noProof/>
        </w:rPr>
        <w:t>I</w:t>
      </w:r>
      <w:r w:rsidR="00930AC3">
        <w:rPr>
          <w:noProof/>
        </w:rPr>
        <w:t xml:space="preserve">tems for </w:t>
      </w:r>
      <w:r w:rsidR="00930AC3">
        <w:rPr>
          <w:i/>
          <w:noProof/>
        </w:rPr>
        <w:t>S</w:t>
      </w:r>
      <w:r w:rsidR="00930AC3">
        <w:rPr>
          <w:noProof/>
        </w:rPr>
        <w:t xml:space="preserve">ystematic Reviews and </w:t>
      </w:r>
      <w:r w:rsidR="00930AC3">
        <w:rPr>
          <w:i/>
          <w:noProof/>
        </w:rPr>
        <w:t>M</w:t>
      </w:r>
      <w:r w:rsidR="00930AC3">
        <w:rPr>
          <w:noProof/>
        </w:rPr>
        <w:t>eta-</w:t>
      </w:r>
      <w:r w:rsidR="00930AC3">
        <w:rPr>
          <w:i/>
          <w:noProof/>
        </w:rPr>
        <w:t>A</w:t>
      </w:r>
      <w:r w:rsidR="00930AC3">
        <w:rPr>
          <w:noProof/>
        </w:rPr>
        <w:t xml:space="preserve">nalyses: The PRISMA Statement,” by D. Mohr, A. Liberati, J. Tetzlaff, &amp; D. G. Altman, 2009, </w:t>
      </w:r>
      <w:r w:rsidR="00930AC3">
        <w:rPr>
          <w:i/>
          <w:noProof/>
        </w:rPr>
        <w:t>PLoS Med</w:t>
      </w:r>
      <w:r w:rsidR="00930AC3">
        <w:rPr>
          <w:noProof/>
        </w:rPr>
        <w:t xml:space="preserve">, </w:t>
      </w:r>
      <w:r w:rsidR="00930AC3">
        <w:rPr>
          <w:i/>
          <w:noProof/>
        </w:rPr>
        <w:t>6</w:t>
      </w:r>
      <w:r w:rsidR="00930AC3">
        <w:rPr>
          <w:noProof/>
        </w:rPr>
        <w:t xml:space="preserve">(7). Publicly available. </w:t>
      </w:r>
    </w:p>
    <w:p w:rsidR="00B61540" w:rsidRDefault="00B61540" w:rsidP="00C055A7">
      <w:pPr>
        <w:pStyle w:val="APALevel0"/>
      </w:pPr>
      <w:bookmarkStart w:id="46" w:name="_Toc514059916"/>
      <w:r>
        <w:lastRenderedPageBreak/>
        <w:t>Appendix B</w:t>
      </w:r>
      <w:r w:rsidR="00930AC3">
        <w:t>: Literature Summary Table</w:t>
      </w:r>
      <w:bookmarkEnd w:id="46"/>
    </w:p>
    <w:p w:rsidR="00900CBC" w:rsidRDefault="00B61540" w:rsidP="004009AB">
      <w:pPr>
        <w:pStyle w:val="Caption"/>
      </w:pPr>
      <w:bookmarkStart w:id="47" w:name="_Toc514059954"/>
      <w:r w:rsidRPr="00900CBC">
        <w:t>Table 1</w:t>
      </w:r>
      <w:bookmarkEnd w:id="47"/>
      <w:r>
        <w:rPr>
          <w:b/>
        </w:rPr>
        <w:t xml:space="preserve"> </w:t>
      </w:r>
    </w:p>
    <w:p w:rsidR="00B61540" w:rsidRPr="004009AB" w:rsidRDefault="00B61540" w:rsidP="004009AB">
      <w:pPr>
        <w:pStyle w:val="Caption"/>
        <w:rPr>
          <w:i/>
        </w:rPr>
      </w:pPr>
      <w:bookmarkStart w:id="48" w:name="_Toc514059955"/>
      <w:r w:rsidRPr="004009AB">
        <w:rPr>
          <w:i/>
        </w:rPr>
        <w:t>Literature Summary Table</w:t>
      </w:r>
      <w:bookmarkEnd w:id="4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8"/>
        <w:gridCol w:w="1699"/>
        <w:gridCol w:w="1508"/>
        <w:gridCol w:w="1522"/>
        <w:gridCol w:w="1435"/>
        <w:gridCol w:w="1828"/>
      </w:tblGrid>
      <w:tr w:rsidR="00B61540" w:rsidRPr="00657AF5" w:rsidTr="00B80172">
        <w:trPr>
          <w:trHeight w:val="341"/>
        </w:trPr>
        <w:tc>
          <w:tcPr>
            <w:tcW w:w="0" w:type="auto"/>
            <w:shd w:val="clear" w:color="auto" w:fill="auto"/>
          </w:tcPr>
          <w:p w:rsidR="00B61540" w:rsidRPr="00B80172" w:rsidRDefault="00B61540" w:rsidP="00B80172">
            <w:pPr>
              <w:pStyle w:val="APA"/>
              <w:spacing w:line="240" w:lineRule="auto"/>
              <w:rPr>
                <w:b/>
                <w:sz w:val="20"/>
                <w:szCs w:val="20"/>
              </w:rPr>
            </w:pPr>
            <w:r w:rsidRPr="00B80172">
              <w:rPr>
                <w:b/>
                <w:sz w:val="20"/>
                <w:szCs w:val="20"/>
              </w:rPr>
              <w:t>Year</w:t>
            </w:r>
          </w:p>
        </w:tc>
        <w:tc>
          <w:tcPr>
            <w:tcW w:w="0" w:type="auto"/>
            <w:shd w:val="clear" w:color="auto" w:fill="auto"/>
          </w:tcPr>
          <w:p w:rsidR="00B61540" w:rsidRPr="00B80172" w:rsidRDefault="00B61540" w:rsidP="00B80172">
            <w:pPr>
              <w:pStyle w:val="APA"/>
              <w:spacing w:line="240" w:lineRule="auto"/>
              <w:rPr>
                <w:b/>
                <w:sz w:val="20"/>
                <w:szCs w:val="20"/>
              </w:rPr>
            </w:pPr>
            <w:r w:rsidRPr="00B80172">
              <w:rPr>
                <w:b/>
                <w:sz w:val="20"/>
                <w:szCs w:val="20"/>
              </w:rPr>
              <w:t>Author, Title, Journal</w:t>
            </w:r>
          </w:p>
        </w:tc>
        <w:tc>
          <w:tcPr>
            <w:tcW w:w="0" w:type="auto"/>
            <w:shd w:val="clear" w:color="auto" w:fill="auto"/>
          </w:tcPr>
          <w:p w:rsidR="00B61540" w:rsidRPr="00B80172" w:rsidRDefault="00B61540" w:rsidP="00B80172">
            <w:pPr>
              <w:pStyle w:val="APA"/>
              <w:spacing w:line="240" w:lineRule="auto"/>
              <w:rPr>
                <w:b/>
                <w:sz w:val="20"/>
                <w:szCs w:val="20"/>
              </w:rPr>
            </w:pPr>
            <w:r w:rsidRPr="00B80172">
              <w:rPr>
                <w:b/>
                <w:sz w:val="20"/>
                <w:szCs w:val="20"/>
              </w:rPr>
              <w:t>Purpose</w:t>
            </w:r>
          </w:p>
        </w:tc>
        <w:tc>
          <w:tcPr>
            <w:tcW w:w="0" w:type="auto"/>
            <w:shd w:val="clear" w:color="auto" w:fill="auto"/>
          </w:tcPr>
          <w:p w:rsidR="00B61540" w:rsidRPr="00B80172" w:rsidRDefault="00B61540" w:rsidP="00B80172">
            <w:pPr>
              <w:pStyle w:val="APA"/>
              <w:spacing w:line="240" w:lineRule="auto"/>
              <w:rPr>
                <w:b/>
                <w:sz w:val="20"/>
                <w:szCs w:val="20"/>
              </w:rPr>
            </w:pPr>
            <w:r w:rsidRPr="00B80172">
              <w:rPr>
                <w:b/>
                <w:sz w:val="20"/>
                <w:szCs w:val="20"/>
              </w:rPr>
              <w:t>Design</w:t>
            </w:r>
          </w:p>
        </w:tc>
        <w:tc>
          <w:tcPr>
            <w:tcW w:w="0" w:type="auto"/>
            <w:shd w:val="clear" w:color="auto" w:fill="auto"/>
          </w:tcPr>
          <w:p w:rsidR="00B61540" w:rsidRPr="00B80172" w:rsidRDefault="00B61540" w:rsidP="00B80172">
            <w:pPr>
              <w:pStyle w:val="APA"/>
              <w:spacing w:line="240" w:lineRule="auto"/>
              <w:rPr>
                <w:b/>
                <w:sz w:val="20"/>
                <w:szCs w:val="20"/>
              </w:rPr>
            </w:pPr>
            <w:r w:rsidRPr="00B80172">
              <w:rPr>
                <w:b/>
                <w:sz w:val="20"/>
                <w:szCs w:val="20"/>
              </w:rPr>
              <w:t>Sample</w:t>
            </w:r>
          </w:p>
        </w:tc>
        <w:tc>
          <w:tcPr>
            <w:tcW w:w="0" w:type="auto"/>
            <w:shd w:val="clear" w:color="auto" w:fill="auto"/>
          </w:tcPr>
          <w:p w:rsidR="00B61540" w:rsidRPr="00B80172" w:rsidRDefault="00B61540" w:rsidP="00B80172">
            <w:pPr>
              <w:pStyle w:val="APA"/>
              <w:spacing w:line="240" w:lineRule="auto"/>
              <w:rPr>
                <w:b/>
                <w:sz w:val="20"/>
                <w:szCs w:val="20"/>
              </w:rPr>
            </w:pPr>
            <w:r w:rsidRPr="00B80172">
              <w:rPr>
                <w:b/>
                <w:sz w:val="20"/>
                <w:szCs w:val="20"/>
              </w:rPr>
              <w:t>Result</w:t>
            </w:r>
          </w:p>
        </w:tc>
      </w:tr>
      <w:tr w:rsidR="00B61540" w:rsidRPr="00657AF5" w:rsidTr="00B80172">
        <w:trPr>
          <w:trHeight w:val="1430"/>
        </w:trPr>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2016</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 xml:space="preserve">AHRQ. </w:t>
            </w:r>
            <w:r w:rsidRPr="00B80172">
              <w:rPr>
                <w:i/>
                <w:sz w:val="20"/>
                <w:szCs w:val="20"/>
              </w:rPr>
              <w:t xml:space="preserve">Health Literacy Universal Precautions Toolkit. </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 xml:space="preserve">A Toolkit designed to provide evidence-based guidance to support primary care practices in addressing health literacy. </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N/A</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N/A</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N/A</w:t>
            </w:r>
          </w:p>
          <w:p w:rsidR="00B61540" w:rsidRPr="00B80172" w:rsidRDefault="00B61540" w:rsidP="00B80172">
            <w:pPr>
              <w:pStyle w:val="APA"/>
              <w:spacing w:line="240" w:lineRule="auto"/>
              <w:rPr>
                <w:sz w:val="20"/>
                <w:szCs w:val="20"/>
              </w:rPr>
            </w:pPr>
          </w:p>
        </w:tc>
      </w:tr>
      <w:tr w:rsidR="00B61540" w:rsidRPr="00657AF5" w:rsidTr="00B80172">
        <w:trPr>
          <w:trHeight w:val="2150"/>
        </w:trPr>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2014</w:t>
            </w:r>
          </w:p>
        </w:tc>
        <w:tc>
          <w:tcPr>
            <w:tcW w:w="0" w:type="auto"/>
            <w:shd w:val="clear" w:color="auto" w:fill="auto"/>
          </w:tcPr>
          <w:p w:rsidR="00B61540" w:rsidRPr="00B80172" w:rsidRDefault="00B61540" w:rsidP="00B80172">
            <w:pPr>
              <w:pStyle w:val="APA"/>
              <w:spacing w:line="240" w:lineRule="auto"/>
              <w:rPr>
                <w:sz w:val="20"/>
                <w:szCs w:val="20"/>
              </w:rPr>
            </w:pPr>
            <w:proofErr w:type="spellStart"/>
            <w:r w:rsidRPr="00B80172">
              <w:rPr>
                <w:sz w:val="20"/>
                <w:szCs w:val="20"/>
              </w:rPr>
              <w:t>Batterham</w:t>
            </w:r>
            <w:proofErr w:type="spellEnd"/>
            <w:r w:rsidRPr="00B80172">
              <w:rPr>
                <w:sz w:val="20"/>
                <w:szCs w:val="20"/>
              </w:rPr>
              <w:t xml:space="preserve">, </w:t>
            </w:r>
            <w:proofErr w:type="spellStart"/>
            <w:r w:rsidRPr="00B80172">
              <w:rPr>
                <w:sz w:val="20"/>
                <w:szCs w:val="20"/>
              </w:rPr>
              <w:t>Buchbinder</w:t>
            </w:r>
            <w:proofErr w:type="spellEnd"/>
            <w:r w:rsidRPr="00B80172">
              <w:rPr>
                <w:sz w:val="20"/>
                <w:szCs w:val="20"/>
              </w:rPr>
              <w:t xml:space="preserve">, Beauchamp, Dodson, </w:t>
            </w:r>
            <w:proofErr w:type="spellStart"/>
            <w:r w:rsidRPr="00B80172">
              <w:rPr>
                <w:sz w:val="20"/>
                <w:szCs w:val="20"/>
              </w:rPr>
              <w:t>Elsworth</w:t>
            </w:r>
            <w:proofErr w:type="spellEnd"/>
            <w:r w:rsidRPr="00B80172">
              <w:rPr>
                <w:sz w:val="20"/>
                <w:szCs w:val="20"/>
              </w:rPr>
              <w:t xml:space="preserve">, &amp; Osborne. The </w:t>
            </w:r>
            <w:proofErr w:type="spellStart"/>
            <w:r w:rsidRPr="00B80172">
              <w:rPr>
                <w:sz w:val="20"/>
                <w:szCs w:val="20"/>
              </w:rPr>
              <w:t>Optimising</w:t>
            </w:r>
            <w:proofErr w:type="spellEnd"/>
            <w:r w:rsidRPr="00B80172">
              <w:rPr>
                <w:sz w:val="20"/>
                <w:szCs w:val="20"/>
              </w:rPr>
              <w:t xml:space="preserve"> Health </w:t>
            </w:r>
            <w:proofErr w:type="spellStart"/>
            <w:r w:rsidRPr="00B80172">
              <w:rPr>
                <w:sz w:val="20"/>
                <w:szCs w:val="20"/>
              </w:rPr>
              <w:t>LiterAcy</w:t>
            </w:r>
            <w:proofErr w:type="spellEnd"/>
            <w:r w:rsidRPr="00B80172">
              <w:rPr>
                <w:sz w:val="20"/>
                <w:szCs w:val="20"/>
              </w:rPr>
              <w:t xml:space="preserve"> (Ophelia) process: Study protocol for using health literacy profiling and community engagement to create and implement health reform. </w:t>
            </w:r>
            <w:r w:rsidRPr="00B80172">
              <w:rPr>
                <w:i/>
                <w:sz w:val="20"/>
                <w:szCs w:val="20"/>
              </w:rPr>
              <w:t xml:space="preserve">BMC Public Health. </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To identify and respond to health literacy issues for people with chronic conditions in order to improve health outcomes and reduce health inequities.</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 xml:space="preserve">Multi-phase: utilizing intervention mapping, quality improvement </w:t>
            </w:r>
            <w:proofErr w:type="spellStart"/>
            <w:r w:rsidRPr="00B80172">
              <w:rPr>
                <w:sz w:val="20"/>
                <w:szCs w:val="20"/>
              </w:rPr>
              <w:t>collaboratives</w:t>
            </w:r>
            <w:proofErr w:type="spellEnd"/>
            <w:r w:rsidRPr="00B80172">
              <w:rPr>
                <w:sz w:val="20"/>
                <w:szCs w:val="20"/>
              </w:rPr>
              <w:t>, and realist synthesis.  (Idea for a project).</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8 disparate health services.</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 xml:space="preserve">This is a proposed project write-up. There are no results. </w:t>
            </w:r>
          </w:p>
        </w:tc>
      </w:tr>
      <w:tr w:rsidR="00B61540" w:rsidRPr="00657AF5" w:rsidTr="00B80172">
        <w:trPr>
          <w:trHeight w:val="2150"/>
        </w:trPr>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2015</w:t>
            </w:r>
          </w:p>
        </w:tc>
        <w:tc>
          <w:tcPr>
            <w:tcW w:w="0" w:type="auto"/>
            <w:shd w:val="clear" w:color="auto" w:fill="auto"/>
          </w:tcPr>
          <w:p w:rsidR="00B61540" w:rsidRPr="00B80172" w:rsidRDefault="00B61540" w:rsidP="00B80172">
            <w:pPr>
              <w:pStyle w:val="APA"/>
              <w:spacing w:line="240" w:lineRule="auto"/>
              <w:rPr>
                <w:sz w:val="20"/>
                <w:szCs w:val="20"/>
              </w:rPr>
            </w:pPr>
            <w:proofErr w:type="spellStart"/>
            <w:r w:rsidRPr="00B80172">
              <w:rPr>
                <w:sz w:val="20"/>
                <w:szCs w:val="20"/>
              </w:rPr>
              <w:t>Brega</w:t>
            </w:r>
            <w:proofErr w:type="spellEnd"/>
            <w:r w:rsidRPr="00B80172">
              <w:rPr>
                <w:sz w:val="20"/>
                <w:szCs w:val="20"/>
              </w:rPr>
              <w:t xml:space="preserve">, Freedman, LeBlanc, Barnard, </w:t>
            </w:r>
            <w:proofErr w:type="spellStart"/>
            <w:r w:rsidRPr="00B80172">
              <w:rPr>
                <w:sz w:val="20"/>
                <w:szCs w:val="20"/>
              </w:rPr>
              <w:t>Mabachi</w:t>
            </w:r>
            <w:proofErr w:type="spellEnd"/>
            <w:r w:rsidRPr="00B80172">
              <w:rPr>
                <w:sz w:val="20"/>
                <w:szCs w:val="20"/>
              </w:rPr>
              <w:t xml:space="preserve">, </w:t>
            </w:r>
            <w:proofErr w:type="spellStart"/>
            <w:r w:rsidRPr="00B80172">
              <w:rPr>
                <w:sz w:val="20"/>
                <w:szCs w:val="20"/>
              </w:rPr>
              <w:t>Cifuentes</w:t>
            </w:r>
            <w:proofErr w:type="spellEnd"/>
            <w:r w:rsidRPr="00B80172">
              <w:rPr>
                <w:sz w:val="20"/>
                <w:szCs w:val="20"/>
              </w:rPr>
              <w:t xml:space="preserve">, Albright, Weiss, Brach, &amp; West. Using the Health Literacy Universal Precautions Toolkit to improve the quality of patient materials. </w:t>
            </w:r>
            <w:r w:rsidRPr="00B80172">
              <w:rPr>
                <w:i/>
                <w:sz w:val="20"/>
                <w:szCs w:val="20"/>
              </w:rPr>
              <w:t>Journal of Health Communication.</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Examine how primary care practices implemented Tool 11 and whether written materials improved as a result.</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Quantitative &amp; qualitative. Evaluation study</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4 practices.</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 xml:space="preserve">Many of the revised and newly developed documents had reading levels appropriate for most patients and better readability than the original materials.  Readability, understandability, and </w:t>
            </w:r>
            <w:proofErr w:type="spellStart"/>
            <w:r w:rsidRPr="00B80172">
              <w:rPr>
                <w:sz w:val="20"/>
                <w:szCs w:val="20"/>
              </w:rPr>
              <w:t>actionability</w:t>
            </w:r>
            <w:proofErr w:type="spellEnd"/>
            <w:r w:rsidRPr="00B80172">
              <w:rPr>
                <w:sz w:val="20"/>
                <w:szCs w:val="20"/>
              </w:rPr>
              <w:t xml:space="preserve"> of lengthier patient education materials were poor and did </w:t>
            </w:r>
            <w:r w:rsidRPr="00B80172">
              <w:rPr>
                <w:sz w:val="20"/>
                <w:szCs w:val="20"/>
              </w:rPr>
              <w:lastRenderedPageBreak/>
              <w:t>not improve over 6 months.</w:t>
            </w:r>
          </w:p>
        </w:tc>
      </w:tr>
      <w:tr w:rsidR="00B61540" w:rsidRPr="00657AF5" w:rsidTr="00B80172">
        <w:trPr>
          <w:trHeight w:val="2060"/>
        </w:trPr>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lastRenderedPageBreak/>
              <w:t>2013</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 xml:space="preserve">Callahan, Hawk, Rudd, Hackney, Bhandari, </w:t>
            </w:r>
            <w:proofErr w:type="spellStart"/>
            <w:r w:rsidRPr="00B80172">
              <w:rPr>
                <w:sz w:val="20"/>
                <w:szCs w:val="20"/>
              </w:rPr>
              <w:t>Prizer</w:t>
            </w:r>
            <w:proofErr w:type="spellEnd"/>
            <w:r w:rsidRPr="00B80172">
              <w:rPr>
                <w:sz w:val="20"/>
                <w:szCs w:val="20"/>
              </w:rPr>
              <w:t xml:space="preserve">, Bauer, Jonas, </w:t>
            </w:r>
            <w:proofErr w:type="spellStart"/>
            <w:r w:rsidRPr="00B80172">
              <w:rPr>
                <w:sz w:val="20"/>
                <w:szCs w:val="20"/>
              </w:rPr>
              <w:t>Mendys</w:t>
            </w:r>
            <w:proofErr w:type="spellEnd"/>
            <w:r w:rsidRPr="00B80172">
              <w:rPr>
                <w:sz w:val="20"/>
                <w:szCs w:val="20"/>
              </w:rPr>
              <w:t xml:space="preserve">, </w:t>
            </w:r>
            <w:proofErr w:type="spellStart"/>
            <w:r w:rsidRPr="00B80172">
              <w:rPr>
                <w:sz w:val="20"/>
                <w:szCs w:val="20"/>
              </w:rPr>
              <w:t>DeWalt</w:t>
            </w:r>
            <w:proofErr w:type="spellEnd"/>
            <w:r w:rsidRPr="00B80172">
              <w:rPr>
                <w:sz w:val="20"/>
                <w:szCs w:val="20"/>
              </w:rPr>
              <w:t xml:space="preserve">. Adaptation of the Health Literacy Universal Precautions Toolkit for rheumatology and cardiology—Applications for pharmacy professionals to improve self-management and outcomes in patients with chronic disease. </w:t>
            </w:r>
            <w:r w:rsidRPr="00B80172">
              <w:rPr>
                <w:i/>
                <w:sz w:val="20"/>
                <w:szCs w:val="20"/>
              </w:rPr>
              <w:t>Research in Social and Administrative Pharmacy.</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Focuses on the adaptation, review, and use of 2 new health literacy toolkits for health professionals who work with patients with arthritis and cardiovascular disease.</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Evaluation study</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8 practice sites (4 rheumatology, 4 cardiology).</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Participating pharmacists &amp; staff offered suggestions that helped shape revisions and reported positive experiences with brown bag events, suggestions for approaches with patients managing chronic diseases, and with concrete examples related to several medicines as well as to common problems.</w:t>
            </w:r>
          </w:p>
        </w:tc>
      </w:tr>
      <w:tr w:rsidR="00B61540" w:rsidRPr="00657AF5" w:rsidTr="00B80172">
        <w:trPr>
          <w:trHeight w:val="1880"/>
        </w:trPr>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2016</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 xml:space="preserve">Clausen, Watanabe-Galloway, </w:t>
            </w:r>
            <w:proofErr w:type="spellStart"/>
            <w:r w:rsidRPr="00B80172">
              <w:rPr>
                <w:sz w:val="20"/>
                <w:szCs w:val="20"/>
              </w:rPr>
              <w:t>Baerentzen</w:t>
            </w:r>
            <w:proofErr w:type="spellEnd"/>
            <w:r w:rsidRPr="00B80172">
              <w:rPr>
                <w:sz w:val="20"/>
                <w:szCs w:val="20"/>
              </w:rPr>
              <w:t xml:space="preserve">, &amp; </w:t>
            </w:r>
            <w:proofErr w:type="spellStart"/>
            <w:r w:rsidRPr="00B80172">
              <w:rPr>
                <w:sz w:val="20"/>
                <w:szCs w:val="20"/>
              </w:rPr>
              <w:t>Britigan</w:t>
            </w:r>
            <w:proofErr w:type="spellEnd"/>
            <w:r w:rsidRPr="00B80172">
              <w:rPr>
                <w:sz w:val="20"/>
                <w:szCs w:val="20"/>
              </w:rPr>
              <w:t>. Health literacy among people with serious mental illness.</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 xml:space="preserve">To investigate aspects of health literacy and identify factors associated with low literacy among adults with severe mental illness using 3 literacy assessment tools. </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Cross-sectional study</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n=71</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42% had limited literacy with the Single Item Literacy Screener, 50% with the Rapid Estimate of Adult Literacy in Medicine-Short Form, and 67% with the Newest Vital Sign.</w:t>
            </w:r>
          </w:p>
        </w:tc>
      </w:tr>
      <w:tr w:rsidR="00B61540" w:rsidRPr="00657AF5" w:rsidTr="00B80172">
        <w:trPr>
          <w:trHeight w:val="1970"/>
        </w:trPr>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lastRenderedPageBreak/>
              <w:t>2011</w:t>
            </w:r>
          </w:p>
        </w:tc>
        <w:tc>
          <w:tcPr>
            <w:tcW w:w="0" w:type="auto"/>
            <w:shd w:val="clear" w:color="auto" w:fill="auto"/>
          </w:tcPr>
          <w:p w:rsidR="00B61540" w:rsidRPr="00B80172" w:rsidRDefault="00B61540" w:rsidP="00B80172">
            <w:pPr>
              <w:pStyle w:val="APA"/>
              <w:spacing w:line="240" w:lineRule="auto"/>
              <w:rPr>
                <w:sz w:val="20"/>
                <w:szCs w:val="20"/>
              </w:rPr>
            </w:pPr>
            <w:proofErr w:type="spellStart"/>
            <w:r w:rsidRPr="00B80172">
              <w:rPr>
                <w:sz w:val="20"/>
                <w:szCs w:val="20"/>
              </w:rPr>
              <w:t>DeWalt</w:t>
            </w:r>
            <w:proofErr w:type="spellEnd"/>
            <w:r w:rsidRPr="00B80172">
              <w:rPr>
                <w:sz w:val="20"/>
                <w:szCs w:val="20"/>
              </w:rPr>
              <w:t xml:space="preserve">, </w:t>
            </w:r>
            <w:proofErr w:type="spellStart"/>
            <w:r w:rsidRPr="00B80172">
              <w:rPr>
                <w:sz w:val="20"/>
                <w:szCs w:val="20"/>
              </w:rPr>
              <w:t>Broucksou</w:t>
            </w:r>
            <w:proofErr w:type="spellEnd"/>
            <w:r w:rsidRPr="00B80172">
              <w:rPr>
                <w:sz w:val="20"/>
                <w:szCs w:val="20"/>
              </w:rPr>
              <w:t xml:space="preserve">, Hawk, Brach, </w:t>
            </w:r>
            <w:proofErr w:type="spellStart"/>
            <w:r w:rsidRPr="00B80172">
              <w:rPr>
                <w:sz w:val="20"/>
                <w:szCs w:val="20"/>
              </w:rPr>
              <w:t>Hink</w:t>
            </w:r>
            <w:proofErr w:type="spellEnd"/>
            <w:r w:rsidRPr="00B80172">
              <w:rPr>
                <w:sz w:val="20"/>
                <w:szCs w:val="20"/>
              </w:rPr>
              <w:t xml:space="preserve">, Rudd, &amp; Callahan. Developing and testing the Health Literacy Universal Precautions Toolkit. </w:t>
            </w:r>
            <w:r w:rsidRPr="00B80172">
              <w:rPr>
                <w:i/>
                <w:sz w:val="20"/>
                <w:szCs w:val="20"/>
              </w:rPr>
              <w:t>Nursing Outlook.</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 xml:space="preserve">Reviews the development of the </w:t>
            </w:r>
            <w:r w:rsidRPr="00B80172">
              <w:rPr>
                <w:i/>
                <w:sz w:val="20"/>
                <w:szCs w:val="20"/>
              </w:rPr>
              <w:t>Health Literacy Universal Precautions Toolkit</w:t>
            </w:r>
            <w:r w:rsidRPr="00B80172">
              <w:rPr>
                <w:sz w:val="20"/>
                <w:szCs w:val="20"/>
              </w:rPr>
              <w:t>, including testing the tools and the toolkit.</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Development process and qualitative observations from implementation (pilot) testing. (Evaluation study).</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6 practice-based research networks across the state of North Carolina. 4 practices plus 4 additional practices participated in prototype testing.</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 xml:space="preserve">The development and pilot testing suggest that the study team has identified key content from current knowledge and resources in health literacy and configured the information in a way that practices find useful. The changes take a substantial commitment and implementation is likely to take several months. </w:t>
            </w:r>
          </w:p>
        </w:tc>
      </w:tr>
      <w:tr w:rsidR="00B61540" w:rsidRPr="00657AF5" w:rsidTr="00B80172">
        <w:trPr>
          <w:trHeight w:val="1250"/>
        </w:trPr>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2010</w:t>
            </w:r>
          </w:p>
        </w:tc>
        <w:tc>
          <w:tcPr>
            <w:tcW w:w="0" w:type="auto"/>
            <w:shd w:val="clear" w:color="auto" w:fill="auto"/>
          </w:tcPr>
          <w:p w:rsidR="00B61540" w:rsidRPr="00B80172" w:rsidRDefault="00B61540" w:rsidP="00B80172">
            <w:pPr>
              <w:pStyle w:val="APA"/>
              <w:spacing w:line="240" w:lineRule="auto"/>
              <w:rPr>
                <w:sz w:val="20"/>
                <w:szCs w:val="20"/>
              </w:rPr>
            </w:pPr>
            <w:proofErr w:type="spellStart"/>
            <w:r w:rsidRPr="00B80172">
              <w:rPr>
                <w:sz w:val="20"/>
                <w:szCs w:val="20"/>
              </w:rPr>
              <w:t>Eckman</w:t>
            </w:r>
            <w:proofErr w:type="spellEnd"/>
            <w:r w:rsidRPr="00B80172">
              <w:rPr>
                <w:sz w:val="20"/>
                <w:szCs w:val="20"/>
              </w:rPr>
              <w:t xml:space="preserve">, Wise, Leonard, Dixon, Burros, Khan, &amp; Warm. Impact of health literacy outcomes and effectiveness of an educational intervention in patients with chronic diseases. </w:t>
            </w:r>
            <w:r w:rsidRPr="00B80172">
              <w:rPr>
                <w:i/>
                <w:sz w:val="20"/>
                <w:szCs w:val="20"/>
              </w:rPr>
              <w:t xml:space="preserve">Patient Education and Counseling. </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To study the impact of health literacy on educational intervention for patients “Living with coronary artery disease”</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Randomized control study</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n=170</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 xml:space="preserve">There was a trend towards greater improvement in knowledge scores among patients in the video &amp; text group compared with the text only group (1.41 vs. 0.81; p=0.07), but the results were not statistically significant.  CAD knowledge scores improved significantly after either intervention (p&lt;0.0001). Those receiving video and text intervention had a significant improvement in both exercise and weight loss (p=0.05), while the text only group did not. There was no significant difference in CAD knowledge score improvements or in changes in health behaviors and </w:t>
            </w:r>
            <w:r w:rsidRPr="00B80172">
              <w:rPr>
                <w:sz w:val="20"/>
                <w:szCs w:val="20"/>
              </w:rPr>
              <w:lastRenderedPageBreak/>
              <w:t xml:space="preserve">clinical outcomes between patients with lower and higher health literacy. </w:t>
            </w:r>
          </w:p>
        </w:tc>
      </w:tr>
      <w:tr w:rsidR="00B61540" w:rsidRPr="00657AF5" w:rsidTr="00B80172">
        <w:trPr>
          <w:trHeight w:val="2330"/>
        </w:trPr>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lastRenderedPageBreak/>
              <w:t>2012</w:t>
            </w:r>
          </w:p>
        </w:tc>
        <w:tc>
          <w:tcPr>
            <w:tcW w:w="0" w:type="auto"/>
            <w:shd w:val="clear" w:color="auto" w:fill="auto"/>
          </w:tcPr>
          <w:p w:rsidR="00B61540" w:rsidRPr="00B80172" w:rsidRDefault="00B61540" w:rsidP="00B80172">
            <w:pPr>
              <w:pStyle w:val="APA"/>
              <w:spacing w:line="240" w:lineRule="auto"/>
              <w:rPr>
                <w:sz w:val="20"/>
                <w:szCs w:val="20"/>
              </w:rPr>
            </w:pPr>
            <w:proofErr w:type="spellStart"/>
            <w:r w:rsidRPr="00B80172">
              <w:rPr>
                <w:sz w:val="20"/>
                <w:szCs w:val="20"/>
              </w:rPr>
              <w:t>Galletly</w:t>
            </w:r>
            <w:proofErr w:type="spellEnd"/>
            <w:r w:rsidRPr="00B80172">
              <w:rPr>
                <w:sz w:val="20"/>
                <w:szCs w:val="20"/>
              </w:rPr>
              <w:t xml:space="preserve">, </w:t>
            </w:r>
            <w:proofErr w:type="spellStart"/>
            <w:r w:rsidRPr="00B80172">
              <w:rPr>
                <w:sz w:val="20"/>
                <w:szCs w:val="20"/>
              </w:rPr>
              <w:t>Neaves</w:t>
            </w:r>
            <w:proofErr w:type="spellEnd"/>
            <w:r w:rsidRPr="00B80172">
              <w:rPr>
                <w:sz w:val="20"/>
                <w:szCs w:val="20"/>
              </w:rPr>
              <w:t xml:space="preserve">, Burton, Liu, &amp; Denson. Evaluating health literacy in people with mental illness using the Test of Functional Health Literacy in Adults. </w:t>
            </w:r>
            <w:r w:rsidRPr="00B80172">
              <w:rPr>
                <w:i/>
                <w:sz w:val="20"/>
                <w:szCs w:val="20"/>
              </w:rPr>
              <w:t xml:space="preserve">Nursing Outlook. </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To investigate health literacy in people with mental illness and to evaluate relationships between medication adherence and health literacy.</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Cross-sectional</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n=30 in schizophrenia group. n=30 in depression group.</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93% of patients in the depressed group and 97% in the schizophrenia group scored within the “adequate” health literacy category.  Health literacy was positively correlated with years of education (r=0.29, n=60, P=0.023). There was no association between health literacy and medication adherence (r=-0.05, n=60, P=0.697).</w:t>
            </w:r>
          </w:p>
        </w:tc>
      </w:tr>
      <w:tr w:rsidR="00B61540" w:rsidTr="00B80172">
        <w:trPr>
          <w:trHeight w:val="2150"/>
        </w:trPr>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2004</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 xml:space="preserve">Institute of Medicine. </w:t>
            </w:r>
            <w:r w:rsidRPr="00B80172">
              <w:rPr>
                <w:i/>
                <w:sz w:val="20"/>
                <w:szCs w:val="20"/>
              </w:rPr>
              <w:t xml:space="preserve">Health literacy: A prescription to end confusion. </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 xml:space="preserve">To document the problem of health literacy, and describe its origins, consequences, and solutions.  Also lays out a comprehensive strategy to improve health literacy in America. </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Case report</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N/A</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N/A</w:t>
            </w:r>
          </w:p>
        </w:tc>
      </w:tr>
      <w:tr w:rsidR="00B61540" w:rsidTr="00B80172">
        <w:trPr>
          <w:trHeight w:val="1880"/>
        </w:trPr>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2012</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 xml:space="preserve">Krishan, von </w:t>
            </w:r>
            <w:proofErr w:type="spellStart"/>
            <w:r w:rsidRPr="00B80172">
              <w:rPr>
                <w:sz w:val="20"/>
                <w:szCs w:val="20"/>
              </w:rPr>
              <w:t>Esenwein</w:t>
            </w:r>
            <w:proofErr w:type="spellEnd"/>
            <w:r w:rsidRPr="00B80172">
              <w:rPr>
                <w:sz w:val="20"/>
                <w:szCs w:val="20"/>
              </w:rPr>
              <w:t xml:space="preserve">, &amp; </w:t>
            </w:r>
            <w:proofErr w:type="spellStart"/>
            <w:r w:rsidRPr="00B80172">
              <w:rPr>
                <w:sz w:val="20"/>
                <w:szCs w:val="20"/>
              </w:rPr>
              <w:t>Druss</w:t>
            </w:r>
            <w:proofErr w:type="spellEnd"/>
            <w:r w:rsidRPr="00B80172">
              <w:rPr>
                <w:sz w:val="20"/>
                <w:szCs w:val="20"/>
              </w:rPr>
              <w:t xml:space="preserve">. The health literacy of adults with severe mental illness. </w:t>
            </w:r>
            <w:r w:rsidRPr="00B80172">
              <w:rPr>
                <w:i/>
                <w:sz w:val="20"/>
                <w:szCs w:val="20"/>
              </w:rPr>
              <w:t xml:space="preserve">Psychiatric services. </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 xml:space="preserve">To examine factors related to health literacy in individuals with serious mental illness who are receiving care at an urban community mental health center. </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 xml:space="preserve">Cross-sectional analysis of participants in a randomized control parent study. </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 xml:space="preserve">N=256 </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 xml:space="preserve">Overall, 117 (46%) had low health literacy and the mean REALM score was 55.18+/-15.60. Low health literacy was associated with increased odds of inpatient medical hospitalization when the analysis controlled for </w:t>
            </w:r>
            <w:r w:rsidRPr="00B80172">
              <w:rPr>
                <w:sz w:val="20"/>
                <w:szCs w:val="20"/>
              </w:rPr>
              <w:lastRenderedPageBreak/>
              <w:t xml:space="preserve">education, race, gender, age, and schizophrenia diagnosis (odds ratio=3.71, 85% confidence interval 1.49-9.22, p=0.005).  </w:t>
            </w:r>
          </w:p>
        </w:tc>
      </w:tr>
      <w:tr w:rsidR="00B61540" w:rsidTr="00B80172">
        <w:trPr>
          <w:trHeight w:val="2150"/>
        </w:trPr>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lastRenderedPageBreak/>
              <w:t>2008</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 xml:space="preserve">Lincoln, </w:t>
            </w:r>
            <w:proofErr w:type="spellStart"/>
            <w:r w:rsidRPr="00B80172">
              <w:rPr>
                <w:sz w:val="20"/>
                <w:szCs w:val="20"/>
              </w:rPr>
              <w:t>Espejo</w:t>
            </w:r>
            <w:proofErr w:type="spellEnd"/>
            <w:r w:rsidRPr="00B80172">
              <w:rPr>
                <w:sz w:val="20"/>
                <w:szCs w:val="20"/>
              </w:rPr>
              <w:t xml:space="preserve">, Johnson, </w:t>
            </w:r>
            <w:proofErr w:type="spellStart"/>
            <w:r w:rsidRPr="00B80172">
              <w:rPr>
                <w:sz w:val="20"/>
                <w:szCs w:val="20"/>
              </w:rPr>
              <w:t>Paasche-Orlow</w:t>
            </w:r>
            <w:proofErr w:type="spellEnd"/>
            <w:r w:rsidRPr="00B80172">
              <w:rPr>
                <w:sz w:val="20"/>
                <w:szCs w:val="20"/>
              </w:rPr>
              <w:t xml:space="preserve">, </w:t>
            </w:r>
            <w:proofErr w:type="spellStart"/>
            <w:r w:rsidRPr="00B80172">
              <w:rPr>
                <w:sz w:val="20"/>
                <w:szCs w:val="20"/>
              </w:rPr>
              <w:t>Speckman</w:t>
            </w:r>
            <w:proofErr w:type="spellEnd"/>
            <w:r w:rsidRPr="00B80172">
              <w:rPr>
                <w:sz w:val="20"/>
                <w:szCs w:val="20"/>
              </w:rPr>
              <w:t xml:space="preserve">, Webber, &amp; White. Limited literacy and psychiatric disorders among users of an urban safety-net hospital’s mental health outpatient clinic. </w:t>
            </w:r>
            <w:r w:rsidRPr="00B80172">
              <w:rPr>
                <w:i/>
                <w:sz w:val="20"/>
                <w:szCs w:val="20"/>
              </w:rPr>
              <w:t>The Journal of Nervous and Mental Disease.</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To examine whether literacy varies by psychiatric diagnoses.</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Cross sectional</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Convenience sample of n=100</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The mean rapid estimate of adult literacy in medicine score was 55.9 which is below an 8</w:t>
            </w:r>
            <w:r w:rsidRPr="00B80172">
              <w:rPr>
                <w:sz w:val="20"/>
                <w:szCs w:val="20"/>
                <w:vertAlign w:val="superscript"/>
              </w:rPr>
              <w:t>th</w:t>
            </w:r>
            <w:r w:rsidRPr="00B80172">
              <w:rPr>
                <w:sz w:val="20"/>
                <w:szCs w:val="20"/>
              </w:rPr>
              <w:t xml:space="preserve"> grade literacy level. Psychotic disorder was associated with limited literacy (p=0.03) and substance abuse (p=0.003) and PTSD (p=0.07) were associated with higher literacy in bivariate analyses. </w:t>
            </w:r>
          </w:p>
        </w:tc>
      </w:tr>
      <w:tr w:rsidR="00B61540" w:rsidTr="00B80172">
        <w:trPr>
          <w:trHeight w:val="2150"/>
        </w:trPr>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2016</w:t>
            </w:r>
          </w:p>
        </w:tc>
        <w:tc>
          <w:tcPr>
            <w:tcW w:w="0" w:type="auto"/>
            <w:shd w:val="clear" w:color="auto" w:fill="auto"/>
          </w:tcPr>
          <w:p w:rsidR="00B61540" w:rsidRPr="00B80172" w:rsidRDefault="00B61540" w:rsidP="00B80172">
            <w:pPr>
              <w:pStyle w:val="APA"/>
              <w:spacing w:line="240" w:lineRule="auto"/>
              <w:rPr>
                <w:sz w:val="20"/>
                <w:szCs w:val="20"/>
              </w:rPr>
            </w:pPr>
            <w:proofErr w:type="spellStart"/>
            <w:r w:rsidRPr="00B80172">
              <w:rPr>
                <w:sz w:val="20"/>
                <w:szCs w:val="20"/>
              </w:rPr>
              <w:t>Mabachi</w:t>
            </w:r>
            <w:proofErr w:type="spellEnd"/>
            <w:r w:rsidRPr="00B80172">
              <w:rPr>
                <w:sz w:val="20"/>
                <w:szCs w:val="20"/>
              </w:rPr>
              <w:t xml:space="preserve">, </w:t>
            </w:r>
            <w:proofErr w:type="spellStart"/>
            <w:r w:rsidRPr="00B80172">
              <w:rPr>
                <w:sz w:val="20"/>
                <w:szCs w:val="20"/>
              </w:rPr>
              <w:t>Cifuentes</w:t>
            </w:r>
            <w:proofErr w:type="spellEnd"/>
            <w:r w:rsidRPr="00B80172">
              <w:rPr>
                <w:sz w:val="20"/>
                <w:szCs w:val="20"/>
              </w:rPr>
              <w:t xml:space="preserve">, Barnard, </w:t>
            </w:r>
            <w:proofErr w:type="spellStart"/>
            <w:r w:rsidRPr="00B80172">
              <w:rPr>
                <w:sz w:val="20"/>
                <w:szCs w:val="20"/>
              </w:rPr>
              <w:t>Brega</w:t>
            </w:r>
            <w:proofErr w:type="spellEnd"/>
            <w:r w:rsidRPr="00B80172">
              <w:rPr>
                <w:sz w:val="20"/>
                <w:szCs w:val="20"/>
              </w:rPr>
              <w:t xml:space="preserve">, Albright, Weiss, Brach, &amp; West. Demonstration of the Health Literacy Universal Precautions Toolkit: Lessons for quality improvement. </w:t>
            </w:r>
            <w:r w:rsidRPr="00B80172">
              <w:rPr>
                <w:i/>
                <w:sz w:val="20"/>
                <w:szCs w:val="20"/>
              </w:rPr>
              <w:t>Journal of Ambulatory Care Management.</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To present insights into practices’ experiences using the Toolkit, the utility of the Toolkit, opportunities for improving the Toolkit, and discuss implications for Toolkit use and enhancement.</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Qualitative</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12 primary care practices.</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 xml:space="preserve">Barriers included competing demands/staff capacity, bureaucratic challenges, technological challenges, limited quality improvement experience, and limited support from leadership.  Practices use the Toolkit flexibly and did not always implement all portions of assigned tools.  Practices found that some tools were best implemented in tandem.  At least ¾ of the practices report that they </w:t>
            </w:r>
            <w:r w:rsidRPr="00B80172">
              <w:rPr>
                <w:sz w:val="20"/>
                <w:szCs w:val="20"/>
              </w:rPr>
              <w:lastRenderedPageBreak/>
              <w:t xml:space="preserve">plan to continue to use the Toolkit as a resource to guide their health literacy-related QI work.  </w:t>
            </w:r>
          </w:p>
        </w:tc>
      </w:tr>
      <w:tr w:rsidR="00B61540" w:rsidTr="00B80172">
        <w:trPr>
          <w:trHeight w:val="2150"/>
        </w:trPr>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lastRenderedPageBreak/>
              <w:t>2010</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 xml:space="preserve">U.S. Department of Health and Human Services. </w:t>
            </w:r>
            <w:r w:rsidRPr="00B80172">
              <w:rPr>
                <w:i/>
                <w:sz w:val="20"/>
                <w:szCs w:val="20"/>
              </w:rPr>
              <w:t>National Action Plan to Improve Health Literacy</w:t>
            </w:r>
            <w:r w:rsidRPr="00B80172">
              <w:rPr>
                <w:sz w:val="20"/>
                <w:szCs w:val="20"/>
              </w:rPr>
              <w:t xml:space="preserve">. </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 xml:space="preserve">Seeks to engage organizations, professionals, policymakers, communities, individuals, and families in a linked, multisector effort to improve health literacy. </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Case report</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N/A</w:t>
            </w:r>
          </w:p>
        </w:tc>
        <w:tc>
          <w:tcPr>
            <w:tcW w:w="0" w:type="auto"/>
            <w:shd w:val="clear" w:color="auto" w:fill="auto"/>
          </w:tcPr>
          <w:p w:rsidR="00B61540" w:rsidRPr="00B80172" w:rsidRDefault="00B61540" w:rsidP="00B80172">
            <w:pPr>
              <w:pStyle w:val="APA"/>
              <w:spacing w:line="240" w:lineRule="auto"/>
              <w:rPr>
                <w:sz w:val="20"/>
                <w:szCs w:val="20"/>
              </w:rPr>
            </w:pPr>
            <w:r w:rsidRPr="00B80172">
              <w:rPr>
                <w:sz w:val="20"/>
                <w:szCs w:val="20"/>
              </w:rPr>
              <w:t>N/A</w:t>
            </w:r>
          </w:p>
        </w:tc>
      </w:tr>
    </w:tbl>
    <w:p w:rsidR="00930AC3" w:rsidRDefault="00930AC3" w:rsidP="00B61540">
      <w:pPr>
        <w:pStyle w:val="APALevel0"/>
      </w:pPr>
    </w:p>
    <w:p w:rsidR="00B61540" w:rsidRDefault="00930AC3" w:rsidP="00B61540">
      <w:pPr>
        <w:pStyle w:val="APALevel0"/>
      </w:pPr>
      <w:r>
        <w:br w:type="page"/>
      </w:r>
      <w:bookmarkStart w:id="49" w:name="_Toc514059917"/>
      <w:r>
        <w:lastRenderedPageBreak/>
        <w:t>Appendix C: Sampling Diagram</w:t>
      </w:r>
      <w:bookmarkEnd w:id="49"/>
    </w:p>
    <w:p w:rsidR="00930AC3" w:rsidRDefault="00E3160E" w:rsidP="001261EE">
      <w:pPr>
        <w:pStyle w:val="APA"/>
        <w:jc w:val="center"/>
        <w:rPr>
          <w:noProof/>
        </w:rPr>
      </w:pPr>
      <w:r w:rsidRPr="00C713F4">
        <w:rPr>
          <w:noProof/>
        </w:rPr>
        <w:drawing>
          <wp:inline distT="0" distB="0" distL="0" distR="0">
            <wp:extent cx="4972050" cy="4000500"/>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72050" cy="4000500"/>
                    </a:xfrm>
                    <a:prstGeom prst="rect">
                      <a:avLst/>
                    </a:prstGeom>
                    <a:noFill/>
                    <a:ln>
                      <a:noFill/>
                    </a:ln>
                  </pic:spPr>
                </pic:pic>
              </a:graphicData>
            </a:graphic>
          </wp:inline>
        </w:drawing>
      </w:r>
    </w:p>
    <w:p w:rsidR="00F022C4" w:rsidRDefault="00F022C4" w:rsidP="001261EE">
      <w:pPr>
        <w:pStyle w:val="APA"/>
      </w:pPr>
      <w:r>
        <w:rPr>
          <w:i/>
        </w:rPr>
        <w:t xml:space="preserve">Figure 2. </w:t>
      </w:r>
      <w:r>
        <w:t xml:space="preserve">This is a diagram of the three different samples of participants analyzed in the project. </w:t>
      </w:r>
    </w:p>
    <w:p w:rsidR="00F022C4" w:rsidRDefault="00F022C4" w:rsidP="00F022C4">
      <w:pPr>
        <w:pStyle w:val="APALevel0"/>
      </w:pPr>
      <w:r>
        <w:br w:type="page"/>
      </w:r>
      <w:bookmarkStart w:id="50" w:name="_Toc514059918"/>
      <w:r>
        <w:lastRenderedPageBreak/>
        <w:t>Appendix D: SWOT Analysis</w:t>
      </w:r>
      <w:bookmarkEnd w:id="50"/>
    </w:p>
    <w:p w:rsidR="00F022C4" w:rsidRDefault="00F022C4" w:rsidP="004009AB">
      <w:pPr>
        <w:pStyle w:val="Caption"/>
      </w:pPr>
      <w:bookmarkStart w:id="51" w:name="_Toc514059956"/>
      <w:r>
        <w:t>Table 2</w:t>
      </w:r>
      <w:bookmarkEnd w:id="51"/>
    </w:p>
    <w:p w:rsidR="00F022C4" w:rsidRPr="004009AB" w:rsidRDefault="00F022C4" w:rsidP="004009AB">
      <w:pPr>
        <w:pStyle w:val="Caption"/>
        <w:rPr>
          <w:i/>
        </w:rPr>
      </w:pPr>
      <w:bookmarkStart w:id="52" w:name="_Toc514059957"/>
      <w:r w:rsidRPr="004009AB">
        <w:rPr>
          <w:i/>
        </w:rPr>
        <w:t>SWOT Analysis of the Lower Shore Clinic</w:t>
      </w:r>
      <w:bookmarkEnd w:id="5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9"/>
        <w:gridCol w:w="4211"/>
      </w:tblGrid>
      <w:tr w:rsidR="0007193F" w:rsidTr="0007193F">
        <w:trPr>
          <w:trHeight w:val="332"/>
        </w:trPr>
        <w:tc>
          <w:tcPr>
            <w:tcW w:w="6475" w:type="dxa"/>
            <w:shd w:val="clear" w:color="auto" w:fill="auto"/>
          </w:tcPr>
          <w:p w:rsidR="00F022C4" w:rsidRPr="0007193F" w:rsidRDefault="00F022C4" w:rsidP="0007193F">
            <w:pPr>
              <w:pStyle w:val="APA"/>
              <w:rPr>
                <w:b/>
                <w:sz w:val="20"/>
                <w:szCs w:val="20"/>
              </w:rPr>
            </w:pPr>
            <w:r w:rsidRPr="0007193F">
              <w:rPr>
                <w:b/>
                <w:sz w:val="20"/>
                <w:szCs w:val="20"/>
              </w:rPr>
              <w:t>Strengths</w:t>
            </w:r>
          </w:p>
        </w:tc>
        <w:tc>
          <w:tcPr>
            <w:tcW w:w="6475" w:type="dxa"/>
            <w:shd w:val="clear" w:color="auto" w:fill="auto"/>
          </w:tcPr>
          <w:p w:rsidR="00F022C4" w:rsidRPr="0007193F" w:rsidRDefault="00F022C4" w:rsidP="0007193F">
            <w:pPr>
              <w:pStyle w:val="APA"/>
              <w:rPr>
                <w:b/>
                <w:sz w:val="20"/>
                <w:szCs w:val="20"/>
              </w:rPr>
            </w:pPr>
            <w:r w:rsidRPr="0007193F">
              <w:rPr>
                <w:b/>
                <w:sz w:val="20"/>
                <w:szCs w:val="20"/>
              </w:rPr>
              <w:t>Weaknesses</w:t>
            </w:r>
          </w:p>
        </w:tc>
      </w:tr>
      <w:tr w:rsidR="0007193F" w:rsidTr="0007193F">
        <w:tc>
          <w:tcPr>
            <w:tcW w:w="6475" w:type="dxa"/>
            <w:shd w:val="clear" w:color="auto" w:fill="auto"/>
          </w:tcPr>
          <w:p w:rsidR="00F022C4" w:rsidRPr="0007193F" w:rsidRDefault="00F022C4" w:rsidP="0007193F">
            <w:pPr>
              <w:pStyle w:val="APA"/>
              <w:numPr>
                <w:ilvl w:val="0"/>
                <w:numId w:val="46"/>
              </w:numPr>
              <w:spacing w:after="0" w:line="240" w:lineRule="auto"/>
              <w:rPr>
                <w:sz w:val="20"/>
                <w:szCs w:val="20"/>
              </w:rPr>
            </w:pPr>
            <w:r w:rsidRPr="0007193F">
              <w:rPr>
                <w:sz w:val="20"/>
                <w:szCs w:val="20"/>
              </w:rPr>
              <w:t>Integrated care</w:t>
            </w:r>
          </w:p>
          <w:p w:rsidR="00F022C4" w:rsidRPr="0007193F" w:rsidRDefault="00F022C4" w:rsidP="0007193F">
            <w:pPr>
              <w:pStyle w:val="APA"/>
              <w:numPr>
                <w:ilvl w:val="0"/>
                <w:numId w:val="46"/>
              </w:numPr>
              <w:spacing w:after="0" w:line="240" w:lineRule="auto"/>
              <w:rPr>
                <w:sz w:val="20"/>
                <w:szCs w:val="20"/>
              </w:rPr>
            </w:pPr>
            <w:r w:rsidRPr="0007193F">
              <w:rPr>
                <w:sz w:val="20"/>
                <w:szCs w:val="20"/>
              </w:rPr>
              <w:t>Affiliated with psychiatric rehabilitation program</w:t>
            </w:r>
          </w:p>
          <w:p w:rsidR="00F022C4" w:rsidRPr="0007193F" w:rsidRDefault="00F022C4" w:rsidP="0007193F">
            <w:pPr>
              <w:pStyle w:val="APA"/>
              <w:numPr>
                <w:ilvl w:val="0"/>
                <w:numId w:val="46"/>
              </w:numPr>
              <w:spacing w:after="0" w:line="240" w:lineRule="auto"/>
              <w:rPr>
                <w:sz w:val="20"/>
                <w:szCs w:val="20"/>
              </w:rPr>
            </w:pPr>
            <w:r w:rsidRPr="0007193F">
              <w:rPr>
                <w:sz w:val="20"/>
                <w:szCs w:val="20"/>
              </w:rPr>
              <w:t>Accessible</w:t>
            </w:r>
          </w:p>
          <w:p w:rsidR="00F022C4" w:rsidRPr="0007193F" w:rsidRDefault="00F022C4" w:rsidP="0007193F">
            <w:pPr>
              <w:pStyle w:val="APA"/>
              <w:numPr>
                <w:ilvl w:val="0"/>
                <w:numId w:val="46"/>
              </w:numPr>
              <w:spacing w:after="0" w:line="240" w:lineRule="auto"/>
              <w:rPr>
                <w:sz w:val="20"/>
                <w:szCs w:val="20"/>
              </w:rPr>
            </w:pPr>
            <w:r w:rsidRPr="0007193F">
              <w:rPr>
                <w:sz w:val="20"/>
                <w:szCs w:val="20"/>
              </w:rPr>
              <w:t>National Health Service Corps site</w:t>
            </w:r>
          </w:p>
          <w:p w:rsidR="00F022C4" w:rsidRPr="0007193F" w:rsidRDefault="00F022C4" w:rsidP="0007193F">
            <w:pPr>
              <w:pStyle w:val="APA"/>
              <w:numPr>
                <w:ilvl w:val="0"/>
                <w:numId w:val="46"/>
              </w:numPr>
              <w:spacing w:after="0" w:line="240" w:lineRule="auto"/>
              <w:rPr>
                <w:sz w:val="20"/>
                <w:szCs w:val="20"/>
              </w:rPr>
            </w:pPr>
            <w:r w:rsidRPr="0007193F">
              <w:rPr>
                <w:sz w:val="20"/>
                <w:szCs w:val="20"/>
              </w:rPr>
              <w:t>Sliding scale/Medicare &amp; Medicaid/ and private insurance accepted</w:t>
            </w:r>
          </w:p>
          <w:p w:rsidR="00F022C4" w:rsidRPr="0007193F" w:rsidRDefault="00F022C4" w:rsidP="0007193F">
            <w:pPr>
              <w:pStyle w:val="APA"/>
              <w:numPr>
                <w:ilvl w:val="0"/>
                <w:numId w:val="46"/>
              </w:numPr>
              <w:spacing w:after="0" w:line="240" w:lineRule="auto"/>
              <w:rPr>
                <w:sz w:val="20"/>
                <w:szCs w:val="20"/>
              </w:rPr>
            </w:pPr>
            <w:proofErr w:type="spellStart"/>
            <w:r w:rsidRPr="0007193F">
              <w:rPr>
                <w:sz w:val="20"/>
                <w:szCs w:val="20"/>
              </w:rPr>
              <w:t>Interprofessional</w:t>
            </w:r>
            <w:proofErr w:type="spellEnd"/>
            <w:r w:rsidRPr="0007193F">
              <w:rPr>
                <w:sz w:val="20"/>
                <w:szCs w:val="20"/>
              </w:rPr>
              <w:t>, well qualified, enthusiastic staff</w:t>
            </w:r>
          </w:p>
          <w:p w:rsidR="00F022C4" w:rsidRPr="0007193F" w:rsidRDefault="00F022C4" w:rsidP="0007193F">
            <w:pPr>
              <w:pStyle w:val="APA"/>
              <w:numPr>
                <w:ilvl w:val="0"/>
                <w:numId w:val="46"/>
              </w:numPr>
              <w:spacing w:after="0" w:line="240" w:lineRule="auto"/>
              <w:rPr>
                <w:sz w:val="20"/>
                <w:szCs w:val="20"/>
              </w:rPr>
            </w:pPr>
            <w:r w:rsidRPr="0007193F">
              <w:rPr>
                <w:sz w:val="20"/>
                <w:szCs w:val="20"/>
              </w:rPr>
              <w:t>Located near downtown Salisbury</w:t>
            </w:r>
          </w:p>
          <w:p w:rsidR="00F022C4" w:rsidRPr="0007193F" w:rsidRDefault="00F022C4" w:rsidP="0007193F">
            <w:pPr>
              <w:pStyle w:val="APA"/>
              <w:numPr>
                <w:ilvl w:val="0"/>
                <w:numId w:val="46"/>
              </w:numPr>
              <w:spacing w:after="0" w:line="240" w:lineRule="auto"/>
              <w:rPr>
                <w:sz w:val="20"/>
                <w:szCs w:val="20"/>
              </w:rPr>
            </w:pPr>
            <w:r w:rsidRPr="0007193F">
              <w:rPr>
                <w:sz w:val="20"/>
                <w:szCs w:val="20"/>
              </w:rPr>
              <w:t>Assertive Community Treatment (ACT) mobile treatment team</w:t>
            </w:r>
          </w:p>
          <w:p w:rsidR="00F022C4" w:rsidRPr="0007193F" w:rsidRDefault="00F022C4" w:rsidP="0007193F">
            <w:pPr>
              <w:pStyle w:val="APA"/>
              <w:numPr>
                <w:ilvl w:val="0"/>
                <w:numId w:val="46"/>
              </w:numPr>
              <w:spacing w:after="0" w:line="240" w:lineRule="auto"/>
              <w:rPr>
                <w:sz w:val="20"/>
                <w:szCs w:val="20"/>
              </w:rPr>
            </w:pPr>
            <w:r w:rsidRPr="0007193F">
              <w:rPr>
                <w:sz w:val="20"/>
                <w:szCs w:val="20"/>
              </w:rPr>
              <w:t>Joint Commission national quality approval</w:t>
            </w:r>
          </w:p>
          <w:p w:rsidR="00F022C4" w:rsidRPr="0007193F" w:rsidRDefault="00F022C4" w:rsidP="0007193F">
            <w:pPr>
              <w:pStyle w:val="APA"/>
              <w:numPr>
                <w:ilvl w:val="0"/>
                <w:numId w:val="46"/>
              </w:numPr>
              <w:spacing w:after="0" w:line="240" w:lineRule="auto"/>
              <w:rPr>
                <w:sz w:val="20"/>
                <w:szCs w:val="20"/>
              </w:rPr>
            </w:pPr>
            <w:r w:rsidRPr="0007193F">
              <w:rPr>
                <w:sz w:val="20"/>
                <w:szCs w:val="20"/>
              </w:rPr>
              <w:t>Community ties</w:t>
            </w:r>
          </w:p>
          <w:p w:rsidR="00F022C4" w:rsidRPr="0007193F" w:rsidRDefault="00F022C4" w:rsidP="0007193F">
            <w:pPr>
              <w:pStyle w:val="APA"/>
              <w:numPr>
                <w:ilvl w:val="1"/>
                <w:numId w:val="46"/>
              </w:numPr>
              <w:spacing w:after="0" w:line="240" w:lineRule="auto"/>
              <w:rPr>
                <w:sz w:val="20"/>
                <w:szCs w:val="20"/>
              </w:rPr>
            </w:pPr>
            <w:r w:rsidRPr="0007193F">
              <w:rPr>
                <w:sz w:val="20"/>
                <w:szCs w:val="20"/>
              </w:rPr>
              <w:t>PRMC-Care Wrap team</w:t>
            </w:r>
          </w:p>
          <w:p w:rsidR="00F022C4" w:rsidRPr="0007193F" w:rsidRDefault="00F022C4" w:rsidP="0007193F">
            <w:pPr>
              <w:pStyle w:val="APA"/>
              <w:numPr>
                <w:ilvl w:val="1"/>
                <w:numId w:val="46"/>
              </w:numPr>
              <w:spacing w:after="0" w:line="240" w:lineRule="auto"/>
              <w:rPr>
                <w:sz w:val="20"/>
                <w:szCs w:val="20"/>
              </w:rPr>
            </w:pPr>
            <w:r w:rsidRPr="0007193F">
              <w:rPr>
                <w:sz w:val="20"/>
                <w:szCs w:val="20"/>
              </w:rPr>
              <w:t>Salisbury University-board of directors, students, projects</w:t>
            </w:r>
          </w:p>
          <w:p w:rsidR="00F022C4" w:rsidRPr="0007193F" w:rsidRDefault="00F022C4" w:rsidP="0007193F">
            <w:pPr>
              <w:pStyle w:val="APA"/>
              <w:numPr>
                <w:ilvl w:val="0"/>
                <w:numId w:val="46"/>
              </w:numPr>
              <w:spacing w:after="0" w:line="240" w:lineRule="auto"/>
              <w:rPr>
                <w:sz w:val="20"/>
                <w:szCs w:val="20"/>
              </w:rPr>
            </w:pPr>
            <w:r w:rsidRPr="0007193F">
              <w:rPr>
                <w:sz w:val="20"/>
                <w:szCs w:val="20"/>
              </w:rPr>
              <w:t>CEO that is very involved politically and has received awards</w:t>
            </w:r>
          </w:p>
          <w:p w:rsidR="00F022C4" w:rsidRPr="0007193F" w:rsidRDefault="00F022C4" w:rsidP="0007193F">
            <w:pPr>
              <w:pStyle w:val="APA"/>
              <w:numPr>
                <w:ilvl w:val="0"/>
                <w:numId w:val="46"/>
              </w:numPr>
              <w:spacing w:after="0" w:line="240" w:lineRule="auto"/>
              <w:rPr>
                <w:sz w:val="20"/>
                <w:szCs w:val="20"/>
              </w:rPr>
            </w:pPr>
            <w:r w:rsidRPr="0007193F">
              <w:rPr>
                <w:sz w:val="20"/>
                <w:szCs w:val="20"/>
              </w:rPr>
              <w:t>On-site lab services</w:t>
            </w:r>
          </w:p>
          <w:p w:rsidR="00F022C4" w:rsidRPr="0007193F" w:rsidRDefault="00F022C4" w:rsidP="0007193F">
            <w:pPr>
              <w:pStyle w:val="APA"/>
              <w:numPr>
                <w:ilvl w:val="0"/>
                <w:numId w:val="46"/>
              </w:numPr>
              <w:spacing w:after="0" w:line="240" w:lineRule="auto"/>
              <w:rPr>
                <w:sz w:val="20"/>
                <w:szCs w:val="20"/>
              </w:rPr>
            </w:pPr>
            <w:r w:rsidRPr="0007193F">
              <w:rPr>
                <w:sz w:val="20"/>
                <w:szCs w:val="20"/>
              </w:rPr>
              <w:t>Pharmacy on-site</w:t>
            </w:r>
          </w:p>
          <w:p w:rsidR="00F022C4" w:rsidRPr="0007193F" w:rsidRDefault="00F022C4" w:rsidP="0007193F">
            <w:pPr>
              <w:pStyle w:val="APA"/>
              <w:numPr>
                <w:ilvl w:val="0"/>
                <w:numId w:val="46"/>
              </w:numPr>
              <w:spacing w:after="0" w:line="240" w:lineRule="auto"/>
              <w:rPr>
                <w:sz w:val="20"/>
                <w:szCs w:val="20"/>
              </w:rPr>
            </w:pPr>
            <w:r w:rsidRPr="0007193F">
              <w:rPr>
                <w:sz w:val="20"/>
                <w:szCs w:val="20"/>
              </w:rPr>
              <w:t>Belongs to Community Behavioral Health Association of Maryland</w:t>
            </w:r>
          </w:p>
        </w:tc>
        <w:tc>
          <w:tcPr>
            <w:tcW w:w="6475" w:type="dxa"/>
            <w:shd w:val="clear" w:color="auto" w:fill="auto"/>
          </w:tcPr>
          <w:p w:rsidR="00F022C4" w:rsidRPr="0007193F" w:rsidRDefault="00F022C4" w:rsidP="0007193F">
            <w:pPr>
              <w:pStyle w:val="APA"/>
              <w:numPr>
                <w:ilvl w:val="0"/>
                <w:numId w:val="46"/>
              </w:numPr>
              <w:spacing w:after="0" w:line="240" w:lineRule="auto"/>
              <w:rPr>
                <w:sz w:val="20"/>
                <w:szCs w:val="20"/>
              </w:rPr>
            </w:pPr>
            <w:r w:rsidRPr="0007193F">
              <w:rPr>
                <w:sz w:val="20"/>
                <w:szCs w:val="20"/>
              </w:rPr>
              <w:t>Paper charting</w:t>
            </w:r>
          </w:p>
          <w:p w:rsidR="00F022C4" w:rsidRPr="0007193F" w:rsidRDefault="00F022C4" w:rsidP="0007193F">
            <w:pPr>
              <w:pStyle w:val="APA"/>
              <w:numPr>
                <w:ilvl w:val="0"/>
                <w:numId w:val="46"/>
              </w:numPr>
              <w:spacing w:after="0" w:line="240" w:lineRule="auto"/>
              <w:rPr>
                <w:sz w:val="20"/>
                <w:szCs w:val="20"/>
              </w:rPr>
            </w:pPr>
            <w:r w:rsidRPr="0007193F">
              <w:rPr>
                <w:sz w:val="20"/>
                <w:szCs w:val="20"/>
              </w:rPr>
              <w:t>Busy practice</w:t>
            </w:r>
          </w:p>
          <w:p w:rsidR="00F022C4" w:rsidRPr="0007193F" w:rsidRDefault="00F022C4" w:rsidP="0007193F">
            <w:pPr>
              <w:pStyle w:val="APA"/>
              <w:numPr>
                <w:ilvl w:val="0"/>
                <w:numId w:val="46"/>
              </w:numPr>
              <w:spacing w:after="0" w:line="240" w:lineRule="auto"/>
              <w:rPr>
                <w:sz w:val="20"/>
                <w:szCs w:val="20"/>
              </w:rPr>
            </w:pPr>
            <w:r w:rsidRPr="0007193F">
              <w:rPr>
                <w:sz w:val="20"/>
                <w:szCs w:val="20"/>
              </w:rPr>
              <w:t>Little advertisement</w:t>
            </w:r>
          </w:p>
          <w:p w:rsidR="00F022C4" w:rsidRPr="0007193F" w:rsidRDefault="00F022C4" w:rsidP="0007193F">
            <w:pPr>
              <w:pStyle w:val="APA"/>
              <w:numPr>
                <w:ilvl w:val="0"/>
                <w:numId w:val="46"/>
              </w:numPr>
              <w:spacing w:after="0" w:line="240" w:lineRule="auto"/>
              <w:rPr>
                <w:sz w:val="20"/>
                <w:szCs w:val="20"/>
              </w:rPr>
            </w:pPr>
            <w:r w:rsidRPr="0007193F">
              <w:rPr>
                <w:sz w:val="20"/>
                <w:szCs w:val="20"/>
              </w:rPr>
              <w:t>Budget often operating at a loss</w:t>
            </w:r>
          </w:p>
          <w:p w:rsidR="00F022C4" w:rsidRPr="0007193F" w:rsidRDefault="00F022C4" w:rsidP="0007193F">
            <w:pPr>
              <w:pStyle w:val="APA"/>
              <w:numPr>
                <w:ilvl w:val="0"/>
                <w:numId w:val="46"/>
              </w:numPr>
              <w:spacing w:after="0" w:line="240" w:lineRule="auto"/>
              <w:rPr>
                <w:sz w:val="20"/>
                <w:szCs w:val="20"/>
              </w:rPr>
            </w:pPr>
            <w:r w:rsidRPr="0007193F">
              <w:rPr>
                <w:sz w:val="20"/>
                <w:szCs w:val="20"/>
              </w:rPr>
              <w:t>Poverty level of clients</w:t>
            </w:r>
          </w:p>
          <w:p w:rsidR="00F022C4" w:rsidRPr="0007193F" w:rsidRDefault="00F022C4" w:rsidP="0007193F">
            <w:pPr>
              <w:pStyle w:val="APA"/>
              <w:numPr>
                <w:ilvl w:val="0"/>
                <w:numId w:val="46"/>
              </w:numPr>
              <w:spacing w:after="0" w:line="240" w:lineRule="auto"/>
              <w:rPr>
                <w:sz w:val="20"/>
                <w:szCs w:val="20"/>
              </w:rPr>
            </w:pPr>
            <w:r w:rsidRPr="0007193F">
              <w:rPr>
                <w:sz w:val="20"/>
                <w:szCs w:val="20"/>
              </w:rPr>
              <w:t>Clients with multiple comorbidities</w:t>
            </w:r>
          </w:p>
          <w:p w:rsidR="00F022C4" w:rsidRPr="0007193F" w:rsidRDefault="00F022C4" w:rsidP="0007193F">
            <w:pPr>
              <w:pStyle w:val="APA"/>
              <w:numPr>
                <w:ilvl w:val="0"/>
                <w:numId w:val="46"/>
              </w:numPr>
              <w:spacing w:after="0" w:line="240" w:lineRule="auto"/>
              <w:rPr>
                <w:sz w:val="20"/>
                <w:szCs w:val="20"/>
              </w:rPr>
            </w:pPr>
            <w:r w:rsidRPr="0007193F">
              <w:rPr>
                <w:sz w:val="20"/>
                <w:szCs w:val="20"/>
              </w:rPr>
              <w:t>Clients with poor nutrition status</w:t>
            </w:r>
          </w:p>
          <w:p w:rsidR="00F022C4" w:rsidRPr="0007193F" w:rsidRDefault="00F022C4" w:rsidP="0007193F">
            <w:pPr>
              <w:pStyle w:val="APA"/>
              <w:numPr>
                <w:ilvl w:val="0"/>
                <w:numId w:val="46"/>
              </w:numPr>
              <w:spacing w:after="0" w:line="240" w:lineRule="auto"/>
              <w:rPr>
                <w:sz w:val="20"/>
                <w:szCs w:val="20"/>
              </w:rPr>
            </w:pPr>
            <w:r w:rsidRPr="0007193F">
              <w:rPr>
                <w:sz w:val="20"/>
                <w:szCs w:val="20"/>
              </w:rPr>
              <w:t>Clients frequently noncompliant with treatment regimens</w:t>
            </w:r>
          </w:p>
          <w:p w:rsidR="00F022C4" w:rsidRPr="0007193F" w:rsidRDefault="00F022C4" w:rsidP="0007193F">
            <w:pPr>
              <w:pStyle w:val="APA"/>
              <w:spacing w:line="240" w:lineRule="auto"/>
              <w:ind w:left="360"/>
              <w:rPr>
                <w:sz w:val="20"/>
                <w:szCs w:val="20"/>
              </w:rPr>
            </w:pPr>
          </w:p>
        </w:tc>
      </w:tr>
      <w:tr w:rsidR="0007193F" w:rsidTr="0007193F">
        <w:trPr>
          <w:trHeight w:val="287"/>
        </w:trPr>
        <w:tc>
          <w:tcPr>
            <w:tcW w:w="6475" w:type="dxa"/>
            <w:shd w:val="clear" w:color="auto" w:fill="auto"/>
          </w:tcPr>
          <w:p w:rsidR="00F022C4" w:rsidRPr="0007193F" w:rsidRDefault="00F022C4" w:rsidP="0007193F">
            <w:pPr>
              <w:pStyle w:val="APA"/>
              <w:rPr>
                <w:b/>
                <w:sz w:val="20"/>
                <w:szCs w:val="20"/>
              </w:rPr>
            </w:pPr>
            <w:r w:rsidRPr="0007193F">
              <w:rPr>
                <w:b/>
                <w:sz w:val="20"/>
                <w:szCs w:val="20"/>
              </w:rPr>
              <w:t>Opportunities</w:t>
            </w:r>
          </w:p>
        </w:tc>
        <w:tc>
          <w:tcPr>
            <w:tcW w:w="6475" w:type="dxa"/>
            <w:shd w:val="clear" w:color="auto" w:fill="auto"/>
          </w:tcPr>
          <w:p w:rsidR="00F022C4" w:rsidRPr="0007193F" w:rsidRDefault="00F022C4" w:rsidP="0007193F">
            <w:pPr>
              <w:pStyle w:val="APA"/>
              <w:rPr>
                <w:b/>
                <w:sz w:val="20"/>
                <w:szCs w:val="20"/>
              </w:rPr>
            </w:pPr>
            <w:r w:rsidRPr="0007193F">
              <w:rPr>
                <w:b/>
                <w:sz w:val="20"/>
                <w:szCs w:val="20"/>
              </w:rPr>
              <w:t>Threats</w:t>
            </w:r>
          </w:p>
        </w:tc>
      </w:tr>
      <w:tr w:rsidR="0007193F" w:rsidTr="0007193F">
        <w:tc>
          <w:tcPr>
            <w:tcW w:w="6475" w:type="dxa"/>
            <w:shd w:val="clear" w:color="auto" w:fill="auto"/>
          </w:tcPr>
          <w:p w:rsidR="00F022C4" w:rsidRPr="0007193F" w:rsidRDefault="00F022C4" w:rsidP="0007193F">
            <w:pPr>
              <w:pStyle w:val="APA"/>
              <w:numPr>
                <w:ilvl w:val="0"/>
                <w:numId w:val="47"/>
              </w:numPr>
              <w:spacing w:after="0" w:line="240" w:lineRule="auto"/>
              <w:rPr>
                <w:sz w:val="20"/>
                <w:szCs w:val="20"/>
              </w:rPr>
            </w:pPr>
            <w:r w:rsidRPr="0007193F">
              <w:rPr>
                <w:sz w:val="20"/>
                <w:szCs w:val="20"/>
              </w:rPr>
              <w:t>In the process of implementing an electronic health record</w:t>
            </w:r>
          </w:p>
          <w:p w:rsidR="00F022C4" w:rsidRPr="0007193F" w:rsidRDefault="00F022C4" w:rsidP="0007193F">
            <w:pPr>
              <w:pStyle w:val="APA"/>
              <w:numPr>
                <w:ilvl w:val="0"/>
                <w:numId w:val="47"/>
              </w:numPr>
              <w:spacing w:after="0" w:line="240" w:lineRule="auto"/>
              <w:rPr>
                <w:sz w:val="20"/>
                <w:szCs w:val="20"/>
              </w:rPr>
            </w:pPr>
            <w:r w:rsidRPr="0007193F">
              <w:rPr>
                <w:sz w:val="20"/>
                <w:szCs w:val="20"/>
              </w:rPr>
              <w:t>Possible partnership with PRMC’s accountable care organization (ACO)</w:t>
            </w:r>
          </w:p>
          <w:p w:rsidR="00F022C4" w:rsidRPr="0007193F" w:rsidRDefault="00F022C4" w:rsidP="0007193F">
            <w:pPr>
              <w:pStyle w:val="APA"/>
              <w:numPr>
                <w:ilvl w:val="0"/>
                <w:numId w:val="47"/>
              </w:numPr>
              <w:spacing w:after="0" w:line="240" w:lineRule="auto"/>
              <w:rPr>
                <w:sz w:val="20"/>
                <w:szCs w:val="20"/>
              </w:rPr>
            </w:pPr>
            <w:r w:rsidRPr="0007193F">
              <w:rPr>
                <w:sz w:val="20"/>
                <w:szCs w:val="20"/>
              </w:rPr>
              <w:t>Pharmacy buy-out by larger corporation with more resources</w:t>
            </w:r>
          </w:p>
          <w:p w:rsidR="00F022C4" w:rsidRPr="0007193F" w:rsidRDefault="00F022C4" w:rsidP="0007193F">
            <w:pPr>
              <w:pStyle w:val="APA"/>
              <w:numPr>
                <w:ilvl w:val="0"/>
                <w:numId w:val="47"/>
              </w:numPr>
              <w:spacing w:after="0" w:line="240" w:lineRule="auto"/>
              <w:rPr>
                <w:sz w:val="20"/>
                <w:szCs w:val="20"/>
              </w:rPr>
            </w:pPr>
            <w:r w:rsidRPr="0007193F">
              <w:rPr>
                <w:sz w:val="20"/>
                <w:szCs w:val="20"/>
              </w:rPr>
              <w:t>Frequent recipient of Community Health Foundation grants</w:t>
            </w:r>
          </w:p>
          <w:p w:rsidR="00F022C4" w:rsidRPr="0007193F" w:rsidRDefault="00F022C4" w:rsidP="0007193F">
            <w:pPr>
              <w:pStyle w:val="APA"/>
              <w:numPr>
                <w:ilvl w:val="0"/>
                <w:numId w:val="47"/>
              </w:numPr>
              <w:spacing w:after="0" w:line="240" w:lineRule="auto"/>
              <w:rPr>
                <w:sz w:val="20"/>
                <w:szCs w:val="20"/>
              </w:rPr>
            </w:pPr>
            <w:r w:rsidRPr="0007193F">
              <w:rPr>
                <w:sz w:val="20"/>
                <w:szCs w:val="20"/>
              </w:rPr>
              <w:t>Possible partnership with the city of Salisbury for capital improvement projects</w:t>
            </w:r>
          </w:p>
          <w:p w:rsidR="00F022C4" w:rsidRPr="0007193F" w:rsidRDefault="00F022C4" w:rsidP="0007193F">
            <w:pPr>
              <w:pStyle w:val="APA"/>
              <w:numPr>
                <w:ilvl w:val="0"/>
                <w:numId w:val="47"/>
              </w:numPr>
              <w:spacing w:after="0" w:line="240" w:lineRule="auto"/>
              <w:rPr>
                <w:sz w:val="20"/>
                <w:szCs w:val="20"/>
              </w:rPr>
            </w:pPr>
            <w:r w:rsidRPr="0007193F">
              <w:rPr>
                <w:sz w:val="20"/>
                <w:szCs w:val="20"/>
              </w:rPr>
              <w:t>Recent passing of the Keep the Door Open Act</w:t>
            </w:r>
          </w:p>
          <w:p w:rsidR="00F022C4" w:rsidRPr="0007193F" w:rsidRDefault="00F022C4" w:rsidP="0007193F">
            <w:pPr>
              <w:pStyle w:val="APA"/>
              <w:numPr>
                <w:ilvl w:val="0"/>
                <w:numId w:val="47"/>
              </w:numPr>
              <w:spacing w:after="0" w:line="240" w:lineRule="auto"/>
              <w:rPr>
                <w:sz w:val="20"/>
                <w:szCs w:val="20"/>
              </w:rPr>
            </w:pPr>
            <w:r w:rsidRPr="0007193F">
              <w:rPr>
                <w:sz w:val="20"/>
                <w:szCs w:val="20"/>
              </w:rPr>
              <w:t>Few other integrated primary care and psychiatric clinics for adults in Wicomico or surrounding counties</w:t>
            </w:r>
          </w:p>
        </w:tc>
        <w:tc>
          <w:tcPr>
            <w:tcW w:w="6475" w:type="dxa"/>
            <w:shd w:val="clear" w:color="auto" w:fill="auto"/>
          </w:tcPr>
          <w:p w:rsidR="00F022C4" w:rsidRPr="0007193F" w:rsidRDefault="00F022C4" w:rsidP="0007193F">
            <w:pPr>
              <w:pStyle w:val="APA"/>
              <w:numPr>
                <w:ilvl w:val="0"/>
                <w:numId w:val="47"/>
              </w:numPr>
              <w:spacing w:after="0" w:line="240" w:lineRule="auto"/>
              <w:rPr>
                <w:sz w:val="20"/>
                <w:szCs w:val="20"/>
              </w:rPr>
            </w:pPr>
            <w:r w:rsidRPr="0007193F">
              <w:rPr>
                <w:sz w:val="20"/>
                <w:szCs w:val="20"/>
              </w:rPr>
              <w:t>National political environment-possible repeal of Affordable Care Act</w:t>
            </w:r>
          </w:p>
          <w:p w:rsidR="00F022C4" w:rsidRPr="0007193F" w:rsidRDefault="00F022C4" w:rsidP="0007193F">
            <w:pPr>
              <w:pStyle w:val="APA"/>
              <w:numPr>
                <w:ilvl w:val="0"/>
                <w:numId w:val="47"/>
              </w:numPr>
              <w:spacing w:after="0" w:line="240" w:lineRule="auto"/>
              <w:rPr>
                <w:sz w:val="20"/>
                <w:szCs w:val="20"/>
              </w:rPr>
            </w:pPr>
            <w:r w:rsidRPr="0007193F">
              <w:rPr>
                <w:sz w:val="20"/>
                <w:szCs w:val="20"/>
              </w:rPr>
              <w:t>Competitors that are able to expand to pediatrics, dental, and other specialty care areas</w:t>
            </w:r>
          </w:p>
          <w:p w:rsidR="00F022C4" w:rsidRPr="0007193F" w:rsidRDefault="00F022C4" w:rsidP="0007193F">
            <w:pPr>
              <w:pStyle w:val="APA"/>
              <w:numPr>
                <w:ilvl w:val="0"/>
                <w:numId w:val="47"/>
              </w:numPr>
              <w:spacing w:after="0" w:line="240" w:lineRule="auto"/>
              <w:rPr>
                <w:sz w:val="20"/>
                <w:szCs w:val="20"/>
              </w:rPr>
            </w:pPr>
            <w:r w:rsidRPr="0007193F">
              <w:rPr>
                <w:sz w:val="20"/>
                <w:szCs w:val="20"/>
              </w:rPr>
              <w:t>Poor reimbursement rates</w:t>
            </w:r>
          </w:p>
          <w:p w:rsidR="00F022C4" w:rsidRPr="0007193F" w:rsidRDefault="00F022C4" w:rsidP="0007193F">
            <w:pPr>
              <w:pStyle w:val="APA"/>
              <w:numPr>
                <w:ilvl w:val="0"/>
                <w:numId w:val="47"/>
              </w:numPr>
              <w:spacing w:after="0" w:line="240" w:lineRule="auto"/>
              <w:rPr>
                <w:sz w:val="20"/>
                <w:szCs w:val="20"/>
              </w:rPr>
            </w:pPr>
            <w:r w:rsidRPr="0007193F">
              <w:rPr>
                <w:sz w:val="20"/>
                <w:szCs w:val="20"/>
              </w:rPr>
              <w:t>Dearth of primary care and mental health providers</w:t>
            </w:r>
          </w:p>
          <w:p w:rsidR="00F022C4" w:rsidRPr="0007193F" w:rsidRDefault="00F022C4" w:rsidP="0007193F">
            <w:pPr>
              <w:pStyle w:val="APA"/>
              <w:numPr>
                <w:ilvl w:val="0"/>
                <w:numId w:val="47"/>
              </w:numPr>
              <w:spacing w:after="0" w:line="240" w:lineRule="auto"/>
              <w:rPr>
                <w:sz w:val="20"/>
                <w:szCs w:val="20"/>
              </w:rPr>
            </w:pPr>
            <w:r w:rsidRPr="0007193F">
              <w:rPr>
                <w:sz w:val="20"/>
                <w:szCs w:val="20"/>
              </w:rPr>
              <w:t>Clients often unable to pay</w:t>
            </w:r>
          </w:p>
        </w:tc>
      </w:tr>
    </w:tbl>
    <w:p w:rsidR="00F0525C" w:rsidRDefault="00F0525C" w:rsidP="00F022C4">
      <w:pPr>
        <w:pStyle w:val="APALevel0"/>
      </w:pPr>
    </w:p>
    <w:p w:rsidR="00F022C4" w:rsidRDefault="00F0525C" w:rsidP="00F022C4">
      <w:pPr>
        <w:pStyle w:val="APALevel0"/>
      </w:pPr>
      <w:r>
        <w:br w:type="page"/>
      </w:r>
      <w:bookmarkStart w:id="53" w:name="_Toc514059919"/>
      <w:r>
        <w:lastRenderedPageBreak/>
        <w:t>Appendix E: Letters of Collaboration from the Lower Shore Clinic</w:t>
      </w:r>
      <w:bookmarkEnd w:id="53"/>
    </w:p>
    <w:p w:rsidR="00F0525C" w:rsidRDefault="00E3160E" w:rsidP="001261EE">
      <w:pPr>
        <w:pStyle w:val="APA"/>
        <w:jc w:val="center"/>
        <w:rPr>
          <w:noProof/>
        </w:rPr>
      </w:pPr>
      <w:r w:rsidRPr="00C713F4">
        <w:rPr>
          <w:noProof/>
        </w:rPr>
        <w:drawing>
          <wp:inline distT="0" distB="0" distL="0" distR="0">
            <wp:extent cx="5514975" cy="3257550"/>
            <wp:effectExtent l="0" t="0" r="0" b="0"/>
            <wp:docPr id="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14975" cy="3257550"/>
                    </a:xfrm>
                    <a:prstGeom prst="rect">
                      <a:avLst/>
                    </a:prstGeom>
                    <a:noFill/>
                    <a:ln>
                      <a:noFill/>
                    </a:ln>
                  </pic:spPr>
                </pic:pic>
              </a:graphicData>
            </a:graphic>
          </wp:inline>
        </w:drawing>
      </w:r>
    </w:p>
    <w:p w:rsidR="00F0525C" w:rsidRDefault="00F0525C" w:rsidP="001261EE">
      <w:pPr>
        <w:pStyle w:val="APA"/>
        <w:jc w:val="center"/>
        <w:rPr>
          <w:noProof/>
        </w:rPr>
      </w:pPr>
      <w:r>
        <w:rPr>
          <w:noProof/>
        </w:rPr>
        <w:br w:type="page"/>
      </w:r>
      <w:r w:rsidR="00E3160E" w:rsidRPr="00C713F4">
        <w:rPr>
          <w:noProof/>
        </w:rPr>
        <w:lastRenderedPageBreak/>
        <w:drawing>
          <wp:inline distT="0" distB="0" distL="0" distR="0">
            <wp:extent cx="5276850" cy="7124700"/>
            <wp:effectExtent l="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76850" cy="7124700"/>
                    </a:xfrm>
                    <a:prstGeom prst="rect">
                      <a:avLst/>
                    </a:prstGeom>
                    <a:noFill/>
                    <a:ln>
                      <a:noFill/>
                    </a:ln>
                  </pic:spPr>
                </pic:pic>
              </a:graphicData>
            </a:graphic>
          </wp:inline>
        </w:drawing>
      </w:r>
    </w:p>
    <w:p w:rsidR="00F0525C" w:rsidRDefault="00F0525C" w:rsidP="00F022C4">
      <w:pPr>
        <w:pStyle w:val="APALevel0"/>
        <w:rPr>
          <w:noProof/>
        </w:rPr>
      </w:pPr>
      <w:r>
        <w:rPr>
          <w:noProof/>
        </w:rPr>
        <w:br w:type="page"/>
      </w:r>
      <w:bookmarkStart w:id="54" w:name="_Toc514059920"/>
      <w:r>
        <w:rPr>
          <w:noProof/>
        </w:rPr>
        <w:lastRenderedPageBreak/>
        <w:t>Appendix F: Health Literacy Patient Survey</w:t>
      </w:r>
      <w:bookmarkEnd w:id="54"/>
    </w:p>
    <w:p w:rsidR="00F0525C" w:rsidRDefault="00E3160E" w:rsidP="001261EE">
      <w:pPr>
        <w:pStyle w:val="APA"/>
        <w:rPr>
          <w:noProof/>
        </w:rPr>
      </w:pPr>
      <w:r w:rsidRPr="00F0525C">
        <w:rPr>
          <w:noProof/>
        </w:rPr>
        <w:drawing>
          <wp:inline distT="0" distB="0" distL="0" distR="0">
            <wp:extent cx="5553075" cy="6257925"/>
            <wp:effectExtent l="0" t="0" r="0" b="0"/>
            <wp:docPr id="6" name="Picture 2" descr="Screen Cli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reen Clippi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53075" cy="6257925"/>
                    </a:xfrm>
                    <a:prstGeom prst="rect">
                      <a:avLst/>
                    </a:prstGeom>
                    <a:noFill/>
                    <a:ln>
                      <a:noFill/>
                    </a:ln>
                  </pic:spPr>
                </pic:pic>
              </a:graphicData>
            </a:graphic>
          </wp:inline>
        </w:drawing>
      </w:r>
    </w:p>
    <w:p w:rsidR="00F0525C" w:rsidRDefault="00F0525C" w:rsidP="001261EE">
      <w:pPr>
        <w:pStyle w:val="APA"/>
        <w:rPr>
          <w:noProof/>
        </w:rPr>
      </w:pPr>
      <w:r>
        <w:rPr>
          <w:noProof/>
        </w:rPr>
        <w:br w:type="page"/>
      </w:r>
      <w:r w:rsidR="00E3160E" w:rsidRPr="00F0525C">
        <w:rPr>
          <w:noProof/>
        </w:rPr>
        <w:lastRenderedPageBreak/>
        <w:drawing>
          <wp:inline distT="0" distB="0" distL="0" distR="0">
            <wp:extent cx="5486400" cy="7019925"/>
            <wp:effectExtent l="0" t="0" r="0" b="0"/>
            <wp:docPr id="7" name="Picture 3" descr="Screen Cli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 Clippi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86400" cy="7019925"/>
                    </a:xfrm>
                    <a:prstGeom prst="rect">
                      <a:avLst/>
                    </a:prstGeom>
                    <a:noFill/>
                    <a:ln>
                      <a:noFill/>
                    </a:ln>
                  </pic:spPr>
                </pic:pic>
              </a:graphicData>
            </a:graphic>
          </wp:inline>
        </w:drawing>
      </w:r>
    </w:p>
    <w:p w:rsidR="00F0525C" w:rsidRDefault="00F0525C" w:rsidP="001261EE">
      <w:pPr>
        <w:pStyle w:val="APA"/>
        <w:rPr>
          <w:noProof/>
        </w:rPr>
      </w:pPr>
      <w:r>
        <w:rPr>
          <w:noProof/>
        </w:rPr>
        <w:br w:type="page"/>
      </w:r>
      <w:r w:rsidR="00E3160E" w:rsidRPr="00F0525C">
        <w:rPr>
          <w:noProof/>
        </w:rPr>
        <w:lastRenderedPageBreak/>
        <w:drawing>
          <wp:inline distT="0" distB="0" distL="0" distR="0">
            <wp:extent cx="5314950" cy="7096125"/>
            <wp:effectExtent l="0" t="0" r="0" b="0"/>
            <wp:docPr id="8" name="Picture 5" descr="Screen Cli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reen Clippi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14950" cy="7096125"/>
                    </a:xfrm>
                    <a:prstGeom prst="rect">
                      <a:avLst/>
                    </a:prstGeom>
                    <a:noFill/>
                    <a:ln>
                      <a:noFill/>
                    </a:ln>
                  </pic:spPr>
                </pic:pic>
              </a:graphicData>
            </a:graphic>
          </wp:inline>
        </w:drawing>
      </w:r>
    </w:p>
    <w:p w:rsidR="00F0525C" w:rsidRDefault="00F0525C" w:rsidP="001261EE">
      <w:pPr>
        <w:pStyle w:val="APA"/>
        <w:rPr>
          <w:noProof/>
        </w:rPr>
      </w:pPr>
      <w:r>
        <w:rPr>
          <w:noProof/>
        </w:rPr>
        <w:br w:type="page"/>
      </w:r>
      <w:r w:rsidR="00E3160E" w:rsidRPr="00F0525C">
        <w:rPr>
          <w:noProof/>
        </w:rPr>
        <w:lastRenderedPageBreak/>
        <w:drawing>
          <wp:inline distT="0" distB="0" distL="0" distR="0">
            <wp:extent cx="5343525" cy="7000875"/>
            <wp:effectExtent l="0" t="0" r="0" b="0"/>
            <wp:docPr id="9" name="Picture 7" descr="Screen Cli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creen Clippi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43525" cy="7000875"/>
                    </a:xfrm>
                    <a:prstGeom prst="rect">
                      <a:avLst/>
                    </a:prstGeom>
                    <a:noFill/>
                    <a:ln>
                      <a:noFill/>
                    </a:ln>
                  </pic:spPr>
                </pic:pic>
              </a:graphicData>
            </a:graphic>
          </wp:inline>
        </w:drawing>
      </w:r>
    </w:p>
    <w:p w:rsidR="00F0525C" w:rsidRDefault="00F0525C" w:rsidP="001261EE">
      <w:pPr>
        <w:pStyle w:val="APA"/>
        <w:rPr>
          <w:noProof/>
        </w:rPr>
      </w:pPr>
      <w:r>
        <w:rPr>
          <w:noProof/>
        </w:rPr>
        <w:br w:type="page"/>
      </w:r>
      <w:r w:rsidR="00E3160E" w:rsidRPr="00F0525C">
        <w:rPr>
          <w:noProof/>
        </w:rPr>
        <w:lastRenderedPageBreak/>
        <w:drawing>
          <wp:inline distT="0" distB="0" distL="0" distR="0">
            <wp:extent cx="5343525" cy="7067550"/>
            <wp:effectExtent l="0" t="0" r="0" b="0"/>
            <wp:docPr id="10" name="Picture 8" descr="Screen Cli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creen Clippi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43525" cy="7067550"/>
                    </a:xfrm>
                    <a:prstGeom prst="rect">
                      <a:avLst/>
                    </a:prstGeom>
                    <a:noFill/>
                    <a:ln>
                      <a:noFill/>
                    </a:ln>
                  </pic:spPr>
                </pic:pic>
              </a:graphicData>
            </a:graphic>
          </wp:inline>
        </w:drawing>
      </w:r>
    </w:p>
    <w:p w:rsidR="00F0525C" w:rsidRDefault="00F0525C" w:rsidP="001261EE">
      <w:pPr>
        <w:pStyle w:val="APA"/>
        <w:rPr>
          <w:noProof/>
        </w:rPr>
      </w:pPr>
      <w:r>
        <w:rPr>
          <w:noProof/>
        </w:rPr>
        <w:br w:type="page"/>
      </w:r>
      <w:r w:rsidR="00E3160E" w:rsidRPr="00F0525C">
        <w:rPr>
          <w:noProof/>
        </w:rPr>
        <w:lastRenderedPageBreak/>
        <w:drawing>
          <wp:inline distT="0" distB="0" distL="0" distR="0">
            <wp:extent cx="5486400" cy="7077075"/>
            <wp:effectExtent l="0" t="0" r="0" b="0"/>
            <wp:docPr id="11" name="Picture 9" descr="Screen Cli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creen Clippi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86400" cy="7077075"/>
                    </a:xfrm>
                    <a:prstGeom prst="rect">
                      <a:avLst/>
                    </a:prstGeom>
                    <a:noFill/>
                    <a:ln>
                      <a:noFill/>
                    </a:ln>
                  </pic:spPr>
                </pic:pic>
              </a:graphicData>
            </a:graphic>
          </wp:inline>
        </w:drawing>
      </w:r>
    </w:p>
    <w:p w:rsidR="00F0525C" w:rsidRDefault="00F0525C" w:rsidP="001261EE">
      <w:pPr>
        <w:pStyle w:val="APA"/>
        <w:rPr>
          <w:noProof/>
        </w:rPr>
      </w:pPr>
      <w:r>
        <w:rPr>
          <w:noProof/>
        </w:rPr>
        <w:br w:type="page"/>
      </w:r>
      <w:r w:rsidR="00E3160E" w:rsidRPr="00F0525C">
        <w:rPr>
          <w:noProof/>
        </w:rPr>
        <w:lastRenderedPageBreak/>
        <w:drawing>
          <wp:inline distT="0" distB="0" distL="0" distR="0">
            <wp:extent cx="5305425" cy="7010400"/>
            <wp:effectExtent l="0" t="0" r="0" b="0"/>
            <wp:docPr id="12" name="Picture 10" descr="Screen Cli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creen Clippi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305425" cy="7010400"/>
                    </a:xfrm>
                    <a:prstGeom prst="rect">
                      <a:avLst/>
                    </a:prstGeom>
                    <a:noFill/>
                    <a:ln>
                      <a:noFill/>
                    </a:ln>
                  </pic:spPr>
                </pic:pic>
              </a:graphicData>
            </a:graphic>
          </wp:inline>
        </w:drawing>
      </w:r>
    </w:p>
    <w:p w:rsidR="00F0525C" w:rsidRDefault="00F0525C" w:rsidP="001261EE">
      <w:pPr>
        <w:pStyle w:val="APA"/>
        <w:rPr>
          <w:noProof/>
        </w:rPr>
      </w:pPr>
      <w:r>
        <w:rPr>
          <w:noProof/>
        </w:rPr>
        <w:br w:type="page"/>
      </w:r>
      <w:r w:rsidR="00E3160E" w:rsidRPr="00F0525C">
        <w:rPr>
          <w:noProof/>
        </w:rPr>
        <w:lastRenderedPageBreak/>
        <w:drawing>
          <wp:inline distT="0" distB="0" distL="0" distR="0">
            <wp:extent cx="5467350" cy="6953250"/>
            <wp:effectExtent l="0" t="0" r="0" b="0"/>
            <wp:docPr id="13" name="Picture 11" descr="Screen Cli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creen Clippi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67350" cy="6953250"/>
                    </a:xfrm>
                    <a:prstGeom prst="rect">
                      <a:avLst/>
                    </a:prstGeom>
                    <a:noFill/>
                    <a:ln>
                      <a:noFill/>
                    </a:ln>
                  </pic:spPr>
                </pic:pic>
              </a:graphicData>
            </a:graphic>
          </wp:inline>
        </w:drawing>
      </w:r>
    </w:p>
    <w:p w:rsidR="00F0525C" w:rsidRDefault="00F0525C" w:rsidP="001261EE">
      <w:pPr>
        <w:pStyle w:val="APA"/>
        <w:rPr>
          <w:noProof/>
        </w:rPr>
      </w:pPr>
      <w:r>
        <w:rPr>
          <w:noProof/>
        </w:rPr>
        <w:br w:type="page"/>
      </w:r>
      <w:r w:rsidR="00E3160E" w:rsidRPr="00F0525C">
        <w:rPr>
          <w:noProof/>
        </w:rPr>
        <w:lastRenderedPageBreak/>
        <w:drawing>
          <wp:inline distT="0" distB="0" distL="0" distR="0">
            <wp:extent cx="5362575" cy="7038975"/>
            <wp:effectExtent l="0" t="0" r="0" b="0"/>
            <wp:docPr id="14" name="Picture 12" descr="Screen Cli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reen Clippi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62575" cy="7038975"/>
                    </a:xfrm>
                    <a:prstGeom prst="rect">
                      <a:avLst/>
                    </a:prstGeom>
                    <a:noFill/>
                    <a:ln>
                      <a:noFill/>
                    </a:ln>
                  </pic:spPr>
                </pic:pic>
              </a:graphicData>
            </a:graphic>
          </wp:inline>
        </w:drawing>
      </w:r>
    </w:p>
    <w:p w:rsidR="00F0525C" w:rsidRDefault="00F0525C" w:rsidP="001261EE">
      <w:pPr>
        <w:pStyle w:val="APA"/>
        <w:rPr>
          <w:noProof/>
        </w:rPr>
      </w:pPr>
      <w:r>
        <w:rPr>
          <w:noProof/>
        </w:rPr>
        <w:br w:type="page"/>
      </w:r>
      <w:r w:rsidR="00E3160E" w:rsidRPr="00F0525C">
        <w:rPr>
          <w:noProof/>
        </w:rPr>
        <w:lastRenderedPageBreak/>
        <w:drawing>
          <wp:inline distT="0" distB="0" distL="0" distR="0">
            <wp:extent cx="5162550" cy="6762750"/>
            <wp:effectExtent l="0" t="0" r="0" b="0"/>
            <wp:docPr id="15" name="Picture 13" descr="Screen Cli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creen Clippi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62550" cy="6762750"/>
                    </a:xfrm>
                    <a:prstGeom prst="rect">
                      <a:avLst/>
                    </a:prstGeom>
                    <a:noFill/>
                    <a:ln>
                      <a:noFill/>
                    </a:ln>
                  </pic:spPr>
                </pic:pic>
              </a:graphicData>
            </a:graphic>
          </wp:inline>
        </w:drawing>
      </w:r>
    </w:p>
    <w:p w:rsidR="009C7335" w:rsidRDefault="00F0525C" w:rsidP="001261EE">
      <w:pPr>
        <w:pStyle w:val="APA"/>
      </w:pPr>
      <w:r>
        <w:rPr>
          <w:i/>
        </w:rPr>
        <w:t xml:space="preserve">Note. </w:t>
      </w:r>
      <w:r>
        <w:t xml:space="preserve">From </w:t>
      </w:r>
      <w:r>
        <w:rPr>
          <w:i/>
        </w:rPr>
        <w:t xml:space="preserve">AHRQ Health Literacy Universal Precautions Toolkit </w:t>
      </w:r>
      <w:r>
        <w:t>(2</w:t>
      </w:r>
      <w:r w:rsidRPr="00F0525C">
        <w:rPr>
          <w:vertAlign w:val="superscript"/>
        </w:rPr>
        <w:t>nd</w:t>
      </w:r>
      <w:r>
        <w:t xml:space="preserve"> ed.), by the Agency for Healthcare Research and Quality, </w:t>
      </w:r>
      <w:r w:rsidR="009C7335">
        <w:t>2015, pp. 142-151. Publicly available.</w:t>
      </w:r>
    </w:p>
    <w:p w:rsidR="00F0525C" w:rsidRDefault="009C7335" w:rsidP="009C7335">
      <w:pPr>
        <w:pStyle w:val="APALevel0"/>
      </w:pPr>
      <w:bookmarkStart w:id="55" w:name="_Toc514059921"/>
      <w:r>
        <w:lastRenderedPageBreak/>
        <w:t>Appendix G: Primary Care Health Literacy Assessment</w:t>
      </w:r>
      <w:bookmarkEnd w:id="55"/>
    </w:p>
    <w:p w:rsidR="009C7335" w:rsidRDefault="00E3160E" w:rsidP="001261EE">
      <w:pPr>
        <w:pStyle w:val="APA"/>
        <w:rPr>
          <w:noProof/>
        </w:rPr>
      </w:pPr>
      <w:r w:rsidRPr="009C7335">
        <w:rPr>
          <w:noProof/>
        </w:rPr>
        <w:drawing>
          <wp:inline distT="0" distB="0" distL="0" distR="0">
            <wp:extent cx="5057775" cy="6772275"/>
            <wp:effectExtent l="0" t="0" r="0" b="0"/>
            <wp:docPr id="16" name="Picture 14" descr="Screen Cli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creen Clippi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057775" cy="6772275"/>
                    </a:xfrm>
                    <a:prstGeom prst="rect">
                      <a:avLst/>
                    </a:prstGeom>
                    <a:noFill/>
                    <a:ln>
                      <a:noFill/>
                    </a:ln>
                  </pic:spPr>
                </pic:pic>
              </a:graphicData>
            </a:graphic>
          </wp:inline>
        </w:drawing>
      </w:r>
    </w:p>
    <w:p w:rsidR="009C7335" w:rsidRDefault="009C7335" w:rsidP="001261EE">
      <w:pPr>
        <w:pStyle w:val="APA"/>
        <w:rPr>
          <w:noProof/>
        </w:rPr>
      </w:pPr>
      <w:r>
        <w:rPr>
          <w:noProof/>
        </w:rPr>
        <w:br w:type="page"/>
      </w:r>
      <w:r w:rsidR="00E3160E" w:rsidRPr="009C7335">
        <w:rPr>
          <w:noProof/>
        </w:rPr>
        <w:lastRenderedPageBreak/>
        <w:drawing>
          <wp:inline distT="0" distB="0" distL="0" distR="0">
            <wp:extent cx="5553075" cy="6981825"/>
            <wp:effectExtent l="0" t="0" r="0" b="0"/>
            <wp:docPr id="17" name="Picture 16" descr="Screen Cli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creen Clippi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53075" cy="6981825"/>
                    </a:xfrm>
                    <a:prstGeom prst="rect">
                      <a:avLst/>
                    </a:prstGeom>
                    <a:noFill/>
                    <a:ln>
                      <a:noFill/>
                    </a:ln>
                  </pic:spPr>
                </pic:pic>
              </a:graphicData>
            </a:graphic>
          </wp:inline>
        </w:drawing>
      </w:r>
    </w:p>
    <w:p w:rsidR="009C7335" w:rsidRDefault="009C7335" w:rsidP="001261EE">
      <w:pPr>
        <w:pStyle w:val="APA"/>
        <w:rPr>
          <w:noProof/>
        </w:rPr>
      </w:pPr>
      <w:r>
        <w:rPr>
          <w:noProof/>
        </w:rPr>
        <w:br w:type="page"/>
      </w:r>
      <w:r w:rsidR="00E3160E" w:rsidRPr="009C7335">
        <w:rPr>
          <w:noProof/>
        </w:rPr>
        <w:lastRenderedPageBreak/>
        <w:drawing>
          <wp:inline distT="0" distB="0" distL="0" distR="0">
            <wp:extent cx="5524500" cy="7458075"/>
            <wp:effectExtent l="0" t="0" r="0" b="0"/>
            <wp:docPr id="18" name="Picture 17" descr="Screen Cli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creen Clippi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524500" cy="7458075"/>
                    </a:xfrm>
                    <a:prstGeom prst="rect">
                      <a:avLst/>
                    </a:prstGeom>
                    <a:noFill/>
                    <a:ln>
                      <a:noFill/>
                    </a:ln>
                  </pic:spPr>
                </pic:pic>
              </a:graphicData>
            </a:graphic>
          </wp:inline>
        </w:drawing>
      </w:r>
    </w:p>
    <w:p w:rsidR="009C7335" w:rsidRDefault="009C7335" w:rsidP="001261EE">
      <w:pPr>
        <w:pStyle w:val="APA"/>
        <w:rPr>
          <w:noProof/>
        </w:rPr>
      </w:pPr>
      <w:r>
        <w:rPr>
          <w:b/>
          <w:noProof/>
        </w:rPr>
        <w:br w:type="page"/>
      </w:r>
      <w:r w:rsidR="00E3160E" w:rsidRPr="00C713F4">
        <w:rPr>
          <w:noProof/>
        </w:rPr>
        <w:lastRenderedPageBreak/>
        <w:drawing>
          <wp:inline distT="0" distB="0" distL="0" distR="0">
            <wp:extent cx="5467350" cy="7153275"/>
            <wp:effectExtent l="0" t="0" r="0" b="0"/>
            <wp:docPr id="19" name="Picture 18" descr="Screen Cli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creen Clippi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467350" cy="7153275"/>
                    </a:xfrm>
                    <a:prstGeom prst="rect">
                      <a:avLst/>
                    </a:prstGeom>
                    <a:noFill/>
                    <a:ln>
                      <a:noFill/>
                    </a:ln>
                  </pic:spPr>
                </pic:pic>
              </a:graphicData>
            </a:graphic>
          </wp:inline>
        </w:drawing>
      </w:r>
    </w:p>
    <w:p w:rsidR="009C7335" w:rsidRDefault="009C7335" w:rsidP="001261EE">
      <w:pPr>
        <w:pStyle w:val="APA"/>
        <w:rPr>
          <w:noProof/>
        </w:rPr>
      </w:pPr>
      <w:r>
        <w:rPr>
          <w:noProof/>
        </w:rPr>
        <w:br w:type="page"/>
      </w:r>
      <w:r w:rsidR="00E3160E" w:rsidRPr="00C713F4">
        <w:rPr>
          <w:noProof/>
        </w:rPr>
        <w:lastRenderedPageBreak/>
        <w:drawing>
          <wp:inline distT="0" distB="0" distL="0" distR="0">
            <wp:extent cx="5486400" cy="7067550"/>
            <wp:effectExtent l="0" t="0" r="0" b="0"/>
            <wp:docPr id="20" name="Picture 19" descr="Screen Cli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Screen Clippi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486400" cy="7067550"/>
                    </a:xfrm>
                    <a:prstGeom prst="rect">
                      <a:avLst/>
                    </a:prstGeom>
                    <a:noFill/>
                    <a:ln>
                      <a:noFill/>
                    </a:ln>
                  </pic:spPr>
                </pic:pic>
              </a:graphicData>
            </a:graphic>
          </wp:inline>
        </w:drawing>
      </w:r>
    </w:p>
    <w:p w:rsidR="009C7335" w:rsidRDefault="009C7335" w:rsidP="001261EE">
      <w:pPr>
        <w:pStyle w:val="APA"/>
        <w:rPr>
          <w:noProof/>
        </w:rPr>
      </w:pPr>
      <w:r>
        <w:rPr>
          <w:noProof/>
        </w:rPr>
        <w:br w:type="page"/>
      </w:r>
      <w:r w:rsidR="00E3160E" w:rsidRPr="00C713F4">
        <w:rPr>
          <w:noProof/>
        </w:rPr>
        <w:lastRenderedPageBreak/>
        <w:drawing>
          <wp:inline distT="0" distB="0" distL="0" distR="0">
            <wp:extent cx="5000625" cy="6686550"/>
            <wp:effectExtent l="0" t="0" r="0" b="0"/>
            <wp:docPr id="21" name="Picture 20" descr="Screen Cli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Screen Clippi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000625" cy="6686550"/>
                    </a:xfrm>
                    <a:prstGeom prst="rect">
                      <a:avLst/>
                    </a:prstGeom>
                    <a:noFill/>
                    <a:ln>
                      <a:noFill/>
                    </a:ln>
                  </pic:spPr>
                </pic:pic>
              </a:graphicData>
            </a:graphic>
          </wp:inline>
        </w:drawing>
      </w:r>
    </w:p>
    <w:p w:rsidR="000B07D2" w:rsidRDefault="009C7335" w:rsidP="000B07D2">
      <w:pPr>
        <w:pStyle w:val="APA"/>
      </w:pPr>
      <w:r>
        <w:rPr>
          <w:i/>
          <w:noProof/>
        </w:rPr>
        <w:t xml:space="preserve">Note. </w:t>
      </w:r>
      <w:r>
        <w:t xml:space="preserve">From </w:t>
      </w:r>
      <w:r>
        <w:rPr>
          <w:i/>
        </w:rPr>
        <w:t xml:space="preserve">AHRQ Health Literacy Universal Precautions Toolkit </w:t>
      </w:r>
      <w:r>
        <w:t>(2</w:t>
      </w:r>
      <w:r w:rsidRPr="00F0525C">
        <w:rPr>
          <w:vertAlign w:val="superscript"/>
        </w:rPr>
        <w:t>nd</w:t>
      </w:r>
      <w:r>
        <w:t xml:space="preserve"> ed.), by the Agency for Healthcare Research and Quality, 2015, pp. 71-76. Publicly available.</w:t>
      </w:r>
    </w:p>
    <w:p w:rsidR="009C7335" w:rsidRDefault="000B07D2" w:rsidP="000B07D2">
      <w:pPr>
        <w:pStyle w:val="APALevel0"/>
        <w:rPr>
          <w:i/>
        </w:rPr>
      </w:pPr>
      <w:r>
        <w:br w:type="page"/>
      </w:r>
      <w:bookmarkStart w:id="56" w:name="_Toc514059922"/>
      <w:r>
        <w:lastRenderedPageBreak/>
        <w:t xml:space="preserve">Appendix H: Descriptive Statistics on Pre-Intervention </w:t>
      </w:r>
      <w:r w:rsidRPr="00927F6D">
        <w:rPr>
          <w:i/>
        </w:rPr>
        <w:t>Primary Care Health Literacy Assessment</w:t>
      </w:r>
      <w:bookmarkEnd w:id="56"/>
    </w:p>
    <w:p w:rsidR="000B07D2" w:rsidRDefault="000B07D2" w:rsidP="004009AB">
      <w:pPr>
        <w:pStyle w:val="Caption"/>
      </w:pPr>
      <w:bookmarkStart w:id="57" w:name="_Toc514059958"/>
      <w:r w:rsidRPr="000B07D2">
        <w:t>Table 3</w:t>
      </w:r>
      <w:bookmarkEnd w:id="57"/>
    </w:p>
    <w:p w:rsidR="000B07D2" w:rsidRPr="004009AB" w:rsidRDefault="000B07D2" w:rsidP="004009AB">
      <w:pPr>
        <w:pStyle w:val="Caption"/>
        <w:rPr>
          <w:i/>
        </w:rPr>
      </w:pPr>
      <w:bookmarkStart w:id="58" w:name="_Toc514059959"/>
      <w:r w:rsidRPr="004009AB">
        <w:rPr>
          <w:i/>
        </w:rPr>
        <w:t>Descriptive Statistics on Pre-Intervention Primary Care Health Literacy Assessment</w:t>
      </w:r>
      <w:bookmarkEnd w:id="58"/>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5"/>
        <w:gridCol w:w="1357"/>
        <w:gridCol w:w="1468"/>
        <w:gridCol w:w="1474"/>
        <w:gridCol w:w="1410"/>
        <w:gridCol w:w="1466"/>
      </w:tblGrid>
      <w:tr w:rsidR="000B07D2" w:rsidRPr="00FA66D6" w:rsidTr="00866670">
        <w:trPr>
          <w:jc w:val="center"/>
        </w:trPr>
        <w:tc>
          <w:tcPr>
            <w:tcW w:w="1558" w:type="dxa"/>
            <w:shd w:val="clear" w:color="auto" w:fill="D9D9D9"/>
          </w:tcPr>
          <w:p w:rsidR="000B07D2" w:rsidRPr="00866670" w:rsidRDefault="000B07D2" w:rsidP="006A7B41">
            <w:pPr>
              <w:rPr>
                <w:sz w:val="20"/>
                <w:szCs w:val="20"/>
              </w:rPr>
            </w:pPr>
          </w:p>
        </w:tc>
        <w:tc>
          <w:tcPr>
            <w:tcW w:w="1558" w:type="dxa"/>
            <w:shd w:val="clear" w:color="auto" w:fill="auto"/>
          </w:tcPr>
          <w:p w:rsidR="000B07D2" w:rsidRPr="00866670" w:rsidRDefault="000B07D2" w:rsidP="006A7B41">
            <w:pPr>
              <w:rPr>
                <w:sz w:val="20"/>
                <w:szCs w:val="20"/>
              </w:rPr>
            </w:pPr>
            <w:r w:rsidRPr="00866670">
              <w:rPr>
                <w:sz w:val="20"/>
                <w:szCs w:val="20"/>
              </w:rPr>
              <w:t>N</w:t>
            </w:r>
          </w:p>
        </w:tc>
        <w:tc>
          <w:tcPr>
            <w:tcW w:w="1559" w:type="dxa"/>
            <w:shd w:val="clear" w:color="auto" w:fill="auto"/>
          </w:tcPr>
          <w:p w:rsidR="000B07D2" w:rsidRPr="00866670" w:rsidRDefault="000B07D2" w:rsidP="006A7B41">
            <w:pPr>
              <w:rPr>
                <w:sz w:val="20"/>
                <w:szCs w:val="20"/>
              </w:rPr>
            </w:pPr>
            <w:r w:rsidRPr="00866670">
              <w:rPr>
                <w:sz w:val="20"/>
                <w:szCs w:val="20"/>
              </w:rPr>
              <w:t>Minimum</w:t>
            </w:r>
          </w:p>
        </w:tc>
        <w:tc>
          <w:tcPr>
            <w:tcW w:w="1559" w:type="dxa"/>
            <w:shd w:val="clear" w:color="auto" w:fill="auto"/>
          </w:tcPr>
          <w:p w:rsidR="000B07D2" w:rsidRPr="00866670" w:rsidRDefault="000B07D2" w:rsidP="006A7B41">
            <w:pPr>
              <w:rPr>
                <w:sz w:val="20"/>
                <w:szCs w:val="20"/>
              </w:rPr>
            </w:pPr>
            <w:r w:rsidRPr="00866670">
              <w:rPr>
                <w:sz w:val="20"/>
                <w:szCs w:val="20"/>
              </w:rPr>
              <w:t>Maximum</w:t>
            </w:r>
          </w:p>
        </w:tc>
        <w:tc>
          <w:tcPr>
            <w:tcW w:w="1559" w:type="dxa"/>
            <w:shd w:val="clear" w:color="auto" w:fill="auto"/>
          </w:tcPr>
          <w:p w:rsidR="000B07D2" w:rsidRPr="00866670" w:rsidRDefault="000B07D2" w:rsidP="006A7B41">
            <w:pPr>
              <w:rPr>
                <w:sz w:val="20"/>
                <w:szCs w:val="20"/>
              </w:rPr>
            </w:pPr>
            <w:r w:rsidRPr="00866670">
              <w:rPr>
                <w:sz w:val="20"/>
                <w:szCs w:val="20"/>
              </w:rPr>
              <w:t>Mean</w:t>
            </w:r>
          </w:p>
        </w:tc>
        <w:tc>
          <w:tcPr>
            <w:tcW w:w="1559" w:type="dxa"/>
            <w:shd w:val="clear" w:color="auto" w:fill="auto"/>
          </w:tcPr>
          <w:p w:rsidR="000B07D2" w:rsidRPr="00866670" w:rsidRDefault="000B07D2" w:rsidP="006A7B41">
            <w:pPr>
              <w:rPr>
                <w:sz w:val="20"/>
                <w:szCs w:val="20"/>
              </w:rPr>
            </w:pPr>
            <w:r w:rsidRPr="00866670">
              <w:rPr>
                <w:sz w:val="20"/>
                <w:szCs w:val="20"/>
              </w:rPr>
              <w:t>Std. Deviation</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1-Tool 1</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3</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b/>
                <w:sz w:val="20"/>
                <w:szCs w:val="20"/>
              </w:rPr>
            </w:pPr>
            <w:r w:rsidRPr="00866670">
              <w:rPr>
                <w:b/>
                <w:sz w:val="20"/>
                <w:szCs w:val="20"/>
              </w:rPr>
              <w:t>3.67</w:t>
            </w:r>
          </w:p>
        </w:tc>
        <w:tc>
          <w:tcPr>
            <w:tcW w:w="1559" w:type="dxa"/>
            <w:shd w:val="clear" w:color="auto" w:fill="auto"/>
          </w:tcPr>
          <w:p w:rsidR="000B07D2" w:rsidRPr="00866670" w:rsidRDefault="000B07D2" w:rsidP="006A7B41">
            <w:pPr>
              <w:rPr>
                <w:sz w:val="20"/>
                <w:szCs w:val="20"/>
              </w:rPr>
            </w:pPr>
            <w:r w:rsidRPr="00866670">
              <w:rPr>
                <w:sz w:val="20"/>
                <w:szCs w:val="20"/>
              </w:rPr>
              <w:t>.516</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2-Tool 2</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3</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b/>
                <w:sz w:val="20"/>
                <w:szCs w:val="20"/>
              </w:rPr>
            </w:pPr>
            <w:r w:rsidRPr="00866670">
              <w:rPr>
                <w:b/>
                <w:sz w:val="20"/>
                <w:szCs w:val="20"/>
              </w:rPr>
              <w:t>3.50</w:t>
            </w:r>
          </w:p>
        </w:tc>
        <w:tc>
          <w:tcPr>
            <w:tcW w:w="1559" w:type="dxa"/>
            <w:shd w:val="clear" w:color="auto" w:fill="auto"/>
          </w:tcPr>
          <w:p w:rsidR="000B07D2" w:rsidRPr="00866670" w:rsidRDefault="000B07D2" w:rsidP="006A7B41">
            <w:pPr>
              <w:rPr>
                <w:sz w:val="20"/>
                <w:szCs w:val="20"/>
              </w:rPr>
            </w:pPr>
            <w:r w:rsidRPr="00866670">
              <w:rPr>
                <w:sz w:val="20"/>
                <w:szCs w:val="20"/>
              </w:rPr>
              <w:t>.548</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3-Tool 2</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3</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b/>
                <w:sz w:val="20"/>
                <w:szCs w:val="20"/>
              </w:rPr>
            </w:pPr>
            <w:r w:rsidRPr="00866670">
              <w:rPr>
                <w:b/>
                <w:sz w:val="20"/>
                <w:szCs w:val="20"/>
              </w:rPr>
              <w:t>3.50</w:t>
            </w:r>
          </w:p>
        </w:tc>
        <w:tc>
          <w:tcPr>
            <w:tcW w:w="1559" w:type="dxa"/>
            <w:shd w:val="clear" w:color="auto" w:fill="auto"/>
          </w:tcPr>
          <w:p w:rsidR="000B07D2" w:rsidRPr="00866670" w:rsidRDefault="000B07D2" w:rsidP="006A7B41">
            <w:pPr>
              <w:rPr>
                <w:sz w:val="20"/>
                <w:szCs w:val="20"/>
              </w:rPr>
            </w:pPr>
            <w:r w:rsidRPr="00866670">
              <w:rPr>
                <w:sz w:val="20"/>
                <w:szCs w:val="20"/>
              </w:rPr>
              <w:t>.548</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4-Tool 3</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b/>
                <w:sz w:val="20"/>
                <w:szCs w:val="20"/>
              </w:rPr>
            </w:pPr>
            <w:r w:rsidRPr="00866670">
              <w:rPr>
                <w:b/>
                <w:sz w:val="20"/>
                <w:szCs w:val="20"/>
              </w:rPr>
              <w:t>2.67</w:t>
            </w:r>
          </w:p>
        </w:tc>
        <w:tc>
          <w:tcPr>
            <w:tcW w:w="1559" w:type="dxa"/>
            <w:shd w:val="clear" w:color="auto" w:fill="auto"/>
          </w:tcPr>
          <w:p w:rsidR="000B07D2" w:rsidRPr="00866670" w:rsidRDefault="000B07D2" w:rsidP="006A7B41">
            <w:pPr>
              <w:rPr>
                <w:sz w:val="20"/>
                <w:szCs w:val="20"/>
              </w:rPr>
            </w:pPr>
            <w:r w:rsidRPr="00866670">
              <w:rPr>
                <w:sz w:val="20"/>
                <w:szCs w:val="20"/>
              </w:rPr>
              <w:t>1.033</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5-Tool 3</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sz w:val="20"/>
                <w:szCs w:val="20"/>
              </w:rPr>
            </w:pPr>
            <w:r w:rsidRPr="00866670">
              <w:rPr>
                <w:sz w:val="20"/>
                <w:szCs w:val="20"/>
              </w:rPr>
              <w:t>2.17</w:t>
            </w:r>
          </w:p>
        </w:tc>
        <w:tc>
          <w:tcPr>
            <w:tcW w:w="1559" w:type="dxa"/>
            <w:shd w:val="clear" w:color="auto" w:fill="auto"/>
          </w:tcPr>
          <w:p w:rsidR="000B07D2" w:rsidRPr="00866670" w:rsidRDefault="000B07D2" w:rsidP="006A7B41">
            <w:pPr>
              <w:rPr>
                <w:sz w:val="20"/>
                <w:szCs w:val="20"/>
              </w:rPr>
            </w:pPr>
            <w:r w:rsidRPr="00866670">
              <w:rPr>
                <w:sz w:val="20"/>
                <w:szCs w:val="20"/>
              </w:rPr>
              <w:t>1.169</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6-Tool 3</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sz w:val="20"/>
                <w:szCs w:val="20"/>
              </w:rPr>
            </w:pPr>
            <w:r w:rsidRPr="00866670">
              <w:rPr>
                <w:sz w:val="20"/>
                <w:szCs w:val="20"/>
              </w:rPr>
              <w:t>1.83</w:t>
            </w:r>
          </w:p>
        </w:tc>
        <w:tc>
          <w:tcPr>
            <w:tcW w:w="1559" w:type="dxa"/>
            <w:shd w:val="clear" w:color="auto" w:fill="auto"/>
          </w:tcPr>
          <w:p w:rsidR="000B07D2" w:rsidRPr="00866670" w:rsidRDefault="000B07D2" w:rsidP="006A7B41">
            <w:pPr>
              <w:rPr>
                <w:sz w:val="20"/>
                <w:szCs w:val="20"/>
              </w:rPr>
            </w:pPr>
            <w:r w:rsidRPr="00866670">
              <w:rPr>
                <w:sz w:val="20"/>
                <w:szCs w:val="20"/>
              </w:rPr>
              <w:t>1.169</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7-Tool 2</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b/>
                <w:sz w:val="20"/>
                <w:szCs w:val="20"/>
              </w:rPr>
            </w:pPr>
            <w:r w:rsidRPr="00866670">
              <w:rPr>
                <w:b/>
                <w:sz w:val="20"/>
                <w:szCs w:val="20"/>
              </w:rPr>
              <w:t>2.83</w:t>
            </w:r>
          </w:p>
        </w:tc>
        <w:tc>
          <w:tcPr>
            <w:tcW w:w="1559" w:type="dxa"/>
            <w:shd w:val="clear" w:color="auto" w:fill="auto"/>
          </w:tcPr>
          <w:p w:rsidR="000B07D2" w:rsidRPr="00866670" w:rsidRDefault="000B07D2" w:rsidP="006A7B41">
            <w:pPr>
              <w:rPr>
                <w:sz w:val="20"/>
                <w:szCs w:val="20"/>
              </w:rPr>
            </w:pPr>
            <w:r w:rsidRPr="00866670">
              <w:rPr>
                <w:sz w:val="20"/>
                <w:szCs w:val="20"/>
              </w:rPr>
              <w:t>1.329</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8-Tool 4</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sz w:val="20"/>
                <w:szCs w:val="20"/>
              </w:rPr>
            </w:pPr>
            <w:r w:rsidRPr="00866670">
              <w:rPr>
                <w:sz w:val="20"/>
                <w:szCs w:val="20"/>
              </w:rPr>
              <w:t>1.83</w:t>
            </w:r>
          </w:p>
        </w:tc>
        <w:tc>
          <w:tcPr>
            <w:tcW w:w="1559" w:type="dxa"/>
            <w:shd w:val="clear" w:color="auto" w:fill="auto"/>
          </w:tcPr>
          <w:p w:rsidR="000B07D2" w:rsidRPr="00866670" w:rsidRDefault="000B07D2" w:rsidP="006A7B41">
            <w:pPr>
              <w:rPr>
                <w:sz w:val="20"/>
                <w:szCs w:val="20"/>
              </w:rPr>
            </w:pPr>
            <w:r w:rsidRPr="00866670">
              <w:rPr>
                <w:sz w:val="20"/>
                <w:szCs w:val="20"/>
              </w:rPr>
              <w:t>1.169</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9-Tool 4</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2</w:t>
            </w:r>
          </w:p>
        </w:tc>
        <w:tc>
          <w:tcPr>
            <w:tcW w:w="1559" w:type="dxa"/>
            <w:shd w:val="clear" w:color="auto" w:fill="auto"/>
          </w:tcPr>
          <w:p w:rsidR="000B07D2" w:rsidRPr="00866670" w:rsidRDefault="000B07D2" w:rsidP="006A7B41">
            <w:pPr>
              <w:rPr>
                <w:sz w:val="20"/>
                <w:szCs w:val="20"/>
              </w:rPr>
            </w:pPr>
            <w:r w:rsidRPr="00866670">
              <w:rPr>
                <w:sz w:val="20"/>
                <w:szCs w:val="20"/>
              </w:rPr>
              <w:t>1.67</w:t>
            </w:r>
          </w:p>
        </w:tc>
        <w:tc>
          <w:tcPr>
            <w:tcW w:w="1559" w:type="dxa"/>
            <w:shd w:val="clear" w:color="auto" w:fill="auto"/>
          </w:tcPr>
          <w:p w:rsidR="000B07D2" w:rsidRPr="00866670" w:rsidRDefault="000B07D2" w:rsidP="006A7B41">
            <w:pPr>
              <w:rPr>
                <w:sz w:val="20"/>
                <w:szCs w:val="20"/>
              </w:rPr>
            </w:pPr>
            <w:r w:rsidRPr="00866670">
              <w:rPr>
                <w:sz w:val="20"/>
                <w:szCs w:val="20"/>
              </w:rPr>
              <w:t>.516</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10-Tool 4</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b/>
                <w:sz w:val="20"/>
                <w:szCs w:val="20"/>
              </w:rPr>
            </w:pPr>
            <w:r w:rsidRPr="00866670">
              <w:rPr>
                <w:b/>
                <w:sz w:val="20"/>
                <w:szCs w:val="20"/>
              </w:rPr>
              <w:t>2.50</w:t>
            </w:r>
          </w:p>
        </w:tc>
        <w:tc>
          <w:tcPr>
            <w:tcW w:w="1559" w:type="dxa"/>
            <w:shd w:val="clear" w:color="auto" w:fill="auto"/>
          </w:tcPr>
          <w:p w:rsidR="000B07D2" w:rsidRPr="00866670" w:rsidRDefault="000B07D2" w:rsidP="006A7B41">
            <w:pPr>
              <w:rPr>
                <w:sz w:val="20"/>
                <w:szCs w:val="20"/>
              </w:rPr>
            </w:pPr>
            <w:r w:rsidRPr="00866670">
              <w:rPr>
                <w:sz w:val="20"/>
                <w:szCs w:val="20"/>
              </w:rPr>
              <w:t>1.225</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11-Tool 4</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2</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b/>
                <w:sz w:val="20"/>
                <w:szCs w:val="20"/>
              </w:rPr>
            </w:pPr>
            <w:r w:rsidRPr="00866670">
              <w:rPr>
                <w:b/>
                <w:sz w:val="20"/>
                <w:szCs w:val="20"/>
              </w:rPr>
              <w:t>2.67</w:t>
            </w:r>
          </w:p>
        </w:tc>
        <w:tc>
          <w:tcPr>
            <w:tcW w:w="1559" w:type="dxa"/>
            <w:shd w:val="clear" w:color="auto" w:fill="auto"/>
          </w:tcPr>
          <w:p w:rsidR="000B07D2" w:rsidRPr="00866670" w:rsidRDefault="000B07D2" w:rsidP="006A7B41">
            <w:pPr>
              <w:rPr>
                <w:sz w:val="20"/>
                <w:szCs w:val="20"/>
              </w:rPr>
            </w:pPr>
            <w:r w:rsidRPr="00866670">
              <w:rPr>
                <w:sz w:val="20"/>
                <w:szCs w:val="20"/>
              </w:rPr>
              <w:t>1.033</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12-Tool 12</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2</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b/>
                <w:sz w:val="20"/>
                <w:szCs w:val="20"/>
              </w:rPr>
            </w:pPr>
            <w:r w:rsidRPr="00866670">
              <w:rPr>
                <w:b/>
                <w:sz w:val="20"/>
                <w:szCs w:val="20"/>
              </w:rPr>
              <w:t>3.00</w:t>
            </w:r>
          </w:p>
        </w:tc>
        <w:tc>
          <w:tcPr>
            <w:tcW w:w="1559" w:type="dxa"/>
            <w:shd w:val="clear" w:color="auto" w:fill="auto"/>
          </w:tcPr>
          <w:p w:rsidR="000B07D2" w:rsidRPr="00866670" w:rsidRDefault="000B07D2" w:rsidP="006A7B41">
            <w:pPr>
              <w:rPr>
                <w:sz w:val="20"/>
                <w:szCs w:val="20"/>
              </w:rPr>
            </w:pPr>
            <w:r w:rsidRPr="00866670">
              <w:rPr>
                <w:sz w:val="20"/>
                <w:szCs w:val="20"/>
              </w:rPr>
              <w:t>.894</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13-Tool 12</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2</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b/>
                <w:sz w:val="20"/>
                <w:szCs w:val="20"/>
              </w:rPr>
            </w:pPr>
            <w:r w:rsidRPr="00866670">
              <w:rPr>
                <w:b/>
                <w:sz w:val="20"/>
                <w:szCs w:val="20"/>
              </w:rPr>
              <w:t>3.00</w:t>
            </w:r>
          </w:p>
        </w:tc>
        <w:tc>
          <w:tcPr>
            <w:tcW w:w="1559" w:type="dxa"/>
            <w:shd w:val="clear" w:color="auto" w:fill="auto"/>
          </w:tcPr>
          <w:p w:rsidR="000B07D2" w:rsidRPr="00866670" w:rsidRDefault="000B07D2" w:rsidP="006A7B41">
            <w:pPr>
              <w:rPr>
                <w:sz w:val="20"/>
                <w:szCs w:val="20"/>
              </w:rPr>
            </w:pPr>
            <w:r w:rsidRPr="00866670">
              <w:rPr>
                <w:sz w:val="20"/>
                <w:szCs w:val="20"/>
              </w:rPr>
              <w:t>1.095</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14-Tool 5</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sz w:val="20"/>
                <w:szCs w:val="20"/>
              </w:rPr>
            </w:pPr>
            <w:r w:rsidRPr="00866670">
              <w:rPr>
                <w:sz w:val="20"/>
                <w:szCs w:val="20"/>
              </w:rPr>
              <w:t>2.17</w:t>
            </w:r>
          </w:p>
        </w:tc>
        <w:tc>
          <w:tcPr>
            <w:tcW w:w="1559" w:type="dxa"/>
            <w:shd w:val="clear" w:color="auto" w:fill="auto"/>
          </w:tcPr>
          <w:p w:rsidR="000B07D2" w:rsidRPr="00866670" w:rsidRDefault="000B07D2" w:rsidP="006A7B41">
            <w:pPr>
              <w:rPr>
                <w:sz w:val="20"/>
                <w:szCs w:val="20"/>
              </w:rPr>
            </w:pPr>
            <w:r w:rsidRPr="00866670">
              <w:rPr>
                <w:sz w:val="20"/>
                <w:szCs w:val="20"/>
              </w:rPr>
              <w:t>1.169</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15-Tools 5 &amp; 8</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sz w:val="20"/>
                <w:szCs w:val="20"/>
              </w:rPr>
            </w:pPr>
            <w:r w:rsidRPr="00866670">
              <w:rPr>
                <w:sz w:val="20"/>
                <w:szCs w:val="20"/>
              </w:rPr>
              <w:t>2.17</w:t>
            </w:r>
          </w:p>
        </w:tc>
        <w:tc>
          <w:tcPr>
            <w:tcW w:w="1559" w:type="dxa"/>
            <w:shd w:val="clear" w:color="auto" w:fill="auto"/>
          </w:tcPr>
          <w:p w:rsidR="000B07D2" w:rsidRPr="00866670" w:rsidRDefault="000B07D2" w:rsidP="006A7B41">
            <w:pPr>
              <w:rPr>
                <w:sz w:val="20"/>
                <w:szCs w:val="20"/>
              </w:rPr>
            </w:pPr>
            <w:r w:rsidRPr="00866670">
              <w:rPr>
                <w:sz w:val="20"/>
                <w:szCs w:val="20"/>
              </w:rPr>
              <w:t>.983</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16-Tool 8</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2</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sz w:val="20"/>
                <w:szCs w:val="20"/>
              </w:rPr>
            </w:pPr>
            <w:r w:rsidRPr="00866670">
              <w:rPr>
                <w:sz w:val="20"/>
                <w:szCs w:val="20"/>
              </w:rPr>
              <w:t>2.33</w:t>
            </w:r>
          </w:p>
        </w:tc>
        <w:tc>
          <w:tcPr>
            <w:tcW w:w="1559" w:type="dxa"/>
            <w:shd w:val="clear" w:color="auto" w:fill="auto"/>
          </w:tcPr>
          <w:p w:rsidR="000B07D2" w:rsidRPr="00866670" w:rsidRDefault="000B07D2" w:rsidP="006A7B41">
            <w:pPr>
              <w:rPr>
                <w:sz w:val="20"/>
                <w:szCs w:val="20"/>
              </w:rPr>
            </w:pPr>
            <w:r w:rsidRPr="00866670">
              <w:rPr>
                <w:sz w:val="20"/>
                <w:szCs w:val="20"/>
              </w:rPr>
              <w:t>.816</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17-Tool 12</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2</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b/>
                <w:sz w:val="20"/>
                <w:szCs w:val="20"/>
              </w:rPr>
            </w:pPr>
            <w:r w:rsidRPr="00866670">
              <w:rPr>
                <w:b/>
                <w:sz w:val="20"/>
                <w:szCs w:val="20"/>
              </w:rPr>
              <w:t>3.17</w:t>
            </w:r>
          </w:p>
        </w:tc>
        <w:tc>
          <w:tcPr>
            <w:tcW w:w="1559" w:type="dxa"/>
            <w:shd w:val="clear" w:color="auto" w:fill="auto"/>
          </w:tcPr>
          <w:p w:rsidR="000B07D2" w:rsidRPr="00866670" w:rsidRDefault="000B07D2" w:rsidP="006A7B41">
            <w:pPr>
              <w:rPr>
                <w:sz w:val="20"/>
                <w:szCs w:val="20"/>
              </w:rPr>
            </w:pPr>
            <w:r w:rsidRPr="00866670">
              <w:rPr>
                <w:sz w:val="20"/>
                <w:szCs w:val="20"/>
              </w:rPr>
              <w:t>.983</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18-Tool 6</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b/>
                <w:sz w:val="20"/>
                <w:szCs w:val="20"/>
              </w:rPr>
            </w:pPr>
            <w:r w:rsidRPr="00866670">
              <w:rPr>
                <w:b/>
                <w:sz w:val="20"/>
                <w:szCs w:val="20"/>
              </w:rPr>
              <w:t>2.67</w:t>
            </w:r>
          </w:p>
        </w:tc>
        <w:tc>
          <w:tcPr>
            <w:tcW w:w="1559" w:type="dxa"/>
            <w:shd w:val="clear" w:color="auto" w:fill="auto"/>
          </w:tcPr>
          <w:p w:rsidR="000B07D2" w:rsidRPr="00866670" w:rsidRDefault="000B07D2" w:rsidP="006A7B41">
            <w:pPr>
              <w:rPr>
                <w:sz w:val="20"/>
                <w:szCs w:val="20"/>
              </w:rPr>
            </w:pPr>
            <w:r w:rsidRPr="00866670">
              <w:rPr>
                <w:sz w:val="20"/>
                <w:szCs w:val="20"/>
              </w:rPr>
              <w:t>1.211</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19-Tools 9 &amp; 13</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2</w:t>
            </w:r>
          </w:p>
        </w:tc>
        <w:tc>
          <w:tcPr>
            <w:tcW w:w="1559" w:type="dxa"/>
            <w:shd w:val="clear" w:color="auto" w:fill="auto"/>
          </w:tcPr>
          <w:p w:rsidR="000B07D2" w:rsidRPr="00866670" w:rsidRDefault="000B07D2" w:rsidP="006A7B41">
            <w:pPr>
              <w:rPr>
                <w:sz w:val="20"/>
                <w:szCs w:val="20"/>
              </w:rPr>
            </w:pPr>
            <w:r w:rsidRPr="00866670">
              <w:rPr>
                <w:sz w:val="20"/>
                <w:szCs w:val="20"/>
              </w:rPr>
              <w:t>1.50</w:t>
            </w:r>
          </w:p>
        </w:tc>
        <w:tc>
          <w:tcPr>
            <w:tcW w:w="1559" w:type="dxa"/>
            <w:shd w:val="clear" w:color="auto" w:fill="auto"/>
          </w:tcPr>
          <w:p w:rsidR="000B07D2" w:rsidRPr="00866670" w:rsidRDefault="000B07D2" w:rsidP="006A7B41">
            <w:pPr>
              <w:rPr>
                <w:sz w:val="20"/>
                <w:szCs w:val="20"/>
              </w:rPr>
            </w:pPr>
            <w:r w:rsidRPr="00866670">
              <w:rPr>
                <w:sz w:val="20"/>
                <w:szCs w:val="20"/>
              </w:rPr>
              <w:t>.548</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20-Tool 9</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2</w:t>
            </w:r>
          </w:p>
        </w:tc>
        <w:tc>
          <w:tcPr>
            <w:tcW w:w="1559" w:type="dxa"/>
            <w:shd w:val="clear" w:color="auto" w:fill="auto"/>
          </w:tcPr>
          <w:p w:rsidR="000B07D2" w:rsidRPr="00866670" w:rsidRDefault="000B07D2" w:rsidP="006A7B41">
            <w:pPr>
              <w:rPr>
                <w:sz w:val="20"/>
                <w:szCs w:val="20"/>
              </w:rPr>
            </w:pPr>
            <w:r w:rsidRPr="00866670">
              <w:rPr>
                <w:sz w:val="20"/>
                <w:szCs w:val="20"/>
              </w:rPr>
              <w:t>1.67</w:t>
            </w:r>
          </w:p>
        </w:tc>
        <w:tc>
          <w:tcPr>
            <w:tcW w:w="1559" w:type="dxa"/>
            <w:shd w:val="clear" w:color="auto" w:fill="auto"/>
          </w:tcPr>
          <w:p w:rsidR="000B07D2" w:rsidRPr="00866670" w:rsidRDefault="000B07D2" w:rsidP="006A7B41">
            <w:pPr>
              <w:rPr>
                <w:sz w:val="20"/>
                <w:szCs w:val="20"/>
              </w:rPr>
            </w:pPr>
            <w:r w:rsidRPr="00866670">
              <w:rPr>
                <w:sz w:val="20"/>
                <w:szCs w:val="20"/>
              </w:rPr>
              <w:t>.516</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lastRenderedPageBreak/>
              <w:t>Question 21-Tool 7</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b/>
                <w:sz w:val="20"/>
                <w:szCs w:val="20"/>
              </w:rPr>
            </w:pPr>
            <w:r w:rsidRPr="00866670">
              <w:rPr>
                <w:b/>
                <w:sz w:val="20"/>
                <w:szCs w:val="20"/>
              </w:rPr>
              <w:t>2.50</w:t>
            </w:r>
          </w:p>
        </w:tc>
        <w:tc>
          <w:tcPr>
            <w:tcW w:w="1559" w:type="dxa"/>
            <w:shd w:val="clear" w:color="auto" w:fill="auto"/>
          </w:tcPr>
          <w:p w:rsidR="000B07D2" w:rsidRPr="00866670" w:rsidRDefault="000B07D2" w:rsidP="006A7B41">
            <w:pPr>
              <w:rPr>
                <w:sz w:val="20"/>
                <w:szCs w:val="20"/>
              </w:rPr>
            </w:pPr>
            <w:r w:rsidRPr="00866670">
              <w:rPr>
                <w:sz w:val="20"/>
                <w:szCs w:val="20"/>
              </w:rPr>
              <w:t>1.643</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22-Tool 7</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b/>
                <w:sz w:val="20"/>
                <w:szCs w:val="20"/>
              </w:rPr>
            </w:pPr>
            <w:r w:rsidRPr="00866670">
              <w:rPr>
                <w:b/>
                <w:sz w:val="20"/>
                <w:szCs w:val="20"/>
              </w:rPr>
              <w:t>3.00</w:t>
            </w:r>
          </w:p>
        </w:tc>
        <w:tc>
          <w:tcPr>
            <w:tcW w:w="1559" w:type="dxa"/>
            <w:shd w:val="clear" w:color="auto" w:fill="auto"/>
          </w:tcPr>
          <w:p w:rsidR="000B07D2" w:rsidRPr="00866670" w:rsidRDefault="000B07D2" w:rsidP="006A7B41">
            <w:pPr>
              <w:rPr>
                <w:sz w:val="20"/>
                <w:szCs w:val="20"/>
              </w:rPr>
            </w:pPr>
            <w:r w:rsidRPr="00866670">
              <w:rPr>
                <w:sz w:val="20"/>
                <w:szCs w:val="20"/>
              </w:rPr>
              <w:t>1.549</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23-Tool 7</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sz w:val="20"/>
                <w:szCs w:val="20"/>
              </w:rPr>
            </w:pPr>
            <w:r w:rsidRPr="00866670">
              <w:rPr>
                <w:sz w:val="20"/>
                <w:szCs w:val="20"/>
              </w:rPr>
              <w:t>2.50</w:t>
            </w:r>
          </w:p>
        </w:tc>
        <w:tc>
          <w:tcPr>
            <w:tcW w:w="1559" w:type="dxa"/>
            <w:shd w:val="clear" w:color="auto" w:fill="auto"/>
          </w:tcPr>
          <w:p w:rsidR="000B07D2" w:rsidRPr="00866670" w:rsidRDefault="000B07D2" w:rsidP="006A7B41">
            <w:pPr>
              <w:rPr>
                <w:sz w:val="20"/>
                <w:szCs w:val="20"/>
              </w:rPr>
            </w:pPr>
            <w:r w:rsidRPr="00866670">
              <w:rPr>
                <w:sz w:val="20"/>
                <w:szCs w:val="20"/>
              </w:rPr>
              <w:t>1.225</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24-Tools 12 &amp; 13</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2</w:t>
            </w:r>
          </w:p>
        </w:tc>
        <w:tc>
          <w:tcPr>
            <w:tcW w:w="1559" w:type="dxa"/>
            <w:shd w:val="clear" w:color="auto" w:fill="auto"/>
          </w:tcPr>
          <w:p w:rsidR="000B07D2" w:rsidRPr="00866670" w:rsidRDefault="000B07D2" w:rsidP="006A7B41">
            <w:pPr>
              <w:rPr>
                <w:sz w:val="20"/>
                <w:szCs w:val="20"/>
              </w:rPr>
            </w:pPr>
            <w:r w:rsidRPr="00866670">
              <w:rPr>
                <w:sz w:val="20"/>
                <w:szCs w:val="20"/>
              </w:rPr>
              <w:t>1.33</w:t>
            </w:r>
          </w:p>
        </w:tc>
        <w:tc>
          <w:tcPr>
            <w:tcW w:w="1559" w:type="dxa"/>
            <w:shd w:val="clear" w:color="auto" w:fill="auto"/>
          </w:tcPr>
          <w:p w:rsidR="000B07D2" w:rsidRPr="00866670" w:rsidRDefault="000B07D2" w:rsidP="006A7B41">
            <w:pPr>
              <w:rPr>
                <w:sz w:val="20"/>
                <w:szCs w:val="20"/>
              </w:rPr>
            </w:pPr>
            <w:r w:rsidRPr="00866670">
              <w:rPr>
                <w:sz w:val="20"/>
                <w:szCs w:val="20"/>
              </w:rPr>
              <w:t>.516</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25-Tool 11</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sz w:val="20"/>
                <w:szCs w:val="20"/>
              </w:rPr>
            </w:pPr>
            <w:r w:rsidRPr="00866670">
              <w:rPr>
                <w:sz w:val="20"/>
                <w:szCs w:val="20"/>
              </w:rPr>
              <w:t>2.17</w:t>
            </w:r>
          </w:p>
        </w:tc>
        <w:tc>
          <w:tcPr>
            <w:tcW w:w="1559" w:type="dxa"/>
            <w:shd w:val="clear" w:color="auto" w:fill="auto"/>
          </w:tcPr>
          <w:p w:rsidR="000B07D2" w:rsidRPr="00866670" w:rsidRDefault="000B07D2" w:rsidP="006A7B41">
            <w:pPr>
              <w:rPr>
                <w:sz w:val="20"/>
                <w:szCs w:val="20"/>
              </w:rPr>
            </w:pPr>
            <w:r w:rsidRPr="00866670">
              <w:rPr>
                <w:sz w:val="20"/>
                <w:szCs w:val="20"/>
              </w:rPr>
              <w:t>1.472</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26-Tools 11 &amp; 17</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b/>
                <w:sz w:val="20"/>
                <w:szCs w:val="20"/>
              </w:rPr>
            </w:pPr>
            <w:r w:rsidRPr="00866670">
              <w:rPr>
                <w:b/>
                <w:sz w:val="20"/>
                <w:szCs w:val="20"/>
              </w:rPr>
              <w:t>2.67</w:t>
            </w:r>
          </w:p>
        </w:tc>
        <w:tc>
          <w:tcPr>
            <w:tcW w:w="1559" w:type="dxa"/>
            <w:shd w:val="clear" w:color="auto" w:fill="auto"/>
          </w:tcPr>
          <w:p w:rsidR="000B07D2" w:rsidRPr="00866670" w:rsidRDefault="000B07D2" w:rsidP="006A7B41">
            <w:pPr>
              <w:rPr>
                <w:sz w:val="20"/>
                <w:szCs w:val="20"/>
              </w:rPr>
            </w:pPr>
            <w:r w:rsidRPr="00866670">
              <w:rPr>
                <w:sz w:val="20"/>
                <w:szCs w:val="20"/>
              </w:rPr>
              <w:t>1.211</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27-Tool 11</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b/>
                <w:sz w:val="20"/>
                <w:szCs w:val="20"/>
              </w:rPr>
            </w:pPr>
            <w:r w:rsidRPr="00866670">
              <w:rPr>
                <w:b/>
                <w:sz w:val="20"/>
                <w:szCs w:val="20"/>
              </w:rPr>
              <w:t>2.67</w:t>
            </w:r>
          </w:p>
        </w:tc>
        <w:tc>
          <w:tcPr>
            <w:tcW w:w="1559" w:type="dxa"/>
            <w:shd w:val="clear" w:color="auto" w:fill="auto"/>
          </w:tcPr>
          <w:p w:rsidR="000B07D2" w:rsidRPr="00866670" w:rsidRDefault="000B07D2" w:rsidP="006A7B41">
            <w:pPr>
              <w:rPr>
                <w:sz w:val="20"/>
                <w:szCs w:val="20"/>
              </w:rPr>
            </w:pPr>
            <w:r w:rsidRPr="00866670">
              <w:rPr>
                <w:sz w:val="20"/>
                <w:szCs w:val="20"/>
              </w:rPr>
              <w:t>1.211</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28-Tool 11</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b/>
                <w:sz w:val="20"/>
                <w:szCs w:val="20"/>
              </w:rPr>
            </w:pPr>
            <w:r w:rsidRPr="00866670">
              <w:rPr>
                <w:b/>
                <w:sz w:val="20"/>
                <w:szCs w:val="20"/>
              </w:rPr>
              <w:t>2.83</w:t>
            </w:r>
          </w:p>
        </w:tc>
        <w:tc>
          <w:tcPr>
            <w:tcW w:w="1559" w:type="dxa"/>
            <w:shd w:val="clear" w:color="auto" w:fill="auto"/>
          </w:tcPr>
          <w:p w:rsidR="000B07D2" w:rsidRPr="00866670" w:rsidRDefault="000B07D2" w:rsidP="006A7B41">
            <w:pPr>
              <w:rPr>
                <w:sz w:val="20"/>
                <w:szCs w:val="20"/>
              </w:rPr>
            </w:pPr>
            <w:r w:rsidRPr="00866670">
              <w:rPr>
                <w:sz w:val="20"/>
                <w:szCs w:val="20"/>
              </w:rPr>
              <w:t>1.169</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29-Tool 9</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b/>
                <w:sz w:val="20"/>
                <w:szCs w:val="20"/>
              </w:rPr>
            </w:pPr>
            <w:r w:rsidRPr="00866670">
              <w:rPr>
                <w:b/>
                <w:sz w:val="20"/>
                <w:szCs w:val="20"/>
              </w:rPr>
              <w:t>2.50</w:t>
            </w:r>
          </w:p>
        </w:tc>
        <w:tc>
          <w:tcPr>
            <w:tcW w:w="1559" w:type="dxa"/>
            <w:shd w:val="clear" w:color="auto" w:fill="auto"/>
          </w:tcPr>
          <w:p w:rsidR="000B07D2" w:rsidRPr="00866670" w:rsidRDefault="000B07D2" w:rsidP="006A7B41">
            <w:pPr>
              <w:rPr>
                <w:sz w:val="20"/>
                <w:szCs w:val="20"/>
              </w:rPr>
            </w:pPr>
            <w:r w:rsidRPr="00866670">
              <w:rPr>
                <w:sz w:val="20"/>
                <w:szCs w:val="20"/>
              </w:rPr>
              <w:t>1.049</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30-Tool 11</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2</w:t>
            </w:r>
          </w:p>
        </w:tc>
        <w:tc>
          <w:tcPr>
            <w:tcW w:w="1559" w:type="dxa"/>
            <w:shd w:val="clear" w:color="auto" w:fill="auto"/>
          </w:tcPr>
          <w:p w:rsidR="000B07D2" w:rsidRPr="00866670" w:rsidRDefault="000B07D2" w:rsidP="006A7B41">
            <w:pPr>
              <w:rPr>
                <w:sz w:val="20"/>
                <w:szCs w:val="20"/>
              </w:rPr>
            </w:pPr>
            <w:r w:rsidRPr="00866670">
              <w:rPr>
                <w:sz w:val="20"/>
                <w:szCs w:val="20"/>
              </w:rPr>
              <w:t>1.33</w:t>
            </w:r>
          </w:p>
        </w:tc>
        <w:tc>
          <w:tcPr>
            <w:tcW w:w="1559" w:type="dxa"/>
            <w:shd w:val="clear" w:color="auto" w:fill="auto"/>
          </w:tcPr>
          <w:p w:rsidR="000B07D2" w:rsidRPr="00866670" w:rsidRDefault="000B07D2" w:rsidP="006A7B41">
            <w:pPr>
              <w:rPr>
                <w:sz w:val="20"/>
                <w:szCs w:val="20"/>
              </w:rPr>
            </w:pPr>
            <w:r w:rsidRPr="00866670">
              <w:rPr>
                <w:sz w:val="20"/>
                <w:szCs w:val="20"/>
              </w:rPr>
              <w:t>.516</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31-Tool 11</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2</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b/>
                <w:sz w:val="20"/>
                <w:szCs w:val="20"/>
              </w:rPr>
            </w:pPr>
            <w:r w:rsidRPr="00866670">
              <w:rPr>
                <w:b/>
                <w:sz w:val="20"/>
                <w:szCs w:val="20"/>
              </w:rPr>
              <w:t>3.67</w:t>
            </w:r>
          </w:p>
        </w:tc>
        <w:tc>
          <w:tcPr>
            <w:tcW w:w="1559" w:type="dxa"/>
            <w:shd w:val="clear" w:color="auto" w:fill="auto"/>
          </w:tcPr>
          <w:p w:rsidR="000B07D2" w:rsidRPr="00866670" w:rsidRDefault="000B07D2" w:rsidP="006A7B41">
            <w:pPr>
              <w:rPr>
                <w:sz w:val="20"/>
                <w:szCs w:val="20"/>
              </w:rPr>
            </w:pPr>
            <w:r w:rsidRPr="00866670">
              <w:rPr>
                <w:sz w:val="20"/>
                <w:szCs w:val="20"/>
              </w:rPr>
              <w:t>.816</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32-Tool 13</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2</w:t>
            </w:r>
          </w:p>
        </w:tc>
        <w:tc>
          <w:tcPr>
            <w:tcW w:w="1559" w:type="dxa"/>
            <w:shd w:val="clear" w:color="auto" w:fill="auto"/>
          </w:tcPr>
          <w:p w:rsidR="000B07D2" w:rsidRPr="00866670" w:rsidRDefault="000B07D2" w:rsidP="006A7B41">
            <w:pPr>
              <w:rPr>
                <w:sz w:val="20"/>
                <w:szCs w:val="20"/>
              </w:rPr>
            </w:pPr>
            <w:r w:rsidRPr="00866670">
              <w:rPr>
                <w:sz w:val="20"/>
                <w:szCs w:val="20"/>
              </w:rPr>
              <w:t>1.50</w:t>
            </w:r>
          </w:p>
        </w:tc>
        <w:tc>
          <w:tcPr>
            <w:tcW w:w="1559" w:type="dxa"/>
            <w:shd w:val="clear" w:color="auto" w:fill="auto"/>
          </w:tcPr>
          <w:p w:rsidR="000B07D2" w:rsidRPr="00866670" w:rsidRDefault="000B07D2" w:rsidP="006A7B41">
            <w:pPr>
              <w:rPr>
                <w:sz w:val="20"/>
                <w:szCs w:val="20"/>
              </w:rPr>
            </w:pPr>
            <w:r w:rsidRPr="00866670">
              <w:rPr>
                <w:sz w:val="20"/>
                <w:szCs w:val="20"/>
              </w:rPr>
              <w:t>.548</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33-Tool 13</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2</w:t>
            </w:r>
          </w:p>
        </w:tc>
        <w:tc>
          <w:tcPr>
            <w:tcW w:w="1559" w:type="dxa"/>
            <w:shd w:val="clear" w:color="auto" w:fill="auto"/>
          </w:tcPr>
          <w:p w:rsidR="000B07D2" w:rsidRPr="00866670" w:rsidRDefault="000B07D2" w:rsidP="006A7B41">
            <w:pPr>
              <w:rPr>
                <w:sz w:val="20"/>
                <w:szCs w:val="20"/>
              </w:rPr>
            </w:pPr>
            <w:r w:rsidRPr="00866670">
              <w:rPr>
                <w:sz w:val="20"/>
                <w:szCs w:val="20"/>
              </w:rPr>
              <w:t>1.17</w:t>
            </w:r>
          </w:p>
        </w:tc>
        <w:tc>
          <w:tcPr>
            <w:tcW w:w="1559" w:type="dxa"/>
            <w:shd w:val="clear" w:color="auto" w:fill="auto"/>
          </w:tcPr>
          <w:p w:rsidR="000B07D2" w:rsidRPr="00866670" w:rsidRDefault="000B07D2" w:rsidP="006A7B41">
            <w:pPr>
              <w:rPr>
                <w:sz w:val="20"/>
                <w:szCs w:val="20"/>
              </w:rPr>
            </w:pPr>
            <w:r w:rsidRPr="00866670">
              <w:rPr>
                <w:sz w:val="20"/>
                <w:szCs w:val="20"/>
              </w:rPr>
              <w:t>.408</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34-Tool 13</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sz w:val="20"/>
                <w:szCs w:val="20"/>
              </w:rPr>
            </w:pPr>
            <w:r w:rsidRPr="00866670">
              <w:rPr>
                <w:sz w:val="20"/>
                <w:szCs w:val="20"/>
              </w:rPr>
              <w:t>1.67</w:t>
            </w:r>
          </w:p>
        </w:tc>
        <w:tc>
          <w:tcPr>
            <w:tcW w:w="1559" w:type="dxa"/>
            <w:shd w:val="clear" w:color="auto" w:fill="auto"/>
          </w:tcPr>
          <w:p w:rsidR="000B07D2" w:rsidRPr="00866670" w:rsidRDefault="000B07D2" w:rsidP="006A7B41">
            <w:pPr>
              <w:rPr>
                <w:sz w:val="20"/>
                <w:szCs w:val="20"/>
              </w:rPr>
            </w:pPr>
            <w:r w:rsidRPr="00866670">
              <w:rPr>
                <w:sz w:val="20"/>
                <w:szCs w:val="20"/>
              </w:rPr>
              <w:t>1.211</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35-Tool 13</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3</w:t>
            </w:r>
          </w:p>
        </w:tc>
        <w:tc>
          <w:tcPr>
            <w:tcW w:w="1559" w:type="dxa"/>
            <w:shd w:val="clear" w:color="auto" w:fill="auto"/>
          </w:tcPr>
          <w:p w:rsidR="000B07D2" w:rsidRPr="00866670" w:rsidRDefault="000B07D2" w:rsidP="006A7B41">
            <w:pPr>
              <w:rPr>
                <w:sz w:val="20"/>
                <w:szCs w:val="20"/>
              </w:rPr>
            </w:pPr>
            <w:r w:rsidRPr="00866670">
              <w:rPr>
                <w:sz w:val="20"/>
                <w:szCs w:val="20"/>
              </w:rPr>
              <w:t>2.00</w:t>
            </w:r>
          </w:p>
        </w:tc>
        <w:tc>
          <w:tcPr>
            <w:tcW w:w="1559" w:type="dxa"/>
            <w:shd w:val="clear" w:color="auto" w:fill="auto"/>
          </w:tcPr>
          <w:p w:rsidR="000B07D2" w:rsidRPr="00866670" w:rsidRDefault="000B07D2" w:rsidP="006A7B41">
            <w:pPr>
              <w:rPr>
                <w:sz w:val="20"/>
                <w:szCs w:val="20"/>
              </w:rPr>
            </w:pPr>
            <w:r w:rsidRPr="00866670">
              <w:rPr>
                <w:sz w:val="20"/>
                <w:szCs w:val="20"/>
              </w:rPr>
              <w:t>.894</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36-Tools 13, 14, &amp; 15</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2</w:t>
            </w:r>
          </w:p>
        </w:tc>
        <w:tc>
          <w:tcPr>
            <w:tcW w:w="1559" w:type="dxa"/>
            <w:shd w:val="clear" w:color="auto" w:fill="auto"/>
          </w:tcPr>
          <w:p w:rsidR="000B07D2" w:rsidRPr="00866670" w:rsidRDefault="000B07D2" w:rsidP="006A7B41">
            <w:pPr>
              <w:rPr>
                <w:sz w:val="20"/>
                <w:szCs w:val="20"/>
              </w:rPr>
            </w:pPr>
            <w:r w:rsidRPr="00866670">
              <w:rPr>
                <w:sz w:val="20"/>
                <w:szCs w:val="20"/>
              </w:rPr>
              <w:t>1.33</w:t>
            </w:r>
          </w:p>
        </w:tc>
        <w:tc>
          <w:tcPr>
            <w:tcW w:w="1559" w:type="dxa"/>
            <w:shd w:val="clear" w:color="auto" w:fill="auto"/>
          </w:tcPr>
          <w:p w:rsidR="000B07D2" w:rsidRPr="00866670" w:rsidRDefault="000B07D2" w:rsidP="006A7B41">
            <w:pPr>
              <w:rPr>
                <w:sz w:val="20"/>
                <w:szCs w:val="20"/>
              </w:rPr>
            </w:pPr>
            <w:r w:rsidRPr="00866670">
              <w:rPr>
                <w:sz w:val="20"/>
                <w:szCs w:val="20"/>
              </w:rPr>
              <w:t>.516</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37-Tool 15</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sz w:val="20"/>
                <w:szCs w:val="20"/>
              </w:rPr>
            </w:pPr>
            <w:r w:rsidRPr="00866670">
              <w:rPr>
                <w:sz w:val="20"/>
                <w:szCs w:val="20"/>
              </w:rPr>
              <w:t>2.17</w:t>
            </w:r>
          </w:p>
        </w:tc>
        <w:tc>
          <w:tcPr>
            <w:tcW w:w="1559" w:type="dxa"/>
            <w:shd w:val="clear" w:color="auto" w:fill="auto"/>
          </w:tcPr>
          <w:p w:rsidR="000B07D2" w:rsidRPr="00866670" w:rsidRDefault="000B07D2" w:rsidP="006A7B41">
            <w:pPr>
              <w:rPr>
                <w:sz w:val="20"/>
                <w:szCs w:val="20"/>
              </w:rPr>
            </w:pPr>
            <w:r w:rsidRPr="00866670">
              <w:rPr>
                <w:sz w:val="20"/>
                <w:szCs w:val="20"/>
              </w:rPr>
              <w:t>1.472</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38-Tool 10</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sz w:val="20"/>
                <w:szCs w:val="20"/>
              </w:rPr>
            </w:pPr>
            <w:r w:rsidRPr="00866670">
              <w:rPr>
                <w:sz w:val="20"/>
                <w:szCs w:val="20"/>
              </w:rPr>
              <w:t>1.83</w:t>
            </w:r>
          </w:p>
        </w:tc>
        <w:tc>
          <w:tcPr>
            <w:tcW w:w="1559" w:type="dxa"/>
            <w:shd w:val="clear" w:color="auto" w:fill="auto"/>
          </w:tcPr>
          <w:p w:rsidR="000B07D2" w:rsidRPr="00866670" w:rsidRDefault="000B07D2" w:rsidP="006A7B41">
            <w:pPr>
              <w:rPr>
                <w:sz w:val="20"/>
                <w:szCs w:val="20"/>
              </w:rPr>
            </w:pPr>
            <w:r w:rsidRPr="00866670">
              <w:rPr>
                <w:sz w:val="20"/>
                <w:szCs w:val="20"/>
              </w:rPr>
              <w:t>1.169</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39-Tools 6 &amp; 15</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2</w:t>
            </w:r>
          </w:p>
        </w:tc>
        <w:tc>
          <w:tcPr>
            <w:tcW w:w="1559" w:type="dxa"/>
            <w:shd w:val="clear" w:color="auto" w:fill="auto"/>
          </w:tcPr>
          <w:p w:rsidR="000B07D2" w:rsidRPr="00866670" w:rsidRDefault="000B07D2" w:rsidP="006A7B41">
            <w:pPr>
              <w:rPr>
                <w:sz w:val="20"/>
                <w:szCs w:val="20"/>
              </w:rPr>
            </w:pPr>
            <w:r w:rsidRPr="00866670">
              <w:rPr>
                <w:sz w:val="20"/>
                <w:szCs w:val="20"/>
              </w:rPr>
              <w:t>1.17</w:t>
            </w:r>
          </w:p>
        </w:tc>
        <w:tc>
          <w:tcPr>
            <w:tcW w:w="1559" w:type="dxa"/>
            <w:shd w:val="clear" w:color="auto" w:fill="auto"/>
          </w:tcPr>
          <w:p w:rsidR="000B07D2" w:rsidRPr="00866670" w:rsidRDefault="000B07D2" w:rsidP="006A7B41">
            <w:pPr>
              <w:rPr>
                <w:sz w:val="20"/>
                <w:szCs w:val="20"/>
              </w:rPr>
            </w:pPr>
            <w:r w:rsidRPr="00866670">
              <w:rPr>
                <w:sz w:val="20"/>
                <w:szCs w:val="20"/>
              </w:rPr>
              <w:t>.408</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40-Tool 16</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2</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b/>
                <w:sz w:val="20"/>
                <w:szCs w:val="20"/>
              </w:rPr>
            </w:pPr>
            <w:r w:rsidRPr="00866670">
              <w:rPr>
                <w:b/>
                <w:sz w:val="20"/>
                <w:szCs w:val="20"/>
              </w:rPr>
              <w:t>2.67</w:t>
            </w:r>
          </w:p>
        </w:tc>
        <w:tc>
          <w:tcPr>
            <w:tcW w:w="1559" w:type="dxa"/>
            <w:shd w:val="clear" w:color="auto" w:fill="auto"/>
          </w:tcPr>
          <w:p w:rsidR="000B07D2" w:rsidRPr="00866670" w:rsidRDefault="000B07D2" w:rsidP="006A7B41">
            <w:pPr>
              <w:rPr>
                <w:sz w:val="20"/>
                <w:szCs w:val="20"/>
              </w:rPr>
            </w:pPr>
            <w:r w:rsidRPr="00866670">
              <w:rPr>
                <w:sz w:val="20"/>
                <w:szCs w:val="20"/>
              </w:rPr>
              <w:t>1.033</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41-Tool 16</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sz w:val="20"/>
                <w:szCs w:val="20"/>
              </w:rPr>
            </w:pPr>
            <w:r w:rsidRPr="00866670">
              <w:rPr>
                <w:sz w:val="20"/>
                <w:szCs w:val="20"/>
              </w:rPr>
              <w:t>2.33</w:t>
            </w:r>
          </w:p>
        </w:tc>
        <w:tc>
          <w:tcPr>
            <w:tcW w:w="1559" w:type="dxa"/>
            <w:shd w:val="clear" w:color="auto" w:fill="auto"/>
          </w:tcPr>
          <w:p w:rsidR="000B07D2" w:rsidRPr="00866670" w:rsidRDefault="000B07D2" w:rsidP="006A7B41">
            <w:pPr>
              <w:rPr>
                <w:sz w:val="20"/>
                <w:szCs w:val="20"/>
              </w:rPr>
            </w:pPr>
            <w:r w:rsidRPr="00866670">
              <w:rPr>
                <w:sz w:val="20"/>
                <w:szCs w:val="20"/>
              </w:rPr>
              <w:t>1.366</w:t>
            </w:r>
          </w:p>
        </w:tc>
      </w:tr>
      <w:tr w:rsidR="000B07D2" w:rsidRPr="00FA66D6" w:rsidTr="00866670">
        <w:trPr>
          <w:jc w:val="center"/>
        </w:trPr>
        <w:tc>
          <w:tcPr>
            <w:tcW w:w="1558" w:type="dxa"/>
            <w:shd w:val="clear" w:color="auto" w:fill="D9D9D9"/>
          </w:tcPr>
          <w:p w:rsidR="000B07D2" w:rsidRPr="00866670" w:rsidRDefault="000B07D2" w:rsidP="006A7B41">
            <w:pPr>
              <w:rPr>
                <w:sz w:val="20"/>
                <w:szCs w:val="20"/>
              </w:rPr>
            </w:pPr>
            <w:r w:rsidRPr="00866670">
              <w:rPr>
                <w:sz w:val="20"/>
                <w:szCs w:val="20"/>
              </w:rPr>
              <w:t>Question 42-Tools 11 &amp; 17</w:t>
            </w:r>
          </w:p>
        </w:tc>
        <w:tc>
          <w:tcPr>
            <w:tcW w:w="1558" w:type="dxa"/>
            <w:shd w:val="clear" w:color="auto" w:fill="auto"/>
          </w:tcPr>
          <w:p w:rsidR="000B07D2" w:rsidRPr="00866670" w:rsidRDefault="000B07D2" w:rsidP="006A7B41">
            <w:pPr>
              <w:rPr>
                <w:sz w:val="20"/>
                <w:szCs w:val="20"/>
              </w:rPr>
            </w:pPr>
            <w:r w:rsidRPr="00866670">
              <w:rPr>
                <w:sz w:val="20"/>
                <w:szCs w:val="20"/>
              </w:rPr>
              <w:t>6</w:t>
            </w:r>
          </w:p>
        </w:tc>
        <w:tc>
          <w:tcPr>
            <w:tcW w:w="1559" w:type="dxa"/>
            <w:shd w:val="clear" w:color="auto" w:fill="auto"/>
          </w:tcPr>
          <w:p w:rsidR="000B07D2" w:rsidRPr="00866670" w:rsidRDefault="000B07D2" w:rsidP="006A7B41">
            <w:pPr>
              <w:rPr>
                <w:sz w:val="20"/>
                <w:szCs w:val="20"/>
              </w:rPr>
            </w:pPr>
            <w:r w:rsidRPr="00866670">
              <w:rPr>
                <w:sz w:val="20"/>
                <w:szCs w:val="20"/>
              </w:rPr>
              <w:t>1</w:t>
            </w:r>
          </w:p>
        </w:tc>
        <w:tc>
          <w:tcPr>
            <w:tcW w:w="1559" w:type="dxa"/>
            <w:shd w:val="clear" w:color="auto" w:fill="auto"/>
          </w:tcPr>
          <w:p w:rsidR="000B07D2" w:rsidRPr="00866670" w:rsidRDefault="000B07D2" w:rsidP="006A7B41">
            <w:pPr>
              <w:rPr>
                <w:sz w:val="20"/>
                <w:szCs w:val="20"/>
              </w:rPr>
            </w:pPr>
            <w:r w:rsidRPr="00866670">
              <w:rPr>
                <w:sz w:val="20"/>
                <w:szCs w:val="20"/>
              </w:rPr>
              <w:t>4</w:t>
            </w:r>
          </w:p>
        </w:tc>
        <w:tc>
          <w:tcPr>
            <w:tcW w:w="1559" w:type="dxa"/>
            <w:shd w:val="clear" w:color="auto" w:fill="auto"/>
          </w:tcPr>
          <w:p w:rsidR="000B07D2" w:rsidRPr="00866670" w:rsidRDefault="000B07D2" w:rsidP="006A7B41">
            <w:pPr>
              <w:rPr>
                <w:sz w:val="20"/>
                <w:szCs w:val="20"/>
              </w:rPr>
            </w:pPr>
            <w:r w:rsidRPr="00866670">
              <w:rPr>
                <w:sz w:val="20"/>
                <w:szCs w:val="20"/>
              </w:rPr>
              <w:t>2.00</w:t>
            </w:r>
          </w:p>
        </w:tc>
        <w:tc>
          <w:tcPr>
            <w:tcW w:w="1559" w:type="dxa"/>
            <w:shd w:val="clear" w:color="auto" w:fill="auto"/>
          </w:tcPr>
          <w:p w:rsidR="000B07D2" w:rsidRPr="00866670" w:rsidRDefault="000B07D2" w:rsidP="006A7B41">
            <w:pPr>
              <w:rPr>
                <w:sz w:val="20"/>
                <w:szCs w:val="20"/>
              </w:rPr>
            </w:pPr>
            <w:r w:rsidRPr="00866670">
              <w:rPr>
                <w:sz w:val="20"/>
                <w:szCs w:val="20"/>
              </w:rPr>
              <w:t>1.095</w:t>
            </w:r>
          </w:p>
        </w:tc>
      </w:tr>
    </w:tbl>
    <w:p w:rsidR="000B07D2" w:rsidRDefault="000B07D2" w:rsidP="000B07D2">
      <w:pPr>
        <w:pStyle w:val="APA"/>
      </w:pPr>
    </w:p>
    <w:p w:rsidR="000B07D2" w:rsidRDefault="000B07D2" w:rsidP="005D5A0D">
      <w:pPr>
        <w:pStyle w:val="APALevel0"/>
      </w:pPr>
      <w:r>
        <w:br w:type="page"/>
      </w:r>
      <w:bookmarkStart w:id="59" w:name="_Toc514059923"/>
      <w:r w:rsidR="005D5A0D">
        <w:lastRenderedPageBreak/>
        <w:t>Appendix I: Paired Samples T-test on Metabolic Syndrome Data</w:t>
      </w:r>
      <w:bookmarkEnd w:id="59"/>
    </w:p>
    <w:p w:rsidR="005D5A0D" w:rsidRDefault="005D5A0D" w:rsidP="004009AB">
      <w:pPr>
        <w:pStyle w:val="Caption"/>
      </w:pPr>
      <w:bookmarkStart w:id="60" w:name="_Toc514059960"/>
      <w:r>
        <w:t>Table 4</w:t>
      </w:r>
      <w:bookmarkEnd w:id="60"/>
    </w:p>
    <w:p w:rsidR="005D5A0D" w:rsidRPr="004009AB" w:rsidRDefault="005D5A0D" w:rsidP="004009AB">
      <w:pPr>
        <w:pStyle w:val="Caption"/>
        <w:rPr>
          <w:i/>
        </w:rPr>
      </w:pPr>
      <w:bookmarkStart w:id="61" w:name="_Toc514059961"/>
      <w:r w:rsidRPr="004009AB">
        <w:rPr>
          <w:i/>
        </w:rPr>
        <w:t>Paired Samples T-test on Metabolic Syndrome Data</w:t>
      </w:r>
      <w:bookmarkEnd w:id="61"/>
    </w:p>
    <w:p w:rsidR="006A7B41" w:rsidRDefault="00E3160E" w:rsidP="006A7B41">
      <w:pPr>
        <w:pStyle w:val="APA"/>
        <w:jc w:val="center"/>
      </w:pPr>
      <w:r>
        <w:rPr>
          <w:noProof/>
        </w:rPr>
        <w:drawing>
          <wp:inline distT="0" distB="0" distL="0" distR="0">
            <wp:extent cx="3371850" cy="5943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371850" cy="5943600"/>
                    </a:xfrm>
                    <a:prstGeom prst="rect">
                      <a:avLst/>
                    </a:prstGeom>
                    <a:noFill/>
                    <a:ln>
                      <a:noFill/>
                    </a:ln>
                  </pic:spPr>
                </pic:pic>
              </a:graphicData>
            </a:graphic>
          </wp:inline>
        </w:drawing>
      </w:r>
    </w:p>
    <w:p w:rsidR="005D5A0D" w:rsidRDefault="006A7B41" w:rsidP="006A7B41">
      <w:pPr>
        <w:pStyle w:val="APALevel0"/>
      </w:pPr>
      <w:r>
        <w:br w:type="page"/>
      </w:r>
      <w:bookmarkStart w:id="62" w:name="_Toc514059924"/>
      <w:r>
        <w:lastRenderedPageBreak/>
        <w:t>Appendix J: Descriptive Statistics on Mental Health Diagnosis on Metabolic Syndrome Data</w:t>
      </w:r>
      <w:bookmarkEnd w:id="62"/>
    </w:p>
    <w:p w:rsidR="006A7B41" w:rsidRDefault="006A7B41" w:rsidP="004009AB">
      <w:pPr>
        <w:pStyle w:val="Caption"/>
      </w:pPr>
      <w:bookmarkStart w:id="63" w:name="_Toc514059962"/>
      <w:r>
        <w:t>Table 5</w:t>
      </w:r>
      <w:bookmarkEnd w:id="63"/>
    </w:p>
    <w:p w:rsidR="006A7B41" w:rsidRPr="004009AB" w:rsidRDefault="006A7B41" w:rsidP="004009AB">
      <w:pPr>
        <w:pStyle w:val="Caption"/>
        <w:rPr>
          <w:i/>
        </w:rPr>
      </w:pPr>
      <w:bookmarkStart w:id="64" w:name="_Toc514059963"/>
      <w:r w:rsidRPr="004009AB">
        <w:rPr>
          <w:i/>
        </w:rPr>
        <w:t>Descriptive Statistics on Mental Health Diagnosis on Metabolic Syndrome Data</w:t>
      </w:r>
      <w:bookmarkEnd w:id="64"/>
    </w:p>
    <w:tbl>
      <w:tblPr>
        <w:tblW w:w="822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48"/>
        <w:gridCol w:w="1162"/>
        <w:gridCol w:w="1024"/>
        <w:gridCol w:w="1392"/>
        <w:gridCol w:w="1469"/>
      </w:tblGrid>
      <w:tr w:rsidR="006A7B41" w:rsidRPr="007457C9" w:rsidTr="006A7B41">
        <w:trPr>
          <w:cantSplit/>
          <w:jc w:val="center"/>
        </w:trPr>
        <w:tc>
          <w:tcPr>
            <w:tcW w:w="8226" w:type="dxa"/>
            <w:gridSpan w:val="6"/>
            <w:tcBorders>
              <w:top w:val="nil"/>
              <w:left w:val="nil"/>
              <w:bottom w:val="nil"/>
              <w:right w:val="nil"/>
            </w:tcBorders>
            <w:shd w:val="clear" w:color="auto" w:fill="FFFFFF"/>
            <w:vAlign w:val="center"/>
          </w:tcPr>
          <w:p w:rsidR="006A7B41" w:rsidRPr="007457C9" w:rsidRDefault="006A7B41" w:rsidP="006A7B41">
            <w:pPr>
              <w:spacing w:line="320" w:lineRule="atLeast"/>
              <w:ind w:left="60" w:right="60"/>
              <w:jc w:val="center"/>
              <w:rPr>
                <w:sz w:val="20"/>
                <w:szCs w:val="20"/>
              </w:rPr>
            </w:pPr>
            <w:r w:rsidRPr="007457C9">
              <w:rPr>
                <w:b/>
                <w:bCs/>
                <w:sz w:val="20"/>
                <w:szCs w:val="20"/>
              </w:rPr>
              <w:t>Mental Health Diagnosis</w:t>
            </w:r>
          </w:p>
        </w:tc>
      </w:tr>
      <w:tr w:rsidR="006A7B41" w:rsidRPr="007457C9" w:rsidTr="006A7B41">
        <w:trPr>
          <w:cantSplit/>
          <w:jc w:val="center"/>
        </w:trPr>
        <w:tc>
          <w:tcPr>
            <w:tcW w:w="3181" w:type="dxa"/>
            <w:gridSpan w:val="2"/>
            <w:tcBorders>
              <w:top w:val="nil"/>
              <w:left w:val="nil"/>
              <w:bottom w:val="single" w:sz="8" w:space="0" w:color="152935"/>
              <w:right w:val="nil"/>
            </w:tcBorders>
            <w:shd w:val="clear" w:color="auto" w:fill="FFFFFF"/>
            <w:vAlign w:val="bottom"/>
          </w:tcPr>
          <w:p w:rsidR="006A7B41" w:rsidRPr="007457C9" w:rsidRDefault="006A7B41" w:rsidP="006A7B41">
            <w:pPr>
              <w:rPr>
                <w:sz w:val="20"/>
                <w:szCs w:val="20"/>
              </w:rPr>
            </w:pPr>
          </w:p>
        </w:tc>
        <w:tc>
          <w:tcPr>
            <w:tcW w:w="1162" w:type="dxa"/>
            <w:tcBorders>
              <w:top w:val="nil"/>
              <w:left w:val="nil"/>
              <w:bottom w:val="single" w:sz="8" w:space="0" w:color="152935"/>
              <w:right w:val="single" w:sz="8" w:space="0" w:color="E0E0E0"/>
            </w:tcBorders>
            <w:shd w:val="clear" w:color="auto" w:fill="FFFFFF"/>
            <w:vAlign w:val="bottom"/>
          </w:tcPr>
          <w:p w:rsidR="006A7B41" w:rsidRPr="007457C9" w:rsidRDefault="006A7B41" w:rsidP="006A7B41">
            <w:pPr>
              <w:spacing w:line="320" w:lineRule="atLeast"/>
              <w:ind w:left="60" w:right="60"/>
              <w:jc w:val="center"/>
              <w:rPr>
                <w:sz w:val="20"/>
                <w:szCs w:val="20"/>
              </w:rPr>
            </w:pPr>
            <w:r w:rsidRPr="007457C9">
              <w:rPr>
                <w:sz w:val="20"/>
                <w:szCs w:val="20"/>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6A7B41" w:rsidRPr="007457C9" w:rsidRDefault="006A7B41" w:rsidP="006A7B41">
            <w:pPr>
              <w:spacing w:line="320" w:lineRule="atLeast"/>
              <w:ind w:left="60" w:right="60"/>
              <w:jc w:val="center"/>
              <w:rPr>
                <w:sz w:val="20"/>
                <w:szCs w:val="20"/>
              </w:rPr>
            </w:pPr>
            <w:r w:rsidRPr="007457C9">
              <w:rPr>
                <w:sz w:val="20"/>
                <w:szCs w:val="20"/>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6A7B41" w:rsidRPr="007457C9" w:rsidRDefault="006A7B41" w:rsidP="006A7B41">
            <w:pPr>
              <w:spacing w:line="320" w:lineRule="atLeast"/>
              <w:ind w:left="60" w:right="60"/>
              <w:jc w:val="center"/>
              <w:rPr>
                <w:sz w:val="20"/>
                <w:szCs w:val="20"/>
              </w:rPr>
            </w:pPr>
            <w:r w:rsidRPr="007457C9">
              <w:rPr>
                <w:sz w:val="20"/>
                <w:szCs w:val="20"/>
              </w:rPr>
              <w:t>Valid Percent</w:t>
            </w:r>
          </w:p>
        </w:tc>
        <w:tc>
          <w:tcPr>
            <w:tcW w:w="1468" w:type="dxa"/>
            <w:tcBorders>
              <w:top w:val="nil"/>
              <w:left w:val="single" w:sz="8" w:space="0" w:color="E0E0E0"/>
              <w:bottom w:val="single" w:sz="8" w:space="0" w:color="152935"/>
              <w:right w:val="nil"/>
            </w:tcBorders>
            <w:shd w:val="clear" w:color="auto" w:fill="FFFFFF"/>
            <w:vAlign w:val="bottom"/>
          </w:tcPr>
          <w:p w:rsidR="006A7B41" w:rsidRPr="007457C9" w:rsidRDefault="006A7B41" w:rsidP="006A7B41">
            <w:pPr>
              <w:spacing w:line="320" w:lineRule="atLeast"/>
              <w:ind w:left="60" w:right="60"/>
              <w:jc w:val="center"/>
              <w:rPr>
                <w:sz w:val="20"/>
                <w:szCs w:val="20"/>
              </w:rPr>
            </w:pPr>
            <w:r w:rsidRPr="007457C9">
              <w:rPr>
                <w:sz w:val="20"/>
                <w:szCs w:val="20"/>
              </w:rPr>
              <w:t>Cumulative Percent</w:t>
            </w:r>
          </w:p>
        </w:tc>
      </w:tr>
      <w:tr w:rsidR="006A7B41" w:rsidRPr="007457C9" w:rsidTr="006A7B41">
        <w:trPr>
          <w:cantSplit/>
          <w:jc w:val="center"/>
        </w:trPr>
        <w:tc>
          <w:tcPr>
            <w:tcW w:w="734" w:type="dxa"/>
            <w:vMerge w:val="restart"/>
            <w:tcBorders>
              <w:top w:val="single" w:sz="8" w:space="0" w:color="152935"/>
              <w:left w:val="nil"/>
              <w:bottom w:val="single" w:sz="8" w:space="0" w:color="152935"/>
              <w:right w:val="nil"/>
            </w:tcBorders>
            <w:shd w:val="clear" w:color="auto" w:fill="E0E0E0"/>
          </w:tcPr>
          <w:p w:rsidR="006A7B41" w:rsidRPr="007457C9" w:rsidRDefault="006A7B41" w:rsidP="006A7B41">
            <w:pPr>
              <w:spacing w:line="320" w:lineRule="atLeast"/>
              <w:ind w:left="60" w:right="60"/>
              <w:rPr>
                <w:sz w:val="20"/>
                <w:szCs w:val="20"/>
              </w:rPr>
            </w:pPr>
            <w:r w:rsidRPr="007457C9">
              <w:rPr>
                <w:sz w:val="20"/>
                <w:szCs w:val="20"/>
              </w:rPr>
              <w:t>Valid</w:t>
            </w:r>
          </w:p>
        </w:tc>
        <w:tc>
          <w:tcPr>
            <w:tcW w:w="2447" w:type="dxa"/>
            <w:tcBorders>
              <w:top w:val="single" w:sz="8" w:space="0" w:color="152935"/>
              <w:left w:val="nil"/>
              <w:bottom w:val="single" w:sz="8" w:space="0" w:color="AEAEAE"/>
              <w:right w:val="nil"/>
            </w:tcBorders>
            <w:shd w:val="clear" w:color="auto" w:fill="E0E0E0"/>
          </w:tcPr>
          <w:p w:rsidR="006A7B41" w:rsidRPr="007457C9" w:rsidRDefault="006A7B41" w:rsidP="006A7B41">
            <w:pPr>
              <w:spacing w:line="320" w:lineRule="atLeast"/>
              <w:ind w:left="60" w:right="60"/>
              <w:rPr>
                <w:sz w:val="20"/>
                <w:szCs w:val="20"/>
              </w:rPr>
            </w:pPr>
            <w:r w:rsidRPr="007457C9">
              <w:rPr>
                <w:sz w:val="20"/>
                <w:szCs w:val="20"/>
              </w:rPr>
              <w:t>Schizophrenia</w:t>
            </w:r>
          </w:p>
        </w:tc>
        <w:tc>
          <w:tcPr>
            <w:tcW w:w="1162" w:type="dxa"/>
            <w:tcBorders>
              <w:top w:val="single" w:sz="8" w:space="0" w:color="152935"/>
              <w:left w:val="nil"/>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7</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36.8</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36.8</w:t>
            </w:r>
          </w:p>
        </w:tc>
        <w:tc>
          <w:tcPr>
            <w:tcW w:w="1468" w:type="dxa"/>
            <w:tcBorders>
              <w:top w:val="single" w:sz="8" w:space="0" w:color="152935"/>
              <w:left w:val="single" w:sz="8" w:space="0" w:color="E0E0E0"/>
              <w:bottom w:val="single" w:sz="8" w:space="0" w:color="AEAEAE"/>
              <w:right w:val="nil"/>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36.8</w:t>
            </w:r>
          </w:p>
        </w:tc>
      </w:tr>
      <w:tr w:rsidR="006A7B41" w:rsidRPr="007457C9" w:rsidTr="006A7B41">
        <w:trPr>
          <w:cantSplit/>
          <w:jc w:val="center"/>
        </w:trPr>
        <w:tc>
          <w:tcPr>
            <w:tcW w:w="734" w:type="dxa"/>
            <w:vMerge/>
            <w:tcBorders>
              <w:top w:val="single" w:sz="8" w:space="0" w:color="152935"/>
              <w:left w:val="nil"/>
              <w:bottom w:val="single" w:sz="8" w:space="0" w:color="152935"/>
              <w:right w:val="nil"/>
            </w:tcBorders>
            <w:shd w:val="clear" w:color="auto" w:fill="E0E0E0"/>
          </w:tcPr>
          <w:p w:rsidR="006A7B41" w:rsidRPr="007457C9" w:rsidRDefault="006A7B41" w:rsidP="006A7B41">
            <w:pPr>
              <w:rPr>
                <w:sz w:val="20"/>
                <w:szCs w:val="20"/>
              </w:rPr>
            </w:pPr>
          </w:p>
        </w:tc>
        <w:tc>
          <w:tcPr>
            <w:tcW w:w="2447" w:type="dxa"/>
            <w:tcBorders>
              <w:top w:val="single" w:sz="8" w:space="0" w:color="AEAEAE"/>
              <w:left w:val="nil"/>
              <w:bottom w:val="single" w:sz="8" w:space="0" w:color="AEAEAE"/>
              <w:right w:val="nil"/>
            </w:tcBorders>
            <w:shd w:val="clear" w:color="auto" w:fill="E0E0E0"/>
          </w:tcPr>
          <w:p w:rsidR="006A7B41" w:rsidRPr="007457C9" w:rsidRDefault="006A7B41" w:rsidP="006A7B41">
            <w:pPr>
              <w:spacing w:line="320" w:lineRule="atLeast"/>
              <w:ind w:left="60" w:right="60"/>
              <w:rPr>
                <w:sz w:val="20"/>
                <w:szCs w:val="20"/>
              </w:rPr>
            </w:pPr>
            <w:r w:rsidRPr="007457C9">
              <w:rPr>
                <w:sz w:val="20"/>
                <w:szCs w:val="20"/>
              </w:rPr>
              <w:t>Schizoaffective Disorder</w:t>
            </w:r>
          </w:p>
        </w:tc>
        <w:tc>
          <w:tcPr>
            <w:tcW w:w="1162" w:type="dxa"/>
            <w:tcBorders>
              <w:top w:val="single" w:sz="8" w:space="0" w:color="AEAEAE"/>
              <w:left w:val="nil"/>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7</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36.8</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36.8</w:t>
            </w:r>
          </w:p>
        </w:tc>
        <w:tc>
          <w:tcPr>
            <w:tcW w:w="1468" w:type="dxa"/>
            <w:tcBorders>
              <w:top w:val="single" w:sz="8" w:space="0" w:color="AEAEAE"/>
              <w:left w:val="single" w:sz="8" w:space="0" w:color="E0E0E0"/>
              <w:bottom w:val="single" w:sz="8" w:space="0" w:color="AEAEAE"/>
              <w:right w:val="nil"/>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73.7</w:t>
            </w:r>
          </w:p>
        </w:tc>
      </w:tr>
      <w:tr w:rsidR="006A7B41" w:rsidRPr="007457C9" w:rsidTr="006A7B41">
        <w:trPr>
          <w:cantSplit/>
          <w:jc w:val="center"/>
        </w:trPr>
        <w:tc>
          <w:tcPr>
            <w:tcW w:w="734" w:type="dxa"/>
            <w:vMerge/>
            <w:tcBorders>
              <w:top w:val="single" w:sz="8" w:space="0" w:color="152935"/>
              <w:left w:val="nil"/>
              <w:bottom w:val="single" w:sz="8" w:space="0" w:color="152935"/>
              <w:right w:val="nil"/>
            </w:tcBorders>
            <w:shd w:val="clear" w:color="auto" w:fill="E0E0E0"/>
          </w:tcPr>
          <w:p w:rsidR="006A7B41" w:rsidRPr="007457C9" w:rsidRDefault="006A7B41" w:rsidP="006A7B41">
            <w:pPr>
              <w:rPr>
                <w:sz w:val="20"/>
                <w:szCs w:val="20"/>
              </w:rPr>
            </w:pPr>
          </w:p>
        </w:tc>
        <w:tc>
          <w:tcPr>
            <w:tcW w:w="2447" w:type="dxa"/>
            <w:tcBorders>
              <w:top w:val="single" w:sz="8" w:space="0" w:color="AEAEAE"/>
              <w:left w:val="nil"/>
              <w:bottom w:val="single" w:sz="8" w:space="0" w:color="AEAEAE"/>
              <w:right w:val="nil"/>
            </w:tcBorders>
            <w:shd w:val="clear" w:color="auto" w:fill="E0E0E0"/>
          </w:tcPr>
          <w:p w:rsidR="006A7B41" w:rsidRPr="007457C9" w:rsidRDefault="006A7B41" w:rsidP="006A7B41">
            <w:pPr>
              <w:spacing w:line="320" w:lineRule="atLeast"/>
              <w:ind w:left="60" w:right="60"/>
              <w:rPr>
                <w:sz w:val="20"/>
                <w:szCs w:val="20"/>
              </w:rPr>
            </w:pPr>
            <w:r w:rsidRPr="007457C9">
              <w:rPr>
                <w:sz w:val="20"/>
                <w:szCs w:val="20"/>
              </w:rPr>
              <w:t>Bipolar Disorder</w:t>
            </w:r>
          </w:p>
        </w:tc>
        <w:tc>
          <w:tcPr>
            <w:tcW w:w="1162" w:type="dxa"/>
            <w:tcBorders>
              <w:top w:val="single" w:sz="8" w:space="0" w:color="AEAEAE"/>
              <w:left w:val="nil"/>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5.3</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5.3</w:t>
            </w:r>
          </w:p>
        </w:tc>
        <w:tc>
          <w:tcPr>
            <w:tcW w:w="1468" w:type="dxa"/>
            <w:tcBorders>
              <w:top w:val="single" w:sz="8" w:space="0" w:color="AEAEAE"/>
              <w:left w:val="single" w:sz="8" w:space="0" w:color="E0E0E0"/>
              <w:bottom w:val="single" w:sz="8" w:space="0" w:color="AEAEAE"/>
              <w:right w:val="nil"/>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78.9</w:t>
            </w:r>
          </w:p>
        </w:tc>
      </w:tr>
      <w:tr w:rsidR="006A7B41" w:rsidRPr="007457C9" w:rsidTr="006A7B41">
        <w:trPr>
          <w:cantSplit/>
          <w:jc w:val="center"/>
        </w:trPr>
        <w:tc>
          <w:tcPr>
            <w:tcW w:w="734" w:type="dxa"/>
            <w:vMerge/>
            <w:tcBorders>
              <w:top w:val="single" w:sz="8" w:space="0" w:color="152935"/>
              <w:left w:val="nil"/>
              <w:bottom w:val="single" w:sz="8" w:space="0" w:color="152935"/>
              <w:right w:val="nil"/>
            </w:tcBorders>
            <w:shd w:val="clear" w:color="auto" w:fill="E0E0E0"/>
          </w:tcPr>
          <w:p w:rsidR="006A7B41" w:rsidRPr="007457C9" w:rsidRDefault="006A7B41" w:rsidP="006A7B41">
            <w:pPr>
              <w:rPr>
                <w:sz w:val="20"/>
                <w:szCs w:val="20"/>
              </w:rPr>
            </w:pPr>
          </w:p>
        </w:tc>
        <w:tc>
          <w:tcPr>
            <w:tcW w:w="2447" w:type="dxa"/>
            <w:tcBorders>
              <w:top w:val="single" w:sz="8" w:space="0" w:color="AEAEAE"/>
              <w:left w:val="nil"/>
              <w:bottom w:val="single" w:sz="8" w:space="0" w:color="AEAEAE"/>
              <w:right w:val="nil"/>
            </w:tcBorders>
            <w:shd w:val="clear" w:color="auto" w:fill="E0E0E0"/>
          </w:tcPr>
          <w:p w:rsidR="006A7B41" w:rsidRPr="007457C9" w:rsidRDefault="006A7B41" w:rsidP="006A7B41">
            <w:pPr>
              <w:spacing w:line="320" w:lineRule="atLeast"/>
              <w:ind w:left="60" w:right="60"/>
              <w:rPr>
                <w:sz w:val="20"/>
                <w:szCs w:val="20"/>
              </w:rPr>
            </w:pPr>
            <w:r w:rsidRPr="007457C9">
              <w:rPr>
                <w:sz w:val="20"/>
                <w:szCs w:val="20"/>
              </w:rPr>
              <w:t>Major Depressive Disorder</w:t>
            </w:r>
          </w:p>
        </w:tc>
        <w:tc>
          <w:tcPr>
            <w:tcW w:w="1162" w:type="dxa"/>
            <w:tcBorders>
              <w:top w:val="single" w:sz="8" w:space="0" w:color="AEAEAE"/>
              <w:left w:val="nil"/>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15.8</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15.8</w:t>
            </w:r>
          </w:p>
        </w:tc>
        <w:tc>
          <w:tcPr>
            <w:tcW w:w="1468" w:type="dxa"/>
            <w:tcBorders>
              <w:top w:val="single" w:sz="8" w:space="0" w:color="AEAEAE"/>
              <w:left w:val="single" w:sz="8" w:space="0" w:color="E0E0E0"/>
              <w:bottom w:val="single" w:sz="8" w:space="0" w:color="AEAEAE"/>
              <w:right w:val="nil"/>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94.7</w:t>
            </w:r>
          </w:p>
        </w:tc>
      </w:tr>
      <w:tr w:rsidR="006A7B41" w:rsidRPr="007457C9" w:rsidTr="006A7B41">
        <w:trPr>
          <w:cantSplit/>
          <w:jc w:val="center"/>
        </w:trPr>
        <w:tc>
          <w:tcPr>
            <w:tcW w:w="734" w:type="dxa"/>
            <w:vMerge/>
            <w:tcBorders>
              <w:top w:val="single" w:sz="8" w:space="0" w:color="152935"/>
              <w:left w:val="nil"/>
              <w:bottom w:val="single" w:sz="8" w:space="0" w:color="152935"/>
              <w:right w:val="nil"/>
            </w:tcBorders>
            <w:shd w:val="clear" w:color="auto" w:fill="E0E0E0"/>
          </w:tcPr>
          <w:p w:rsidR="006A7B41" w:rsidRPr="007457C9" w:rsidRDefault="006A7B41" w:rsidP="006A7B41">
            <w:pPr>
              <w:rPr>
                <w:sz w:val="20"/>
                <w:szCs w:val="20"/>
              </w:rPr>
            </w:pPr>
          </w:p>
        </w:tc>
        <w:tc>
          <w:tcPr>
            <w:tcW w:w="2447" w:type="dxa"/>
            <w:tcBorders>
              <w:top w:val="single" w:sz="8" w:space="0" w:color="AEAEAE"/>
              <w:left w:val="nil"/>
              <w:bottom w:val="single" w:sz="8" w:space="0" w:color="AEAEAE"/>
              <w:right w:val="nil"/>
            </w:tcBorders>
            <w:shd w:val="clear" w:color="auto" w:fill="E0E0E0"/>
          </w:tcPr>
          <w:p w:rsidR="006A7B41" w:rsidRPr="007457C9" w:rsidRDefault="006A7B41" w:rsidP="006A7B41">
            <w:pPr>
              <w:spacing w:line="320" w:lineRule="atLeast"/>
              <w:ind w:left="60" w:right="60"/>
              <w:rPr>
                <w:sz w:val="20"/>
                <w:szCs w:val="20"/>
              </w:rPr>
            </w:pPr>
            <w:r w:rsidRPr="007457C9">
              <w:rPr>
                <w:sz w:val="20"/>
                <w:szCs w:val="20"/>
              </w:rPr>
              <w:t>Unspecified Psychosis</w:t>
            </w:r>
          </w:p>
        </w:tc>
        <w:tc>
          <w:tcPr>
            <w:tcW w:w="1162" w:type="dxa"/>
            <w:tcBorders>
              <w:top w:val="single" w:sz="8" w:space="0" w:color="AEAEAE"/>
              <w:left w:val="nil"/>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5.3</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5.3</w:t>
            </w:r>
          </w:p>
        </w:tc>
        <w:tc>
          <w:tcPr>
            <w:tcW w:w="1468" w:type="dxa"/>
            <w:tcBorders>
              <w:top w:val="single" w:sz="8" w:space="0" w:color="AEAEAE"/>
              <w:left w:val="single" w:sz="8" w:space="0" w:color="E0E0E0"/>
              <w:bottom w:val="single" w:sz="8" w:space="0" w:color="AEAEAE"/>
              <w:right w:val="nil"/>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100.0</w:t>
            </w:r>
          </w:p>
        </w:tc>
      </w:tr>
      <w:tr w:rsidR="006A7B41" w:rsidRPr="007457C9" w:rsidTr="006A7B41">
        <w:trPr>
          <w:cantSplit/>
          <w:jc w:val="center"/>
        </w:trPr>
        <w:tc>
          <w:tcPr>
            <w:tcW w:w="734" w:type="dxa"/>
            <w:vMerge/>
            <w:tcBorders>
              <w:top w:val="single" w:sz="8" w:space="0" w:color="152935"/>
              <w:left w:val="nil"/>
              <w:bottom w:val="single" w:sz="8" w:space="0" w:color="152935"/>
              <w:right w:val="nil"/>
            </w:tcBorders>
            <w:shd w:val="clear" w:color="auto" w:fill="E0E0E0"/>
          </w:tcPr>
          <w:p w:rsidR="006A7B41" w:rsidRPr="007457C9" w:rsidRDefault="006A7B41" w:rsidP="006A7B41">
            <w:pPr>
              <w:rPr>
                <w:sz w:val="20"/>
                <w:szCs w:val="20"/>
              </w:rPr>
            </w:pPr>
          </w:p>
        </w:tc>
        <w:tc>
          <w:tcPr>
            <w:tcW w:w="2447" w:type="dxa"/>
            <w:tcBorders>
              <w:top w:val="single" w:sz="8" w:space="0" w:color="AEAEAE"/>
              <w:left w:val="nil"/>
              <w:bottom w:val="single" w:sz="8" w:space="0" w:color="152935"/>
              <w:right w:val="nil"/>
            </w:tcBorders>
            <w:shd w:val="clear" w:color="auto" w:fill="E0E0E0"/>
          </w:tcPr>
          <w:p w:rsidR="006A7B41" w:rsidRPr="007457C9" w:rsidRDefault="006A7B41" w:rsidP="006A7B41">
            <w:pPr>
              <w:spacing w:line="320" w:lineRule="atLeast"/>
              <w:ind w:left="60" w:right="60"/>
              <w:rPr>
                <w:sz w:val="20"/>
                <w:szCs w:val="20"/>
              </w:rPr>
            </w:pPr>
            <w:r w:rsidRPr="007457C9">
              <w:rPr>
                <w:sz w:val="20"/>
                <w:szCs w:val="20"/>
              </w:rPr>
              <w:t>Total</w:t>
            </w:r>
          </w:p>
        </w:tc>
        <w:tc>
          <w:tcPr>
            <w:tcW w:w="1162" w:type="dxa"/>
            <w:tcBorders>
              <w:top w:val="single" w:sz="8" w:space="0" w:color="AEAEAE"/>
              <w:left w:val="nil"/>
              <w:bottom w:val="single" w:sz="8" w:space="0" w:color="152935"/>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19</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6A7B41" w:rsidRPr="007457C9" w:rsidRDefault="006A7B41" w:rsidP="006A7B41">
            <w:pPr>
              <w:rPr>
                <w:sz w:val="20"/>
                <w:szCs w:val="20"/>
              </w:rPr>
            </w:pPr>
          </w:p>
        </w:tc>
      </w:tr>
    </w:tbl>
    <w:p w:rsidR="006A7B41" w:rsidRDefault="006A7B41" w:rsidP="006A7B41">
      <w:pPr>
        <w:pStyle w:val="APA"/>
      </w:pPr>
    </w:p>
    <w:p w:rsidR="006A7B41" w:rsidRDefault="006A7B41" w:rsidP="006A7B41">
      <w:pPr>
        <w:pStyle w:val="APALevel0"/>
      </w:pPr>
      <w:r>
        <w:br w:type="page"/>
      </w:r>
      <w:bookmarkStart w:id="65" w:name="_Toc514059925"/>
      <w:r>
        <w:lastRenderedPageBreak/>
        <w:t>Appendix K: Descriptive Statistics on Level of Education on Metabolic Syndrome Data</w:t>
      </w:r>
      <w:bookmarkEnd w:id="65"/>
    </w:p>
    <w:p w:rsidR="006A7B41" w:rsidRDefault="006A7B41" w:rsidP="004009AB">
      <w:pPr>
        <w:pStyle w:val="Caption"/>
      </w:pPr>
      <w:bookmarkStart w:id="66" w:name="_Toc514059964"/>
      <w:r>
        <w:t>Table 6</w:t>
      </w:r>
      <w:bookmarkEnd w:id="66"/>
    </w:p>
    <w:p w:rsidR="006A7B41" w:rsidRPr="004009AB" w:rsidRDefault="006A7B41" w:rsidP="004009AB">
      <w:pPr>
        <w:pStyle w:val="Caption"/>
        <w:rPr>
          <w:i/>
        </w:rPr>
      </w:pPr>
      <w:bookmarkStart w:id="67" w:name="_Toc514059965"/>
      <w:r w:rsidRPr="004009AB">
        <w:rPr>
          <w:i/>
        </w:rPr>
        <w:t>Descriptive Statistics on Level of Education on Metabolic Syndrome Data</w:t>
      </w:r>
      <w:bookmarkEnd w:id="67"/>
    </w:p>
    <w:tbl>
      <w:tblPr>
        <w:tblW w:w="844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49"/>
        <w:gridCol w:w="2448"/>
        <w:gridCol w:w="1162"/>
        <w:gridCol w:w="1024"/>
        <w:gridCol w:w="1392"/>
        <w:gridCol w:w="1469"/>
      </w:tblGrid>
      <w:tr w:rsidR="006A7B41" w:rsidRPr="007457C9" w:rsidTr="006A7B41">
        <w:trPr>
          <w:cantSplit/>
          <w:jc w:val="center"/>
        </w:trPr>
        <w:tc>
          <w:tcPr>
            <w:tcW w:w="8441" w:type="dxa"/>
            <w:gridSpan w:val="6"/>
            <w:tcBorders>
              <w:top w:val="nil"/>
              <w:left w:val="nil"/>
              <w:bottom w:val="nil"/>
              <w:right w:val="nil"/>
            </w:tcBorders>
            <w:shd w:val="clear" w:color="auto" w:fill="FFFFFF"/>
            <w:vAlign w:val="center"/>
          </w:tcPr>
          <w:p w:rsidR="006A7B41" w:rsidRPr="007457C9" w:rsidRDefault="006A7B41" w:rsidP="006A7B41">
            <w:pPr>
              <w:spacing w:line="320" w:lineRule="atLeast"/>
              <w:ind w:left="60" w:right="60"/>
              <w:jc w:val="center"/>
              <w:rPr>
                <w:sz w:val="20"/>
                <w:szCs w:val="20"/>
              </w:rPr>
            </w:pPr>
            <w:r w:rsidRPr="007457C9">
              <w:rPr>
                <w:b/>
                <w:bCs/>
                <w:sz w:val="20"/>
                <w:szCs w:val="20"/>
              </w:rPr>
              <w:t>Level of Education</w:t>
            </w:r>
          </w:p>
        </w:tc>
      </w:tr>
      <w:tr w:rsidR="006A7B41" w:rsidRPr="007457C9" w:rsidTr="006A7B41">
        <w:trPr>
          <w:cantSplit/>
          <w:jc w:val="center"/>
        </w:trPr>
        <w:tc>
          <w:tcPr>
            <w:tcW w:w="3395" w:type="dxa"/>
            <w:gridSpan w:val="2"/>
            <w:tcBorders>
              <w:top w:val="nil"/>
              <w:left w:val="nil"/>
              <w:bottom w:val="single" w:sz="8" w:space="0" w:color="152935"/>
              <w:right w:val="nil"/>
            </w:tcBorders>
            <w:shd w:val="clear" w:color="auto" w:fill="FFFFFF"/>
            <w:vAlign w:val="bottom"/>
          </w:tcPr>
          <w:p w:rsidR="006A7B41" w:rsidRPr="007457C9" w:rsidRDefault="006A7B41" w:rsidP="006A7B41">
            <w:pPr>
              <w:rPr>
                <w:sz w:val="20"/>
                <w:szCs w:val="20"/>
              </w:rPr>
            </w:pPr>
          </w:p>
        </w:tc>
        <w:tc>
          <w:tcPr>
            <w:tcW w:w="1162" w:type="dxa"/>
            <w:tcBorders>
              <w:top w:val="nil"/>
              <w:left w:val="nil"/>
              <w:bottom w:val="single" w:sz="8" w:space="0" w:color="152935"/>
              <w:right w:val="single" w:sz="8" w:space="0" w:color="E0E0E0"/>
            </w:tcBorders>
            <w:shd w:val="clear" w:color="auto" w:fill="FFFFFF"/>
            <w:vAlign w:val="bottom"/>
          </w:tcPr>
          <w:p w:rsidR="006A7B41" w:rsidRPr="007457C9" w:rsidRDefault="006A7B41" w:rsidP="006A7B41">
            <w:pPr>
              <w:spacing w:line="320" w:lineRule="atLeast"/>
              <w:ind w:left="60" w:right="60"/>
              <w:jc w:val="center"/>
              <w:rPr>
                <w:sz w:val="20"/>
                <w:szCs w:val="20"/>
              </w:rPr>
            </w:pPr>
            <w:r w:rsidRPr="007457C9">
              <w:rPr>
                <w:sz w:val="20"/>
                <w:szCs w:val="20"/>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6A7B41" w:rsidRPr="007457C9" w:rsidRDefault="006A7B41" w:rsidP="006A7B41">
            <w:pPr>
              <w:spacing w:line="320" w:lineRule="atLeast"/>
              <w:ind w:left="60" w:right="60"/>
              <w:jc w:val="center"/>
              <w:rPr>
                <w:sz w:val="20"/>
                <w:szCs w:val="20"/>
              </w:rPr>
            </w:pPr>
            <w:r w:rsidRPr="007457C9">
              <w:rPr>
                <w:sz w:val="20"/>
                <w:szCs w:val="20"/>
              </w:rPr>
              <w:t>Percent</w:t>
            </w:r>
          </w:p>
        </w:tc>
        <w:tc>
          <w:tcPr>
            <w:tcW w:w="1392" w:type="dxa"/>
            <w:tcBorders>
              <w:top w:val="nil"/>
              <w:left w:val="single" w:sz="8" w:space="0" w:color="E0E0E0"/>
              <w:bottom w:val="single" w:sz="8" w:space="0" w:color="152935"/>
              <w:right w:val="single" w:sz="8" w:space="0" w:color="E0E0E0"/>
            </w:tcBorders>
            <w:shd w:val="clear" w:color="auto" w:fill="FFFFFF"/>
            <w:vAlign w:val="bottom"/>
          </w:tcPr>
          <w:p w:rsidR="006A7B41" w:rsidRPr="007457C9" w:rsidRDefault="006A7B41" w:rsidP="006A7B41">
            <w:pPr>
              <w:spacing w:line="320" w:lineRule="atLeast"/>
              <w:ind w:left="60" w:right="60"/>
              <w:jc w:val="center"/>
              <w:rPr>
                <w:sz w:val="20"/>
                <w:szCs w:val="20"/>
              </w:rPr>
            </w:pPr>
            <w:r w:rsidRPr="007457C9">
              <w:rPr>
                <w:sz w:val="20"/>
                <w:szCs w:val="20"/>
              </w:rPr>
              <w:t>Valid Percent</w:t>
            </w:r>
          </w:p>
        </w:tc>
        <w:tc>
          <w:tcPr>
            <w:tcW w:w="1468" w:type="dxa"/>
            <w:tcBorders>
              <w:top w:val="nil"/>
              <w:left w:val="single" w:sz="8" w:space="0" w:color="E0E0E0"/>
              <w:bottom w:val="single" w:sz="8" w:space="0" w:color="152935"/>
              <w:right w:val="nil"/>
            </w:tcBorders>
            <w:shd w:val="clear" w:color="auto" w:fill="FFFFFF"/>
            <w:vAlign w:val="bottom"/>
          </w:tcPr>
          <w:p w:rsidR="006A7B41" w:rsidRPr="007457C9" w:rsidRDefault="006A7B41" w:rsidP="006A7B41">
            <w:pPr>
              <w:spacing w:line="320" w:lineRule="atLeast"/>
              <w:ind w:left="60" w:right="60"/>
              <w:jc w:val="center"/>
              <w:rPr>
                <w:sz w:val="20"/>
                <w:szCs w:val="20"/>
              </w:rPr>
            </w:pPr>
            <w:r w:rsidRPr="007457C9">
              <w:rPr>
                <w:sz w:val="20"/>
                <w:szCs w:val="20"/>
              </w:rPr>
              <w:t>Cumulative Percent</w:t>
            </w:r>
          </w:p>
        </w:tc>
      </w:tr>
      <w:tr w:rsidR="006A7B41" w:rsidRPr="007457C9" w:rsidTr="006A7B41">
        <w:trPr>
          <w:cantSplit/>
          <w:jc w:val="center"/>
        </w:trPr>
        <w:tc>
          <w:tcPr>
            <w:tcW w:w="948" w:type="dxa"/>
            <w:vMerge w:val="restart"/>
            <w:tcBorders>
              <w:top w:val="single" w:sz="8" w:space="0" w:color="152935"/>
              <w:left w:val="nil"/>
              <w:bottom w:val="single" w:sz="8" w:space="0" w:color="AEAEAE"/>
              <w:right w:val="nil"/>
            </w:tcBorders>
            <w:shd w:val="clear" w:color="auto" w:fill="E0E0E0"/>
          </w:tcPr>
          <w:p w:rsidR="006A7B41" w:rsidRPr="007457C9" w:rsidRDefault="006A7B41" w:rsidP="006A7B41">
            <w:pPr>
              <w:spacing w:line="320" w:lineRule="atLeast"/>
              <w:ind w:left="60" w:right="60"/>
              <w:rPr>
                <w:sz w:val="20"/>
                <w:szCs w:val="20"/>
              </w:rPr>
            </w:pPr>
            <w:r w:rsidRPr="007457C9">
              <w:rPr>
                <w:sz w:val="20"/>
                <w:szCs w:val="20"/>
              </w:rPr>
              <w:t>Valid</w:t>
            </w:r>
          </w:p>
        </w:tc>
        <w:tc>
          <w:tcPr>
            <w:tcW w:w="2447" w:type="dxa"/>
            <w:tcBorders>
              <w:top w:val="single" w:sz="8" w:space="0" w:color="152935"/>
              <w:left w:val="nil"/>
              <w:bottom w:val="single" w:sz="8" w:space="0" w:color="AEAEAE"/>
              <w:right w:val="nil"/>
            </w:tcBorders>
            <w:shd w:val="clear" w:color="auto" w:fill="E0E0E0"/>
          </w:tcPr>
          <w:p w:rsidR="006A7B41" w:rsidRPr="007457C9" w:rsidRDefault="006A7B41" w:rsidP="006A7B41">
            <w:pPr>
              <w:spacing w:line="320" w:lineRule="atLeast"/>
              <w:ind w:left="60" w:right="60"/>
              <w:rPr>
                <w:sz w:val="20"/>
                <w:szCs w:val="20"/>
              </w:rPr>
            </w:pPr>
            <w:r w:rsidRPr="007457C9">
              <w:rPr>
                <w:sz w:val="20"/>
                <w:szCs w:val="20"/>
              </w:rPr>
              <w:t>Less than HS</w:t>
            </w:r>
          </w:p>
        </w:tc>
        <w:tc>
          <w:tcPr>
            <w:tcW w:w="1162" w:type="dxa"/>
            <w:tcBorders>
              <w:top w:val="single" w:sz="8" w:space="0" w:color="152935"/>
              <w:left w:val="nil"/>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1</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5.3</w:t>
            </w:r>
          </w:p>
        </w:tc>
        <w:tc>
          <w:tcPr>
            <w:tcW w:w="1392" w:type="dxa"/>
            <w:tcBorders>
              <w:top w:val="single" w:sz="8" w:space="0" w:color="152935"/>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6.7</w:t>
            </w:r>
          </w:p>
        </w:tc>
        <w:tc>
          <w:tcPr>
            <w:tcW w:w="1468" w:type="dxa"/>
            <w:tcBorders>
              <w:top w:val="single" w:sz="8" w:space="0" w:color="152935"/>
              <w:left w:val="single" w:sz="8" w:space="0" w:color="E0E0E0"/>
              <w:bottom w:val="single" w:sz="8" w:space="0" w:color="AEAEAE"/>
              <w:right w:val="nil"/>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6.7</w:t>
            </w:r>
          </w:p>
        </w:tc>
      </w:tr>
      <w:tr w:rsidR="006A7B41" w:rsidRPr="007457C9" w:rsidTr="006A7B41">
        <w:trPr>
          <w:cantSplit/>
          <w:jc w:val="center"/>
        </w:trPr>
        <w:tc>
          <w:tcPr>
            <w:tcW w:w="948" w:type="dxa"/>
            <w:vMerge/>
            <w:tcBorders>
              <w:top w:val="single" w:sz="8" w:space="0" w:color="152935"/>
              <w:left w:val="nil"/>
              <w:bottom w:val="single" w:sz="8" w:space="0" w:color="AEAEAE"/>
              <w:right w:val="nil"/>
            </w:tcBorders>
            <w:shd w:val="clear" w:color="auto" w:fill="E0E0E0"/>
          </w:tcPr>
          <w:p w:rsidR="006A7B41" w:rsidRPr="007457C9" w:rsidRDefault="006A7B41" w:rsidP="006A7B41">
            <w:pPr>
              <w:rPr>
                <w:sz w:val="20"/>
                <w:szCs w:val="20"/>
              </w:rPr>
            </w:pPr>
          </w:p>
        </w:tc>
        <w:tc>
          <w:tcPr>
            <w:tcW w:w="2447" w:type="dxa"/>
            <w:tcBorders>
              <w:top w:val="single" w:sz="8" w:space="0" w:color="AEAEAE"/>
              <w:left w:val="nil"/>
              <w:bottom w:val="single" w:sz="8" w:space="0" w:color="AEAEAE"/>
              <w:right w:val="nil"/>
            </w:tcBorders>
            <w:shd w:val="clear" w:color="auto" w:fill="E0E0E0"/>
          </w:tcPr>
          <w:p w:rsidR="006A7B41" w:rsidRPr="007457C9" w:rsidRDefault="006A7B41" w:rsidP="006A7B41">
            <w:pPr>
              <w:spacing w:line="320" w:lineRule="atLeast"/>
              <w:ind w:left="60" w:right="60"/>
              <w:rPr>
                <w:sz w:val="20"/>
                <w:szCs w:val="20"/>
              </w:rPr>
            </w:pPr>
            <w:r w:rsidRPr="007457C9">
              <w:rPr>
                <w:sz w:val="20"/>
                <w:szCs w:val="20"/>
              </w:rPr>
              <w:t>Attended some HS; did not graduate</w:t>
            </w:r>
          </w:p>
        </w:tc>
        <w:tc>
          <w:tcPr>
            <w:tcW w:w="1162" w:type="dxa"/>
            <w:tcBorders>
              <w:top w:val="single" w:sz="8" w:space="0" w:color="AEAEAE"/>
              <w:left w:val="nil"/>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10.5</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13.3</w:t>
            </w:r>
          </w:p>
        </w:tc>
        <w:tc>
          <w:tcPr>
            <w:tcW w:w="1468" w:type="dxa"/>
            <w:tcBorders>
              <w:top w:val="single" w:sz="8" w:space="0" w:color="AEAEAE"/>
              <w:left w:val="single" w:sz="8" w:space="0" w:color="E0E0E0"/>
              <w:bottom w:val="single" w:sz="8" w:space="0" w:color="AEAEAE"/>
              <w:right w:val="nil"/>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20.0</w:t>
            </w:r>
          </w:p>
        </w:tc>
      </w:tr>
      <w:tr w:rsidR="006A7B41" w:rsidRPr="007457C9" w:rsidTr="006A7B41">
        <w:trPr>
          <w:cantSplit/>
          <w:jc w:val="center"/>
        </w:trPr>
        <w:tc>
          <w:tcPr>
            <w:tcW w:w="948" w:type="dxa"/>
            <w:vMerge/>
            <w:tcBorders>
              <w:top w:val="single" w:sz="8" w:space="0" w:color="152935"/>
              <w:left w:val="nil"/>
              <w:bottom w:val="single" w:sz="8" w:space="0" w:color="AEAEAE"/>
              <w:right w:val="nil"/>
            </w:tcBorders>
            <w:shd w:val="clear" w:color="auto" w:fill="E0E0E0"/>
          </w:tcPr>
          <w:p w:rsidR="006A7B41" w:rsidRPr="007457C9" w:rsidRDefault="006A7B41" w:rsidP="006A7B41">
            <w:pPr>
              <w:rPr>
                <w:sz w:val="20"/>
                <w:szCs w:val="20"/>
              </w:rPr>
            </w:pPr>
          </w:p>
        </w:tc>
        <w:tc>
          <w:tcPr>
            <w:tcW w:w="2447" w:type="dxa"/>
            <w:tcBorders>
              <w:top w:val="single" w:sz="8" w:space="0" w:color="AEAEAE"/>
              <w:left w:val="nil"/>
              <w:bottom w:val="single" w:sz="8" w:space="0" w:color="AEAEAE"/>
              <w:right w:val="nil"/>
            </w:tcBorders>
            <w:shd w:val="clear" w:color="auto" w:fill="E0E0E0"/>
          </w:tcPr>
          <w:p w:rsidR="006A7B41" w:rsidRPr="007457C9" w:rsidRDefault="006A7B41" w:rsidP="006A7B41">
            <w:pPr>
              <w:spacing w:line="320" w:lineRule="atLeast"/>
              <w:ind w:left="60" w:right="60"/>
              <w:rPr>
                <w:sz w:val="20"/>
                <w:szCs w:val="20"/>
              </w:rPr>
            </w:pPr>
            <w:r w:rsidRPr="007457C9">
              <w:rPr>
                <w:sz w:val="20"/>
                <w:szCs w:val="20"/>
              </w:rPr>
              <w:t>GED</w:t>
            </w:r>
          </w:p>
        </w:tc>
        <w:tc>
          <w:tcPr>
            <w:tcW w:w="1162" w:type="dxa"/>
            <w:tcBorders>
              <w:top w:val="single" w:sz="8" w:space="0" w:color="AEAEAE"/>
              <w:left w:val="nil"/>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5.3</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6.7</w:t>
            </w:r>
          </w:p>
        </w:tc>
        <w:tc>
          <w:tcPr>
            <w:tcW w:w="1468" w:type="dxa"/>
            <w:tcBorders>
              <w:top w:val="single" w:sz="8" w:space="0" w:color="AEAEAE"/>
              <w:left w:val="single" w:sz="8" w:space="0" w:color="E0E0E0"/>
              <w:bottom w:val="single" w:sz="8" w:space="0" w:color="AEAEAE"/>
              <w:right w:val="nil"/>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26.7</w:t>
            </w:r>
          </w:p>
        </w:tc>
      </w:tr>
      <w:tr w:rsidR="006A7B41" w:rsidRPr="007457C9" w:rsidTr="006A7B41">
        <w:trPr>
          <w:cantSplit/>
          <w:jc w:val="center"/>
        </w:trPr>
        <w:tc>
          <w:tcPr>
            <w:tcW w:w="948" w:type="dxa"/>
            <w:vMerge/>
            <w:tcBorders>
              <w:top w:val="single" w:sz="8" w:space="0" w:color="152935"/>
              <w:left w:val="nil"/>
              <w:bottom w:val="single" w:sz="8" w:space="0" w:color="AEAEAE"/>
              <w:right w:val="nil"/>
            </w:tcBorders>
            <w:shd w:val="clear" w:color="auto" w:fill="E0E0E0"/>
          </w:tcPr>
          <w:p w:rsidR="006A7B41" w:rsidRPr="007457C9" w:rsidRDefault="006A7B41" w:rsidP="006A7B41">
            <w:pPr>
              <w:rPr>
                <w:sz w:val="20"/>
                <w:szCs w:val="20"/>
              </w:rPr>
            </w:pPr>
          </w:p>
        </w:tc>
        <w:tc>
          <w:tcPr>
            <w:tcW w:w="2447" w:type="dxa"/>
            <w:tcBorders>
              <w:top w:val="single" w:sz="8" w:space="0" w:color="AEAEAE"/>
              <w:left w:val="nil"/>
              <w:bottom w:val="single" w:sz="8" w:space="0" w:color="AEAEAE"/>
              <w:right w:val="nil"/>
            </w:tcBorders>
            <w:shd w:val="clear" w:color="auto" w:fill="E0E0E0"/>
          </w:tcPr>
          <w:p w:rsidR="006A7B41" w:rsidRPr="007457C9" w:rsidRDefault="006A7B41" w:rsidP="006A7B41">
            <w:pPr>
              <w:spacing w:line="320" w:lineRule="atLeast"/>
              <w:ind w:left="60" w:right="60"/>
              <w:rPr>
                <w:sz w:val="20"/>
                <w:szCs w:val="20"/>
              </w:rPr>
            </w:pPr>
            <w:r w:rsidRPr="007457C9">
              <w:rPr>
                <w:sz w:val="20"/>
                <w:szCs w:val="20"/>
              </w:rPr>
              <w:t>HS Graduate</w:t>
            </w:r>
          </w:p>
        </w:tc>
        <w:tc>
          <w:tcPr>
            <w:tcW w:w="1162" w:type="dxa"/>
            <w:tcBorders>
              <w:top w:val="single" w:sz="8" w:space="0" w:color="AEAEAE"/>
              <w:left w:val="nil"/>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8</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42.1</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53.3</w:t>
            </w:r>
          </w:p>
        </w:tc>
        <w:tc>
          <w:tcPr>
            <w:tcW w:w="1468" w:type="dxa"/>
            <w:tcBorders>
              <w:top w:val="single" w:sz="8" w:space="0" w:color="AEAEAE"/>
              <w:left w:val="single" w:sz="8" w:space="0" w:color="E0E0E0"/>
              <w:bottom w:val="single" w:sz="8" w:space="0" w:color="AEAEAE"/>
              <w:right w:val="nil"/>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80.0</w:t>
            </w:r>
          </w:p>
        </w:tc>
      </w:tr>
      <w:tr w:rsidR="006A7B41" w:rsidRPr="007457C9" w:rsidTr="006A7B41">
        <w:trPr>
          <w:cantSplit/>
          <w:jc w:val="center"/>
        </w:trPr>
        <w:tc>
          <w:tcPr>
            <w:tcW w:w="948" w:type="dxa"/>
            <w:vMerge/>
            <w:tcBorders>
              <w:top w:val="single" w:sz="8" w:space="0" w:color="152935"/>
              <w:left w:val="nil"/>
              <w:bottom w:val="single" w:sz="8" w:space="0" w:color="AEAEAE"/>
              <w:right w:val="nil"/>
            </w:tcBorders>
            <w:shd w:val="clear" w:color="auto" w:fill="E0E0E0"/>
          </w:tcPr>
          <w:p w:rsidR="006A7B41" w:rsidRPr="007457C9" w:rsidRDefault="006A7B41" w:rsidP="006A7B41">
            <w:pPr>
              <w:rPr>
                <w:sz w:val="20"/>
                <w:szCs w:val="20"/>
              </w:rPr>
            </w:pPr>
          </w:p>
        </w:tc>
        <w:tc>
          <w:tcPr>
            <w:tcW w:w="2447" w:type="dxa"/>
            <w:tcBorders>
              <w:top w:val="single" w:sz="8" w:space="0" w:color="AEAEAE"/>
              <w:left w:val="nil"/>
              <w:bottom w:val="single" w:sz="8" w:space="0" w:color="AEAEAE"/>
              <w:right w:val="nil"/>
            </w:tcBorders>
            <w:shd w:val="clear" w:color="auto" w:fill="E0E0E0"/>
          </w:tcPr>
          <w:p w:rsidR="006A7B41" w:rsidRPr="007457C9" w:rsidRDefault="006A7B41" w:rsidP="006A7B41">
            <w:pPr>
              <w:spacing w:line="320" w:lineRule="atLeast"/>
              <w:ind w:left="60" w:right="60"/>
              <w:rPr>
                <w:sz w:val="20"/>
                <w:szCs w:val="20"/>
              </w:rPr>
            </w:pPr>
            <w:r w:rsidRPr="007457C9">
              <w:rPr>
                <w:sz w:val="20"/>
                <w:szCs w:val="20"/>
              </w:rPr>
              <w:t>Some college</w:t>
            </w:r>
          </w:p>
        </w:tc>
        <w:tc>
          <w:tcPr>
            <w:tcW w:w="1162" w:type="dxa"/>
            <w:tcBorders>
              <w:top w:val="single" w:sz="8" w:space="0" w:color="AEAEAE"/>
              <w:left w:val="nil"/>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5.3</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6.7</w:t>
            </w:r>
          </w:p>
        </w:tc>
        <w:tc>
          <w:tcPr>
            <w:tcW w:w="1468" w:type="dxa"/>
            <w:tcBorders>
              <w:top w:val="single" w:sz="8" w:space="0" w:color="AEAEAE"/>
              <w:left w:val="single" w:sz="8" w:space="0" w:color="E0E0E0"/>
              <w:bottom w:val="single" w:sz="8" w:space="0" w:color="AEAEAE"/>
              <w:right w:val="nil"/>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86.7</w:t>
            </w:r>
          </w:p>
        </w:tc>
      </w:tr>
      <w:tr w:rsidR="006A7B41" w:rsidRPr="007457C9" w:rsidTr="006A7B41">
        <w:trPr>
          <w:cantSplit/>
          <w:jc w:val="center"/>
        </w:trPr>
        <w:tc>
          <w:tcPr>
            <w:tcW w:w="948" w:type="dxa"/>
            <w:vMerge/>
            <w:tcBorders>
              <w:top w:val="single" w:sz="8" w:space="0" w:color="152935"/>
              <w:left w:val="nil"/>
              <w:bottom w:val="single" w:sz="8" w:space="0" w:color="AEAEAE"/>
              <w:right w:val="nil"/>
            </w:tcBorders>
            <w:shd w:val="clear" w:color="auto" w:fill="E0E0E0"/>
          </w:tcPr>
          <w:p w:rsidR="006A7B41" w:rsidRPr="007457C9" w:rsidRDefault="006A7B41" w:rsidP="006A7B41">
            <w:pPr>
              <w:rPr>
                <w:sz w:val="20"/>
                <w:szCs w:val="20"/>
              </w:rPr>
            </w:pPr>
          </w:p>
        </w:tc>
        <w:tc>
          <w:tcPr>
            <w:tcW w:w="2447" w:type="dxa"/>
            <w:tcBorders>
              <w:top w:val="single" w:sz="8" w:space="0" w:color="AEAEAE"/>
              <w:left w:val="nil"/>
              <w:bottom w:val="single" w:sz="8" w:space="0" w:color="AEAEAE"/>
              <w:right w:val="nil"/>
            </w:tcBorders>
            <w:shd w:val="clear" w:color="auto" w:fill="E0E0E0"/>
          </w:tcPr>
          <w:p w:rsidR="006A7B41" w:rsidRPr="007457C9" w:rsidRDefault="006A7B41" w:rsidP="006A7B41">
            <w:pPr>
              <w:spacing w:line="320" w:lineRule="atLeast"/>
              <w:ind w:left="60" w:right="60"/>
              <w:rPr>
                <w:sz w:val="20"/>
                <w:szCs w:val="20"/>
              </w:rPr>
            </w:pPr>
            <w:r w:rsidRPr="007457C9">
              <w:rPr>
                <w:sz w:val="20"/>
                <w:szCs w:val="20"/>
              </w:rPr>
              <w:t>College graduate</w:t>
            </w:r>
          </w:p>
        </w:tc>
        <w:tc>
          <w:tcPr>
            <w:tcW w:w="1162" w:type="dxa"/>
            <w:tcBorders>
              <w:top w:val="single" w:sz="8" w:space="0" w:color="AEAEAE"/>
              <w:left w:val="nil"/>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10.5</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13.3</w:t>
            </w:r>
          </w:p>
        </w:tc>
        <w:tc>
          <w:tcPr>
            <w:tcW w:w="1468" w:type="dxa"/>
            <w:tcBorders>
              <w:top w:val="single" w:sz="8" w:space="0" w:color="AEAEAE"/>
              <w:left w:val="single" w:sz="8" w:space="0" w:color="E0E0E0"/>
              <w:bottom w:val="single" w:sz="8" w:space="0" w:color="AEAEAE"/>
              <w:right w:val="nil"/>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100.0</w:t>
            </w:r>
          </w:p>
        </w:tc>
      </w:tr>
      <w:tr w:rsidR="006A7B41" w:rsidRPr="007457C9" w:rsidTr="006A7B41">
        <w:trPr>
          <w:cantSplit/>
          <w:jc w:val="center"/>
        </w:trPr>
        <w:tc>
          <w:tcPr>
            <w:tcW w:w="948" w:type="dxa"/>
            <w:vMerge/>
            <w:tcBorders>
              <w:top w:val="single" w:sz="8" w:space="0" w:color="152935"/>
              <w:left w:val="nil"/>
              <w:bottom w:val="single" w:sz="8" w:space="0" w:color="AEAEAE"/>
              <w:right w:val="nil"/>
            </w:tcBorders>
            <w:shd w:val="clear" w:color="auto" w:fill="E0E0E0"/>
          </w:tcPr>
          <w:p w:rsidR="006A7B41" w:rsidRPr="007457C9" w:rsidRDefault="006A7B41" w:rsidP="006A7B41">
            <w:pPr>
              <w:rPr>
                <w:sz w:val="20"/>
                <w:szCs w:val="20"/>
              </w:rPr>
            </w:pPr>
          </w:p>
        </w:tc>
        <w:tc>
          <w:tcPr>
            <w:tcW w:w="2447" w:type="dxa"/>
            <w:tcBorders>
              <w:top w:val="single" w:sz="8" w:space="0" w:color="AEAEAE"/>
              <w:left w:val="nil"/>
              <w:bottom w:val="single" w:sz="8" w:space="0" w:color="AEAEAE"/>
              <w:right w:val="nil"/>
            </w:tcBorders>
            <w:shd w:val="clear" w:color="auto" w:fill="E0E0E0"/>
          </w:tcPr>
          <w:p w:rsidR="006A7B41" w:rsidRPr="007457C9" w:rsidRDefault="006A7B41" w:rsidP="006A7B41">
            <w:pPr>
              <w:spacing w:line="320" w:lineRule="atLeast"/>
              <w:ind w:left="60" w:right="60"/>
              <w:rPr>
                <w:sz w:val="20"/>
                <w:szCs w:val="20"/>
              </w:rPr>
            </w:pPr>
            <w:r w:rsidRPr="007457C9">
              <w:rPr>
                <w:sz w:val="20"/>
                <w:szCs w:val="20"/>
              </w:rPr>
              <w:t>Total</w:t>
            </w:r>
          </w:p>
        </w:tc>
        <w:tc>
          <w:tcPr>
            <w:tcW w:w="1162" w:type="dxa"/>
            <w:tcBorders>
              <w:top w:val="single" w:sz="8" w:space="0" w:color="AEAEAE"/>
              <w:left w:val="nil"/>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15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78.9</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100.0</w:t>
            </w:r>
          </w:p>
        </w:tc>
        <w:tc>
          <w:tcPr>
            <w:tcW w:w="1468" w:type="dxa"/>
            <w:tcBorders>
              <w:top w:val="single" w:sz="8" w:space="0" w:color="AEAEAE"/>
              <w:left w:val="single" w:sz="8" w:space="0" w:color="E0E0E0"/>
              <w:bottom w:val="single" w:sz="8" w:space="0" w:color="AEAEAE"/>
              <w:right w:val="nil"/>
            </w:tcBorders>
            <w:shd w:val="clear" w:color="auto" w:fill="FFFFFF"/>
            <w:vAlign w:val="center"/>
          </w:tcPr>
          <w:p w:rsidR="006A7B41" w:rsidRPr="007457C9" w:rsidRDefault="006A7B41" w:rsidP="006A7B41">
            <w:pPr>
              <w:rPr>
                <w:sz w:val="20"/>
                <w:szCs w:val="20"/>
              </w:rPr>
            </w:pPr>
          </w:p>
        </w:tc>
      </w:tr>
      <w:tr w:rsidR="006A7B41" w:rsidRPr="007457C9" w:rsidTr="006A7B41">
        <w:trPr>
          <w:cantSplit/>
          <w:jc w:val="center"/>
        </w:trPr>
        <w:tc>
          <w:tcPr>
            <w:tcW w:w="948" w:type="dxa"/>
            <w:tcBorders>
              <w:top w:val="single" w:sz="8" w:space="0" w:color="AEAEAE"/>
              <w:left w:val="nil"/>
              <w:bottom w:val="single" w:sz="8" w:space="0" w:color="AEAEAE"/>
              <w:right w:val="nil"/>
            </w:tcBorders>
            <w:shd w:val="clear" w:color="auto" w:fill="E0E0E0"/>
          </w:tcPr>
          <w:p w:rsidR="006A7B41" w:rsidRPr="007457C9" w:rsidRDefault="006A7B41" w:rsidP="006A7B41">
            <w:pPr>
              <w:spacing w:line="320" w:lineRule="atLeast"/>
              <w:ind w:left="60" w:right="60"/>
              <w:rPr>
                <w:sz w:val="20"/>
                <w:szCs w:val="20"/>
              </w:rPr>
            </w:pPr>
            <w:r w:rsidRPr="007457C9">
              <w:rPr>
                <w:sz w:val="20"/>
                <w:szCs w:val="20"/>
              </w:rPr>
              <w:t>Missing</w:t>
            </w:r>
          </w:p>
        </w:tc>
        <w:tc>
          <w:tcPr>
            <w:tcW w:w="2447" w:type="dxa"/>
            <w:tcBorders>
              <w:top w:val="single" w:sz="8" w:space="0" w:color="AEAEAE"/>
              <w:left w:val="nil"/>
              <w:bottom w:val="single" w:sz="8" w:space="0" w:color="AEAEAE"/>
              <w:right w:val="nil"/>
            </w:tcBorders>
            <w:shd w:val="clear" w:color="auto" w:fill="E0E0E0"/>
          </w:tcPr>
          <w:p w:rsidR="006A7B41" w:rsidRPr="007457C9" w:rsidRDefault="006A7B41" w:rsidP="006A7B41">
            <w:pPr>
              <w:spacing w:line="320" w:lineRule="atLeast"/>
              <w:ind w:left="60" w:right="60"/>
              <w:rPr>
                <w:sz w:val="20"/>
                <w:szCs w:val="20"/>
              </w:rPr>
            </w:pPr>
            <w:r w:rsidRPr="007457C9">
              <w:rPr>
                <w:sz w:val="20"/>
                <w:szCs w:val="20"/>
              </w:rPr>
              <w:t>System</w:t>
            </w:r>
          </w:p>
        </w:tc>
        <w:tc>
          <w:tcPr>
            <w:tcW w:w="1162" w:type="dxa"/>
            <w:tcBorders>
              <w:top w:val="single" w:sz="8" w:space="0" w:color="AEAEAE"/>
              <w:left w:val="nil"/>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21.1</w:t>
            </w:r>
          </w:p>
        </w:tc>
        <w:tc>
          <w:tcPr>
            <w:tcW w:w="1392"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6A7B41" w:rsidRPr="007457C9" w:rsidRDefault="006A7B41" w:rsidP="006A7B41">
            <w:pPr>
              <w:rPr>
                <w:sz w:val="20"/>
                <w:szCs w:val="20"/>
              </w:rPr>
            </w:pPr>
          </w:p>
        </w:tc>
        <w:tc>
          <w:tcPr>
            <w:tcW w:w="1468" w:type="dxa"/>
            <w:tcBorders>
              <w:top w:val="single" w:sz="8" w:space="0" w:color="AEAEAE"/>
              <w:left w:val="single" w:sz="8" w:space="0" w:color="E0E0E0"/>
              <w:bottom w:val="single" w:sz="8" w:space="0" w:color="AEAEAE"/>
              <w:right w:val="nil"/>
            </w:tcBorders>
            <w:shd w:val="clear" w:color="auto" w:fill="FFFFFF"/>
            <w:vAlign w:val="center"/>
          </w:tcPr>
          <w:p w:rsidR="006A7B41" w:rsidRPr="007457C9" w:rsidRDefault="006A7B41" w:rsidP="006A7B41">
            <w:pPr>
              <w:rPr>
                <w:sz w:val="20"/>
                <w:szCs w:val="20"/>
              </w:rPr>
            </w:pPr>
          </w:p>
        </w:tc>
      </w:tr>
      <w:tr w:rsidR="006A7B41" w:rsidRPr="007457C9" w:rsidTr="006A7B41">
        <w:trPr>
          <w:cantSplit/>
          <w:jc w:val="center"/>
        </w:trPr>
        <w:tc>
          <w:tcPr>
            <w:tcW w:w="3395" w:type="dxa"/>
            <w:gridSpan w:val="2"/>
            <w:tcBorders>
              <w:top w:val="single" w:sz="8" w:space="0" w:color="AEAEAE"/>
              <w:left w:val="nil"/>
              <w:bottom w:val="single" w:sz="8" w:space="0" w:color="152935"/>
              <w:right w:val="nil"/>
            </w:tcBorders>
            <w:shd w:val="clear" w:color="auto" w:fill="E0E0E0"/>
          </w:tcPr>
          <w:p w:rsidR="006A7B41" w:rsidRPr="007457C9" w:rsidRDefault="006A7B41" w:rsidP="006A7B41">
            <w:pPr>
              <w:spacing w:line="320" w:lineRule="atLeast"/>
              <w:ind w:left="60" w:right="60"/>
              <w:rPr>
                <w:sz w:val="20"/>
                <w:szCs w:val="20"/>
              </w:rPr>
            </w:pPr>
            <w:r w:rsidRPr="007457C9">
              <w:rPr>
                <w:sz w:val="20"/>
                <w:szCs w:val="20"/>
              </w:rPr>
              <w:t>Total</w:t>
            </w:r>
          </w:p>
        </w:tc>
        <w:tc>
          <w:tcPr>
            <w:tcW w:w="1162" w:type="dxa"/>
            <w:tcBorders>
              <w:top w:val="single" w:sz="8" w:space="0" w:color="AEAEAE"/>
              <w:left w:val="nil"/>
              <w:bottom w:val="single" w:sz="8" w:space="0" w:color="152935"/>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19</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6A7B41" w:rsidRPr="007457C9" w:rsidRDefault="006A7B41" w:rsidP="006A7B41">
            <w:pPr>
              <w:spacing w:line="320" w:lineRule="atLeast"/>
              <w:ind w:left="60" w:right="60"/>
              <w:jc w:val="right"/>
              <w:rPr>
                <w:sz w:val="20"/>
                <w:szCs w:val="20"/>
              </w:rPr>
            </w:pPr>
            <w:r w:rsidRPr="007457C9">
              <w:rPr>
                <w:sz w:val="20"/>
                <w:szCs w:val="20"/>
              </w:rPr>
              <w:t>100.0</w:t>
            </w:r>
          </w:p>
        </w:tc>
        <w:tc>
          <w:tcPr>
            <w:tcW w:w="1392"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6A7B41" w:rsidRPr="007457C9" w:rsidRDefault="006A7B41" w:rsidP="006A7B41">
            <w:pPr>
              <w:rPr>
                <w:sz w:val="20"/>
                <w:szCs w:val="20"/>
              </w:rPr>
            </w:pP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6A7B41" w:rsidRPr="007457C9" w:rsidRDefault="006A7B41" w:rsidP="006A7B41">
            <w:pPr>
              <w:rPr>
                <w:sz w:val="20"/>
                <w:szCs w:val="20"/>
              </w:rPr>
            </w:pPr>
          </w:p>
        </w:tc>
      </w:tr>
    </w:tbl>
    <w:p w:rsidR="006A7B41" w:rsidRDefault="006A7B41" w:rsidP="006A7B41">
      <w:pPr>
        <w:pStyle w:val="APA"/>
      </w:pPr>
    </w:p>
    <w:p w:rsidR="006A7B41" w:rsidRDefault="006A7B41" w:rsidP="006A7B41">
      <w:pPr>
        <w:pStyle w:val="APALevel0"/>
      </w:pPr>
      <w:r>
        <w:br w:type="page"/>
      </w:r>
      <w:bookmarkStart w:id="68" w:name="_Toc514059926"/>
      <w:r>
        <w:lastRenderedPageBreak/>
        <w:t xml:space="preserve">Appendix L: Wilcoxon Signed-Rank Test on </w:t>
      </w:r>
      <w:r w:rsidRPr="00927F6D">
        <w:rPr>
          <w:i/>
        </w:rPr>
        <w:t>Health Literacy Patient Survey</w:t>
      </w:r>
      <w:r>
        <w:t xml:space="preserve"> Data</w:t>
      </w:r>
      <w:bookmarkEnd w:id="68"/>
    </w:p>
    <w:p w:rsidR="006A7B41" w:rsidRDefault="006A7B41" w:rsidP="004009AB">
      <w:pPr>
        <w:pStyle w:val="Caption"/>
      </w:pPr>
      <w:bookmarkStart w:id="69" w:name="_Toc514059966"/>
      <w:r>
        <w:t>Table 7</w:t>
      </w:r>
      <w:bookmarkEnd w:id="69"/>
    </w:p>
    <w:p w:rsidR="006A7B41" w:rsidRPr="004009AB" w:rsidRDefault="006A7B41" w:rsidP="004009AB">
      <w:pPr>
        <w:pStyle w:val="Caption"/>
        <w:rPr>
          <w:i/>
        </w:rPr>
      </w:pPr>
      <w:bookmarkStart w:id="70" w:name="_Toc514059967"/>
      <w:r w:rsidRPr="004009AB">
        <w:rPr>
          <w:i/>
        </w:rPr>
        <w:t>Wilcoxon Signed-Rank Test on Health Literacy Patient Survey Data</w:t>
      </w:r>
      <w:bookmarkEnd w:id="70"/>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9"/>
        <w:gridCol w:w="891"/>
        <w:gridCol w:w="1955"/>
      </w:tblGrid>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Question</w:t>
            </w:r>
          </w:p>
        </w:tc>
        <w:tc>
          <w:tcPr>
            <w:tcW w:w="0" w:type="auto"/>
            <w:shd w:val="clear" w:color="auto" w:fill="auto"/>
          </w:tcPr>
          <w:p w:rsidR="006A7B41" w:rsidRPr="00866670" w:rsidRDefault="006A7B41" w:rsidP="00866670">
            <w:pPr>
              <w:jc w:val="center"/>
              <w:rPr>
                <w:sz w:val="20"/>
                <w:szCs w:val="20"/>
              </w:rPr>
            </w:pPr>
            <w:r w:rsidRPr="00866670">
              <w:rPr>
                <w:sz w:val="20"/>
                <w:szCs w:val="20"/>
              </w:rPr>
              <w:t>Z</w:t>
            </w:r>
          </w:p>
        </w:tc>
        <w:tc>
          <w:tcPr>
            <w:tcW w:w="0" w:type="auto"/>
            <w:shd w:val="clear" w:color="auto" w:fill="auto"/>
          </w:tcPr>
          <w:p w:rsidR="006A7B41" w:rsidRPr="00866670" w:rsidRDefault="006A7B41" w:rsidP="00866670">
            <w:pPr>
              <w:jc w:val="center"/>
              <w:rPr>
                <w:sz w:val="20"/>
                <w:szCs w:val="20"/>
              </w:rPr>
            </w:pPr>
            <w:proofErr w:type="spellStart"/>
            <w:r w:rsidRPr="00866670">
              <w:rPr>
                <w:sz w:val="20"/>
                <w:szCs w:val="20"/>
              </w:rPr>
              <w:t>Asymp</w:t>
            </w:r>
            <w:proofErr w:type="spellEnd"/>
            <w:r w:rsidRPr="00866670">
              <w:rPr>
                <w:sz w:val="20"/>
                <w:szCs w:val="20"/>
              </w:rPr>
              <w:t xml:space="preserve"> Sig. (2-tailed)</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1</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-1.190</w:t>
            </w:r>
            <w:r w:rsidRPr="00866670">
              <w:rPr>
                <w:sz w:val="20"/>
                <w:szCs w:val="20"/>
                <w:vertAlign w:val="superscript"/>
              </w:rPr>
              <w:t>b</w:t>
            </w:r>
          </w:p>
        </w:tc>
        <w:tc>
          <w:tcPr>
            <w:tcW w:w="0" w:type="auto"/>
            <w:shd w:val="clear" w:color="auto" w:fill="auto"/>
          </w:tcPr>
          <w:p w:rsidR="006A7B41" w:rsidRPr="00866670" w:rsidRDefault="006A7B41" w:rsidP="00866670">
            <w:pPr>
              <w:jc w:val="center"/>
              <w:rPr>
                <w:sz w:val="20"/>
                <w:szCs w:val="20"/>
              </w:rPr>
            </w:pPr>
            <w:r w:rsidRPr="00866670">
              <w:rPr>
                <w:sz w:val="20"/>
                <w:szCs w:val="20"/>
              </w:rPr>
              <w:t>.234</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2</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-1.613</w:t>
            </w:r>
            <w:r w:rsidRPr="00866670">
              <w:rPr>
                <w:sz w:val="20"/>
                <w:szCs w:val="20"/>
                <w:vertAlign w:val="superscript"/>
              </w:rPr>
              <w:t>b</w:t>
            </w:r>
          </w:p>
        </w:tc>
        <w:tc>
          <w:tcPr>
            <w:tcW w:w="0" w:type="auto"/>
            <w:shd w:val="clear" w:color="auto" w:fill="auto"/>
          </w:tcPr>
          <w:p w:rsidR="006A7B41" w:rsidRPr="00866670" w:rsidRDefault="006A7B41" w:rsidP="00866670">
            <w:pPr>
              <w:jc w:val="center"/>
              <w:rPr>
                <w:sz w:val="20"/>
                <w:szCs w:val="20"/>
              </w:rPr>
            </w:pPr>
            <w:r w:rsidRPr="00866670">
              <w:rPr>
                <w:sz w:val="20"/>
                <w:szCs w:val="20"/>
              </w:rPr>
              <w:t>.107</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3</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-1.0000</w:t>
            </w:r>
            <w:r w:rsidRPr="00866670">
              <w:rPr>
                <w:sz w:val="20"/>
                <w:szCs w:val="20"/>
                <w:vertAlign w:val="superscript"/>
              </w:rPr>
              <w:t>c</w:t>
            </w:r>
          </w:p>
        </w:tc>
        <w:tc>
          <w:tcPr>
            <w:tcW w:w="0" w:type="auto"/>
            <w:shd w:val="clear" w:color="auto" w:fill="auto"/>
          </w:tcPr>
          <w:p w:rsidR="006A7B41" w:rsidRPr="00866670" w:rsidRDefault="006A7B41" w:rsidP="00866670">
            <w:pPr>
              <w:jc w:val="center"/>
              <w:rPr>
                <w:sz w:val="20"/>
                <w:szCs w:val="20"/>
              </w:rPr>
            </w:pPr>
            <w:r w:rsidRPr="00866670">
              <w:rPr>
                <w:sz w:val="20"/>
                <w:szCs w:val="20"/>
              </w:rPr>
              <w:t>.317</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4</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-.933</w:t>
            </w:r>
            <w:r w:rsidRPr="00866670">
              <w:rPr>
                <w:sz w:val="20"/>
                <w:szCs w:val="20"/>
                <w:vertAlign w:val="superscript"/>
              </w:rPr>
              <w:t>b</w:t>
            </w:r>
          </w:p>
        </w:tc>
        <w:tc>
          <w:tcPr>
            <w:tcW w:w="0" w:type="auto"/>
            <w:shd w:val="clear" w:color="auto" w:fill="auto"/>
          </w:tcPr>
          <w:p w:rsidR="006A7B41" w:rsidRPr="00866670" w:rsidRDefault="006A7B41" w:rsidP="00866670">
            <w:pPr>
              <w:jc w:val="center"/>
              <w:rPr>
                <w:sz w:val="20"/>
                <w:szCs w:val="20"/>
              </w:rPr>
            </w:pPr>
            <w:r w:rsidRPr="00866670">
              <w:rPr>
                <w:sz w:val="20"/>
                <w:szCs w:val="20"/>
              </w:rPr>
              <w:t>.351</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5</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.000</w:t>
            </w:r>
            <w:r w:rsidRPr="00866670">
              <w:rPr>
                <w:sz w:val="20"/>
                <w:szCs w:val="20"/>
                <w:vertAlign w:val="superscript"/>
              </w:rPr>
              <w:t>d</w:t>
            </w:r>
          </w:p>
        </w:tc>
        <w:tc>
          <w:tcPr>
            <w:tcW w:w="0" w:type="auto"/>
            <w:shd w:val="clear" w:color="auto" w:fill="auto"/>
          </w:tcPr>
          <w:p w:rsidR="006A7B41" w:rsidRPr="00866670" w:rsidRDefault="006A7B41" w:rsidP="00866670">
            <w:pPr>
              <w:jc w:val="center"/>
              <w:rPr>
                <w:sz w:val="20"/>
                <w:szCs w:val="20"/>
              </w:rPr>
            </w:pPr>
            <w:r w:rsidRPr="00866670">
              <w:rPr>
                <w:sz w:val="20"/>
                <w:szCs w:val="20"/>
              </w:rPr>
              <w:t>1.000</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6</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-.378</w:t>
            </w:r>
            <w:r w:rsidRPr="00866670">
              <w:rPr>
                <w:sz w:val="20"/>
                <w:szCs w:val="20"/>
                <w:vertAlign w:val="superscript"/>
              </w:rPr>
              <w:t>c</w:t>
            </w:r>
          </w:p>
        </w:tc>
        <w:tc>
          <w:tcPr>
            <w:tcW w:w="0" w:type="auto"/>
            <w:shd w:val="clear" w:color="auto" w:fill="auto"/>
          </w:tcPr>
          <w:p w:rsidR="006A7B41" w:rsidRPr="00866670" w:rsidRDefault="006A7B41" w:rsidP="00866670">
            <w:pPr>
              <w:jc w:val="center"/>
              <w:rPr>
                <w:sz w:val="20"/>
                <w:szCs w:val="20"/>
              </w:rPr>
            </w:pPr>
            <w:r w:rsidRPr="00866670">
              <w:rPr>
                <w:sz w:val="20"/>
                <w:szCs w:val="20"/>
              </w:rPr>
              <w:t>.705</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7</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-.577</w:t>
            </w:r>
            <w:r w:rsidRPr="00866670">
              <w:rPr>
                <w:sz w:val="20"/>
                <w:szCs w:val="20"/>
                <w:vertAlign w:val="superscript"/>
              </w:rPr>
              <w:t>b</w:t>
            </w:r>
          </w:p>
        </w:tc>
        <w:tc>
          <w:tcPr>
            <w:tcW w:w="0" w:type="auto"/>
            <w:shd w:val="clear" w:color="auto" w:fill="auto"/>
          </w:tcPr>
          <w:p w:rsidR="006A7B41" w:rsidRPr="00866670" w:rsidRDefault="006A7B41" w:rsidP="00866670">
            <w:pPr>
              <w:jc w:val="center"/>
              <w:rPr>
                <w:sz w:val="20"/>
                <w:szCs w:val="20"/>
              </w:rPr>
            </w:pPr>
            <w:r w:rsidRPr="00866670">
              <w:rPr>
                <w:sz w:val="20"/>
                <w:szCs w:val="20"/>
              </w:rPr>
              <w:t>.564</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8</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-.343</w:t>
            </w:r>
            <w:r w:rsidRPr="00866670">
              <w:rPr>
                <w:sz w:val="20"/>
                <w:szCs w:val="20"/>
                <w:vertAlign w:val="superscript"/>
              </w:rPr>
              <w:t>c</w:t>
            </w:r>
          </w:p>
        </w:tc>
        <w:tc>
          <w:tcPr>
            <w:tcW w:w="0" w:type="auto"/>
            <w:shd w:val="clear" w:color="auto" w:fill="auto"/>
          </w:tcPr>
          <w:p w:rsidR="006A7B41" w:rsidRPr="00866670" w:rsidRDefault="006A7B41" w:rsidP="00866670">
            <w:pPr>
              <w:jc w:val="center"/>
              <w:rPr>
                <w:sz w:val="20"/>
                <w:szCs w:val="20"/>
              </w:rPr>
            </w:pPr>
            <w:r w:rsidRPr="00866670">
              <w:rPr>
                <w:sz w:val="20"/>
                <w:szCs w:val="20"/>
              </w:rPr>
              <w:t>.732</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9</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.000</w:t>
            </w:r>
            <w:r w:rsidRPr="00866670">
              <w:rPr>
                <w:sz w:val="20"/>
                <w:szCs w:val="20"/>
                <w:vertAlign w:val="superscript"/>
              </w:rPr>
              <w:t>d</w:t>
            </w:r>
          </w:p>
        </w:tc>
        <w:tc>
          <w:tcPr>
            <w:tcW w:w="0" w:type="auto"/>
            <w:shd w:val="clear" w:color="auto" w:fill="auto"/>
          </w:tcPr>
          <w:p w:rsidR="006A7B41" w:rsidRPr="00866670" w:rsidRDefault="006A7B41" w:rsidP="00866670">
            <w:pPr>
              <w:jc w:val="center"/>
              <w:rPr>
                <w:sz w:val="20"/>
                <w:szCs w:val="20"/>
              </w:rPr>
            </w:pPr>
            <w:r w:rsidRPr="00866670">
              <w:rPr>
                <w:sz w:val="20"/>
                <w:szCs w:val="20"/>
              </w:rPr>
              <w:t>1.000</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10</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-1.414</w:t>
            </w:r>
            <w:r w:rsidRPr="00866670">
              <w:rPr>
                <w:sz w:val="20"/>
                <w:szCs w:val="20"/>
                <w:vertAlign w:val="superscript"/>
              </w:rPr>
              <w:t>b</w:t>
            </w:r>
          </w:p>
        </w:tc>
        <w:tc>
          <w:tcPr>
            <w:tcW w:w="0" w:type="auto"/>
            <w:shd w:val="clear" w:color="auto" w:fill="auto"/>
          </w:tcPr>
          <w:p w:rsidR="006A7B41" w:rsidRPr="00866670" w:rsidRDefault="006A7B41" w:rsidP="00866670">
            <w:pPr>
              <w:jc w:val="center"/>
              <w:rPr>
                <w:sz w:val="20"/>
                <w:szCs w:val="20"/>
              </w:rPr>
            </w:pPr>
            <w:r w:rsidRPr="00866670">
              <w:rPr>
                <w:sz w:val="20"/>
                <w:szCs w:val="20"/>
              </w:rPr>
              <w:t>.157</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11</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-.333</w:t>
            </w:r>
            <w:r w:rsidRPr="00866670">
              <w:rPr>
                <w:sz w:val="20"/>
                <w:szCs w:val="20"/>
                <w:vertAlign w:val="superscript"/>
              </w:rPr>
              <w:t>b</w:t>
            </w:r>
          </w:p>
        </w:tc>
        <w:tc>
          <w:tcPr>
            <w:tcW w:w="0" w:type="auto"/>
            <w:shd w:val="clear" w:color="auto" w:fill="auto"/>
          </w:tcPr>
          <w:p w:rsidR="006A7B41" w:rsidRPr="00866670" w:rsidRDefault="006A7B41" w:rsidP="00866670">
            <w:pPr>
              <w:jc w:val="center"/>
              <w:rPr>
                <w:sz w:val="20"/>
                <w:szCs w:val="20"/>
              </w:rPr>
            </w:pPr>
            <w:r w:rsidRPr="00866670">
              <w:rPr>
                <w:sz w:val="20"/>
                <w:szCs w:val="20"/>
              </w:rPr>
              <w:t>.739</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12</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-.966</w:t>
            </w:r>
            <w:r w:rsidRPr="00866670">
              <w:rPr>
                <w:sz w:val="20"/>
                <w:szCs w:val="20"/>
                <w:vertAlign w:val="superscript"/>
              </w:rPr>
              <w:t>c</w:t>
            </w:r>
          </w:p>
        </w:tc>
        <w:tc>
          <w:tcPr>
            <w:tcW w:w="0" w:type="auto"/>
            <w:shd w:val="clear" w:color="auto" w:fill="auto"/>
          </w:tcPr>
          <w:p w:rsidR="006A7B41" w:rsidRPr="00866670" w:rsidRDefault="006A7B41" w:rsidP="00866670">
            <w:pPr>
              <w:jc w:val="center"/>
              <w:rPr>
                <w:sz w:val="20"/>
                <w:szCs w:val="20"/>
              </w:rPr>
            </w:pPr>
            <w:r w:rsidRPr="00866670">
              <w:rPr>
                <w:sz w:val="20"/>
                <w:szCs w:val="20"/>
              </w:rPr>
              <w:t>.334</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13</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-1.131</w:t>
            </w:r>
            <w:r w:rsidRPr="00866670">
              <w:rPr>
                <w:sz w:val="20"/>
                <w:szCs w:val="20"/>
                <w:vertAlign w:val="superscript"/>
              </w:rPr>
              <w:t>b</w:t>
            </w:r>
          </w:p>
        </w:tc>
        <w:tc>
          <w:tcPr>
            <w:tcW w:w="0" w:type="auto"/>
            <w:shd w:val="clear" w:color="auto" w:fill="auto"/>
          </w:tcPr>
          <w:p w:rsidR="006A7B41" w:rsidRPr="00866670" w:rsidRDefault="006A7B41" w:rsidP="00866670">
            <w:pPr>
              <w:jc w:val="center"/>
              <w:rPr>
                <w:sz w:val="20"/>
                <w:szCs w:val="20"/>
              </w:rPr>
            </w:pPr>
            <w:r w:rsidRPr="00866670">
              <w:rPr>
                <w:sz w:val="20"/>
                <w:szCs w:val="20"/>
              </w:rPr>
              <w:t>.258</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14</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-.577</w:t>
            </w:r>
            <w:r w:rsidRPr="00866670">
              <w:rPr>
                <w:sz w:val="20"/>
                <w:szCs w:val="20"/>
                <w:vertAlign w:val="superscript"/>
              </w:rPr>
              <w:t>c</w:t>
            </w:r>
          </w:p>
        </w:tc>
        <w:tc>
          <w:tcPr>
            <w:tcW w:w="0" w:type="auto"/>
            <w:shd w:val="clear" w:color="auto" w:fill="auto"/>
          </w:tcPr>
          <w:p w:rsidR="006A7B41" w:rsidRPr="00866670" w:rsidRDefault="006A7B41" w:rsidP="00866670">
            <w:pPr>
              <w:jc w:val="center"/>
              <w:rPr>
                <w:sz w:val="20"/>
                <w:szCs w:val="20"/>
              </w:rPr>
            </w:pPr>
            <w:r w:rsidRPr="00866670">
              <w:rPr>
                <w:sz w:val="20"/>
                <w:szCs w:val="20"/>
              </w:rPr>
              <w:t>.564</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15</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-1.000</w:t>
            </w:r>
            <w:r w:rsidRPr="00866670">
              <w:rPr>
                <w:sz w:val="20"/>
                <w:szCs w:val="20"/>
                <w:vertAlign w:val="superscript"/>
              </w:rPr>
              <w:t>c</w:t>
            </w:r>
          </w:p>
        </w:tc>
        <w:tc>
          <w:tcPr>
            <w:tcW w:w="0" w:type="auto"/>
            <w:shd w:val="clear" w:color="auto" w:fill="auto"/>
          </w:tcPr>
          <w:p w:rsidR="006A7B41" w:rsidRPr="00866670" w:rsidRDefault="006A7B41" w:rsidP="00866670">
            <w:pPr>
              <w:jc w:val="center"/>
              <w:rPr>
                <w:sz w:val="20"/>
                <w:szCs w:val="20"/>
              </w:rPr>
            </w:pPr>
            <w:r w:rsidRPr="00866670">
              <w:rPr>
                <w:sz w:val="20"/>
                <w:szCs w:val="20"/>
              </w:rPr>
              <w:t>.317</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16</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-1.611</w:t>
            </w:r>
            <w:r w:rsidRPr="00866670">
              <w:rPr>
                <w:sz w:val="20"/>
                <w:szCs w:val="20"/>
                <w:vertAlign w:val="superscript"/>
              </w:rPr>
              <w:t>b</w:t>
            </w:r>
          </w:p>
        </w:tc>
        <w:tc>
          <w:tcPr>
            <w:tcW w:w="0" w:type="auto"/>
            <w:shd w:val="clear" w:color="auto" w:fill="auto"/>
          </w:tcPr>
          <w:p w:rsidR="006A7B41" w:rsidRPr="00866670" w:rsidRDefault="006A7B41" w:rsidP="00866670">
            <w:pPr>
              <w:jc w:val="center"/>
              <w:rPr>
                <w:sz w:val="20"/>
                <w:szCs w:val="20"/>
              </w:rPr>
            </w:pPr>
            <w:r w:rsidRPr="00866670">
              <w:rPr>
                <w:sz w:val="20"/>
                <w:szCs w:val="20"/>
              </w:rPr>
              <w:t>.107</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17</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-1.000</w:t>
            </w:r>
            <w:r w:rsidRPr="00866670">
              <w:rPr>
                <w:sz w:val="20"/>
                <w:szCs w:val="20"/>
                <w:vertAlign w:val="superscript"/>
              </w:rPr>
              <w:t>b</w:t>
            </w:r>
          </w:p>
        </w:tc>
        <w:tc>
          <w:tcPr>
            <w:tcW w:w="0" w:type="auto"/>
            <w:shd w:val="clear" w:color="auto" w:fill="auto"/>
          </w:tcPr>
          <w:p w:rsidR="006A7B41" w:rsidRPr="00866670" w:rsidRDefault="006A7B41" w:rsidP="00866670">
            <w:pPr>
              <w:jc w:val="center"/>
              <w:rPr>
                <w:sz w:val="20"/>
                <w:szCs w:val="20"/>
              </w:rPr>
            </w:pPr>
            <w:r w:rsidRPr="00866670">
              <w:rPr>
                <w:sz w:val="20"/>
                <w:szCs w:val="20"/>
              </w:rPr>
              <w:t>.317</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18</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-1.518</w:t>
            </w:r>
            <w:r w:rsidRPr="00866670">
              <w:rPr>
                <w:sz w:val="20"/>
                <w:szCs w:val="20"/>
                <w:vertAlign w:val="superscript"/>
              </w:rPr>
              <w:t>b</w:t>
            </w:r>
          </w:p>
        </w:tc>
        <w:tc>
          <w:tcPr>
            <w:tcW w:w="0" w:type="auto"/>
            <w:shd w:val="clear" w:color="auto" w:fill="auto"/>
          </w:tcPr>
          <w:p w:rsidR="006A7B41" w:rsidRPr="00866670" w:rsidRDefault="006A7B41" w:rsidP="00866670">
            <w:pPr>
              <w:jc w:val="center"/>
              <w:rPr>
                <w:sz w:val="20"/>
                <w:szCs w:val="20"/>
              </w:rPr>
            </w:pPr>
            <w:r w:rsidRPr="00866670">
              <w:rPr>
                <w:sz w:val="20"/>
                <w:szCs w:val="20"/>
              </w:rPr>
              <w:t>.129</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19</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-1.633</w:t>
            </w:r>
            <w:r w:rsidRPr="00866670">
              <w:rPr>
                <w:sz w:val="20"/>
                <w:szCs w:val="20"/>
                <w:vertAlign w:val="superscript"/>
              </w:rPr>
              <w:t>c</w:t>
            </w:r>
          </w:p>
        </w:tc>
        <w:tc>
          <w:tcPr>
            <w:tcW w:w="0" w:type="auto"/>
            <w:shd w:val="clear" w:color="auto" w:fill="auto"/>
          </w:tcPr>
          <w:p w:rsidR="006A7B41" w:rsidRPr="00866670" w:rsidRDefault="006A7B41" w:rsidP="00866670">
            <w:pPr>
              <w:jc w:val="center"/>
              <w:rPr>
                <w:sz w:val="20"/>
                <w:szCs w:val="20"/>
              </w:rPr>
            </w:pPr>
            <w:r w:rsidRPr="00866670">
              <w:rPr>
                <w:sz w:val="20"/>
                <w:szCs w:val="20"/>
              </w:rPr>
              <w:t>.102</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20</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-2.236</w:t>
            </w:r>
            <w:r w:rsidRPr="00866670">
              <w:rPr>
                <w:sz w:val="20"/>
                <w:szCs w:val="20"/>
                <w:vertAlign w:val="superscript"/>
              </w:rPr>
              <w:t>b</w:t>
            </w:r>
          </w:p>
        </w:tc>
        <w:tc>
          <w:tcPr>
            <w:tcW w:w="0" w:type="auto"/>
            <w:shd w:val="clear" w:color="auto" w:fill="auto"/>
          </w:tcPr>
          <w:p w:rsidR="006A7B41" w:rsidRPr="00866670" w:rsidRDefault="006A7B41" w:rsidP="00866670">
            <w:pPr>
              <w:jc w:val="center"/>
              <w:rPr>
                <w:b/>
                <w:sz w:val="20"/>
                <w:szCs w:val="20"/>
              </w:rPr>
            </w:pPr>
            <w:r w:rsidRPr="00866670">
              <w:rPr>
                <w:b/>
                <w:sz w:val="20"/>
                <w:szCs w:val="20"/>
              </w:rPr>
              <w:t>.025</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21</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-1.890</w:t>
            </w:r>
            <w:r w:rsidRPr="00866670">
              <w:rPr>
                <w:sz w:val="20"/>
                <w:szCs w:val="20"/>
                <w:vertAlign w:val="superscript"/>
              </w:rPr>
              <w:t>b</w:t>
            </w:r>
          </w:p>
        </w:tc>
        <w:tc>
          <w:tcPr>
            <w:tcW w:w="0" w:type="auto"/>
            <w:shd w:val="clear" w:color="auto" w:fill="auto"/>
          </w:tcPr>
          <w:p w:rsidR="006A7B41" w:rsidRPr="00866670" w:rsidRDefault="006A7B41" w:rsidP="00866670">
            <w:pPr>
              <w:jc w:val="center"/>
              <w:rPr>
                <w:sz w:val="20"/>
                <w:szCs w:val="20"/>
              </w:rPr>
            </w:pPr>
            <w:r w:rsidRPr="00866670">
              <w:rPr>
                <w:sz w:val="20"/>
                <w:szCs w:val="20"/>
              </w:rPr>
              <w:t>.059</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22</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.000</w:t>
            </w:r>
            <w:r w:rsidRPr="00866670">
              <w:rPr>
                <w:sz w:val="20"/>
                <w:szCs w:val="20"/>
                <w:vertAlign w:val="superscript"/>
              </w:rPr>
              <w:t>d</w:t>
            </w:r>
          </w:p>
        </w:tc>
        <w:tc>
          <w:tcPr>
            <w:tcW w:w="0" w:type="auto"/>
            <w:shd w:val="clear" w:color="auto" w:fill="auto"/>
          </w:tcPr>
          <w:p w:rsidR="006A7B41" w:rsidRPr="00866670" w:rsidRDefault="006A7B41" w:rsidP="00866670">
            <w:pPr>
              <w:jc w:val="center"/>
              <w:rPr>
                <w:sz w:val="20"/>
                <w:szCs w:val="20"/>
              </w:rPr>
            </w:pPr>
            <w:r w:rsidRPr="00866670">
              <w:rPr>
                <w:sz w:val="20"/>
                <w:szCs w:val="20"/>
              </w:rPr>
              <w:t>1.000</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23</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-.447</w:t>
            </w:r>
            <w:r w:rsidRPr="00866670">
              <w:rPr>
                <w:sz w:val="20"/>
                <w:szCs w:val="20"/>
                <w:vertAlign w:val="superscript"/>
              </w:rPr>
              <w:t>b</w:t>
            </w:r>
          </w:p>
        </w:tc>
        <w:tc>
          <w:tcPr>
            <w:tcW w:w="0" w:type="auto"/>
            <w:shd w:val="clear" w:color="auto" w:fill="auto"/>
          </w:tcPr>
          <w:p w:rsidR="006A7B41" w:rsidRPr="00866670" w:rsidRDefault="006A7B41" w:rsidP="00866670">
            <w:pPr>
              <w:jc w:val="center"/>
              <w:rPr>
                <w:sz w:val="20"/>
                <w:szCs w:val="20"/>
              </w:rPr>
            </w:pPr>
            <w:r w:rsidRPr="00866670">
              <w:rPr>
                <w:sz w:val="20"/>
                <w:szCs w:val="20"/>
              </w:rPr>
              <w:t>.655</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24</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-1.633</w:t>
            </w:r>
            <w:r w:rsidRPr="00866670">
              <w:rPr>
                <w:sz w:val="20"/>
                <w:szCs w:val="20"/>
                <w:vertAlign w:val="superscript"/>
              </w:rPr>
              <w:t>b</w:t>
            </w:r>
          </w:p>
        </w:tc>
        <w:tc>
          <w:tcPr>
            <w:tcW w:w="0" w:type="auto"/>
            <w:shd w:val="clear" w:color="auto" w:fill="auto"/>
          </w:tcPr>
          <w:p w:rsidR="006A7B41" w:rsidRPr="00866670" w:rsidRDefault="006A7B41" w:rsidP="00866670">
            <w:pPr>
              <w:jc w:val="center"/>
              <w:rPr>
                <w:sz w:val="20"/>
                <w:szCs w:val="20"/>
              </w:rPr>
            </w:pPr>
            <w:r w:rsidRPr="00866670">
              <w:rPr>
                <w:sz w:val="20"/>
                <w:szCs w:val="20"/>
              </w:rPr>
              <w:t>.102</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25</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-1.414</w:t>
            </w:r>
            <w:r w:rsidRPr="00866670">
              <w:rPr>
                <w:sz w:val="20"/>
                <w:szCs w:val="20"/>
                <w:vertAlign w:val="superscript"/>
              </w:rPr>
              <w:t>c</w:t>
            </w:r>
          </w:p>
        </w:tc>
        <w:tc>
          <w:tcPr>
            <w:tcW w:w="0" w:type="auto"/>
            <w:shd w:val="clear" w:color="auto" w:fill="auto"/>
          </w:tcPr>
          <w:p w:rsidR="006A7B41" w:rsidRPr="00866670" w:rsidRDefault="006A7B41" w:rsidP="00866670">
            <w:pPr>
              <w:jc w:val="center"/>
              <w:rPr>
                <w:sz w:val="20"/>
                <w:szCs w:val="20"/>
              </w:rPr>
            </w:pPr>
            <w:r w:rsidRPr="00866670">
              <w:rPr>
                <w:sz w:val="20"/>
                <w:szCs w:val="20"/>
              </w:rPr>
              <w:t>.157</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26</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-1.000</w:t>
            </w:r>
            <w:r w:rsidRPr="00866670">
              <w:rPr>
                <w:sz w:val="20"/>
                <w:szCs w:val="20"/>
                <w:vertAlign w:val="superscript"/>
              </w:rPr>
              <w:t>b</w:t>
            </w:r>
          </w:p>
        </w:tc>
        <w:tc>
          <w:tcPr>
            <w:tcW w:w="0" w:type="auto"/>
            <w:shd w:val="clear" w:color="auto" w:fill="auto"/>
          </w:tcPr>
          <w:p w:rsidR="006A7B41" w:rsidRPr="00866670" w:rsidRDefault="006A7B41" w:rsidP="00866670">
            <w:pPr>
              <w:jc w:val="center"/>
              <w:rPr>
                <w:sz w:val="20"/>
                <w:szCs w:val="20"/>
              </w:rPr>
            </w:pPr>
            <w:r w:rsidRPr="00866670">
              <w:rPr>
                <w:sz w:val="20"/>
                <w:szCs w:val="20"/>
              </w:rPr>
              <w:t>.317</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27</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-1.732</w:t>
            </w:r>
            <w:r w:rsidRPr="00866670">
              <w:rPr>
                <w:sz w:val="20"/>
                <w:szCs w:val="20"/>
                <w:vertAlign w:val="superscript"/>
              </w:rPr>
              <w:t>c</w:t>
            </w:r>
          </w:p>
        </w:tc>
        <w:tc>
          <w:tcPr>
            <w:tcW w:w="0" w:type="auto"/>
            <w:shd w:val="clear" w:color="auto" w:fill="auto"/>
          </w:tcPr>
          <w:p w:rsidR="006A7B41" w:rsidRPr="00866670" w:rsidRDefault="006A7B41" w:rsidP="00866670">
            <w:pPr>
              <w:jc w:val="center"/>
              <w:rPr>
                <w:sz w:val="20"/>
                <w:szCs w:val="20"/>
              </w:rPr>
            </w:pPr>
            <w:r w:rsidRPr="00866670">
              <w:rPr>
                <w:sz w:val="20"/>
                <w:szCs w:val="20"/>
              </w:rPr>
              <w:t>.083</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28</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-.577</w:t>
            </w:r>
            <w:r w:rsidRPr="00866670">
              <w:rPr>
                <w:sz w:val="20"/>
                <w:szCs w:val="20"/>
                <w:vertAlign w:val="superscript"/>
              </w:rPr>
              <w:t>c</w:t>
            </w:r>
          </w:p>
        </w:tc>
        <w:tc>
          <w:tcPr>
            <w:tcW w:w="0" w:type="auto"/>
            <w:shd w:val="clear" w:color="auto" w:fill="auto"/>
          </w:tcPr>
          <w:p w:rsidR="006A7B41" w:rsidRPr="00866670" w:rsidRDefault="006A7B41" w:rsidP="00866670">
            <w:pPr>
              <w:jc w:val="center"/>
              <w:rPr>
                <w:sz w:val="20"/>
                <w:szCs w:val="20"/>
              </w:rPr>
            </w:pPr>
            <w:r w:rsidRPr="00866670">
              <w:rPr>
                <w:sz w:val="20"/>
                <w:szCs w:val="20"/>
              </w:rPr>
              <w:t>.564</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29</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-.816</w:t>
            </w:r>
            <w:r w:rsidRPr="00866670">
              <w:rPr>
                <w:sz w:val="20"/>
                <w:szCs w:val="20"/>
                <w:vertAlign w:val="superscript"/>
              </w:rPr>
              <w:t>c</w:t>
            </w:r>
          </w:p>
        </w:tc>
        <w:tc>
          <w:tcPr>
            <w:tcW w:w="0" w:type="auto"/>
            <w:shd w:val="clear" w:color="auto" w:fill="auto"/>
          </w:tcPr>
          <w:p w:rsidR="006A7B41" w:rsidRPr="00866670" w:rsidRDefault="006A7B41" w:rsidP="00866670">
            <w:pPr>
              <w:jc w:val="center"/>
              <w:rPr>
                <w:sz w:val="20"/>
                <w:szCs w:val="20"/>
              </w:rPr>
            </w:pPr>
            <w:r w:rsidRPr="00866670">
              <w:rPr>
                <w:sz w:val="20"/>
                <w:szCs w:val="20"/>
              </w:rPr>
              <w:t>.414</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30</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-1.000</w:t>
            </w:r>
            <w:r w:rsidRPr="00866670">
              <w:rPr>
                <w:sz w:val="20"/>
                <w:szCs w:val="20"/>
                <w:vertAlign w:val="superscript"/>
              </w:rPr>
              <w:t>c</w:t>
            </w:r>
          </w:p>
        </w:tc>
        <w:tc>
          <w:tcPr>
            <w:tcW w:w="0" w:type="auto"/>
            <w:shd w:val="clear" w:color="auto" w:fill="auto"/>
          </w:tcPr>
          <w:p w:rsidR="006A7B41" w:rsidRPr="00866670" w:rsidRDefault="006A7B41" w:rsidP="00866670">
            <w:pPr>
              <w:jc w:val="center"/>
              <w:rPr>
                <w:sz w:val="20"/>
                <w:szCs w:val="20"/>
              </w:rPr>
            </w:pPr>
            <w:r w:rsidRPr="00866670">
              <w:rPr>
                <w:sz w:val="20"/>
                <w:szCs w:val="20"/>
              </w:rPr>
              <w:t>.317</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31</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-1.732</w:t>
            </w:r>
            <w:r w:rsidRPr="00866670">
              <w:rPr>
                <w:sz w:val="20"/>
                <w:szCs w:val="20"/>
                <w:vertAlign w:val="superscript"/>
              </w:rPr>
              <w:t>b</w:t>
            </w:r>
          </w:p>
        </w:tc>
        <w:tc>
          <w:tcPr>
            <w:tcW w:w="0" w:type="auto"/>
            <w:shd w:val="clear" w:color="auto" w:fill="auto"/>
          </w:tcPr>
          <w:p w:rsidR="006A7B41" w:rsidRPr="00866670" w:rsidRDefault="006A7B41" w:rsidP="00866670">
            <w:pPr>
              <w:jc w:val="center"/>
              <w:rPr>
                <w:sz w:val="20"/>
                <w:szCs w:val="20"/>
              </w:rPr>
            </w:pPr>
            <w:r w:rsidRPr="00866670">
              <w:rPr>
                <w:sz w:val="20"/>
                <w:szCs w:val="20"/>
              </w:rPr>
              <w:t>.083</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32</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-1.414</w:t>
            </w:r>
            <w:r w:rsidRPr="00866670">
              <w:rPr>
                <w:sz w:val="20"/>
                <w:szCs w:val="20"/>
                <w:vertAlign w:val="superscript"/>
              </w:rPr>
              <w:t>b</w:t>
            </w:r>
          </w:p>
        </w:tc>
        <w:tc>
          <w:tcPr>
            <w:tcW w:w="0" w:type="auto"/>
            <w:shd w:val="clear" w:color="auto" w:fill="auto"/>
          </w:tcPr>
          <w:p w:rsidR="006A7B41" w:rsidRPr="00866670" w:rsidRDefault="006A7B41" w:rsidP="00866670">
            <w:pPr>
              <w:jc w:val="center"/>
              <w:rPr>
                <w:sz w:val="20"/>
                <w:szCs w:val="20"/>
              </w:rPr>
            </w:pPr>
            <w:r w:rsidRPr="00866670">
              <w:rPr>
                <w:sz w:val="20"/>
                <w:szCs w:val="20"/>
              </w:rPr>
              <w:t>.157</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33</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.000</w:t>
            </w:r>
            <w:r w:rsidRPr="00866670">
              <w:rPr>
                <w:sz w:val="20"/>
                <w:szCs w:val="20"/>
                <w:vertAlign w:val="superscript"/>
              </w:rPr>
              <w:t>d</w:t>
            </w:r>
          </w:p>
        </w:tc>
        <w:tc>
          <w:tcPr>
            <w:tcW w:w="0" w:type="auto"/>
            <w:shd w:val="clear" w:color="auto" w:fill="auto"/>
          </w:tcPr>
          <w:p w:rsidR="006A7B41" w:rsidRPr="00866670" w:rsidRDefault="006A7B41" w:rsidP="00866670">
            <w:pPr>
              <w:jc w:val="center"/>
              <w:rPr>
                <w:sz w:val="20"/>
                <w:szCs w:val="20"/>
              </w:rPr>
            </w:pPr>
            <w:r w:rsidRPr="00866670">
              <w:rPr>
                <w:sz w:val="20"/>
                <w:szCs w:val="20"/>
              </w:rPr>
              <w:t>1.000</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34</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-1.732</w:t>
            </w:r>
            <w:r w:rsidRPr="00866670">
              <w:rPr>
                <w:sz w:val="20"/>
                <w:szCs w:val="20"/>
                <w:vertAlign w:val="superscript"/>
              </w:rPr>
              <w:t>b</w:t>
            </w:r>
          </w:p>
        </w:tc>
        <w:tc>
          <w:tcPr>
            <w:tcW w:w="0" w:type="auto"/>
            <w:shd w:val="clear" w:color="auto" w:fill="auto"/>
          </w:tcPr>
          <w:p w:rsidR="006A7B41" w:rsidRPr="00866670" w:rsidRDefault="006A7B41" w:rsidP="00866670">
            <w:pPr>
              <w:jc w:val="center"/>
              <w:rPr>
                <w:sz w:val="20"/>
                <w:szCs w:val="20"/>
              </w:rPr>
            </w:pPr>
            <w:r w:rsidRPr="00866670">
              <w:rPr>
                <w:sz w:val="20"/>
                <w:szCs w:val="20"/>
              </w:rPr>
              <w:t>.083</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35</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-1.414</w:t>
            </w:r>
            <w:r w:rsidRPr="00866670">
              <w:rPr>
                <w:sz w:val="20"/>
                <w:szCs w:val="20"/>
                <w:vertAlign w:val="superscript"/>
              </w:rPr>
              <w:t>c</w:t>
            </w:r>
          </w:p>
        </w:tc>
        <w:tc>
          <w:tcPr>
            <w:tcW w:w="0" w:type="auto"/>
            <w:shd w:val="clear" w:color="auto" w:fill="auto"/>
          </w:tcPr>
          <w:p w:rsidR="006A7B41" w:rsidRPr="00866670" w:rsidRDefault="006A7B41" w:rsidP="00866670">
            <w:pPr>
              <w:jc w:val="center"/>
              <w:rPr>
                <w:sz w:val="20"/>
                <w:szCs w:val="20"/>
              </w:rPr>
            </w:pPr>
            <w:r w:rsidRPr="00866670">
              <w:rPr>
                <w:sz w:val="20"/>
                <w:szCs w:val="20"/>
              </w:rPr>
              <w:t>.157</w:t>
            </w:r>
          </w:p>
        </w:tc>
      </w:tr>
      <w:tr w:rsidR="006A7B41" w:rsidRPr="00D361E8" w:rsidTr="00866670">
        <w:trPr>
          <w:jc w:val="center"/>
        </w:trPr>
        <w:tc>
          <w:tcPr>
            <w:tcW w:w="0" w:type="auto"/>
            <w:shd w:val="clear" w:color="auto" w:fill="D9D9D9"/>
          </w:tcPr>
          <w:p w:rsidR="006A7B41" w:rsidRPr="00866670" w:rsidRDefault="006A7B41" w:rsidP="006A7B41">
            <w:pPr>
              <w:rPr>
                <w:sz w:val="20"/>
                <w:szCs w:val="20"/>
              </w:rPr>
            </w:pPr>
            <w:r w:rsidRPr="00866670">
              <w:rPr>
                <w:sz w:val="20"/>
                <w:szCs w:val="20"/>
              </w:rPr>
              <w:t>36</w:t>
            </w:r>
          </w:p>
        </w:tc>
        <w:tc>
          <w:tcPr>
            <w:tcW w:w="0" w:type="auto"/>
            <w:shd w:val="clear" w:color="auto" w:fill="auto"/>
          </w:tcPr>
          <w:p w:rsidR="006A7B41" w:rsidRPr="00866670" w:rsidRDefault="006A7B41" w:rsidP="00866670">
            <w:pPr>
              <w:jc w:val="center"/>
              <w:rPr>
                <w:sz w:val="20"/>
                <w:szCs w:val="20"/>
                <w:vertAlign w:val="superscript"/>
              </w:rPr>
            </w:pPr>
            <w:r w:rsidRPr="00866670">
              <w:rPr>
                <w:sz w:val="20"/>
                <w:szCs w:val="20"/>
              </w:rPr>
              <w:t>-1.000</w:t>
            </w:r>
            <w:r w:rsidRPr="00866670">
              <w:rPr>
                <w:sz w:val="20"/>
                <w:szCs w:val="20"/>
                <w:vertAlign w:val="superscript"/>
              </w:rPr>
              <w:t>b</w:t>
            </w:r>
          </w:p>
        </w:tc>
        <w:tc>
          <w:tcPr>
            <w:tcW w:w="0" w:type="auto"/>
            <w:shd w:val="clear" w:color="auto" w:fill="auto"/>
          </w:tcPr>
          <w:p w:rsidR="006A7B41" w:rsidRPr="00866670" w:rsidRDefault="006A7B41" w:rsidP="00866670">
            <w:pPr>
              <w:jc w:val="center"/>
              <w:rPr>
                <w:sz w:val="20"/>
                <w:szCs w:val="20"/>
              </w:rPr>
            </w:pPr>
            <w:r w:rsidRPr="00866670">
              <w:rPr>
                <w:sz w:val="20"/>
                <w:szCs w:val="20"/>
              </w:rPr>
              <w:t>.317</w:t>
            </w:r>
          </w:p>
        </w:tc>
      </w:tr>
    </w:tbl>
    <w:p w:rsidR="006A7B41" w:rsidRPr="008E5CC5" w:rsidRDefault="006A7B41" w:rsidP="006A7B41">
      <w:pPr>
        <w:pStyle w:val="ListParagraph"/>
        <w:numPr>
          <w:ilvl w:val="0"/>
          <w:numId w:val="48"/>
        </w:numPr>
        <w:rPr>
          <w:rFonts w:ascii="Times New Roman" w:hAnsi="Times New Roman"/>
          <w:sz w:val="20"/>
          <w:szCs w:val="20"/>
        </w:rPr>
      </w:pPr>
      <w:r w:rsidRPr="008E5CC5">
        <w:rPr>
          <w:rFonts w:ascii="Times New Roman" w:hAnsi="Times New Roman"/>
          <w:sz w:val="20"/>
          <w:szCs w:val="20"/>
        </w:rPr>
        <w:t>Wilcoxon Signed Ranks Test</w:t>
      </w:r>
    </w:p>
    <w:p w:rsidR="006A7B41" w:rsidRPr="008E5CC5" w:rsidRDefault="006A7B41" w:rsidP="006A7B41">
      <w:pPr>
        <w:pStyle w:val="ListParagraph"/>
        <w:numPr>
          <w:ilvl w:val="0"/>
          <w:numId w:val="48"/>
        </w:numPr>
        <w:rPr>
          <w:rFonts w:ascii="Times New Roman" w:hAnsi="Times New Roman"/>
          <w:sz w:val="20"/>
          <w:szCs w:val="20"/>
        </w:rPr>
      </w:pPr>
      <w:r w:rsidRPr="008E5CC5">
        <w:rPr>
          <w:rFonts w:ascii="Times New Roman" w:hAnsi="Times New Roman"/>
          <w:sz w:val="20"/>
          <w:szCs w:val="20"/>
        </w:rPr>
        <w:t>Based on negative ranks</w:t>
      </w:r>
    </w:p>
    <w:p w:rsidR="006A7B41" w:rsidRPr="008E5CC5" w:rsidRDefault="006A7B41" w:rsidP="006A7B41">
      <w:pPr>
        <w:pStyle w:val="ListParagraph"/>
        <w:numPr>
          <w:ilvl w:val="0"/>
          <w:numId w:val="48"/>
        </w:numPr>
        <w:rPr>
          <w:rFonts w:ascii="Times New Roman" w:hAnsi="Times New Roman"/>
          <w:sz w:val="20"/>
          <w:szCs w:val="20"/>
        </w:rPr>
      </w:pPr>
      <w:r w:rsidRPr="008E5CC5">
        <w:rPr>
          <w:rFonts w:ascii="Times New Roman" w:hAnsi="Times New Roman"/>
          <w:sz w:val="20"/>
          <w:szCs w:val="20"/>
        </w:rPr>
        <w:t>Based on positive rank</w:t>
      </w:r>
      <w:r>
        <w:rPr>
          <w:rFonts w:ascii="Times New Roman" w:hAnsi="Times New Roman"/>
          <w:sz w:val="20"/>
          <w:szCs w:val="20"/>
        </w:rPr>
        <w:t>s</w:t>
      </w:r>
    </w:p>
    <w:p w:rsidR="006A7B41" w:rsidRPr="008E5CC5" w:rsidRDefault="006A7B41" w:rsidP="006A7B41">
      <w:pPr>
        <w:pStyle w:val="ListParagraph"/>
        <w:numPr>
          <w:ilvl w:val="0"/>
          <w:numId w:val="48"/>
        </w:numPr>
        <w:rPr>
          <w:rFonts w:ascii="Times New Roman" w:hAnsi="Times New Roman"/>
          <w:sz w:val="20"/>
          <w:szCs w:val="20"/>
        </w:rPr>
      </w:pPr>
      <w:r w:rsidRPr="008E5CC5">
        <w:rPr>
          <w:rFonts w:ascii="Times New Roman" w:hAnsi="Times New Roman"/>
          <w:sz w:val="20"/>
          <w:szCs w:val="20"/>
        </w:rPr>
        <w:t>The sum of negative ranks equals the sum of positive ranks</w:t>
      </w:r>
    </w:p>
    <w:p w:rsidR="006A7B41" w:rsidRDefault="006A7B41" w:rsidP="006A7B41">
      <w:pPr>
        <w:pStyle w:val="APALevel0"/>
      </w:pPr>
      <w:r>
        <w:br w:type="page"/>
      </w:r>
      <w:bookmarkStart w:id="71" w:name="_Toc514059927"/>
      <w:r>
        <w:lastRenderedPageBreak/>
        <w:t xml:space="preserve">Appendix M: Descriptive Statistics for Mental Health Diagnosis on </w:t>
      </w:r>
      <w:r w:rsidRPr="00927F6D">
        <w:rPr>
          <w:i/>
        </w:rPr>
        <w:t>Health Literacy Patient Survey</w:t>
      </w:r>
      <w:r>
        <w:t xml:space="preserve"> Data</w:t>
      </w:r>
      <w:bookmarkEnd w:id="71"/>
    </w:p>
    <w:p w:rsidR="006A7B41" w:rsidRDefault="006A7B41" w:rsidP="004009AB">
      <w:pPr>
        <w:pStyle w:val="Caption"/>
      </w:pPr>
      <w:bookmarkStart w:id="72" w:name="_Toc514059968"/>
      <w:r>
        <w:t>Table 8</w:t>
      </w:r>
      <w:bookmarkEnd w:id="72"/>
    </w:p>
    <w:p w:rsidR="006A7B41" w:rsidRPr="004009AB" w:rsidRDefault="006A7B41" w:rsidP="004009AB">
      <w:pPr>
        <w:pStyle w:val="Caption"/>
        <w:rPr>
          <w:i/>
        </w:rPr>
      </w:pPr>
      <w:bookmarkStart w:id="73" w:name="_Toc514059969"/>
      <w:r w:rsidRPr="004009AB">
        <w:rPr>
          <w:i/>
        </w:rPr>
        <w:t>Descriptive Statistics for Mental Health Diagnosis on Health Literacy Patient Survey Data</w:t>
      </w:r>
      <w:bookmarkEnd w:id="73"/>
    </w:p>
    <w:tbl>
      <w:tblPr>
        <w:tblW w:w="817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9"/>
        <w:gridCol w:w="2430"/>
        <w:gridCol w:w="1154"/>
        <w:gridCol w:w="1017"/>
        <w:gridCol w:w="1382"/>
        <w:gridCol w:w="1458"/>
      </w:tblGrid>
      <w:tr w:rsidR="006A7B41" w:rsidRPr="008E5CC5" w:rsidTr="006A7B41">
        <w:trPr>
          <w:cantSplit/>
          <w:trHeight w:val="332"/>
          <w:jc w:val="center"/>
        </w:trPr>
        <w:tc>
          <w:tcPr>
            <w:tcW w:w="8169" w:type="dxa"/>
            <w:gridSpan w:val="6"/>
            <w:tcBorders>
              <w:top w:val="nil"/>
              <w:left w:val="nil"/>
              <w:bottom w:val="nil"/>
              <w:right w:val="nil"/>
            </w:tcBorders>
            <w:shd w:val="clear" w:color="auto" w:fill="FFFFFF"/>
            <w:vAlign w:val="center"/>
          </w:tcPr>
          <w:p w:rsidR="006A7B41" w:rsidRPr="008E5CC5" w:rsidRDefault="006A7B41" w:rsidP="006A7B41">
            <w:pPr>
              <w:spacing w:line="320" w:lineRule="atLeast"/>
              <w:ind w:left="60" w:right="60"/>
              <w:jc w:val="center"/>
              <w:rPr>
                <w:sz w:val="20"/>
                <w:szCs w:val="20"/>
              </w:rPr>
            </w:pPr>
            <w:r w:rsidRPr="008E5CC5">
              <w:rPr>
                <w:b/>
                <w:bCs/>
                <w:sz w:val="20"/>
                <w:szCs w:val="20"/>
              </w:rPr>
              <w:t>MH Diagnosis</w:t>
            </w:r>
          </w:p>
        </w:tc>
      </w:tr>
      <w:tr w:rsidR="006A7B41" w:rsidRPr="008E5CC5" w:rsidTr="006A7B41">
        <w:trPr>
          <w:cantSplit/>
          <w:trHeight w:val="633"/>
          <w:jc w:val="center"/>
        </w:trPr>
        <w:tc>
          <w:tcPr>
            <w:tcW w:w="3159" w:type="dxa"/>
            <w:gridSpan w:val="2"/>
            <w:tcBorders>
              <w:top w:val="nil"/>
              <w:left w:val="nil"/>
              <w:bottom w:val="single" w:sz="8" w:space="0" w:color="152935"/>
              <w:right w:val="nil"/>
            </w:tcBorders>
            <w:shd w:val="clear" w:color="auto" w:fill="FFFFFF"/>
            <w:vAlign w:val="bottom"/>
          </w:tcPr>
          <w:p w:rsidR="006A7B41" w:rsidRPr="008E5CC5" w:rsidRDefault="006A7B41" w:rsidP="006A7B41">
            <w:pPr>
              <w:rPr>
                <w:sz w:val="20"/>
                <w:szCs w:val="20"/>
              </w:rPr>
            </w:pPr>
          </w:p>
        </w:tc>
        <w:tc>
          <w:tcPr>
            <w:tcW w:w="1154" w:type="dxa"/>
            <w:tcBorders>
              <w:top w:val="nil"/>
              <w:left w:val="nil"/>
              <w:bottom w:val="single" w:sz="8" w:space="0" w:color="152935"/>
              <w:right w:val="single" w:sz="8" w:space="0" w:color="E0E0E0"/>
            </w:tcBorders>
            <w:shd w:val="clear" w:color="auto" w:fill="FFFFFF"/>
            <w:vAlign w:val="bottom"/>
          </w:tcPr>
          <w:p w:rsidR="006A7B41" w:rsidRPr="008E5CC5" w:rsidRDefault="006A7B41" w:rsidP="006A7B41">
            <w:pPr>
              <w:spacing w:line="320" w:lineRule="atLeast"/>
              <w:ind w:left="60" w:right="60"/>
              <w:jc w:val="center"/>
              <w:rPr>
                <w:sz w:val="20"/>
                <w:szCs w:val="20"/>
              </w:rPr>
            </w:pPr>
            <w:r w:rsidRPr="008E5CC5">
              <w:rPr>
                <w:sz w:val="20"/>
                <w:szCs w:val="20"/>
              </w:rPr>
              <w:t>Frequency</w:t>
            </w:r>
          </w:p>
        </w:tc>
        <w:tc>
          <w:tcPr>
            <w:tcW w:w="1017" w:type="dxa"/>
            <w:tcBorders>
              <w:top w:val="nil"/>
              <w:left w:val="single" w:sz="8" w:space="0" w:color="E0E0E0"/>
              <w:bottom w:val="single" w:sz="8" w:space="0" w:color="152935"/>
              <w:right w:val="single" w:sz="8" w:space="0" w:color="E0E0E0"/>
            </w:tcBorders>
            <w:shd w:val="clear" w:color="auto" w:fill="FFFFFF"/>
            <w:vAlign w:val="bottom"/>
          </w:tcPr>
          <w:p w:rsidR="006A7B41" w:rsidRPr="008E5CC5" w:rsidRDefault="006A7B41" w:rsidP="006A7B41">
            <w:pPr>
              <w:spacing w:line="320" w:lineRule="atLeast"/>
              <w:ind w:left="60" w:right="60"/>
              <w:jc w:val="center"/>
              <w:rPr>
                <w:sz w:val="20"/>
                <w:szCs w:val="20"/>
              </w:rPr>
            </w:pPr>
            <w:r w:rsidRPr="008E5CC5">
              <w:rPr>
                <w:sz w:val="20"/>
                <w:szCs w:val="20"/>
              </w:rPr>
              <w:t>Percent</w:t>
            </w:r>
          </w:p>
        </w:tc>
        <w:tc>
          <w:tcPr>
            <w:tcW w:w="1382" w:type="dxa"/>
            <w:tcBorders>
              <w:top w:val="nil"/>
              <w:left w:val="single" w:sz="8" w:space="0" w:color="E0E0E0"/>
              <w:bottom w:val="single" w:sz="8" w:space="0" w:color="152935"/>
              <w:right w:val="single" w:sz="8" w:space="0" w:color="E0E0E0"/>
            </w:tcBorders>
            <w:shd w:val="clear" w:color="auto" w:fill="FFFFFF"/>
            <w:vAlign w:val="bottom"/>
          </w:tcPr>
          <w:p w:rsidR="006A7B41" w:rsidRPr="008E5CC5" w:rsidRDefault="006A7B41" w:rsidP="006A7B41">
            <w:pPr>
              <w:spacing w:line="320" w:lineRule="atLeast"/>
              <w:ind w:left="60" w:right="60"/>
              <w:jc w:val="center"/>
              <w:rPr>
                <w:sz w:val="20"/>
                <w:szCs w:val="20"/>
              </w:rPr>
            </w:pPr>
            <w:r w:rsidRPr="008E5CC5">
              <w:rPr>
                <w:sz w:val="20"/>
                <w:szCs w:val="20"/>
              </w:rPr>
              <w:t>Valid Percent</w:t>
            </w:r>
          </w:p>
        </w:tc>
        <w:tc>
          <w:tcPr>
            <w:tcW w:w="1458" w:type="dxa"/>
            <w:tcBorders>
              <w:top w:val="nil"/>
              <w:left w:val="single" w:sz="8" w:space="0" w:color="E0E0E0"/>
              <w:bottom w:val="single" w:sz="8" w:space="0" w:color="152935"/>
              <w:right w:val="nil"/>
            </w:tcBorders>
            <w:shd w:val="clear" w:color="auto" w:fill="FFFFFF"/>
            <w:vAlign w:val="bottom"/>
          </w:tcPr>
          <w:p w:rsidR="006A7B41" w:rsidRPr="008E5CC5" w:rsidRDefault="006A7B41" w:rsidP="006A7B41">
            <w:pPr>
              <w:spacing w:line="320" w:lineRule="atLeast"/>
              <w:ind w:left="60" w:right="60"/>
              <w:jc w:val="center"/>
              <w:rPr>
                <w:sz w:val="20"/>
                <w:szCs w:val="20"/>
              </w:rPr>
            </w:pPr>
            <w:r w:rsidRPr="008E5CC5">
              <w:rPr>
                <w:sz w:val="20"/>
                <w:szCs w:val="20"/>
              </w:rPr>
              <w:t>Cumulative Percent</w:t>
            </w:r>
          </w:p>
        </w:tc>
      </w:tr>
      <w:tr w:rsidR="006A7B41" w:rsidRPr="008E5CC5" w:rsidTr="006A7B41">
        <w:trPr>
          <w:cantSplit/>
          <w:trHeight w:val="332"/>
          <w:jc w:val="center"/>
        </w:trPr>
        <w:tc>
          <w:tcPr>
            <w:tcW w:w="729" w:type="dxa"/>
            <w:vMerge w:val="restart"/>
            <w:tcBorders>
              <w:top w:val="single" w:sz="8" w:space="0" w:color="152935"/>
              <w:left w:val="nil"/>
              <w:bottom w:val="single" w:sz="8" w:space="0" w:color="152935"/>
              <w:right w:val="nil"/>
            </w:tcBorders>
            <w:shd w:val="clear" w:color="auto" w:fill="E0E0E0"/>
          </w:tcPr>
          <w:p w:rsidR="006A7B41" w:rsidRPr="008E5CC5" w:rsidRDefault="006A7B41" w:rsidP="006A7B41">
            <w:pPr>
              <w:spacing w:line="320" w:lineRule="atLeast"/>
              <w:ind w:left="60" w:right="60"/>
              <w:rPr>
                <w:sz w:val="20"/>
                <w:szCs w:val="20"/>
              </w:rPr>
            </w:pPr>
            <w:r w:rsidRPr="008E5CC5">
              <w:rPr>
                <w:sz w:val="20"/>
                <w:szCs w:val="20"/>
              </w:rPr>
              <w:t>Valid</w:t>
            </w:r>
          </w:p>
        </w:tc>
        <w:tc>
          <w:tcPr>
            <w:tcW w:w="2430" w:type="dxa"/>
            <w:tcBorders>
              <w:top w:val="single" w:sz="8" w:space="0" w:color="152935"/>
              <w:left w:val="nil"/>
              <w:bottom w:val="single" w:sz="8" w:space="0" w:color="AEAEAE"/>
              <w:right w:val="nil"/>
            </w:tcBorders>
            <w:shd w:val="clear" w:color="auto" w:fill="E0E0E0"/>
          </w:tcPr>
          <w:p w:rsidR="006A7B41" w:rsidRPr="008E5CC5" w:rsidRDefault="006A7B41" w:rsidP="006A7B41">
            <w:pPr>
              <w:spacing w:line="320" w:lineRule="atLeast"/>
              <w:ind w:left="60" w:right="60"/>
              <w:rPr>
                <w:sz w:val="20"/>
                <w:szCs w:val="20"/>
              </w:rPr>
            </w:pPr>
            <w:r w:rsidRPr="008E5CC5">
              <w:rPr>
                <w:sz w:val="20"/>
                <w:szCs w:val="20"/>
              </w:rPr>
              <w:t>Schizophrenia</w:t>
            </w:r>
          </w:p>
        </w:tc>
        <w:tc>
          <w:tcPr>
            <w:tcW w:w="1154" w:type="dxa"/>
            <w:tcBorders>
              <w:top w:val="single" w:sz="8" w:space="0" w:color="152935"/>
              <w:left w:val="nil"/>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3</w:t>
            </w:r>
          </w:p>
        </w:tc>
        <w:tc>
          <w:tcPr>
            <w:tcW w:w="1017" w:type="dxa"/>
            <w:tcBorders>
              <w:top w:val="single" w:sz="8" w:space="0" w:color="152935"/>
              <w:left w:val="single" w:sz="8" w:space="0" w:color="E0E0E0"/>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30.0</w:t>
            </w:r>
          </w:p>
        </w:tc>
        <w:tc>
          <w:tcPr>
            <w:tcW w:w="1382" w:type="dxa"/>
            <w:tcBorders>
              <w:top w:val="single" w:sz="8" w:space="0" w:color="152935"/>
              <w:left w:val="single" w:sz="8" w:space="0" w:color="E0E0E0"/>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30.0</w:t>
            </w:r>
          </w:p>
        </w:tc>
        <w:tc>
          <w:tcPr>
            <w:tcW w:w="1458" w:type="dxa"/>
            <w:tcBorders>
              <w:top w:val="single" w:sz="8" w:space="0" w:color="152935"/>
              <w:left w:val="single" w:sz="8" w:space="0" w:color="E0E0E0"/>
              <w:bottom w:val="single" w:sz="8" w:space="0" w:color="AEAEAE"/>
              <w:right w:val="nil"/>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30.0</w:t>
            </w:r>
          </w:p>
        </w:tc>
      </w:tr>
      <w:tr w:rsidR="006A7B41" w:rsidRPr="008E5CC5" w:rsidTr="006A7B41">
        <w:trPr>
          <w:cantSplit/>
          <w:trHeight w:val="145"/>
          <w:jc w:val="center"/>
        </w:trPr>
        <w:tc>
          <w:tcPr>
            <w:tcW w:w="729" w:type="dxa"/>
            <w:vMerge/>
            <w:tcBorders>
              <w:top w:val="single" w:sz="8" w:space="0" w:color="152935"/>
              <w:left w:val="nil"/>
              <w:bottom w:val="single" w:sz="8" w:space="0" w:color="152935"/>
              <w:right w:val="nil"/>
            </w:tcBorders>
            <w:shd w:val="clear" w:color="auto" w:fill="E0E0E0"/>
          </w:tcPr>
          <w:p w:rsidR="006A7B41" w:rsidRPr="008E5CC5" w:rsidRDefault="006A7B41" w:rsidP="006A7B41">
            <w:pPr>
              <w:rPr>
                <w:sz w:val="20"/>
                <w:szCs w:val="20"/>
              </w:rPr>
            </w:pPr>
          </w:p>
        </w:tc>
        <w:tc>
          <w:tcPr>
            <w:tcW w:w="2430" w:type="dxa"/>
            <w:tcBorders>
              <w:top w:val="single" w:sz="8" w:space="0" w:color="AEAEAE"/>
              <w:left w:val="nil"/>
              <w:bottom w:val="single" w:sz="8" w:space="0" w:color="AEAEAE"/>
              <w:right w:val="nil"/>
            </w:tcBorders>
            <w:shd w:val="clear" w:color="auto" w:fill="E0E0E0"/>
          </w:tcPr>
          <w:p w:rsidR="006A7B41" w:rsidRPr="008E5CC5" w:rsidRDefault="006A7B41" w:rsidP="006A7B41">
            <w:pPr>
              <w:spacing w:line="320" w:lineRule="atLeast"/>
              <w:ind w:left="60" w:right="60"/>
              <w:rPr>
                <w:sz w:val="20"/>
                <w:szCs w:val="20"/>
              </w:rPr>
            </w:pPr>
            <w:r w:rsidRPr="008E5CC5">
              <w:rPr>
                <w:sz w:val="20"/>
                <w:szCs w:val="20"/>
              </w:rPr>
              <w:t>Schizoaffective Disorder</w:t>
            </w:r>
          </w:p>
        </w:tc>
        <w:tc>
          <w:tcPr>
            <w:tcW w:w="1154" w:type="dxa"/>
            <w:tcBorders>
              <w:top w:val="single" w:sz="8" w:space="0" w:color="AEAEAE"/>
              <w:left w:val="nil"/>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4</w:t>
            </w:r>
          </w:p>
        </w:tc>
        <w:tc>
          <w:tcPr>
            <w:tcW w:w="1017" w:type="dxa"/>
            <w:tcBorders>
              <w:top w:val="single" w:sz="8" w:space="0" w:color="AEAEAE"/>
              <w:left w:val="single" w:sz="8" w:space="0" w:color="E0E0E0"/>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40.0</w:t>
            </w:r>
          </w:p>
        </w:tc>
        <w:tc>
          <w:tcPr>
            <w:tcW w:w="1382" w:type="dxa"/>
            <w:tcBorders>
              <w:top w:val="single" w:sz="8" w:space="0" w:color="AEAEAE"/>
              <w:left w:val="single" w:sz="8" w:space="0" w:color="E0E0E0"/>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40.0</w:t>
            </w:r>
          </w:p>
        </w:tc>
        <w:tc>
          <w:tcPr>
            <w:tcW w:w="1458" w:type="dxa"/>
            <w:tcBorders>
              <w:top w:val="single" w:sz="8" w:space="0" w:color="AEAEAE"/>
              <w:left w:val="single" w:sz="8" w:space="0" w:color="E0E0E0"/>
              <w:bottom w:val="single" w:sz="8" w:space="0" w:color="AEAEAE"/>
              <w:right w:val="nil"/>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70.0</w:t>
            </w:r>
          </w:p>
        </w:tc>
      </w:tr>
      <w:tr w:rsidR="006A7B41" w:rsidRPr="008E5CC5" w:rsidTr="006A7B41">
        <w:trPr>
          <w:cantSplit/>
          <w:trHeight w:val="145"/>
          <w:jc w:val="center"/>
        </w:trPr>
        <w:tc>
          <w:tcPr>
            <w:tcW w:w="729" w:type="dxa"/>
            <w:vMerge/>
            <w:tcBorders>
              <w:top w:val="single" w:sz="8" w:space="0" w:color="152935"/>
              <w:left w:val="nil"/>
              <w:bottom w:val="single" w:sz="8" w:space="0" w:color="152935"/>
              <w:right w:val="nil"/>
            </w:tcBorders>
            <w:shd w:val="clear" w:color="auto" w:fill="E0E0E0"/>
          </w:tcPr>
          <w:p w:rsidR="006A7B41" w:rsidRPr="008E5CC5" w:rsidRDefault="006A7B41" w:rsidP="006A7B41">
            <w:pPr>
              <w:rPr>
                <w:sz w:val="20"/>
                <w:szCs w:val="20"/>
              </w:rPr>
            </w:pPr>
          </w:p>
        </w:tc>
        <w:tc>
          <w:tcPr>
            <w:tcW w:w="2430" w:type="dxa"/>
            <w:tcBorders>
              <w:top w:val="single" w:sz="8" w:space="0" w:color="AEAEAE"/>
              <w:left w:val="nil"/>
              <w:bottom w:val="single" w:sz="8" w:space="0" w:color="AEAEAE"/>
              <w:right w:val="nil"/>
            </w:tcBorders>
            <w:shd w:val="clear" w:color="auto" w:fill="E0E0E0"/>
          </w:tcPr>
          <w:p w:rsidR="006A7B41" w:rsidRPr="008E5CC5" w:rsidRDefault="006A7B41" w:rsidP="006A7B41">
            <w:pPr>
              <w:spacing w:line="320" w:lineRule="atLeast"/>
              <w:ind w:left="60" w:right="60"/>
              <w:rPr>
                <w:sz w:val="20"/>
                <w:szCs w:val="20"/>
              </w:rPr>
            </w:pPr>
            <w:r w:rsidRPr="008E5CC5">
              <w:rPr>
                <w:sz w:val="20"/>
                <w:szCs w:val="20"/>
              </w:rPr>
              <w:t>Bipolar Disorder</w:t>
            </w:r>
          </w:p>
        </w:tc>
        <w:tc>
          <w:tcPr>
            <w:tcW w:w="1154" w:type="dxa"/>
            <w:tcBorders>
              <w:top w:val="single" w:sz="8" w:space="0" w:color="AEAEAE"/>
              <w:left w:val="nil"/>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w:t>
            </w:r>
          </w:p>
        </w:tc>
        <w:tc>
          <w:tcPr>
            <w:tcW w:w="1017" w:type="dxa"/>
            <w:tcBorders>
              <w:top w:val="single" w:sz="8" w:space="0" w:color="AEAEAE"/>
              <w:left w:val="single" w:sz="8" w:space="0" w:color="E0E0E0"/>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10.0</w:t>
            </w:r>
          </w:p>
        </w:tc>
        <w:tc>
          <w:tcPr>
            <w:tcW w:w="1382" w:type="dxa"/>
            <w:tcBorders>
              <w:top w:val="single" w:sz="8" w:space="0" w:color="AEAEAE"/>
              <w:left w:val="single" w:sz="8" w:space="0" w:color="E0E0E0"/>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10.0</w:t>
            </w:r>
          </w:p>
        </w:tc>
        <w:tc>
          <w:tcPr>
            <w:tcW w:w="1458" w:type="dxa"/>
            <w:tcBorders>
              <w:top w:val="single" w:sz="8" w:space="0" w:color="AEAEAE"/>
              <w:left w:val="single" w:sz="8" w:space="0" w:color="E0E0E0"/>
              <w:bottom w:val="single" w:sz="8" w:space="0" w:color="AEAEAE"/>
              <w:right w:val="nil"/>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80.0</w:t>
            </w:r>
          </w:p>
        </w:tc>
      </w:tr>
      <w:tr w:rsidR="006A7B41" w:rsidRPr="008E5CC5" w:rsidTr="006A7B41">
        <w:trPr>
          <w:cantSplit/>
          <w:trHeight w:val="145"/>
          <w:jc w:val="center"/>
        </w:trPr>
        <w:tc>
          <w:tcPr>
            <w:tcW w:w="729" w:type="dxa"/>
            <w:vMerge/>
            <w:tcBorders>
              <w:top w:val="single" w:sz="8" w:space="0" w:color="152935"/>
              <w:left w:val="nil"/>
              <w:bottom w:val="single" w:sz="8" w:space="0" w:color="152935"/>
              <w:right w:val="nil"/>
            </w:tcBorders>
            <w:shd w:val="clear" w:color="auto" w:fill="E0E0E0"/>
          </w:tcPr>
          <w:p w:rsidR="006A7B41" w:rsidRPr="008E5CC5" w:rsidRDefault="006A7B41" w:rsidP="006A7B41">
            <w:pPr>
              <w:rPr>
                <w:sz w:val="20"/>
                <w:szCs w:val="20"/>
              </w:rPr>
            </w:pPr>
          </w:p>
        </w:tc>
        <w:tc>
          <w:tcPr>
            <w:tcW w:w="2430" w:type="dxa"/>
            <w:tcBorders>
              <w:top w:val="single" w:sz="8" w:space="0" w:color="AEAEAE"/>
              <w:left w:val="nil"/>
              <w:bottom w:val="single" w:sz="8" w:space="0" w:color="AEAEAE"/>
              <w:right w:val="nil"/>
            </w:tcBorders>
            <w:shd w:val="clear" w:color="auto" w:fill="E0E0E0"/>
          </w:tcPr>
          <w:p w:rsidR="006A7B41" w:rsidRPr="008E5CC5" w:rsidRDefault="006A7B41" w:rsidP="006A7B41">
            <w:pPr>
              <w:spacing w:line="320" w:lineRule="atLeast"/>
              <w:ind w:left="60" w:right="60"/>
              <w:rPr>
                <w:sz w:val="20"/>
                <w:szCs w:val="20"/>
              </w:rPr>
            </w:pPr>
            <w:r w:rsidRPr="008E5CC5">
              <w:rPr>
                <w:sz w:val="20"/>
                <w:szCs w:val="20"/>
              </w:rPr>
              <w:t>Major Depressive Disorder</w:t>
            </w:r>
          </w:p>
        </w:tc>
        <w:tc>
          <w:tcPr>
            <w:tcW w:w="1154" w:type="dxa"/>
            <w:tcBorders>
              <w:top w:val="single" w:sz="8" w:space="0" w:color="AEAEAE"/>
              <w:left w:val="nil"/>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w:t>
            </w:r>
          </w:p>
        </w:tc>
        <w:tc>
          <w:tcPr>
            <w:tcW w:w="1017" w:type="dxa"/>
            <w:tcBorders>
              <w:top w:val="single" w:sz="8" w:space="0" w:color="AEAEAE"/>
              <w:left w:val="single" w:sz="8" w:space="0" w:color="E0E0E0"/>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10.0</w:t>
            </w:r>
          </w:p>
        </w:tc>
        <w:tc>
          <w:tcPr>
            <w:tcW w:w="1382" w:type="dxa"/>
            <w:tcBorders>
              <w:top w:val="single" w:sz="8" w:space="0" w:color="AEAEAE"/>
              <w:left w:val="single" w:sz="8" w:space="0" w:color="E0E0E0"/>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10.0</w:t>
            </w:r>
          </w:p>
        </w:tc>
        <w:tc>
          <w:tcPr>
            <w:tcW w:w="1458" w:type="dxa"/>
            <w:tcBorders>
              <w:top w:val="single" w:sz="8" w:space="0" w:color="AEAEAE"/>
              <w:left w:val="single" w:sz="8" w:space="0" w:color="E0E0E0"/>
              <w:bottom w:val="single" w:sz="8" w:space="0" w:color="AEAEAE"/>
              <w:right w:val="nil"/>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90.0</w:t>
            </w:r>
          </w:p>
        </w:tc>
      </w:tr>
      <w:tr w:rsidR="006A7B41" w:rsidRPr="008E5CC5" w:rsidTr="006A7B41">
        <w:trPr>
          <w:cantSplit/>
          <w:trHeight w:val="145"/>
          <w:jc w:val="center"/>
        </w:trPr>
        <w:tc>
          <w:tcPr>
            <w:tcW w:w="729" w:type="dxa"/>
            <w:vMerge/>
            <w:tcBorders>
              <w:top w:val="single" w:sz="8" w:space="0" w:color="152935"/>
              <w:left w:val="nil"/>
              <w:bottom w:val="single" w:sz="8" w:space="0" w:color="152935"/>
              <w:right w:val="nil"/>
            </w:tcBorders>
            <w:shd w:val="clear" w:color="auto" w:fill="E0E0E0"/>
          </w:tcPr>
          <w:p w:rsidR="006A7B41" w:rsidRPr="008E5CC5" w:rsidRDefault="006A7B41" w:rsidP="006A7B41">
            <w:pPr>
              <w:rPr>
                <w:sz w:val="20"/>
                <w:szCs w:val="20"/>
              </w:rPr>
            </w:pPr>
          </w:p>
        </w:tc>
        <w:tc>
          <w:tcPr>
            <w:tcW w:w="2430" w:type="dxa"/>
            <w:tcBorders>
              <w:top w:val="single" w:sz="8" w:space="0" w:color="AEAEAE"/>
              <w:left w:val="nil"/>
              <w:bottom w:val="single" w:sz="8" w:space="0" w:color="AEAEAE"/>
              <w:right w:val="nil"/>
            </w:tcBorders>
            <w:shd w:val="clear" w:color="auto" w:fill="E0E0E0"/>
          </w:tcPr>
          <w:p w:rsidR="006A7B41" w:rsidRPr="008E5CC5" w:rsidRDefault="006A7B41" w:rsidP="006A7B41">
            <w:pPr>
              <w:spacing w:line="320" w:lineRule="atLeast"/>
              <w:ind w:left="60" w:right="60"/>
              <w:rPr>
                <w:sz w:val="20"/>
                <w:szCs w:val="20"/>
              </w:rPr>
            </w:pPr>
            <w:r w:rsidRPr="008E5CC5">
              <w:rPr>
                <w:sz w:val="20"/>
                <w:szCs w:val="20"/>
              </w:rPr>
              <w:t>Other</w:t>
            </w:r>
          </w:p>
        </w:tc>
        <w:tc>
          <w:tcPr>
            <w:tcW w:w="1154" w:type="dxa"/>
            <w:tcBorders>
              <w:top w:val="single" w:sz="8" w:space="0" w:color="AEAEAE"/>
              <w:left w:val="nil"/>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w:t>
            </w:r>
          </w:p>
        </w:tc>
        <w:tc>
          <w:tcPr>
            <w:tcW w:w="1017" w:type="dxa"/>
            <w:tcBorders>
              <w:top w:val="single" w:sz="8" w:space="0" w:color="AEAEAE"/>
              <w:left w:val="single" w:sz="8" w:space="0" w:color="E0E0E0"/>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10.0</w:t>
            </w:r>
          </w:p>
        </w:tc>
        <w:tc>
          <w:tcPr>
            <w:tcW w:w="1382" w:type="dxa"/>
            <w:tcBorders>
              <w:top w:val="single" w:sz="8" w:space="0" w:color="AEAEAE"/>
              <w:left w:val="single" w:sz="8" w:space="0" w:color="E0E0E0"/>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10.0</w:t>
            </w:r>
          </w:p>
        </w:tc>
        <w:tc>
          <w:tcPr>
            <w:tcW w:w="1458" w:type="dxa"/>
            <w:tcBorders>
              <w:top w:val="single" w:sz="8" w:space="0" w:color="AEAEAE"/>
              <w:left w:val="single" w:sz="8" w:space="0" w:color="E0E0E0"/>
              <w:bottom w:val="single" w:sz="8" w:space="0" w:color="AEAEAE"/>
              <w:right w:val="nil"/>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100.0</w:t>
            </w:r>
          </w:p>
        </w:tc>
      </w:tr>
      <w:tr w:rsidR="006A7B41" w:rsidRPr="008E5CC5" w:rsidTr="006A7B41">
        <w:trPr>
          <w:cantSplit/>
          <w:trHeight w:val="145"/>
          <w:jc w:val="center"/>
        </w:trPr>
        <w:tc>
          <w:tcPr>
            <w:tcW w:w="729" w:type="dxa"/>
            <w:vMerge/>
            <w:tcBorders>
              <w:top w:val="single" w:sz="8" w:space="0" w:color="152935"/>
              <w:left w:val="nil"/>
              <w:bottom w:val="single" w:sz="8" w:space="0" w:color="152935"/>
              <w:right w:val="nil"/>
            </w:tcBorders>
            <w:shd w:val="clear" w:color="auto" w:fill="E0E0E0"/>
          </w:tcPr>
          <w:p w:rsidR="006A7B41" w:rsidRPr="008E5CC5" w:rsidRDefault="006A7B41" w:rsidP="006A7B41">
            <w:pPr>
              <w:rPr>
                <w:sz w:val="20"/>
                <w:szCs w:val="20"/>
              </w:rPr>
            </w:pPr>
          </w:p>
        </w:tc>
        <w:tc>
          <w:tcPr>
            <w:tcW w:w="2430" w:type="dxa"/>
            <w:tcBorders>
              <w:top w:val="single" w:sz="8" w:space="0" w:color="AEAEAE"/>
              <w:left w:val="nil"/>
              <w:bottom w:val="single" w:sz="8" w:space="0" w:color="152935"/>
              <w:right w:val="nil"/>
            </w:tcBorders>
            <w:shd w:val="clear" w:color="auto" w:fill="E0E0E0"/>
          </w:tcPr>
          <w:p w:rsidR="006A7B41" w:rsidRPr="008E5CC5" w:rsidRDefault="006A7B41" w:rsidP="006A7B41">
            <w:pPr>
              <w:spacing w:line="320" w:lineRule="atLeast"/>
              <w:ind w:left="60" w:right="60"/>
              <w:rPr>
                <w:sz w:val="20"/>
                <w:szCs w:val="20"/>
              </w:rPr>
            </w:pPr>
            <w:r w:rsidRPr="008E5CC5">
              <w:rPr>
                <w:sz w:val="20"/>
                <w:szCs w:val="20"/>
              </w:rPr>
              <w:t>Total</w:t>
            </w:r>
          </w:p>
        </w:tc>
        <w:tc>
          <w:tcPr>
            <w:tcW w:w="1154" w:type="dxa"/>
            <w:tcBorders>
              <w:top w:val="single" w:sz="8" w:space="0" w:color="AEAEAE"/>
              <w:left w:val="nil"/>
              <w:bottom w:val="single" w:sz="8" w:space="0" w:color="152935"/>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10</w:t>
            </w:r>
          </w:p>
        </w:tc>
        <w:tc>
          <w:tcPr>
            <w:tcW w:w="1017" w:type="dxa"/>
            <w:tcBorders>
              <w:top w:val="single" w:sz="8" w:space="0" w:color="AEAEAE"/>
              <w:left w:val="single" w:sz="8" w:space="0" w:color="E0E0E0"/>
              <w:bottom w:val="single" w:sz="8" w:space="0" w:color="152935"/>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100.0</w:t>
            </w:r>
          </w:p>
        </w:tc>
        <w:tc>
          <w:tcPr>
            <w:tcW w:w="1382" w:type="dxa"/>
            <w:tcBorders>
              <w:top w:val="single" w:sz="8" w:space="0" w:color="AEAEAE"/>
              <w:left w:val="single" w:sz="8" w:space="0" w:color="E0E0E0"/>
              <w:bottom w:val="single" w:sz="8" w:space="0" w:color="152935"/>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100.0</w:t>
            </w:r>
          </w:p>
        </w:tc>
        <w:tc>
          <w:tcPr>
            <w:tcW w:w="1458" w:type="dxa"/>
            <w:tcBorders>
              <w:top w:val="single" w:sz="8" w:space="0" w:color="AEAEAE"/>
              <w:left w:val="single" w:sz="8" w:space="0" w:color="E0E0E0"/>
              <w:bottom w:val="single" w:sz="8" w:space="0" w:color="152935"/>
              <w:right w:val="nil"/>
            </w:tcBorders>
            <w:shd w:val="clear" w:color="auto" w:fill="FFFFFF"/>
            <w:vAlign w:val="center"/>
          </w:tcPr>
          <w:p w:rsidR="006A7B41" w:rsidRPr="008E5CC5" w:rsidRDefault="006A7B41" w:rsidP="006A7B41">
            <w:pPr>
              <w:rPr>
                <w:sz w:val="20"/>
                <w:szCs w:val="20"/>
              </w:rPr>
            </w:pPr>
          </w:p>
        </w:tc>
      </w:tr>
    </w:tbl>
    <w:p w:rsidR="006A7B41" w:rsidRDefault="006A7B41" w:rsidP="006A7B41">
      <w:pPr>
        <w:pStyle w:val="APA"/>
      </w:pPr>
    </w:p>
    <w:p w:rsidR="006A7B41" w:rsidRDefault="006A7B41" w:rsidP="006A7B41">
      <w:pPr>
        <w:pStyle w:val="APALevel0"/>
      </w:pPr>
      <w:r>
        <w:br w:type="page"/>
      </w:r>
      <w:bookmarkStart w:id="74" w:name="_Toc514059928"/>
      <w:r>
        <w:lastRenderedPageBreak/>
        <w:t xml:space="preserve">Appendix N: Descriptive Statistics for Level of Education on </w:t>
      </w:r>
      <w:r w:rsidRPr="00927F6D">
        <w:rPr>
          <w:i/>
        </w:rPr>
        <w:t>Health Literacy Patient Survey</w:t>
      </w:r>
      <w:r>
        <w:t xml:space="preserve"> Data</w:t>
      </w:r>
      <w:bookmarkEnd w:id="74"/>
    </w:p>
    <w:p w:rsidR="006A7B41" w:rsidRDefault="006A7B41" w:rsidP="004009AB">
      <w:pPr>
        <w:pStyle w:val="Caption"/>
      </w:pPr>
      <w:bookmarkStart w:id="75" w:name="_Toc514059970"/>
      <w:r>
        <w:t>Table 9</w:t>
      </w:r>
      <w:bookmarkEnd w:id="75"/>
    </w:p>
    <w:p w:rsidR="006A7B41" w:rsidRPr="004009AB" w:rsidRDefault="006A7B41" w:rsidP="004009AB">
      <w:pPr>
        <w:pStyle w:val="Caption"/>
        <w:rPr>
          <w:i/>
        </w:rPr>
      </w:pPr>
      <w:bookmarkStart w:id="76" w:name="_Toc514059971"/>
      <w:r w:rsidRPr="004009AB">
        <w:rPr>
          <w:i/>
        </w:rPr>
        <w:t>Descriptive Statistics for Level of Education on Health Literacy Patient Survey Data</w:t>
      </w:r>
      <w:bookmarkEnd w:id="76"/>
    </w:p>
    <w:tbl>
      <w:tblPr>
        <w:tblW w:w="822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48"/>
        <w:gridCol w:w="1162"/>
        <w:gridCol w:w="1024"/>
        <w:gridCol w:w="1392"/>
        <w:gridCol w:w="1469"/>
      </w:tblGrid>
      <w:tr w:rsidR="006A7B41" w:rsidRPr="008E5CC5" w:rsidTr="006A7B41">
        <w:trPr>
          <w:cantSplit/>
          <w:jc w:val="center"/>
        </w:trPr>
        <w:tc>
          <w:tcPr>
            <w:tcW w:w="8226" w:type="dxa"/>
            <w:gridSpan w:val="6"/>
            <w:tcBorders>
              <w:top w:val="nil"/>
              <w:left w:val="nil"/>
              <w:bottom w:val="nil"/>
              <w:right w:val="nil"/>
            </w:tcBorders>
            <w:shd w:val="clear" w:color="auto" w:fill="FFFFFF"/>
            <w:vAlign w:val="center"/>
          </w:tcPr>
          <w:p w:rsidR="006A7B41" w:rsidRPr="008E5CC5" w:rsidRDefault="006A7B41" w:rsidP="006A7B41">
            <w:pPr>
              <w:spacing w:line="320" w:lineRule="atLeast"/>
              <w:ind w:left="60" w:right="60"/>
              <w:jc w:val="center"/>
              <w:rPr>
                <w:sz w:val="20"/>
                <w:szCs w:val="20"/>
              </w:rPr>
            </w:pPr>
            <w:r w:rsidRPr="008E5CC5">
              <w:rPr>
                <w:b/>
                <w:bCs/>
                <w:sz w:val="20"/>
                <w:szCs w:val="20"/>
              </w:rPr>
              <w:t>Level of education</w:t>
            </w:r>
          </w:p>
        </w:tc>
      </w:tr>
      <w:tr w:rsidR="006A7B41" w:rsidRPr="008E5CC5" w:rsidTr="006A7B41">
        <w:trPr>
          <w:cantSplit/>
          <w:jc w:val="center"/>
        </w:trPr>
        <w:tc>
          <w:tcPr>
            <w:tcW w:w="3181" w:type="dxa"/>
            <w:gridSpan w:val="2"/>
            <w:tcBorders>
              <w:top w:val="nil"/>
              <w:left w:val="nil"/>
              <w:bottom w:val="single" w:sz="8" w:space="0" w:color="152935"/>
              <w:right w:val="nil"/>
            </w:tcBorders>
            <w:shd w:val="clear" w:color="auto" w:fill="FFFFFF"/>
            <w:vAlign w:val="bottom"/>
          </w:tcPr>
          <w:p w:rsidR="006A7B41" w:rsidRPr="008E5CC5" w:rsidRDefault="006A7B41" w:rsidP="006A7B41">
            <w:pPr>
              <w:rPr>
                <w:sz w:val="20"/>
                <w:szCs w:val="20"/>
              </w:rPr>
            </w:pPr>
          </w:p>
        </w:tc>
        <w:tc>
          <w:tcPr>
            <w:tcW w:w="1162" w:type="dxa"/>
            <w:tcBorders>
              <w:top w:val="nil"/>
              <w:left w:val="nil"/>
              <w:bottom w:val="single" w:sz="8" w:space="0" w:color="152935"/>
              <w:right w:val="single" w:sz="8" w:space="0" w:color="E0E0E0"/>
            </w:tcBorders>
            <w:shd w:val="clear" w:color="auto" w:fill="FFFFFF"/>
            <w:vAlign w:val="bottom"/>
          </w:tcPr>
          <w:p w:rsidR="006A7B41" w:rsidRPr="008E5CC5" w:rsidRDefault="006A7B41" w:rsidP="006A7B41">
            <w:pPr>
              <w:spacing w:line="320" w:lineRule="atLeast"/>
              <w:ind w:left="60" w:right="60"/>
              <w:jc w:val="center"/>
              <w:rPr>
                <w:sz w:val="20"/>
                <w:szCs w:val="20"/>
              </w:rPr>
            </w:pPr>
            <w:r w:rsidRPr="008E5CC5">
              <w:rPr>
                <w:sz w:val="20"/>
                <w:szCs w:val="20"/>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6A7B41" w:rsidRPr="008E5CC5" w:rsidRDefault="006A7B41" w:rsidP="006A7B41">
            <w:pPr>
              <w:spacing w:line="320" w:lineRule="atLeast"/>
              <w:ind w:left="60" w:right="60"/>
              <w:jc w:val="center"/>
              <w:rPr>
                <w:sz w:val="20"/>
                <w:szCs w:val="20"/>
              </w:rPr>
            </w:pPr>
            <w:r w:rsidRPr="008E5CC5">
              <w:rPr>
                <w:sz w:val="20"/>
                <w:szCs w:val="20"/>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6A7B41" w:rsidRPr="008E5CC5" w:rsidRDefault="006A7B41" w:rsidP="006A7B41">
            <w:pPr>
              <w:spacing w:line="320" w:lineRule="atLeast"/>
              <w:ind w:left="60" w:right="60"/>
              <w:jc w:val="center"/>
              <w:rPr>
                <w:sz w:val="20"/>
                <w:szCs w:val="20"/>
              </w:rPr>
            </w:pPr>
            <w:r w:rsidRPr="008E5CC5">
              <w:rPr>
                <w:sz w:val="20"/>
                <w:szCs w:val="20"/>
              </w:rPr>
              <w:t>Valid Percent</w:t>
            </w:r>
          </w:p>
        </w:tc>
        <w:tc>
          <w:tcPr>
            <w:tcW w:w="1468" w:type="dxa"/>
            <w:tcBorders>
              <w:top w:val="nil"/>
              <w:left w:val="single" w:sz="8" w:space="0" w:color="E0E0E0"/>
              <w:bottom w:val="single" w:sz="8" w:space="0" w:color="152935"/>
              <w:right w:val="nil"/>
            </w:tcBorders>
            <w:shd w:val="clear" w:color="auto" w:fill="FFFFFF"/>
            <w:vAlign w:val="bottom"/>
          </w:tcPr>
          <w:p w:rsidR="006A7B41" w:rsidRPr="008E5CC5" w:rsidRDefault="006A7B41" w:rsidP="006A7B41">
            <w:pPr>
              <w:spacing w:line="320" w:lineRule="atLeast"/>
              <w:ind w:left="60" w:right="60"/>
              <w:jc w:val="center"/>
              <w:rPr>
                <w:sz w:val="20"/>
                <w:szCs w:val="20"/>
              </w:rPr>
            </w:pPr>
            <w:r w:rsidRPr="008E5CC5">
              <w:rPr>
                <w:sz w:val="20"/>
                <w:szCs w:val="20"/>
              </w:rPr>
              <w:t>Cumulative Percent</w:t>
            </w:r>
          </w:p>
        </w:tc>
      </w:tr>
      <w:tr w:rsidR="006A7B41" w:rsidRPr="008E5CC5" w:rsidTr="006A7B41">
        <w:trPr>
          <w:cantSplit/>
          <w:jc w:val="center"/>
        </w:trPr>
        <w:tc>
          <w:tcPr>
            <w:tcW w:w="734" w:type="dxa"/>
            <w:vMerge w:val="restart"/>
            <w:tcBorders>
              <w:top w:val="single" w:sz="8" w:space="0" w:color="152935"/>
              <w:left w:val="nil"/>
              <w:bottom w:val="single" w:sz="8" w:space="0" w:color="152935"/>
              <w:right w:val="nil"/>
            </w:tcBorders>
            <w:shd w:val="clear" w:color="auto" w:fill="E0E0E0"/>
          </w:tcPr>
          <w:p w:rsidR="006A7B41" w:rsidRPr="008E5CC5" w:rsidRDefault="006A7B41" w:rsidP="006A7B41">
            <w:pPr>
              <w:spacing w:line="320" w:lineRule="atLeast"/>
              <w:ind w:left="60" w:right="60"/>
              <w:rPr>
                <w:sz w:val="20"/>
                <w:szCs w:val="20"/>
              </w:rPr>
            </w:pPr>
            <w:r w:rsidRPr="008E5CC5">
              <w:rPr>
                <w:sz w:val="20"/>
                <w:szCs w:val="20"/>
              </w:rPr>
              <w:t>Valid</w:t>
            </w:r>
          </w:p>
        </w:tc>
        <w:tc>
          <w:tcPr>
            <w:tcW w:w="2447" w:type="dxa"/>
            <w:tcBorders>
              <w:top w:val="single" w:sz="8" w:space="0" w:color="152935"/>
              <w:left w:val="nil"/>
              <w:bottom w:val="single" w:sz="8" w:space="0" w:color="AEAEAE"/>
              <w:right w:val="nil"/>
            </w:tcBorders>
            <w:shd w:val="clear" w:color="auto" w:fill="E0E0E0"/>
          </w:tcPr>
          <w:p w:rsidR="006A7B41" w:rsidRPr="008E5CC5" w:rsidRDefault="006A7B41" w:rsidP="006A7B41">
            <w:pPr>
              <w:spacing w:line="320" w:lineRule="atLeast"/>
              <w:ind w:left="60" w:right="60"/>
              <w:rPr>
                <w:sz w:val="20"/>
                <w:szCs w:val="20"/>
              </w:rPr>
            </w:pPr>
            <w:r w:rsidRPr="008E5CC5">
              <w:rPr>
                <w:sz w:val="20"/>
                <w:szCs w:val="20"/>
              </w:rPr>
              <w:t>8th grade or less</w:t>
            </w:r>
          </w:p>
        </w:tc>
        <w:tc>
          <w:tcPr>
            <w:tcW w:w="1162" w:type="dxa"/>
            <w:tcBorders>
              <w:top w:val="single" w:sz="8" w:space="0" w:color="152935"/>
              <w:left w:val="nil"/>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2</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20.0</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20.0</w:t>
            </w:r>
          </w:p>
        </w:tc>
        <w:tc>
          <w:tcPr>
            <w:tcW w:w="1468" w:type="dxa"/>
            <w:tcBorders>
              <w:top w:val="single" w:sz="8" w:space="0" w:color="152935"/>
              <w:left w:val="single" w:sz="8" w:space="0" w:color="E0E0E0"/>
              <w:bottom w:val="single" w:sz="8" w:space="0" w:color="AEAEAE"/>
              <w:right w:val="nil"/>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20.0</w:t>
            </w:r>
          </w:p>
        </w:tc>
      </w:tr>
      <w:tr w:rsidR="006A7B41" w:rsidRPr="008E5CC5" w:rsidTr="006A7B41">
        <w:trPr>
          <w:cantSplit/>
          <w:jc w:val="center"/>
        </w:trPr>
        <w:tc>
          <w:tcPr>
            <w:tcW w:w="734" w:type="dxa"/>
            <w:vMerge/>
            <w:tcBorders>
              <w:top w:val="single" w:sz="8" w:space="0" w:color="152935"/>
              <w:left w:val="nil"/>
              <w:bottom w:val="single" w:sz="8" w:space="0" w:color="152935"/>
              <w:right w:val="nil"/>
            </w:tcBorders>
            <w:shd w:val="clear" w:color="auto" w:fill="E0E0E0"/>
          </w:tcPr>
          <w:p w:rsidR="006A7B41" w:rsidRPr="008E5CC5" w:rsidRDefault="006A7B41" w:rsidP="006A7B41">
            <w:pPr>
              <w:rPr>
                <w:sz w:val="20"/>
                <w:szCs w:val="20"/>
              </w:rPr>
            </w:pPr>
          </w:p>
        </w:tc>
        <w:tc>
          <w:tcPr>
            <w:tcW w:w="2447" w:type="dxa"/>
            <w:tcBorders>
              <w:top w:val="single" w:sz="8" w:space="0" w:color="AEAEAE"/>
              <w:left w:val="nil"/>
              <w:bottom w:val="single" w:sz="8" w:space="0" w:color="AEAEAE"/>
              <w:right w:val="nil"/>
            </w:tcBorders>
            <w:shd w:val="clear" w:color="auto" w:fill="E0E0E0"/>
          </w:tcPr>
          <w:p w:rsidR="006A7B41" w:rsidRPr="008E5CC5" w:rsidRDefault="006A7B41" w:rsidP="006A7B41">
            <w:pPr>
              <w:spacing w:line="320" w:lineRule="atLeast"/>
              <w:ind w:left="60" w:right="60"/>
              <w:rPr>
                <w:sz w:val="20"/>
                <w:szCs w:val="20"/>
              </w:rPr>
            </w:pPr>
            <w:r w:rsidRPr="008E5CC5">
              <w:rPr>
                <w:sz w:val="20"/>
                <w:szCs w:val="20"/>
              </w:rPr>
              <w:t>Some high school; did not graduate</w:t>
            </w:r>
          </w:p>
        </w:tc>
        <w:tc>
          <w:tcPr>
            <w:tcW w:w="1162" w:type="dxa"/>
            <w:tcBorders>
              <w:top w:val="single" w:sz="8" w:space="0" w:color="AEAEAE"/>
              <w:left w:val="nil"/>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10.0</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10.0</w:t>
            </w:r>
          </w:p>
        </w:tc>
        <w:tc>
          <w:tcPr>
            <w:tcW w:w="1468" w:type="dxa"/>
            <w:tcBorders>
              <w:top w:val="single" w:sz="8" w:space="0" w:color="AEAEAE"/>
              <w:left w:val="single" w:sz="8" w:space="0" w:color="E0E0E0"/>
              <w:bottom w:val="single" w:sz="8" w:space="0" w:color="AEAEAE"/>
              <w:right w:val="nil"/>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30.0</w:t>
            </w:r>
          </w:p>
        </w:tc>
      </w:tr>
      <w:tr w:rsidR="006A7B41" w:rsidRPr="008E5CC5" w:rsidTr="006A7B41">
        <w:trPr>
          <w:cantSplit/>
          <w:jc w:val="center"/>
        </w:trPr>
        <w:tc>
          <w:tcPr>
            <w:tcW w:w="734" w:type="dxa"/>
            <w:vMerge/>
            <w:tcBorders>
              <w:top w:val="single" w:sz="8" w:space="0" w:color="152935"/>
              <w:left w:val="nil"/>
              <w:bottom w:val="single" w:sz="8" w:space="0" w:color="152935"/>
              <w:right w:val="nil"/>
            </w:tcBorders>
            <w:shd w:val="clear" w:color="auto" w:fill="E0E0E0"/>
          </w:tcPr>
          <w:p w:rsidR="006A7B41" w:rsidRPr="008E5CC5" w:rsidRDefault="006A7B41" w:rsidP="006A7B41">
            <w:pPr>
              <w:rPr>
                <w:sz w:val="20"/>
                <w:szCs w:val="20"/>
              </w:rPr>
            </w:pPr>
          </w:p>
        </w:tc>
        <w:tc>
          <w:tcPr>
            <w:tcW w:w="2447" w:type="dxa"/>
            <w:tcBorders>
              <w:top w:val="single" w:sz="8" w:space="0" w:color="AEAEAE"/>
              <w:left w:val="nil"/>
              <w:bottom w:val="single" w:sz="8" w:space="0" w:color="AEAEAE"/>
              <w:right w:val="nil"/>
            </w:tcBorders>
            <w:shd w:val="clear" w:color="auto" w:fill="E0E0E0"/>
          </w:tcPr>
          <w:p w:rsidR="006A7B41" w:rsidRPr="008E5CC5" w:rsidRDefault="006A7B41" w:rsidP="006A7B41">
            <w:pPr>
              <w:spacing w:line="320" w:lineRule="atLeast"/>
              <w:ind w:left="60" w:right="60"/>
              <w:rPr>
                <w:sz w:val="20"/>
                <w:szCs w:val="20"/>
              </w:rPr>
            </w:pPr>
            <w:r w:rsidRPr="008E5CC5">
              <w:rPr>
                <w:sz w:val="20"/>
                <w:szCs w:val="20"/>
              </w:rPr>
              <w:t>High school graduate or GED</w:t>
            </w:r>
          </w:p>
        </w:tc>
        <w:tc>
          <w:tcPr>
            <w:tcW w:w="1162" w:type="dxa"/>
            <w:tcBorders>
              <w:top w:val="single" w:sz="8" w:space="0" w:color="AEAEAE"/>
              <w:left w:val="nil"/>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40.0</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40.0</w:t>
            </w:r>
          </w:p>
        </w:tc>
        <w:tc>
          <w:tcPr>
            <w:tcW w:w="1468" w:type="dxa"/>
            <w:tcBorders>
              <w:top w:val="single" w:sz="8" w:space="0" w:color="AEAEAE"/>
              <w:left w:val="single" w:sz="8" w:space="0" w:color="E0E0E0"/>
              <w:bottom w:val="single" w:sz="8" w:space="0" w:color="AEAEAE"/>
              <w:right w:val="nil"/>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70.0</w:t>
            </w:r>
          </w:p>
        </w:tc>
      </w:tr>
      <w:tr w:rsidR="006A7B41" w:rsidRPr="008E5CC5" w:rsidTr="006A7B41">
        <w:trPr>
          <w:cantSplit/>
          <w:jc w:val="center"/>
        </w:trPr>
        <w:tc>
          <w:tcPr>
            <w:tcW w:w="734" w:type="dxa"/>
            <w:vMerge/>
            <w:tcBorders>
              <w:top w:val="single" w:sz="8" w:space="0" w:color="152935"/>
              <w:left w:val="nil"/>
              <w:bottom w:val="single" w:sz="8" w:space="0" w:color="152935"/>
              <w:right w:val="nil"/>
            </w:tcBorders>
            <w:shd w:val="clear" w:color="auto" w:fill="E0E0E0"/>
          </w:tcPr>
          <w:p w:rsidR="006A7B41" w:rsidRPr="008E5CC5" w:rsidRDefault="006A7B41" w:rsidP="006A7B41">
            <w:pPr>
              <w:rPr>
                <w:sz w:val="20"/>
                <w:szCs w:val="20"/>
              </w:rPr>
            </w:pPr>
          </w:p>
        </w:tc>
        <w:tc>
          <w:tcPr>
            <w:tcW w:w="2447" w:type="dxa"/>
            <w:tcBorders>
              <w:top w:val="single" w:sz="8" w:space="0" w:color="AEAEAE"/>
              <w:left w:val="nil"/>
              <w:bottom w:val="single" w:sz="8" w:space="0" w:color="AEAEAE"/>
              <w:right w:val="nil"/>
            </w:tcBorders>
            <w:shd w:val="clear" w:color="auto" w:fill="E0E0E0"/>
          </w:tcPr>
          <w:p w:rsidR="006A7B41" w:rsidRPr="008E5CC5" w:rsidRDefault="006A7B41" w:rsidP="006A7B41">
            <w:pPr>
              <w:spacing w:line="320" w:lineRule="atLeast"/>
              <w:ind w:left="60" w:right="60"/>
              <w:rPr>
                <w:sz w:val="20"/>
                <w:szCs w:val="20"/>
              </w:rPr>
            </w:pPr>
            <w:r w:rsidRPr="008E5CC5">
              <w:rPr>
                <w:sz w:val="20"/>
                <w:szCs w:val="20"/>
              </w:rPr>
              <w:t>Some college or 2-year degree</w:t>
            </w:r>
          </w:p>
        </w:tc>
        <w:tc>
          <w:tcPr>
            <w:tcW w:w="1162" w:type="dxa"/>
            <w:tcBorders>
              <w:top w:val="single" w:sz="8" w:space="0" w:color="AEAEAE"/>
              <w:left w:val="nil"/>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10.0</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10.0</w:t>
            </w:r>
          </w:p>
        </w:tc>
        <w:tc>
          <w:tcPr>
            <w:tcW w:w="1468" w:type="dxa"/>
            <w:tcBorders>
              <w:top w:val="single" w:sz="8" w:space="0" w:color="AEAEAE"/>
              <w:left w:val="single" w:sz="8" w:space="0" w:color="E0E0E0"/>
              <w:bottom w:val="single" w:sz="8" w:space="0" w:color="AEAEAE"/>
              <w:right w:val="nil"/>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80.0</w:t>
            </w:r>
          </w:p>
        </w:tc>
      </w:tr>
      <w:tr w:rsidR="006A7B41" w:rsidRPr="008E5CC5" w:rsidTr="006A7B41">
        <w:trPr>
          <w:cantSplit/>
          <w:jc w:val="center"/>
        </w:trPr>
        <w:tc>
          <w:tcPr>
            <w:tcW w:w="734" w:type="dxa"/>
            <w:vMerge/>
            <w:tcBorders>
              <w:top w:val="single" w:sz="8" w:space="0" w:color="152935"/>
              <w:left w:val="nil"/>
              <w:bottom w:val="single" w:sz="8" w:space="0" w:color="152935"/>
              <w:right w:val="nil"/>
            </w:tcBorders>
            <w:shd w:val="clear" w:color="auto" w:fill="E0E0E0"/>
          </w:tcPr>
          <w:p w:rsidR="006A7B41" w:rsidRPr="008E5CC5" w:rsidRDefault="006A7B41" w:rsidP="006A7B41">
            <w:pPr>
              <w:rPr>
                <w:sz w:val="20"/>
                <w:szCs w:val="20"/>
              </w:rPr>
            </w:pPr>
          </w:p>
        </w:tc>
        <w:tc>
          <w:tcPr>
            <w:tcW w:w="2447" w:type="dxa"/>
            <w:tcBorders>
              <w:top w:val="single" w:sz="8" w:space="0" w:color="AEAEAE"/>
              <w:left w:val="nil"/>
              <w:bottom w:val="single" w:sz="8" w:space="0" w:color="AEAEAE"/>
              <w:right w:val="nil"/>
            </w:tcBorders>
            <w:shd w:val="clear" w:color="auto" w:fill="E0E0E0"/>
          </w:tcPr>
          <w:p w:rsidR="006A7B41" w:rsidRPr="008E5CC5" w:rsidRDefault="006A7B41" w:rsidP="006A7B41">
            <w:pPr>
              <w:spacing w:line="320" w:lineRule="atLeast"/>
              <w:ind w:left="60" w:right="60"/>
              <w:rPr>
                <w:sz w:val="20"/>
                <w:szCs w:val="20"/>
              </w:rPr>
            </w:pPr>
            <w:r w:rsidRPr="008E5CC5">
              <w:rPr>
                <w:sz w:val="20"/>
                <w:szCs w:val="20"/>
              </w:rPr>
              <w:t>4-year college graduate</w:t>
            </w:r>
          </w:p>
        </w:tc>
        <w:tc>
          <w:tcPr>
            <w:tcW w:w="1162" w:type="dxa"/>
            <w:tcBorders>
              <w:top w:val="single" w:sz="8" w:space="0" w:color="AEAEAE"/>
              <w:left w:val="nil"/>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20.0</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20.0</w:t>
            </w:r>
          </w:p>
        </w:tc>
        <w:tc>
          <w:tcPr>
            <w:tcW w:w="1468" w:type="dxa"/>
            <w:tcBorders>
              <w:top w:val="single" w:sz="8" w:space="0" w:color="AEAEAE"/>
              <w:left w:val="single" w:sz="8" w:space="0" w:color="E0E0E0"/>
              <w:bottom w:val="single" w:sz="8" w:space="0" w:color="AEAEAE"/>
              <w:right w:val="nil"/>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100.0</w:t>
            </w:r>
          </w:p>
        </w:tc>
      </w:tr>
      <w:tr w:rsidR="006A7B41" w:rsidRPr="008E5CC5" w:rsidTr="006A7B41">
        <w:trPr>
          <w:cantSplit/>
          <w:jc w:val="center"/>
        </w:trPr>
        <w:tc>
          <w:tcPr>
            <w:tcW w:w="734" w:type="dxa"/>
            <w:vMerge/>
            <w:tcBorders>
              <w:top w:val="single" w:sz="8" w:space="0" w:color="152935"/>
              <w:left w:val="nil"/>
              <w:bottom w:val="single" w:sz="8" w:space="0" w:color="152935"/>
              <w:right w:val="nil"/>
            </w:tcBorders>
            <w:shd w:val="clear" w:color="auto" w:fill="E0E0E0"/>
          </w:tcPr>
          <w:p w:rsidR="006A7B41" w:rsidRPr="008E5CC5" w:rsidRDefault="006A7B41" w:rsidP="006A7B41">
            <w:pPr>
              <w:rPr>
                <w:sz w:val="20"/>
                <w:szCs w:val="20"/>
              </w:rPr>
            </w:pPr>
          </w:p>
        </w:tc>
        <w:tc>
          <w:tcPr>
            <w:tcW w:w="2447" w:type="dxa"/>
            <w:tcBorders>
              <w:top w:val="single" w:sz="8" w:space="0" w:color="AEAEAE"/>
              <w:left w:val="nil"/>
              <w:bottom w:val="single" w:sz="8" w:space="0" w:color="152935"/>
              <w:right w:val="nil"/>
            </w:tcBorders>
            <w:shd w:val="clear" w:color="auto" w:fill="E0E0E0"/>
          </w:tcPr>
          <w:p w:rsidR="006A7B41" w:rsidRPr="008E5CC5" w:rsidRDefault="006A7B41" w:rsidP="006A7B41">
            <w:pPr>
              <w:spacing w:line="320" w:lineRule="atLeast"/>
              <w:ind w:left="60" w:right="60"/>
              <w:rPr>
                <w:sz w:val="20"/>
                <w:szCs w:val="20"/>
              </w:rPr>
            </w:pPr>
            <w:r w:rsidRPr="008E5CC5">
              <w:rPr>
                <w:sz w:val="20"/>
                <w:szCs w:val="20"/>
              </w:rPr>
              <w:t>Total</w:t>
            </w:r>
          </w:p>
        </w:tc>
        <w:tc>
          <w:tcPr>
            <w:tcW w:w="1162" w:type="dxa"/>
            <w:tcBorders>
              <w:top w:val="single" w:sz="8" w:space="0" w:color="AEAEAE"/>
              <w:left w:val="nil"/>
              <w:bottom w:val="single" w:sz="8" w:space="0" w:color="152935"/>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10</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rsidR="006A7B41" w:rsidRPr="008E5CC5" w:rsidRDefault="006A7B41" w:rsidP="006A7B41">
            <w:pPr>
              <w:spacing w:line="320" w:lineRule="atLeast"/>
              <w:ind w:left="60" w:right="60"/>
              <w:jc w:val="right"/>
              <w:rPr>
                <w:sz w:val="20"/>
                <w:szCs w:val="20"/>
              </w:rPr>
            </w:pPr>
            <w:r w:rsidRPr="008E5CC5">
              <w:rPr>
                <w:sz w:val="20"/>
                <w:szCs w:val="20"/>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6A7B41" w:rsidRPr="008E5CC5" w:rsidRDefault="006A7B41" w:rsidP="006A7B41">
            <w:pPr>
              <w:rPr>
                <w:sz w:val="20"/>
                <w:szCs w:val="20"/>
              </w:rPr>
            </w:pPr>
          </w:p>
        </w:tc>
      </w:tr>
    </w:tbl>
    <w:p w:rsidR="006A7B41" w:rsidRDefault="006A7B41" w:rsidP="006A7B41">
      <w:pPr>
        <w:pStyle w:val="APA"/>
      </w:pPr>
    </w:p>
    <w:p w:rsidR="006A7B41" w:rsidRDefault="006A7B41" w:rsidP="006A7B41">
      <w:pPr>
        <w:pStyle w:val="APALevel0"/>
        <w:rPr>
          <w:i/>
        </w:rPr>
      </w:pPr>
      <w:r>
        <w:br w:type="page"/>
      </w:r>
      <w:bookmarkStart w:id="77" w:name="_Toc514059929"/>
      <w:r>
        <w:lastRenderedPageBreak/>
        <w:t xml:space="preserve">Appendix O: Wilcoxon Signed-Rank Test on Staff Pre- and Post-Intervention </w:t>
      </w:r>
      <w:r w:rsidRPr="00927F6D">
        <w:rPr>
          <w:i/>
        </w:rPr>
        <w:t>Primary Care Health Literacy Assessment</w:t>
      </w:r>
      <w:bookmarkEnd w:id="77"/>
    </w:p>
    <w:p w:rsidR="00685EE4" w:rsidRPr="004009AB" w:rsidRDefault="00685EE4" w:rsidP="004009AB">
      <w:pPr>
        <w:pStyle w:val="Caption"/>
      </w:pPr>
      <w:bookmarkStart w:id="78" w:name="_Toc514059972"/>
      <w:r w:rsidRPr="004009AB">
        <w:t>Table 10</w:t>
      </w:r>
      <w:bookmarkEnd w:id="78"/>
    </w:p>
    <w:p w:rsidR="00685EE4" w:rsidRPr="004009AB" w:rsidRDefault="00685EE4" w:rsidP="004009AB">
      <w:pPr>
        <w:pStyle w:val="Caption"/>
        <w:rPr>
          <w:i/>
        </w:rPr>
      </w:pPr>
      <w:bookmarkStart w:id="79" w:name="_Toc514059973"/>
      <w:r w:rsidRPr="004009AB">
        <w:rPr>
          <w:i/>
        </w:rPr>
        <w:t>Wilcoxon Signed-Rank Test on Staff Pre- and Post-Intervention Primary Care Health Literacy Assessment</w:t>
      </w:r>
      <w:bookmarkEnd w:id="79"/>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9"/>
        <w:gridCol w:w="798"/>
        <w:gridCol w:w="1955"/>
      </w:tblGrid>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Question</w:t>
            </w:r>
          </w:p>
        </w:tc>
        <w:tc>
          <w:tcPr>
            <w:tcW w:w="0" w:type="auto"/>
            <w:shd w:val="clear" w:color="auto" w:fill="auto"/>
          </w:tcPr>
          <w:p w:rsidR="00685EE4" w:rsidRPr="00866670" w:rsidRDefault="00685EE4" w:rsidP="00866670">
            <w:pPr>
              <w:jc w:val="center"/>
              <w:rPr>
                <w:sz w:val="20"/>
                <w:szCs w:val="20"/>
              </w:rPr>
            </w:pPr>
            <w:r w:rsidRPr="00866670">
              <w:rPr>
                <w:sz w:val="20"/>
                <w:szCs w:val="20"/>
              </w:rPr>
              <w:t>Z</w:t>
            </w:r>
          </w:p>
        </w:tc>
        <w:tc>
          <w:tcPr>
            <w:tcW w:w="0" w:type="auto"/>
            <w:shd w:val="clear" w:color="auto" w:fill="auto"/>
          </w:tcPr>
          <w:p w:rsidR="00685EE4" w:rsidRPr="00866670" w:rsidRDefault="00685EE4" w:rsidP="00866670">
            <w:pPr>
              <w:jc w:val="center"/>
              <w:rPr>
                <w:sz w:val="20"/>
                <w:szCs w:val="20"/>
              </w:rPr>
            </w:pPr>
            <w:proofErr w:type="spellStart"/>
            <w:r w:rsidRPr="00866670">
              <w:rPr>
                <w:sz w:val="20"/>
                <w:szCs w:val="20"/>
              </w:rPr>
              <w:t>Asymp</w:t>
            </w:r>
            <w:proofErr w:type="spellEnd"/>
            <w:r w:rsidRPr="00866670">
              <w:rPr>
                <w:sz w:val="20"/>
                <w:szCs w:val="20"/>
              </w:rPr>
              <w:t xml:space="preserve"> Sig. (2-tailed)</w:t>
            </w:r>
          </w:p>
        </w:tc>
      </w:tr>
      <w:tr w:rsidR="00685EE4" w:rsidRPr="00D361E8" w:rsidTr="00866670">
        <w:trPr>
          <w:trHeight w:val="305"/>
          <w:jc w:val="center"/>
        </w:trPr>
        <w:tc>
          <w:tcPr>
            <w:tcW w:w="0" w:type="auto"/>
            <w:shd w:val="clear" w:color="auto" w:fill="D9D9D9"/>
          </w:tcPr>
          <w:p w:rsidR="00685EE4" w:rsidRPr="00866670" w:rsidRDefault="00685EE4" w:rsidP="00685EE4">
            <w:pPr>
              <w:rPr>
                <w:sz w:val="20"/>
                <w:szCs w:val="20"/>
              </w:rPr>
            </w:pPr>
            <w:r w:rsidRPr="00866670">
              <w:rPr>
                <w:sz w:val="20"/>
                <w:szCs w:val="20"/>
              </w:rPr>
              <w:t>1</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-1.890</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.059</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2</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-1.890</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.059</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3</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-1.890</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.059</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4</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-1.242</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.214</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5</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-1.000</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.317</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6</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-1.414</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.157</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7</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-1.289</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.197</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8</w:t>
            </w:r>
          </w:p>
        </w:tc>
        <w:tc>
          <w:tcPr>
            <w:tcW w:w="0" w:type="auto"/>
            <w:shd w:val="clear" w:color="auto" w:fill="auto"/>
          </w:tcPr>
          <w:p w:rsidR="00685EE4" w:rsidRPr="00866670" w:rsidRDefault="00685EE4" w:rsidP="00685EE4">
            <w:pPr>
              <w:rPr>
                <w:sz w:val="20"/>
                <w:szCs w:val="20"/>
                <w:vertAlign w:val="superscript"/>
              </w:rPr>
            </w:pPr>
            <w:r w:rsidRPr="00866670">
              <w:rPr>
                <w:sz w:val="20"/>
                <w:szCs w:val="20"/>
              </w:rPr>
              <w:t>-1.000</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.317</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9</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.000</w:t>
            </w:r>
            <w:r w:rsidRPr="00866670">
              <w:rPr>
                <w:sz w:val="20"/>
                <w:szCs w:val="20"/>
                <w:vertAlign w:val="superscript"/>
              </w:rPr>
              <w:t>c</w:t>
            </w:r>
          </w:p>
        </w:tc>
        <w:tc>
          <w:tcPr>
            <w:tcW w:w="0" w:type="auto"/>
            <w:shd w:val="clear" w:color="auto" w:fill="auto"/>
          </w:tcPr>
          <w:p w:rsidR="00685EE4" w:rsidRPr="00866670" w:rsidRDefault="00685EE4" w:rsidP="00866670">
            <w:pPr>
              <w:jc w:val="center"/>
              <w:rPr>
                <w:sz w:val="20"/>
                <w:szCs w:val="20"/>
              </w:rPr>
            </w:pPr>
            <w:r w:rsidRPr="00866670">
              <w:rPr>
                <w:sz w:val="20"/>
                <w:szCs w:val="20"/>
              </w:rPr>
              <w:t>1.000</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10</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-.272</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.785</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11</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-.272</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.785</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12</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-1.000</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.317</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13</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-.736</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.461</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14</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-1.069</w:t>
            </w:r>
            <w:r w:rsidRPr="00866670">
              <w:rPr>
                <w:sz w:val="20"/>
                <w:szCs w:val="20"/>
                <w:vertAlign w:val="superscript"/>
              </w:rPr>
              <w:t>d</w:t>
            </w:r>
          </w:p>
        </w:tc>
        <w:tc>
          <w:tcPr>
            <w:tcW w:w="0" w:type="auto"/>
            <w:shd w:val="clear" w:color="auto" w:fill="auto"/>
          </w:tcPr>
          <w:p w:rsidR="00685EE4" w:rsidRPr="00866670" w:rsidRDefault="00685EE4" w:rsidP="00866670">
            <w:pPr>
              <w:jc w:val="center"/>
              <w:rPr>
                <w:sz w:val="20"/>
                <w:szCs w:val="20"/>
              </w:rPr>
            </w:pPr>
            <w:r w:rsidRPr="00866670">
              <w:rPr>
                <w:sz w:val="20"/>
                <w:szCs w:val="20"/>
              </w:rPr>
              <w:t>.285</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15</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-.535</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.593</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16</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-.707</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.480</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17</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-.557</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.577</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18</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-1.000</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.317</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19</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-1.089</w:t>
            </w:r>
            <w:r w:rsidRPr="00866670">
              <w:rPr>
                <w:sz w:val="20"/>
                <w:szCs w:val="20"/>
                <w:vertAlign w:val="superscript"/>
              </w:rPr>
              <w:t>d</w:t>
            </w:r>
          </w:p>
        </w:tc>
        <w:tc>
          <w:tcPr>
            <w:tcW w:w="0" w:type="auto"/>
            <w:shd w:val="clear" w:color="auto" w:fill="auto"/>
          </w:tcPr>
          <w:p w:rsidR="00685EE4" w:rsidRPr="00866670" w:rsidRDefault="00685EE4" w:rsidP="00866670">
            <w:pPr>
              <w:jc w:val="center"/>
              <w:rPr>
                <w:sz w:val="20"/>
                <w:szCs w:val="20"/>
              </w:rPr>
            </w:pPr>
            <w:r w:rsidRPr="00866670">
              <w:rPr>
                <w:sz w:val="20"/>
                <w:szCs w:val="20"/>
              </w:rPr>
              <w:t>.276</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20</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-2.000</w:t>
            </w:r>
            <w:r w:rsidRPr="00866670">
              <w:rPr>
                <w:sz w:val="20"/>
                <w:szCs w:val="20"/>
                <w:vertAlign w:val="superscript"/>
              </w:rPr>
              <w:t>b</w:t>
            </w:r>
          </w:p>
        </w:tc>
        <w:tc>
          <w:tcPr>
            <w:tcW w:w="0" w:type="auto"/>
            <w:shd w:val="clear" w:color="auto" w:fill="auto"/>
          </w:tcPr>
          <w:p w:rsidR="00685EE4" w:rsidRPr="00866670" w:rsidRDefault="00685EE4" w:rsidP="00866670">
            <w:pPr>
              <w:jc w:val="center"/>
              <w:rPr>
                <w:b/>
                <w:sz w:val="20"/>
                <w:szCs w:val="20"/>
              </w:rPr>
            </w:pPr>
            <w:r w:rsidRPr="00866670">
              <w:rPr>
                <w:b/>
                <w:sz w:val="20"/>
                <w:szCs w:val="20"/>
              </w:rPr>
              <w:t>.046</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21</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-.577</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.564</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22</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-1.000</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.317</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23</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-1.890</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.059</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24</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-.447</w:t>
            </w:r>
            <w:r w:rsidRPr="00866670">
              <w:rPr>
                <w:sz w:val="20"/>
                <w:szCs w:val="20"/>
                <w:vertAlign w:val="superscript"/>
              </w:rPr>
              <w:t>d</w:t>
            </w:r>
          </w:p>
        </w:tc>
        <w:tc>
          <w:tcPr>
            <w:tcW w:w="0" w:type="auto"/>
            <w:shd w:val="clear" w:color="auto" w:fill="auto"/>
          </w:tcPr>
          <w:p w:rsidR="00685EE4" w:rsidRPr="00866670" w:rsidRDefault="00685EE4" w:rsidP="00866670">
            <w:pPr>
              <w:jc w:val="center"/>
              <w:rPr>
                <w:sz w:val="20"/>
                <w:szCs w:val="20"/>
              </w:rPr>
            </w:pPr>
            <w:r w:rsidRPr="00866670">
              <w:rPr>
                <w:sz w:val="20"/>
                <w:szCs w:val="20"/>
              </w:rPr>
              <w:t>.655</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25</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-1.633</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.102</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26</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-1.511</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.131</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27</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-1.857</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.063</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28</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-2.041</w:t>
            </w:r>
            <w:r w:rsidRPr="00866670">
              <w:rPr>
                <w:sz w:val="20"/>
                <w:szCs w:val="20"/>
                <w:vertAlign w:val="superscript"/>
              </w:rPr>
              <w:t>b</w:t>
            </w:r>
          </w:p>
        </w:tc>
        <w:tc>
          <w:tcPr>
            <w:tcW w:w="0" w:type="auto"/>
            <w:shd w:val="clear" w:color="auto" w:fill="auto"/>
          </w:tcPr>
          <w:p w:rsidR="00685EE4" w:rsidRPr="00866670" w:rsidRDefault="00685EE4" w:rsidP="00866670">
            <w:pPr>
              <w:jc w:val="center"/>
              <w:rPr>
                <w:b/>
                <w:sz w:val="20"/>
                <w:szCs w:val="20"/>
              </w:rPr>
            </w:pPr>
            <w:r w:rsidRPr="00866670">
              <w:rPr>
                <w:b/>
                <w:sz w:val="20"/>
                <w:szCs w:val="20"/>
              </w:rPr>
              <w:t>.041</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29</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-.378</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.705</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30</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.000</w:t>
            </w:r>
            <w:r w:rsidRPr="00866670">
              <w:rPr>
                <w:sz w:val="20"/>
                <w:szCs w:val="20"/>
                <w:vertAlign w:val="superscript"/>
              </w:rPr>
              <w:t>c</w:t>
            </w:r>
          </w:p>
        </w:tc>
        <w:tc>
          <w:tcPr>
            <w:tcW w:w="0" w:type="auto"/>
            <w:shd w:val="clear" w:color="auto" w:fill="auto"/>
          </w:tcPr>
          <w:p w:rsidR="00685EE4" w:rsidRPr="00866670" w:rsidRDefault="00685EE4" w:rsidP="00866670">
            <w:pPr>
              <w:jc w:val="center"/>
              <w:rPr>
                <w:sz w:val="20"/>
                <w:szCs w:val="20"/>
              </w:rPr>
            </w:pPr>
            <w:r w:rsidRPr="00866670">
              <w:rPr>
                <w:sz w:val="20"/>
                <w:szCs w:val="20"/>
              </w:rPr>
              <w:t>1.000</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31</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-1.342</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.180</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32</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-1.000</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.317</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33</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-1.000</w:t>
            </w:r>
            <w:r w:rsidRPr="00866670">
              <w:rPr>
                <w:sz w:val="20"/>
                <w:szCs w:val="20"/>
                <w:vertAlign w:val="superscript"/>
              </w:rPr>
              <w:t>d</w:t>
            </w:r>
          </w:p>
        </w:tc>
        <w:tc>
          <w:tcPr>
            <w:tcW w:w="0" w:type="auto"/>
            <w:shd w:val="clear" w:color="auto" w:fill="auto"/>
          </w:tcPr>
          <w:p w:rsidR="00685EE4" w:rsidRPr="00866670" w:rsidRDefault="00685EE4" w:rsidP="00866670">
            <w:pPr>
              <w:jc w:val="center"/>
              <w:rPr>
                <w:sz w:val="20"/>
                <w:szCs w:val="20"/>
              </w:rPr>
            </w:pPr>
            <w:r w:rsidRPr="00866670">
              <w:rPr>
                <w:sz w:val="20"/>
                <w:szCs w:val="20"/>
              </w:rPr>
              <w:t>.317</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34</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-1.414</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.157</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35</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-1.134</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.257</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36</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-1.414</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.157</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37</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.000</w:t>
            </w:r>
            <w:r w:rsidRPr="00866670">
              <w:rPr>
                <w:sz w:val="20"/>
                <w:szCs w:val="20"/>
                <w:vertAlign w:val="superscript"/>
              </w:rPr>
              <w:t>c</w:t>
            </w:r>
          </w:p>
        </w:tc>
        <w:tc>
          <w:tcPr>
            <w:tcW w:w="0" w:type="auto"/>
            <w:shd w:val="clear" w:color="auto" w:fill="auto"/>
          </w:tcPr>
          <w:p w:rsidR="00685EE4" w:rsidRPr="00866670" w:rsidRDefault="00685EE4" w:rsidP="00866670">
            <w:pPr>
              <w:jc w:val="center"/>
              <w:rPr>
                <w:sz w:val="20"/>
                <w:szCs w:val="20"/>
              </w:rPr>
            </w:pPr>
            <w:r w:rsidRPr="00866670">
              <w:rPr>
                <w:sz w:val="20"/>
                <w:szCs w:val="20"/>
              </w:rPr>
              <w:t>1.000</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38</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-.447</w:t>
            </w:r>
            <w:r w:rsidRPr="00866670">
              <w:rPr>
                <w:sz w:val="20"/>
                <w:szCs w:val="20"/>
                <w:vertAlign w:val="superscript"/>
              </w:rPr>
              <w:t>d</w:t>
            </w:r>
          </w:p>
        </w:tc>
        <w:tc>
          <w:tcPr>
            <w:tcW w:w="0" w:type="auto"/>
            <w:shd w:val="clear" w:color="auto" w:fill="auto"/>
          </w:tcPr>
          <w:p w:rsidR="00685EE4" w:rsidRPr="00866670" w:rsidRDefault="00685EE4" w:rsidP="00866670">
            <w:pPr>
              <w:jc w:val="center"/>
              <w:rPr>
                <w:sz w:val="20"/>
                <w:szCs w:val="20"/>
              </w:rPr>
            </w:pPr>
            <w:r w:rsidRPr="00866670">
              <w:rPr>
                <w:sz w:val="20"/>
                <w:szCs w:val="20"/>
              </w:rPr>
              <w:t>.655</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39</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-1.342</w:t>
            </w:r>
            <w:r w:rsidRPr="00866670">
              <w:rPr>
                <w:sz w:val="20"/>
                <w:szCs w:val="20"/>
                <w:vertAlign w:val="superscript"/>
              </w:rPr>
              <w:t>d</w:t>
            </w:r>
          </w:p>
        </w:tc>
        <w:tc>
          <w:tcPr>
            <w:tcW w:w="0" w:type="auto"/>
            <w:shd w:val="clear" w:color="auto" w:fill="auto"/>
          </w:tcPr>
          <w:p w:rsidR="00685EE4" w:rsidRPr="00866670" w:rsidRDefault="00685EE4" w:rsidP="00866670">
            <w:pPr>
              <w:jc w:val="center"/>
              <w:rPr>
                <w:sz w:val="20"/>
                <w:szCs w:val="20"/>
              </w:rPr>
            </w:pPr>
            <w:r w:rsidRPr="00866670">
              <w:rPr>
                <w:sz w:val="20"/>
                <w:szCs w:val="20"/>
              </w:rPr>
              <w:t>.180</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lastRenderedPageBreak/>
              <w:t>40</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-1.289</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.197</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41</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-.966</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.334</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42</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-1.890</w:t>
            </w:r>
            <w:r w:rsidRPr="00866670">
              <w:rPr>
                <w:sz w:val="20"/>
                <w:szCs w:val="20"/>
                <w:vertAlign w:val="superscript"/>
              </w:rPr>
              <w:t>b</w:t>
            </w:r>
          </w:p>
        </w:tc>
        <w:tc>
          <w:tcPr>
            <w:tcW w:w="0" w:type="auto"/>
            <w:shd w:val="clear" w:color="auto" w:fill="auto"/>
          </w:tcPr>
          <w:p w:rsidR="00685EE4" w:rsidRPr="00866670" w:rsidRDefault="00685EE4" w:rsidP="00866670">
            <w:pPr>
              <w:jc w:val="center"/>
              <w:rPr>
                <w:sz w:val="20"/>
                <w:szCs w:val="20"/>
              </w:rPr>
            </w:pPr>
            <w:r w:rsidRPr="00866670">
              <w:rPr>
                <w:sz w:val="20"/>
                <w:szCs w:val="20"/>
              </w:rPr>
              <w:t>.059</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43</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-.272</w:t>
            </w:r>
            <w:r w:rsidRPr="00866670">
              <w:rPr>
                <w:sz w:val="20"/>
                <w:szCs w:val="20"/>
                <w:vertAlign w:val="superscript"/>
              </w:rPr>
              <w:t>d</w:t>
            </w:r>
          </w:p>
        </w:tc>
        <w:tc>
          <w:tcPr>
            <w:tcW w:w="0" w:type="auto"/>
            <w:shd w:val="clear" w:color="auto" w:fill="auto"/>
          </w:tcPr>
          <w:p w:rsidR="00685EE4" w:rsidRPr="00866670" w:rsidRDefault="00685EE4" w:rsidP="00866670">
            <w:pPr>
              <w:jc w:val="center"/>
              <w:rPr>
                <w:sz w:val="20"/>
                <w:szCs w:val="20"/>
              </w:rPr>
            </w:pPr>
            <w:r w:rsidRPr="00866670">
              <w:rPr>
                <w:sz w:val="20"/>
                <w:szCs w:val="20"/>
              </w:rPr>
              <w:t>.785</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44</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-1.000</w:t>
            </w:r>
            <w:r w:rsidRPr="00866670">
              <w:rPr>
                <w:sz w:val="20"/>
                <w:szCs w:val="20"/>
                <w:vertAlign w:val="superscript"/>
              </w:rPr>
              <w:t>d</w:t>
            </w:r>
          </w:p>
        </w:tc>
        <w:tc>
          <w:tcPr>
            <w:tcW w:w="0" w:type="auto"/>
            <w:shd w:val="clear" w:color="auto" w:fill="auto"/>
          </w:tcPr>
          <w:p w:rsidR="00685EE4" w:rsidRPr="00866670" w:rsidRDefault="00685EE4" w:rsidP="00866670">
            <w:pPr>
              <w:jc w:val="center"/>
              <w:rPr>
                <w:sz w:val="20"/>
                <w:szCs w:val="20"/>
              </w:rPr>
            </w:pPr>
            <w:r w:rsidRPr="00866670">
              <w:rPr>
                <w:sz w:val="20"/>
                <w:szCs w:val="20"/>
              </w:rPr>
              <w:t>.317</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45</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-.816</w:t>
            </w:r>
            <w:r w:rsidRPr="00866670">
              <w:rPr>
                <w:sz w:val="20"/>
                <w:szCs w:val="20"/>
                <w:vertAlign w:val="superscript"/>
              </w:rPr>
              <w:t>d</w:t>
            </w:r>
          </w:p>
        </w:tc>
        <w:tc>
          <w:tcPr>
            <w:tcW w:w="0" w:type="auto"/>
            <w:shd w:val="clear" w:color="auto" w:fill="auto"/>
          </w:tcPr>
          <w:p w:rsidR="00685EE4" w:rsidRPr="00866670" w:rsidRDefault="00685EE4" w:rsidP="00866670">
            <w:pPr>
              <w:jc w:val="center"/>
              <w:rPr>
                <w:sz w:val="20"/>
                <w:szCs w:val="20"/>
              </w:rPr>
            </w:pPr>
            <w:r w:rsidRPr="00866670">
              <w:rPr>
                <w:sz w:val="20"/>
                <w:szCs w:val="20"/>
              </w:rPr>
              <w:t>.414</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46</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.000</w:t>
            </w:r>
            <w:r w:rsidRPr="00866670">
              <w:rPr>
                <w:sz w:val="20"/>
                <w:szCs w:val="20"/>
                <w:vertAlign w:val="superscript"/>
              </w:rPr>
              <w:t>c</w:t>
            </w:r>
          </w:p>
        </w:tc>
        <w:tc>
          <w:tcPr>
            <w:tcW w:w="0" w:type="auto"/>
            <w:shd w:val="clear" w:color="auto" w:fill="auto"/>
          </w:tcPr>
          <w:p w:rsidR="00685EE4" w:rsidRPr="00866670" w:rsidRDefault="00685EE4" w:rsidP="00866670">
            <w:pPr>
              <w:jc w:val="center"/>
              <w:rPr>
                <w:sz w:val="20"/>
                <w:szCs w:val="20"/>
              </w:rPr>
            </w:pPr>
            <w:r w:rsidRPr="00866670">
              <w:rPr>
                <w:sz w:val="20"/>
                <w:szCs w:val="20"/>
              </w:rPr>
              <w:t>1.000</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47</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.000</w:t>
            </w:r>
            <w:r w:rsidRPr="00866670">
              <w:rPr>
                <w:sz w:val="20"/>
                <w:szCs w:val="20"/>
                <w:vertAlign w:val="superscript"/>
              </w:rPr>
              <w:t>c</w:t>
            </w:r>
          </w:p>
        </w:tc>
        <w:tc>
          <w:tcPr>
            <w:tcW w:w="0" w:type="auto"/>
            <w:shd w:val="clear" w:color="auto" w:fill="auto"/>
          </w:tcPr>
          <w:p w:rsidR="00685EE4" w:rsidRPr="00866670" w:rsidRDefault="00685EE4" w:rsidP="00866670">
            <w:pPr>
              <w:jc w:val="center"/>
              <w:rPr>
                <w:sz w:val="20"/>
                <w:szCs w:val="20"/>
              </w:rPr>
            </w:pPr>
            <w:r w:rsidRPr="00866670">
              <w:rPr>
                <w:sz w:val="20"/>
                <w:szCs w:val="20"/>
              </w:rPr>
              <w:t>1.000</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48</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-1.342</w:t>
            </w:r>
            <w:r w:rsidRPr="00866670">
              <w:rPr>
                <w:sz w:val="20"/>
                <w:szCs w:val="20"/>
                <w:vertAlign w:val="superscript"/>
              </w:rPr>
              <w:t>d</w:t>
            </w:r>
          </w:p>
        </w:tc>
        <w:tc>
          <w:tcPr>
            <w:tcW w:w="0" w:type="auto"/>
            <w:shd w:val="clear" w:color="auto" w:fill="auto"/>
          </w:tcPr>
          <w:p w:rsidR="00685EE4" w:rsidRPr="00866670" w:rsidRDefault="00685EE4" w:rsidP="00866670">
            <w:pPr>
              <w:jc w:val="center"/>
              <w:rPr>
                <w:sz w:val="20"/>
                <w:szCs w:val="20"/>
              </w:rPr>
            </w:pPr>
            <w:r w:rsidRPr="00866670">
              <w:rPr>
                <w:sz w:val="20"/>
                <w:szCs w:val="20"/>
              </w:rPr>
              <w:t>.180</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49</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.000</w:t>
            </w:r>
            <w:r w:rsidRPr="00866670">
              <w:rPr>
                <w:sz w:val="20"/>
                <w:szCs w:val="20"/>
                <w:vertAlign w:val="superscript"/>
              </w:rPr>
              <w:t>c</w:t>
            </w:r>
          </w:p>
        </w:tc>
        <w:tc>
          <w:tcPr>
            <w:tcW w:w="0" w:type="auto"/>
            <w:shd w:val="clear" w:color="auto" w:fill="auto"/>
          </w:tcPr>
          <w:p w:rsidR="00685EE4" w:rsidRPr="00866670" w:rsidRDefault="00685EE4" w:rsidP="00866670">
            <w:pPr>
              <w:jc w:val="center"/>
              <w:rPr>
                <w:sz w:val="20"/>
                <w:szCs w:val="20"/>
              </w:rPr>
            </w:pPr>
            <w:r w:rsidRPr="00866670">
              <w:rPr>
                <w:sz w:val="20"/>
                <w:szCs w:val="20"/>
              </w:rPr>
              <w:t>1.000</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50</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-.447</w:t>
            </w:r>
            <w:r w:rsidRPr="00866670">
              <w:rPr>
                <w:sz w:val="20"/>
                <w:szCs w:val="20"/>
                <w:vertAlign w:val="superscript"/>
              </w:rPr>
              <w:t>d</w:t>
            </w:r>
          </w:p>
        </w:tc>
        <w:tc>
          <w:tcPr>
            <w:tcW w:w="0" w:type="auto"/>
            <w:shd w:val="clear" w:color="auto" w:fill="auto"/>
          </w:tcPr>
          <w:p w:rsidR="00685EE4" w:rsidRPr="00866670" w:rsidRDefault="00685EE4" w:rsidP="00866670">
            <w:pPr>
              <w:jc w:val="center"/>
              <w:rPr>
                <w:sz w:val="20"/>
                <w:szCs w:val="20"/>
              </w:rPr>
            </w:pPr>
            <w:r w:rsidRPr="00866670">
              <w:rPr>
                <w:sz w:val="20"/>
                <w:szCs w:val="20"/>
              </w:rPr>
              <w:t>.655</w:t>
            </w:r>
          </w:p>
        </w:tc>
      </w:tr>
      <w:tr w:rsidR="00685EE4" w:rsidRPr="00D361E8" w:rsidTr="00866670">
        <w:trPr>
          <w:jc w:val="center"/>
        </w:trPr>
        <w:tc>
          <w:tcPr>
            <w:tcW w:w="0" w:type="auto"/>
            <w:shd w:val="clear" w:color="auto" w:fill="D9D9D9"/>
          </w:tcPr>
          <w:p w:rsidR="00685EE4" w:rsidRPr="00866670" w:rsidRDefault="00685EE4" w:rsidP="00685EE4">
            <w:pPr>
              <w:rPr>
                <w:sz w:val="20"/>
                <w:szCs w:val="20"/>
              </w:rPr>
            </w:pPr>
            <w:r w:rsidRPr="00866670">
              <w:rPr>
                <w:sz w:val="20"/>
                <w:szCs w:val="20"/>
              </w:rPr>
              <w:t>51</w:t>
            </w:r>
          </w:p>
        </w:tc>
        <w:tc>
          <w:tcPr>
            <w:tcW w:w="0" w:type="auto"/>
            <w:shd w:val="clear" w:color="auto" w:fill="auto"/>
          </w:tcPr>
          <w:p w:rsidR="00685EE4" w:rsidRPr="00866670" w:rsidRDefault="00685EE4" w:rsidP="00866670">
            <w:pPr>
              <w:jc w:val="center"/>
              <w:rPr>
                <w:sz w:val="20"/>
                <w:szCs w:val="20"/>
                <w:vertAlign w:val="superscript"/>
              </w:rPr>
            </w:pPr>
            <w:r w:rsidRPr="00866670">
              <w:rPr>
                <w:sz w:val="20"/>
                <w:szCs w:val="20"/>
              </w:rPr>
              <w:t>-1.089</w:t>
            </w:r>
            <w:r w:rsidRPr="00866670">
              <w:rPr>
                <w:sz w:val="20"/>
                <w:szCs w:val="20"/>
                <w:vertAlign w:val="superscript"/>
              </w:rPr>
              <w:t>d</w:t>
            </w:r>
          </w:p>
        </w:tc>
        <w:tc>
          <w:tcPr>
            <w:tcW w:w="0" w:type="auto"/>
            <w:shd w:val="clear" w:color="auto" w:fill="auto"/>
          </w:tcPr>
          <w:p w:rsidR="00685EE4" w:rsidRPr="00866670" w:rsidRDefault="00685EE4" w:rsidP="00866670">
            <w:pPr>
              <w:jc w:val="center"/>
              <w:rPr>
                <w:sz w:val="20"/>
                <w:szCs w:val="20"/>
              </w:rPr>
            </w:pPr>
            <w:r w:rsidRPr="00866670">
              <w:rPr>
                <w:sz w:val="20"/>
                <w:szCs w:val="20"/>
              </w:rPr>
              <w:t>.276</w:t>
            </w:r>
          </w:p>
        </w:tc>
      </w:tr>
    </w:tbl>
    <w:p w:rsidR="00685EE4" w:rsidRPr="008E5CC5" w:rsidRDefault="00685EE4" w:rsidP="00685EE4">
      <w:pPr>
        <w:pStyle w:val="ListParagraph"/>
        <w:numPr>
          <w:ilvl w:val="0"/>
          <w:numId w:val="49"/>
        </w:numPr>
        <w:ind w:left="2520"/>
        <w:rPr>
          <w:rFonts w:ascii="Times New Roman" w:hAnsi="Times New Roman"/>
          <w:sz w:val="20"/>
          <w:szCs w:val="20"/>
        </w:rPr>
      </w:pPr>
      <w:r w:rsidRPr="008E5CC5">
        <w:rPr>
          <w:rFonts w:ascii="Times New Roman" w:hAnsi="Times New Roman"/>
          <w:sz w:val="20"/>
          <w:szCs w:val="20"/>
        </w:rPr>
        <w:t>Wilcoxon Signed Ranks Test</w:t>
      </w:r>
    </w:p>
    <w:p w:rsidR="00685EE4" w:rsidRPr="008E5CC5" w:rsidRDefault="00685EE4" w:rsidP="00685EE4">
      <w:pPr>
        <w:pStyle w:val="ListParagraph"/>
        <w:numPr>
          <w:ilvl w:val="0"/>
          <w:numId w:val="49"/>
        </w:numPr>
        <w:ind w:left="2520"/>
        <w:rPr>
          <w:rFonts w:ascii="Times New Roman" w:hAnsi="Times New Roman"/>
          <w:sz w:val="20"/>
          <w:szCs w:val="20"/>
        </w:rPr>
      </w:pPr>
      <w:r w:rsidRPr="008E5CC5">
        <w:rPr>
          <w:rFonts w:ascii="Times New Roman" w:hAnsi="Times New Roman"/>
          <w:sz w:val="20"/>
          <w:szCs w:val="20"/>
        </w:rPr>
        <w:t>Based on negative ranks</w:t>
      </w:r>
    </w:p>
    <w:p w:rsidR="00685EE4" w:rsidRDefault="00685EE4" w:rsidP="00685EE4">
      <w:pPr>
        <w:pStyle w:val="ListParagraph"/>
        <w:numPr>
          <w:ilvl w:val="0"/>
          <w:numId w:val="49"/>
        </w:numPr>
        <w:ind w:left="2520"/>
        <w:rPr>
          <w:rFonts w:ascii="Times New Roman" w:hAnsi="Times New Roman"/>
          <w:sz w:val="20"/>
          <w:szCs w:val="20"/>
        </w:rPr>
      </w:pPr>
      <w:r w:rsidRPr="008E5CC5">
        <w:rPr>
          <w:rFonts w:ascii="Times New Roman" w:hAnsi="Times New Roman"/>
          <w:sz w:val="20"/>
          <w:szCs w:val="20"/>
        </w:rPr>
        <w:t>Based on positive ranks</w:t>
      </w:r>
    </w:p>
    <w:p w:rsidR="00685EE4" w:rsidRDefault="00685EE4" w:rsidP="00685EE4">
      <w:pPr>
        <w:pStyle w:val="ListParagraph"/>
        <w:numPr>
          <w:ilvl w:val="0"/>
          <w:numId w:val="49"/>
        </w:numPr>
        <w:ind w:left="2520"/>
        <w:rPr>
          <w:rFonts w:ascii="Times New Roman" w:hAnsi="Times New Roman"/>
          <w:sz w:val="20"/>
          <w:szCs w:val="20"/>
        </w:rPr>
      </w:pPr>
      <w:r w:rsidRPr="00685EE4">
        <w:rPr>
          <w:rFonts w:ascii="Times New Roman" w:hAnsi="Times New Roman"/>
          <w:sz w:val="20"/>
          <w:szCs w:val="20"/>
        </w:rPr>
        <w:t>The sum of negative ranks equals the sum of positive ranks</w:t>
      </w:r>
    </w:p>
    <w:p w:rsidR="00685EE4" w:rsidRPr="00685EE4" w:rsidRDefault="00685EE4" w:rsidP="004009AB">
      <w:pPr>
        <w:pStyle w:val="APA"/>
      </w:pPr>
    </w:p>
    <w:sectPr w:rsidR="00685EE4" w:rsidRPr="00685EE4" w:rsidSect="00DA6936">
      <w:headerReference w:type="default" r:id="rId39"/>
      <w:footerReference w:type="default" r:id="rId40"/>
      <w:headerReference w:type="first" r:id="rId41"/>
      <w:pgSz w:w="12240" w:h="15840" w:code="1"/>
      <w:pgMar w:top="1872" w:right="1440" w:bottom="1440" w:left="2160" w:header="1440" w:footer="1440" w:gutter="0"/>
      <w:pgNumType w:start="1"/>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7E90" w:rsidRDefault="00F77E90">
      <w:r>
        <w:separator/>
      </w:r>
    </w:p>
  </w:endnote>
  <w:endnote w:type="continuationSeparator" w:id="0">
    <w:p w:rsidR="00F77E90" w:rsidRDefault="00F77E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4E39" w:rsidRDefault="003E4E39" w:rsidP="00872C3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3E4E39" w:rsidRDefault="003E4E3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4E39" w:rsidRDefault="003E4E39">
    <w:pPr>
      <w:pStyle w:val="Footer"/>
      <w:ind w:right="360" w:firstLine="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4E39" w:rsidRDefault="003E4E39" w:rsidP="005B1DC6">
    <w:pPr>
      <w:pStyle w:val="Footer"/>
      <w:tabs>
        <w:tab w:val="clear" w:pos="4320"/>
      </w:tabs>
      <w:ind w:firstLine="0"/>
      <w:jc w:val="center"/>
    </w:pPr>
    <w:r>
      <w:fldChar w:fldCharType="begin"/>
    </w:r>
    <w:r>
      <w:instrText xml:space="preserve"> PAGE  \* roman  \* MERGEFORMAT </w:instrText>
    </w:r>
    <w:r>
      <w:fldChar w:fldCharType="separate"/>
    </w:r>
    <w:r w:rsidR="009726C7">
      <w:rPr>
        <w:noProof/>
      </w:rPr>
      <w:t>v</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4E39" w:rsidRDefault="003E4E39">
    <w:pPr>
      <w:pStyle w:val="Footer"/>
      <w:ind w:right="360" w:firstLin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7E90" w:rsidRDefault="00F77E90">
      <w:r>
        <w:separator/>
      </w:r>
    </w:p>
  </w:footnote>
  <w:footnote w:type="continuationSeparator" w:id="0">
    <w:p w:rsidR="00F77E90" w:rsidRDefault="00F77E9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4E39" w:rsidRDefault="003E4E39" w:rsidP="00C03DF4">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3E4E39" w:rsidRDefault="003E4E39" w:rsidP="00687E0E">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4E39" w:rsidRDefault="003E4E39">
    <w:pPr>
      <w:ind w:right="360"/>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068096"/>
      <w:docPartObj>
        <w:docPartGallery w:val="Page Numbers (Top of Page)"/>
        <w:docPartUnique/>
      </w:docPartObj>
    </w:sdtPr>
    <w:sdtEndPr>
      <w:rPr>
        <w:noProof/>
      </w:rPr>
    </w:sdtEndPr>
    <w:sdtContent>
      <w:p w:rsidR="003E4E39" w:rsidRDefault="003E4E39">
        <w:pPr>
          <w:pStyle w:val="Header"/>
          <w:jc w:val="right"/>
        </w:pPr>
        <w:r>
          <w:fldChar w:fldCharType="begin"/>
        </w:r>
        <w:r>
          <w:instrText xml:space="preserve"> PAGE   \* MERGEFORMAT </w:instrText>
        </w:r>
        <w:r>
          <w:fldChar w:fldCharType="separate"/>
        </w:r>
        <w:r>
          <w:rPr>
            <w:noProof/>
          </w:rPr>
          <w:t>1</w:t>
        </w:r>
        <w:r>
          <w:rPr>
            <w:noProof/>
          </w:rPr>
          <w:fldChar w:fldCharType="end"/>
        </w:r>
      </w:p>
    </w:sdtContent>
  </w:sdt>
  <w:p w:rsidR="003E4E39" w:rsidRDefault="003E4E39">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4E39" w:rsidRDefault="003E4E39" w:rsidP="004C5D1F">
    <w:pPr>
      <w:pStyle w:val="Header"/>
    </w:pPr>
  </w:p>
  <w:p w:rsidR="003E4E39" w:rsidRDefault="003E4E39">
    <w:pPr>
      <w:ind w:right="360"/>
      <w:jc w:val="righ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4E39" w:rsidRDefault="003E4E39" w:rsidP="00154CBD">
    <w:pPr>
      <w:pStyle w:val="Header"/>
      <w:jc w:val="right"/>
    </w:pPr>
    <w:r>
      <w:fldChar w:fldCharType="begin"/>
    </w:r>
    <w:r>
      <w:instrText xml:space="preserve"> PAGE   \* MERGEFORMAT </w:instrText>
    </w:r>
    <w:r>
      <w:fldChar w:fldCharType="separate"/>
    </w:r>
    <w:r w:rsidR="009726C7">
      <w:rPr>
        <w:noProof/>
      </w:rPr>
      <w:t>10</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4E39" w:rsidRDefault="003E4E39">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9A84604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0504A312"/>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87704D7A"/>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CC4889FE"/>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458A199C"/>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3794A51A"/>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64ACA1B6"/>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376A2EB8"/>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9A1E1426"/>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EF9E0B12"/>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70A00B4C"/>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0212985"/>
    <w:multiLevelType w:val="hybridMultilevel"/>
    <w:tmpl w:val="63DC8C26"/>
    <w:lvl w:ilvl="0" w:tplc="04090019">
      <w:start w:val="1"/>
      <w:numFmt w:val="lowerLetter"/>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2" w15:restartNumberingAfterBreak="0">
    <w:nsid w:val="02EA0364"/>
    <w:multiLevelType w:val="hybridMultilevel"/>
    <w:tmpl w:val="31C6FBF8"/>
    <w:lvl w:ilvl="0" w:tplc="F1F49ED8">
      <w:start w:val="1"/>
      <w:numFmt w:val="lowerRoman"/>
      <w:lvlText w:val="%1."/>
      <w:lvlJc w:val="left"/>
      <w:pPr>
        <w:ind w:left="2300" w:hanging="720"/>
      </w:pPr>
      <w:rPr>
        <w:rFonts w:hint="default"/>
      </w:rPr>
    </w:lvl>
    <w:lvl w:ilvl="1" w:tplc="04090019">
      <w:start w:val="1"/>
      <w:numFmt w:val="lowerLetter"/>
      <w:lvlText w:val="%2."/>
      <w:lvlJc w:val="left"/>
      <w:pPr>
        <w:ind w:left="2660" w:hanging="360"/>
      </w:pPr>
    </w:lvl>
    <w:lvl w:ilvl="2" w:tplc="0409001B" w:tentative="1">
      <w:start w:val="1"/>
      <w:numFmt w:val="lowerRoman"/>
      <w:lvlText w:val="%3."/>
      <w:lvlJc w:val="right"/>
      <w:pPr>
        <w:ind w:left="3380" w:hanging="180"/>
      </w:pPr>
    </w:lvl>
    <w:lvl w:ilvl="3" w:tplc="0409000F" w:tentative="1">
      <w:start w:val="1"/>
      <w:numFmt w:val="decimal"/>
      <w:lvlText w:val="%4."/>
      <w:lvlJc w:val="left"/>
      <w:pPr>
        <w:ind w:left="4100" w:hanging="360"/>
      </w:pPr>
    </w:lvl>
    <w:lvl w:ilvl="4" w:tplc="04090019" w:tentative="1">
      <w:start w:val="1"/>
      <w:numFmt w:val="lowerLetter"/>
      <w:lvlText w:val="%5."/>
      <w:lvlJc w:val="left"/>
      <w:pPr>
        <w:ind w:left="4820" w:hanging="360"/>
      </w:pPr>
    </w:lvl>
    <w:lvl w:ilvl="5" w:tplc="0409001B" w:tentative="1">
      <w:start w:val="1"/>
      <w:numFmt w:val="lowerRoman"/>
      <w:lvlText w:val="%6."/>
      <w:lvlJc w:val="right"/>
      <w:pPr>
        <w:ind w:left="5540" w:hanging="180"/>
      </w:pPr>
    </w:lvl>
    <w:lvl w:ilvl="6" w:tplc="0409000F" w:tentative="1">
      <w:start w:val="1"/>
      <w:numFmt w:val="decimal"/>
      <w:lvlText w:val="%7."/>
      <w:lvlJc w:val="left"/>
      <w:pPr>
        <w:ind w:left="6260" w:hanging="360"/>
      </w:pPr>
    </w:lvl>
    <w:lvl w:ilvl="7" w:tplc="04090019" w:tentative="1">
      <w:start w:val="1"/>
      <w:numFmt w:val="lowerLetter"/>
      <w:lvlText w:val="%8."/>
      <w:lvlJc w:val="left"/>
      <w:pPr>
        <w:ind w:left="6980" w:hanging="360"/>
      </w:pPr>
    </w:lvl>
    <w:lvl w:ilvl="8" w:tplc="0409001B" w:tentative="1">
      <w:start w:val="1"/>
      <w:numFmt w:val="lowerRoman"/>
      <w:lvlText w:val="%9."/>
      <w:lvlJc w:val="right"/>
      <w:pPr>
        <w:ind w:left="7700" w:hanging="180"/>
      </w:pPr>
    </w:lvl>
  </w:abstractNum>
  <w:abstractNum w:abstractNumId="13" w15:restartNumberingAfterBreak="0">
    <w:nsid w:val="050E13B6"/>
    <w:multiLevelType w:val="hybridMultilevel"/>
    <w:tmpl w:val="06762FCA"/>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CAA792A"/>
    <w:multiLevelType w:val="hybridMultilevel"/>
    <w:tmpl w:val="8A22A6C0"/>
    <w:lvl w:ilvl="0" w:tplc="A3D0E39A">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FFA1D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0A53303"/>
    <w:multiLevelType w:val="hybridMultilevel"/>
    <w:tmpl w:val="92BE12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2075247"/>
    <w:multiLevelType w:val="hybridMultilevel"/>
    <w:tmpl w:val="134CB3FA"/>
    <w:lvl w:ilvl="0" w:tplc="000F0409">
      <w:start w:val="1"/>
      <w:numFmt w:val="decimal"/>
      <w:lvlText w:val="%1."/>
      <w:lvlJc w:val="left"/>
      <w:pPr>
        <w:tabs>
          <w:tab w:val="num" w:pos="1080"/>
        </w:tabs>
        <w:ind w:left="1080" w:hanging="360"/>
      </w:pPr>
    </w:lvl>
    <w:lvl w:ilvl="1" w:tplc="00190409" w:tentative="1">
      <w:start w:val="1"/>
      <w:numFmt w:val="lowerLetter"/>
      <w:lvlText w:val="%2."/>
      <w:lvlJc w:val="left"/>
      <w:pPr>
        <w:tabs>
          <w:tab w:val="num" w:pos="1800"/>
        </w:tabs>
        <w:ind w:left="1800" w:hanging="360"/>
      </w:pPr>
    </w:lvl>
    <w:lvl w:ilvl="2" w:tplc="001B0409" w:tentative="1">
      <w:start w:val="1"/>
      <w:numFmt w:val="lowerRoman"/>
      <w:lvlText w:val="%3."/>
      <w:lvlJc w:val="right"/>
      <w:pPr>
        <w:tabs>
          <w:tab w:val="num" w:pos="2520"/>
        </w:tabs>
        <w:ind w:left="2520" w:hanging="180"/>
      </w:pPr>
    </w:lvl>
    <w:lvl w:ilvl="3" w:tplc="000F0409" w:tentative="1">
      <w:start w:val="1"/>
      <w:numFmt w:val="decimal"/>
      <w:lvlText w:val="%4."/>
      <w:lvlJc w:val="left"/>
      <w:pPr>
        <w:tabs>
          <w:tab w:val="num" w:pos="3240"/>
        </w:tabs>
        <w:ind w:left="3240" w:hanging="360"/>
      </w:pPr>
    </w:lvl>
    <w:lvl w:ilvl="4" w:tplc="00190409" w:tentative="1">
      <w:start w:val="1"/>
      <w:numFmt w:val="lowerLetter"/>
      <w:lvlText w:val="%5."/>
      <w:lvlJc w:val="left"/>
      <w:pPr>
        <w:tabs>
          <w:tab w:val="num" w:pos="3960"/>
        </w:tabs>
        <w:ind w:left="3960" w:hanging="360"/>
      </w:pPr>
    </w:lvl>
    <w:lvl w:ilvl="5" w:tplc="001B0409" w:tentative="1">
      <w:start w:val="1"/>
      <w:numFmt w:val="lowerRoman"/>
      <w:lvlText w:val="%6."/>
      <w:lvlJc w:val="right"/>
      <w:pPr>
        <w:tabs>
          <w:tab w:val="num" w:pos="4680"/>
        </w:tabs>
        <w:ind w:left="4680" w:hanging="180"/>
      </w:pPr>
    </w:lvl>
    <w:lvl w:ilvl="6" w:tplc="000F0409" w:tentative="1">
      <w:start w:val="1"/>
      <w:numFmt w:val="decimal"/>
      <w:lvlText w:val="%7."/>
      <w:lvlJc w:val="left"/>
      <w:pPr>
        <w:tabs>
          <w:tab w:val="num" w:pos="5400"/>
        </w:tabs>
        <w:ind w:left="5400" w:hanging="360"/>
      </w:pPr>
    </w:lvl>
    <w:lvl w:ilvl="7" w:tplc="00190409" w:tentative="1">
      <w:start w:val="1"/>
      <w:numFmt w:val="lowerLetter"/>
      <w:lvlText w:val="%8."/>
      <w:lvlJc w:val="left"/>
      <w:pPr>
        <w:tabs>
          <w:tab w:val="num" w:pos="6120"/>
        </w:tabs>
        <w:ind w:left="6120" w:hanging="360"/>
      </w:pPr>
    </w:lvl>
    <w:lvl w:ilvl="8" w:tplc="001B0409" w:tentative="1">
      <w:start w:val="1"/>
      <w:numFmt w:val="lowerRoman"/>
      <w:lvlText w:val="%9."/>
      <w:lvlJc w:val="right"/>
      <w:pPr>
        <w:tabs>
          <w:tab w:val="num" w:pos="6840"/>
        </w:tabs>
        <w:ind w:left="6840" w:hanging="180"/>
      </w:pPr>
    </w:lvl>
  </w:abstractNum>
  <w:abstractNum w:abstractNumId="18" w15:restartNumberingAfterBreak="0">
    <w:nsid w:val="1302715E"/>
    <w:multiLevelType w:val="hybridMultilevel"/>
    <w:tmpl w:val="F1502374"/>
    <w:lvl w:ilvl="0" w:tplc="04090001">
      <w:start w:val="1"/>
      <w:numFmt w:val="bullet"/>
      <w:lvlText w:val=""/>
      <w:lvlJc w:val="left"/>
      <w:pPr>
        <w:ind w:left="1724" w:hanging="360"/>
      </w:pPr>
      <w:rPr>
        <w:rFonts w:ascii="Symbol" w:hAnsi="Symbol" w:hint="default"/>
      </w:rPr>
    </w:lvl>
    <w:lvl w:ilvl="1" w:tplc="04090003" w:tentative="1">
      <w:start w:val="1"/>
      <w:numFmt w:val="bullet"/>
      <w:lvlText w:val="o"/>
      <w:lvlJc w:val="left"/>
      <w:pPr>
        <w:ind w:left="2444" w:hanging="360"/>
      </w:pPr>
      <w:rPr>
        <w:rFonts w:ascii="Courier New" w:hAnsi="Courier New" w:cs="Courier New" w:hint="default"/>
      </w:rPr>
    </w:lvl>
    <w:lvl w:ilvl="2" w:tplc="04090005" w:tentative="1">
      <w:start w:val="1"/>
      <w:numFmt w:val="bullet"/>
      <w:lvlText w:val=""/>
      <w:lvlJc w:val="left"/>
      <w:pPr>
        <w:ind w:left="3164" w:hanging="360"/>
      </w:pPr>
      <w:rPr>
        <w:rFonts w:ascii="Wingdings" w:hAnsi="Wingdings" w:hint="default"/>
      </w:rPr>
    </w:lvl>
    <w:lvl w:ilvl="3" w:tplc="04090001" w:tentative="1">
      <w:start w:val="1"/>
      <w:numFmt w:val="bullet"/>
      <w:lvlText w:val=""/>
      <w:lvlJc w:val="left"/>
      <w:pPr>
        <w:ind w:left="3884" w:hanging="360"/>
      </w:pPr>
      <w:rPr>
        <w:rFonts w:ascii="Symbol" w:hAnsi="Symbol" w:hint="default"/>
      </w:rPr>
    </w:lvl>
    <w:lvl w:ilvl="4" w:tplc="04090003" w:tentative="1">
      <w:start w:val="1"/>
      <w:numFmt w:val="bullet"/>
      <w:lvlText w:val="o"/>
      <w:lvlJc w:val="left"/>
      <w:pPr>
        <w:ind w:left="4604" w:hanging="360"/>
      </w:pPr>
      <w:rPr>
        <w:rFonts w:ascii="Courier New" w:hAnsi="Courier New" w:cs="Courier New" w:hint="default"/>
      </w:rPr>
    </w:lvl>
    <w:lvl w:ilvl="5" w:tplc="04090005" w:tentative="1">
      <w:start w:val="1"/>
      <w:numFmt w:val="bullet"/>
      <w:lvlText w:val=""/>
      <w:lvlJc w:val="left"/>
      <w:pPr>
        <w:ind w:left="5324" w:hanging="360"/>
      </w:pPr>
      <w:rPr>
        <w:rFonts w:ascii="Wingdings" w:hAnsi="Wingdings" w:hint="default"/>
      </w:rPr>
    </w:lvl>
    <w:lvl w:ilvl="6" w:tplc="04090001" w:tentative="1">
      <w:start w:val="1"/>
      <w:numFmt w:val="bullet"/>
      <w:lvlText w:val=""/>
      <w:lvlJc w:val="left"/>
      <w:pPr>
        <w:ind w:left="6044" w:hanging="360"/>
      </w:pPr>
      <w:rPr>
        <w:rFonts w:ascii="Symbol" w:hAnsi="Symbol" w:hint="default"/>
      </w:rPr>
    </w:lvl>
    <w:lvl w:ilvl="7" w:tplc="04090003" w:tentative="1">
      <w:start w:val="1"/>
      <w:numFmt w:val="bullet"/>
      <w:lvlText w:val="o"/>
      <w:lvlJc w:val="left"/>
      <w:pPr>
        <w:ind w:left="6764" w:hanging="360"/>
      </w:pPr>
      <w:rPr>
        <w:rFonts w:ascii="Courier New" w:hAnsi="Courier New" w:cs="Courier New" w:hint="default"/>
      </w:rPr>
    </w:lvl>
    <w:lvl w:ilvl="8" w:tplc="04090005" w:tentative="1">
      <w:start w:val="1"/>
      <w:numFmt w:val="bullet"/>
      <w:lvlText w:val=""/>
      <w:lvlJc w:val="left"/>
      <w:pPr>
        <w:ind w:left="7484" w:hanging="360"/>
      </w:pPr>
      <w:rPr>
        <w:rFonts w:ascii="Wingdings" w:hAnsi="Wingdings" w:hint="default"/>
      </w:rPr>
    </w:lvl>
  </w:abstractNum>
  <w:abstractNum w:abstractNumId="19" w15:restartNumberingAfterBreak="0">
    <w:nsid w:val="16777F1D"/>
    <w:multiLevelType w:val="multilevel"/>
    <w:tmpl w:val="0A0247F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17CC1178"/>
    <w:multiLevelType w:val="hybridMultilevel"/>
    <w:tmpl w:val="3F0E809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192D0E15"/>
    <w:multiLevelType w:val="hybridMultilevel"/>
    <w:tmpl w:val="44EEAC6A"/>
    <w:lvl w:ilvl="0" w:tplc="7CB492B8">
      <w:start w:val="1"/>
      <w:numFmt w:val="lowerRoman"/>
      <w:lvlText w:val="%1."/>
      <w:lvlJc w:val="left"/>
      <w:pPr>
        <w:ind w:left="2300" w:hanging="720"/>
      </w:pPr>
      <w:rPr>
        <w:rFonts w:hint="default"/>
      </w:rPr>
    </w:lvl>
    <w:lvl w:ilvl="1" w:tplc="04090019" w:tentative="1">
      <w:start w:val="1"/>
      <w:numFmt w:val="lowerLetter"/>
      <w:lvlText w:val="%2."/>
      <w:lvlJc w:val="left"/>
      <w:pPr>
        <w:ind w:left="2660" w:hanging="360"/>
      </w:pPr>
    </w:lvl>
    <w:lvl w:ilvl="2" w:tplc="0409001B" w:tentative="1">
      <w:start w:val="1"/>
      <w:numFmt w:val="lowerRoman"/>
      <w:lvlText w:val="%3."/>
      <w:lvlJc w:val="right"/>
      <w:pPr>
        <w:ind w:left="3380" w:hanging="180"/>
      </w:pPr>
    </w:lvl>
    <w:lvl w:ilvl="3" w:tplc="0409000F" w:tentative="1">
      <w:start w:val="1"/>
      <w:numFmt w:val="decimal"/>
      <w:lvlText w:val="%4."/>
      <w:lvlJc w:val="left"/>
      <w:pPr>
        <w:ind w:left="4100" w:hanging="360"/>
      </w:pPr>
    </w:lvl>
    <w:lvl w:ilvl="4" w:tplc="04090019" w:tentative="1">
      <w:start w:val="1"/>
      <w:numFmt w:val="lowerLetter"/>
      <w:lvlText w:val="%5."/>
      <w:lvlJc w:val="left"/>
      <w:pPr>
        <w:ind w:left="4820" w:hanging="360"/>
      </w:pPr>
    </w:lvl>
    <w:lvl w:ilvl="5" w:tplc="0409001B" w:tentative="1">
      <w:start w:val="1"/>
      <w:numFmt w:val="lowerRoman"/>
      <w:lvlText w:val="%6."/>
      <w:lvlJc w:val="right"/>
      <w:pPr>
        <w:ind w:left="5540" w:hanging="180"/>
      </w:pPr>
    </w:lvl>
    <w:lvl w:ilvl="6" w:tplc="0409000F" w:tentative="1">
      <w:start w:val="1"/>
      <w:numFmt w:val="decimal"/>
      <w:lvlText w:val="%7."/>
      <w:lvlJc w:val="left"/>
      <w:pPr>
        <w:ind w:left="6260" w:hanging="360"/>
      </w:pPr>
    </w:lvl>
    <w:lvl w:ilvl="7" w:tplc="04090019" w:tentative="1">
      <w:start w:val="1"/>
      <w:numFmt w:val="lowerLetter"/>
      <w:lvlText w:val="%8."/>
      <w:lvlJc w:val="left"/>
      <w:pPr>
        <w:ind w:left="6980" w:hanging="360"/>
      </w:pPr>
    </w:lvl>
    <w:lvl w:ilvl="8" w:tplc="0409001B" w:tentative="1">
      <w:start w:val="1"/>
      <w:numFmt w:val="lowerRoman"/>
      <w:lvlText w:val="%9."/>
      <w:lvlJc w:val="right"/>
      <w:pPr>
        <w:ind w:left="7700" w:hanging="180"/>
      </w:pPr>
    </w:lvl>
  </w:abstractNum>
  <w:abstractNum w:abstractNumId="22" w15:restartNumberingAfterBreak="0">
    <w:nsid w:val="244D56BE"/>
    <w:multiLevelType w:val="hybridMultilevel"/>
    <w:tmpl w:val="1332E764"/>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3" w15:restartNumberingAfterBreak="0">
    <w:nsid w:val="26332AE6"/>
    <w:multiLevelType w:val="hybridMultilevel"/>
    <w:tmpl w:val="DB38A4BE"/>
    <w:lvl w:ilvl="0" w:tplc="FB5ED31E">
      <w:start w:val="1"/>
      <w:numFmt w:val="lowerRoman"/>
      <w:lvlText w:val="%1."/>
      <w:lvlJc w:val="left"/>
      <w:pPr>
        <w:ind w:left="2300" w:hanging="720"/>
      </w:pPr>
      <w:rPr>
        <w:rFonts w:hint="default"/>
      </w:rPr>
    </w:lvl>
    <w:lvl w:ilvl="1" w:tplc="04090019" w:tentative="1">
      <w:start w:val="1"/>
      <w:numFmt w:val="lowerLetter"/>
      <w:lvlText w:val="%2."/>
      <w:lvlJc w:val="left"/>
      <w:pPr>
        <w:ind w:left="2660" w:hanging="360"/>
      </w:pPr>
    </w:lvl>
    <w:lvl w:ilvl="2" w:tplc="0409001B" w:tentative="1">
      <w:start w:val="1"/>
      <w:numFmt w:val="lowerRoman"/>
      <w:lvlText w:val="%3."/>
      <w:lvlJc w:val="right"/>
      <w:pPr>
        <w:ind w:left="3380" w:hanging="180"/>
      </w:pPr>
    </w:lvl>
    <w:lvl w:ilvl="3" w:tplc="0409000F" w:tentative="1">
      <w:start w:val="1"/>
      <w:numFmt w:val="decimal"/>
      <w:lvlText w:val="%4."/>
      <w:lvlJc w:val="left"/>
      <w:pPr>
        <w:ind w:left="4100" w:hanging="360"/>
      </w:pPr>
    </w:lvl>
    <w:lvl w:ilvl="4" w:tplc="04090019" w:tentative="1">
      <w:start w:val="1"/>
      <w:numFmt w:val="lowerLetter"/>
      <w:lvlText w:val="%5."/>
      <w:lvlJc w:val="left"/>
      <w:pPr>
        <w:ind w:left="4820" w:hanging="360"/>
      </w:pPr>
    </w:lvl>
    <w:lvl w:ilvl="5" w:tplc="0409001B" w:tentative="1">
      <w:start w:val="1"/>
      <w:numFmt w:val="lowerRoman"/>
      <w:lvlText w:val="%6."/>
      <w:lvlJc w:val="right"/>
      <w:pPr>
        <w:ind w:left="5540" w:hanging="180"/>
      </w:pPr>
    </w:lvl>
    <w:lvl w:ilvl="6" w:tplc="0409000F" w:tentative="1">
      <w:start w:val="1"/>
      <w:numFmt w:val="decimal"/>
      <w:lvlText w:val="%7."/>
      <w:lvlJc w:val="left"/>
      <w:pPr>
        <w:ind w:left="6260" w:hanging="360"/>
      </w:pPr>
    </w:lvl>
    <w:lvl w:ilvl="7" w:tplc="04090019" w:tentative="1">
      <w:start w:val="1"/>
      <w:numFmt w:val="lowerLetter"/>
      <w:lvlText w:val="%8."/>
      <w:lvlJc w:val="left"/>
      <w:pPr>
        <w:ind w:left="6980" w:hanging="360"/>
      </w:pPr>
    </w:lvl>
    <w:lvl w:ilvl="8" w:tplc="0409001B" w:tentative="1">
      <w:start w:val="1"/>
      <w:numFmt w:val="lowerRoman"/>
      <w:lvlText w:val="%9."/>
      <w:lvlJc w:val="right"/>
      <w:pPr>
        <w:ind w:left="7700" w:hanging="180"/>
      </w:pPr>
    </w:lvl>
  </w:abstractNum>
  <w:abstractNum w:abstractNumId="24" w15:restartNumberingAfterBreak="0">
    <w:nsid w:val="2B592C24"/>
    <w:multiLevelType w:val="hybridMultilevel"/>
    <w:tmpl w:val="748CC0CE"/>
    <w:lvl w:ilvl="0" w:tplc="46B61790">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15:restartNumberingAfterBreak="0">
    <w:nsid w:val="2D445157"/>
    <w:multiLevelType w:val="hybridMultilevel"/>
    <w:tmpl w:val="46C2179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308B043F"/>
    <w:multiLevelType w:val="hybridMultilevel"/>
    <w:tmpl w:val="35B6E1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0FE3C6B"/>
    <w:multiLevelType w:val="hybridMultilevel"/>
    <w:tmpl w:val="15ACBF66"/>
    <w:lvl w:ilvl="0" w:tplc="BD58725E">
      <w:start w:val="1"/>
      <w:numFmt w:val="lowerRoman"/>
      <w:lvlText w:val="%1."/>
      <w:lvlJc w:val="left"/>
      <w:pPr>
        <w:ind w:left="1890" w:hanging="72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28" w15:restartNumberingAfterBreak="0">
    <w:nsid w:val="33197A2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8566F4D"/>
    <w:multiLevelType w:val="hybridMultilevel"/>
    <w:tmpl w:val="DDF80B9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3A394ED6"/>
    <w:multiLevelType w:val="hybridMultilevel"/>
    <w:tmpl w:val="A0383620"/>
    <w:lvl w:ilvl="0" w:tplc="04090001">
      <w:start w:val="1"/>
      <w:numFmt w:val="bullet"/>
      <w:lvlText w:val=""/>
      <w:lvlJc w:val="left"/>
      <w:pPr>
        <w:ind w:left="1724" w:hanging="360"/>
      </w:pPr>
      <w:rPr>
        <w:rFonts w:ascii="Symbol" w:hAnsi="Symbol" w:hint="default"/>
      </w:rPr>
    </w:lvl>
    <w:lvl w:ilvl="1" w:tplc="04090003" w:tentative="1">
      <w:start w:val="1"/>
      <w:numFmt w:val="bullet"/>
      <w:lvlText w:val="o"/>
      <w:lvlJc w:val="left"/>
      <w:pPr>
        <w:ind w:left="2444" w:hanging="360"/>
      </w:pPr>
      <w:rPr>
        <w:rFonts w:ascii="Courier New" w:hAnsi="Courier New" w:cs="Courier New" w:hint="default"/>
      </w:rPr>
    </w:lvl>
    <w:lvl w:ilvl="2" w:tplc="04090005" w:tentative="1">
      <w:start w:val="1"/>
      <w:numFmt w:val="bullet"/>
      <w:lvlText w:val=""/>
      <w:lvlJc w:val="left"/>
      <w:pPr>
        <w:ind w:left="3164" w:hanging="360"/>
      </w:pPr>
      <w:rPr>
        <w:rFonts w:ascii="Wingdings" w:hAnsi="Wingdings" w:hint="default"/>
      </w:rPr>
    </w:lvl>
    <w:lvl w:ilvl="3" w:tplc="04090001" w:tentative="1">
      <w:start w:val="1"/>
      <w:numFmt w:val="bullet"/>
      <w:lvlText w:val=""/>
      <w:lvlJc w:val="left"/>
      <w:pPr>
        <w:ind w:left="3884" w:hanging="360"/>
      </w:pPr>
      <w:rPr>
        <w:rFonts w:ascii="Symbol" w:hAnsi="Symbol" w:hint="default"/>
      </w:rPr>
    </w:lvl>
    <w:lvl w:ilvl="4" w:tplc="04090003" w:tentative="1">
      <w:start w:val="1"/>
      <w:numFmt w:val="bullet"/>
      <w:lvlText w:val="o"/>
      <w:lvlJc w:val="left"/>
      <w:pPr>
        <w:ind w:left="4604" w:hanging="360"/>
      </w:pPr>
      <w:rPr>
        <w:rFonts w:ascii="Courier New" w:hAnsi="Courier New" w:cs="Courier New" w:hint="default"/>
      </w:rPr>
    </w:lvl>
    <w:lvl w:ilvl="5" w:tplc="04090005" w:tentative="1">
      <w:start w:val="1"/>
      <w:numFmt w:val="bullet"/>
      <w:lvlText w:val=""/>
      <w:lvlJc w:val="left"/>
      <w:pPr>
        <w:ind w:left="5324" w:hanging="360"/>
      </w:pPr>
      <w:rPr>
        <w:rFonts w:ascii="Wingdings" w:hAnsi="Wingdings" w:hint="default"/>
      </w:rPr>
    </w:lvl>
    <w:lvl w:ilvl="6" w:tplc="04090001" w:tentative="1">
      <w:start w:val="1"/>
      <w:numFmt w:val="bullet"/>
      <w:lvlText w:val=""/>
      <w:lvlJc w:val="left"/>
      <w:pPr>
        <w:ind w:left="6044" w:hanging="360"/>
      </w:pPr>
      <w:rPr>
        <w:rFonts w:ascii="Symbol" w:hAnsi="Symbol" w:hint="default"/>
      </w:rPr>
    </w:lvl>
    <w:lvl w:ilvl="7" w:tplc="04090003" w:tentative="1">
      <w:start w:val="1"/>
      <w:numFmt w:val="bullet"/>
      <w:lvlText w:val="o"/>
      <w:lvlJc w:val="left"/>
      <w:pPr>
        <w:ind w:left="6764" w:hanging="360"/>
      </w:pPr>
      <w:rPr>
        <w:rFonts w:ascii="Courier New" w:hAnsi="Courier New" w:cs="Courier New" w:hint="default"/>
      </w:rPr>
    </w:lvl>
    <w:lvl w:ilvl="8" w:tplc="04090005" w:tentative="1">
      <w:start w:val="1"/>
      <w:numFmt w:val="bullet"/>
      <w:lvlText w:val=""/>
      <w:lvlJc w:val="left"/>
      <w:pPr>
        <w:ind w:left="7484" w:hanging="360"/>
      </w:pPr>
      <w:rPr>
        <w:rFonts w:ascii="Wingdings" w:hAnsi="Wingdings" w:hint="default"/>
      </w:rPr>
    </w:lvl>
  </w:abstractNum>
  <w:abstractNum w:abstractNumId="31" w15:restartNumberingAfterBreak="0">
    <w:nsid w:val="3D9E2402"/>
    <w:multiLevelType w:val="hybridMultilevel"/>
    <w:tmpl w:val="650AB252"/>
    <w:lvl w:ilvl="0" w:tplc="64AA599E">
      <w:start w:val="1"/>
      <w:numFmt w:val="lowerRoman"/>
      <w:lvlText w:val="%1."/>
      <w:lvlJc w:val="left"/>
      <w:pPr>
        <w:ind w:left="2340" w:hanging="720"/>
      </w:pPr>
      <w:rPr>
        <w:rFonts w:hint="default"/>
      </w:r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32" w15:restartNumberingAfterBreak="0">
    <w:nsid w:val="40A5468C"/>
    <w:multiLevelType w:val="hybridMultilevel"/>
    <w:tmpl w:val="63DC8C26"/>
    <w:lvl w:ilvl="0" w:tplc="04090019">
      <w:start w:val="1"/>
      <w:numFmt w:val="lowerLetter"/>
      <w:lvlText w:val="%1."/>
      <w:lvlJc w:val="left"/>
      <w:pPr>
        <w:ind w:left="5040" w:hanging="360"/>
      </w:pPr>
      <w:rPr>
        <w:rFonts w:hint="default"/>
      </w:rPr>
    </w:lvl>
    <w:lvl w:ilvl="1" w:tplc="04090019" w:tentative="1">
      <w:start w:val="1"/>
      <w:numFmt w:val="lowerLetter"/>
      <w:lvlText w:val="%2."/>
      <w:lvlJc w:val="left"/>
      <w:pPr>
        <w:ind w:left="5760" w:hanging="360"/>
      </w:pPr>
    </w:lvl>
    <w:lvl w:ilvl="2" w:tplc="0409001B" w:tentative="1">
      <w:start w:val="1"/>
      <w:numFmt w:val="lowerRoman"/>
      <w:lvlText w:val="%3."/>
      <w:lvlJc w:val="right"/>
      <w:pPr>
        <w:ind w:left="6480" w:hanging="180"/>
      </w:pPr>
    </w:lvl>
    <w:lvl w:ilvl="3" w:tplc="0409000F" w:tentative="1">
      <w:start w:val="1"/>
      <w:numFmt w:val="decimal"/>
      <w:lvlText w:val="%4."/>
      <w:lvlJc w:val="left"/>
      <w:pPr>
        <w:ind w:left="7200" w:hanging="360"/>
      </w:pPr>
    </w:lvl>
    <w:lvl w:ilvl="4" w:tplc="04090019" w:tentative="1">
      <w:start w:val="1"/>
      <w:numFmt w:val="lowerLetter"/>
      <w:lvlText w:val="%5."/>
      <w:lvlJc w:val="left"/>
      <w:pPr>
        <w:ind w:left="7920" w:hanging="360"/>
      </w:pPr>
    </w:lvl>
    <w:lvl w:ilvl="5" w:tplc="0409001B" w:tentative="1">
      <w:start w:val="1"/>
      <w:numFmt w:val="lowerRoman"/>
      <w:lvlText w:val="%6."/>
      <w:lvlJc w:val="right"/>
      <w:pPr>
        <w:ind w:left="8640" w:hanging="180"/>
      </w:pPr>
    </w:lvl>
    <w:lvl w:ilvl="6" w:tplc="0409000F" w:tentative="1">
      <w:start w:val="1"/>
      <w:numFmt w:val="decimal"/>
      <w:lvlText w:val="%7."/>
      <w:lvlJc w:val="left"/>
      <w:pPr>
        <w:ind w:left="9360" w:hanging="360"/>
      </w:pPr>
    </w:lvl>
    <w:lvl w:ilvl="7" w:tplc="04090019" w:tentative="1">
      <w:start w:val="1"/>
      <w:numFmt w:val="lowerLetter"/>
      <w:lvlText w:val="%8."/>
      <w:lvlJc w:val="left"/>
      <w:pPr>
        <w:ind w:left="10080" w:hanging="360"/>
      </w:pPr>
    </w:lvl>
    <w:lvl w:ilvl="8" w:tplc="0409001B" w:tentative="1">
      <w:start w:val="1"/>
      <w:numFmt w:val="lowerRoman"/>
      <w:lvlText w:val="%9."/>
      <w:lvlJc w:val="right"/>
      <w:pPr>
        <w:ind w:left="10800" w:hanging="180"/>
      </w:pPr>
    </w:lvl>
  </w:abstractNum>
  <w:abstractNum w:abstractNumId="33" w15:restartNumberingAfterBreak="0">
    <w:nsid w:val="46C959D2"/>
    <w:multiLevelType w:val="hybridMultilevel"/>
    <w:tmpl w:val="452AE4C0"/>
    <w:lvl w:ilvl="0" w:tplc="04090001">
      <w:start w:val="1"/>
      <w:numFmt w:val="bullet"/>
      <w:lvlText w:val=""/>
      <w:lvlJc w:val="left"/>
      <w:pPr>
        <w:ind w:left="1724" w:hanging="360"/>
      </w:pPr>
      <w:rPr>
        <w:rFonts w:ascii="Symbol" w:hAnsi="Symbol" w:hint="default"/>
      </w:rPr>
    </w:lvl>
    <w:lvl w:ilvl="1" w:tplc="04090003" w:tentative="1">
      <w:start w:val="1"/>
      <w:numFmt w:val="bullet"/>
      <w:lvlText w:val="o"/>
      <w:lvlJc w:val="left"/>
      <w:pPr>
        <w:ind w:left="2444" w:hanging="360"/>
      </w:pPr>
      <w:rPr>
        <w:rFonts w:ascii="Courier New" w:hAnsi="Courier New" w:cs="Courier New" w:hint="default"/>
      </w:rPr>
    </w:lvl>
    <w:lvl w:ilvl="2" w:tplc="04090005" w:tentative="1">
      <w:start w:val="1"/>
      <w:numFmt w:val="bullet"/>
      <w:lvlText w:val=""/>
      <w:lvlJc w:val="left"/>
      <w:pPr>
        <w:ind w:left="3164" w:hanging="360"/>
      </w:pPr>
      <w:rPr>
        <w:rFonts w:ascii="Wingdings" w:hAnsi="Wingdings" w:hint="default"/>
      </w:rPr>
    </w:lvl>
    <w:lvl w:ilvl="3" w:tplc="04090001" w:tentative="1">
      <w:start w:val="1"/>
      <w:numFmt w:val="bullet"/>
      <w:lvlText w:val=""/>
      <w:lvlJc w:val="left"/>
      <w:pPr>
        <w:ind w:left="3884" w:hanging="360"/>
      </w:pPr>
      <w:rPr>
        <w:rFonts w:ascii="Symbol" w:hAnsi="Symbol" w:hint="default"/>
      </w:rPr>
    </w:lvl>
    <w:lvl w:ilvl="4" w:tplc="04090003" w:tentative="1">
      <w:start w:val="1"/>
      <w:numFmt w:val="bullet"/>
      <w:lvlText w:val="o"/>
      <w:lvlJc w:val="left"/>
      <w:pPr>
        <w:ind w:left="4604" w:hanging="360"/>
      </w:pPr>
      <w:rPr>
        <w:rFonts w:ascii="Courier New" w:hAnsi="Courier New" w:cs="Courier New" w:hint="default"/>
      </w:rPr>
    </w:lvl>
    <w:lvl w:ilvl="5" w:tplc="04090005" w:tentative="1">
      <w:start w:val="1"/>
      <w:numFmt w:val="bullet"/>
      <w:lvlText w:val=""/>
      <w:lvlJc w:val="left"/>
      <w:pPr>
        <w:ind w:left="5324" w:hanging="360"/>
      </w:pPr>
      <w:rPr>
        <w:rFonts w:ascii="Wingdings" w:hAnsi="Wingdings" w:hint="default"/>
      </w:rPr>
    </w:lvl>
    <w:lvl w:ilvl="6" w:tplc="04090001" w:tentative="1">
      <w:start w:val="1"/>
      <w:numFmt w:val="bullet"/>
      <w:lvlText w:val=""/>
      <w:lvlJc w:val="left"/>
      <w:pPr>
        <w:ind w:left="6044" w:hanging="360"/>
      </w:pPr>
      <w:rPr>
        <w:rFonts w:ascii="Symbol" w:hAnsi="Symbol" w:hint="default"/>
      </w:rPr>
    </w:lvl>
    <w:lvl w:ilvl="7" w:tplc="04090003" w:tentative="1">
      <w:start w:val="1"/>
      <w:numFmt w:val="bullet"/>
      <w:lvlText w:val="o"/>
      <w:lvlJc w:val="left"/>
      <w:pPr>
        <w:ind w:left="6764" w:hanging="360"/>
      </w:pPr>
      <w:rPr>
        <w:rFonts w:ascii="Courier New" w:hAnsi="Courier New" w:cs="Courier New" w:hint="default"/>
      </w:rPr>
    </w:lvl>
    <w:lvl w:ilvl="8" w:tplc="04090005" w:tentative="1">
      <w:start w:val="1"/>
      <w:numFmt w:val="bullet"/>
      <w:lvlText w:val=""/>
      <w:lvlJc w:val="left"/>
      <w:pPr>
        <w:ind w:left="7484" w:hanging="360"/>
      </w:pPr>
      <w:rPr>
        <w:rFonts w:ascii="Wingdings" w:hAnsi="Wingdings" w:hint="default"/>
      </w:rPr>
    </w:lvl>
  </w:abstractNum>
  <w:abstractNum w:abstractNumId="34" w15:restartNumberingAfterBreak="0">
    <w:nsid w:val="48FD6000"/>
    <w:multiLevelType w:val="hybridMultilevel"/>
    <w:tmpl w:val="86CA631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4B5F4D96"/>
    <w:multiLevelType w:val="hybridMultilevel"/>
    <w:tmpl w:val="556EC1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4CA80F05"/>
    <w:multiLevelType w:val="multilevel"/>
    <w:tmpl w:val="1332E764"/>
    <w:lvl w:ilvl="0">
      <w:start w:val="1"/>
      <w:numFmt w:val="bullet"/>
      <w:lvlText w:val=""/>
      <w:lvlJc w:val="left"/>
      <w:pPr>
        <w:tabs>
          <w:tab w:val="num" w:pos="1440"/>
        </w:tabs>
        <w:ind w:left="1440" w:hanging="360"/>
      </w:pPr>
      <w:rPr>
        <w:rFonts w:ascii="Symbol" w:hAnsi="Symbol" w:hint="default"/>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37" w15:restartNumberingAfterBreak="0">
    <w:nsid w:val="5A9376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B080968"/>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pStyle w:val="Heading3"/>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39" w15:restartNumberingAfterBreak="0">
    <w:nsid w:val="5BFD39B1"/>
    <w:multiLevelType w:val="hybridMultilevel"/>
    <w:tmpl w:val="ECEA8BA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65EE1C69"/>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15:restartNumberingAfterBreak="0">
    <w:nsid w:val="6B212DD1"/>
    <w:multiLevelType w:val="hybridMultilevel"/>
    <w:tmpl w:val="AF5E418C"/>
    <w:lvl w:ilvl="0" w:tplc="8EC0E1B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E1A26ED"/>
    <w:multiLevelType w:val="hybridMultilevel"/>
    <w:tmpl w:val="D486921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3" w15:restartNumberingAfterBreak="0">
    <w:nsid w:val="6E8658EA"/>
    <w:multiLevelType w:val="hybridMultilevel"/>
    <w:tmpl w:val="BAE46164"/>
    <w:lvl w:ilvl="0" w:tplc="46B6179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F7A64CA"/>
    <w:multiLevelType w:val="hybridMultilevel"/>
    <w:tmpl w:val="B0A652D0"/>
    <w:lvl w:ilvl="0" w:tplc="6F72C218">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5" w15:restartNumberingAfterBreak="0">
    <w:nsid w:val="70971BEC"/>
    <w:multiLevelType w:val="hybridMultilevel"/>
    <w:tmpl w:val="B1FEEBE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7A347061"/>
    <w:multiLevelType w:val="hybridMultilevel"/>
    <w:tmpl w:val="6AFA53B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7" w15:restartNumberingAfterBreak="0">
    <w:nsid w:val="7AC242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3"/>
  </w:num>
  <w:num w:numId="2">
    <w:abstractNumId w:val="17"/>
  </w:num>
  <w:num w:numId="3">
    <w:abstractNumId w:val="14"/>
  </w:num>
  <w:num w:numId="4">
    <w:abstractNumId w:val="22"/>
  </w:num>
  <w:num w:numId="5">
    <w:abstractNumId w:val="19"/>
  </w:num>
  <w:num w:numId="6">
    <w:abstractNumId w:val="36"/>
  </w:num>
  <w:num w:numId="7">
    <w:abstractNumId w:val="44"/>
  </w:num>
  <w:num w:numId="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num>
  <w:num w:numId="11">
    <w:abstractNumId w:val="45"/>
  </w:num>
  <w:num w:numId="12">
    <w:abstractNumId w:val="41"/>
  </w:num>
  <w:num w:numId="13">
    <w:abstractNumId w:val="43"/>
  </w:num>
  <w:num w:numId="14">
    <w:abstractNumId w:val="35"/>
  </w:num>
  <w:num w:numId="15">
    <w:abstractNumId w:val="46"/>
  </w:num>
  <w:num w:numId="16">
    <w:abstractNumId w:val="25"/>
  </w:num>
  <w:num w:numId="17">
    <w:abstractNumId w:val="23"/>
  </w:num>
  <w:num w:numId="18">
    <w:abstractNumId w:val="31"/>
  </w:num>
  <w:num w:numId="19">
    <w:abstractNumId w:val="26"/>
  </w:num>
  <w:num w:numId="20">
    <w:abstractNumId w:val="33"/>
  </w:num>
  <w:num w:numId="21">
    <w:abstractNumId w:val="12"/>
  </w:num>
  <w:num w:numId="22">
    <w:abstractNumId w:val="18"/>
  </w:num>
  <w:num w:numId="23">
    <w:abstractNumId w:val="30"/>
  </w:num>
  <w:num w:numId="24">
    <w:abstractNumId w:val="27"/>
  </w:num>
  <w:num w:numId="25">
    <w:abstractNumId w:val="21"/>
  </w:num>
  <w:num w:numId="26">
    <w:abstractNumId w:val="20"/>
  </w:num>
  <w:num w:numId="27">
    <w:abstractNumId w:val="39"/>
  </w:num>
  <w:num w:numId="28">
    <w:abstractNumId w:val="0"/>
  </w:num>
  <w:num w:numId="29">
    <w:abstractNumId w:val="10"/>
  </w:num>
  <w:num w:numId="30">
    <w:abstractNumId w:val="8"/>
  </w:num>
  <w:num w:numId="31">
    <w:abstractNumId w:val="7"/>
  </w:num>
  <w:num w:numId="32">
    <w:abstractNumId w:val="6"/>
  </w:num>
  <w:num w:numId="33">
    <w:abstractNumId w:val="5"/>
  </w:num>
  <w:num w:numId="34">
    <w:abstractNumId w:val="9"/>
  </w:num>
  <w:num w:numId="35">
    <w:abstractNumId w:val="4"/>
  </w:num>
  <w:num w:numId="36">
    <w:abstractNumId w:val="3"/>
  </w:num>
  <w:num w:numId="37">
    <w:abstractNumId w:val="2"/>
  </w:num>
  <w:num w:numId="38">
    <w:abstractNumId w:val="1"/>
  </w:num>
  <w:num w:numId="39">
    <w:abstractNumId w:val="24"/>
  </w:num>
  <w:num w:numId="40">
    <w:abstractNumId w:val="28"/>
  </w:num>
  <w:num w:numId="41">
    <w:abstractNumId w:val="47"/>
  </w:num>
  <w:num w:numId="42">
    <w:abstractNumId w:val="40"/>
  </w:num>
  <w:num w:numId="43">
    <w:abstractNumId w:val="15"/>
  </w:num>
  <w:num w:numId="44">
    <w:abstractNumId w:val="37"/>
  </w:num>
  <w:num w:numId="45">
    <w:abstractNumId w:val="38"/>
  </w:num>
  <w:num w:numId="46">
    <w:abstractNumId w:val="34"/>
  </w:num>
  <w:num w:numId="47">
    <w:abstractNumId w:val="29"/>
  </w:num>
  <w:num w:numId="48">
    <w:abstractNumId w:val="11"/>
  </w:num>
  <w:num w:numId="49">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linkStyles/>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61__i" w:val="H4sIAAAAAAAEAOy9B2AcSZYlJi9tynt/SvVK1+B0oQiAYBMk2JBAEOzBiM3mkuwdaUcjKasqgcplVmVdZhZAzO2dvPfee++999577733ujudTif33/8/XGZkAWz2zkrayZ4hgKrIHz9+fB8/In7xR0+zNnuZ1e1JtV62Hz3a/SX/TwAAAP//ASGhMhMAAAA="/>
    <w:docVar w:name="__grammarly61_1" w:val="H4sIAAAAAAAEAOy9B2AcSZYlJi9tynt/SvVK1+B0oQiAYBMk2JBAEOzBiM3mkuwdaUcjKasqgcplVmVdZhZAzO2dvPfee++999577733ujudTif33/8/XGZkAWz2zkrayZ4hgKrIHz9+fB8/In7xR0+r6XqRL9uz2UePPtqf3n+4c+9evp1ND6bb+zvT6fbD/MHO9qf7u7PdB+efZvfzg49GH73Om6aolnhl95f8PwEAAP//UPY65EMAAAA="/>
  </w:docVars>
  <w:rsids>
    <w:rsidRoot w:val="00B14EF8"/>
    <w:rsid w:val="00003A40"/>
    <w:rsid w:val="000159A7"/>
    <w:rsid w:val="000175D9"/>
    <w:rsid w:val="00031710"/>
    <w:rsid w:val="00032887"/>
    <w:rsid w:val="00032FFA"/>
    <w:rsid w:val="0003432E"/>
    <w:rsid w:val="000365C4"/>
    <w:rsid w:val="000378F4"/>
    <w:rsid w:val="000409C5"/>
    <w:rsid w:val="00047080"/>
    <w:rsid w:val="00055E9C"/>
    <w:rsid w:val="000613DC"/>
    <w:rsid w:val="000617AD"/>
    <w:rsid w:val="00061B0C"/>
    <w:rsid w:val="0006270D"/>
    <w:rsid w:val="0007193F"/>
    <w:rsid w:val="00076F5C"/>
    <w:rsid w:val="0007715B"/>
    <w:rsid w:val="000779E7"/>
    <w:rsid w:val="00080F18"/>
    <w:rsid w:val="00083587"/>
    <w:rsid w:val="00086E4E"/>
    <w:rsid w:val="000A0721"/>
    <w:rsid w:val="000A1724"/>
    <w:rsid w:val="000A2B8F"/>
    <w:rsid w:val="000A4620"/>
    <w:rsid w:val="000B07D2"/>
    <w:rsid w:val="000B1DE8"/>
    <w:rsid w:val="000B438B"/>
    <w:rsid w:val="000C7C2F"/>
    <w:rsid w:val="000D05D8"/>
    <w:rsid w:val="000D386A"/>
    <w:rsid w:val="000E2318"/>
    <w:rsid w:val="000E29A5"/>
    <w:rsid w:val="000E5ADA"/>
    <w:rsid w:val="000E6F6E"/>
    <w:rsid w:val="000F23B0"/>
    <w:rsid w:val="000F23D5"/>
    <w:rsid w:val="000F55A4"/>
    <w:rsid w:val="000F647B"/>
    <w:rsid w:val="000F6A65"/>
    <w:rsid w:val="00100A46"/>
    <w:rsid w:val="00100EE6"/>
    <w:rsid w:val="001072CB"/>
    <w:rsid w:val="001118DC"/>
    <w:rsid w:val="00111913"/>
    <w:rsid w:val="00111F11"/>
    <w:rsid w:val="001134A9"/>
    <w:rsid w:val="001255B6"/>
    <w:rsid w:val="001261EE"/>
    <w:rsid w:val="001343DD"/>
    <w:rsid w:val="00134B5A"/>
    <w:rsid w:val="001359AD"/>
    <w:rsid w:val="00144764"/>
    <w:rsid w:val="001539BB"/>
    <w:rsid w:val="00154CBD"/>
    <w:rsid w:val="0015619F"/>
    <w:rsid w:val="001569C3"/>
    <w:rsid w:val="00156EE5"/>
    <w:rsid w:val="001757F7"/>
    <w:rsid w:val="001847BB"/>
    <w:rsid w:val="00187359"/>
    <w:rsid w:val="001915D7"/>
    <w:rsid w:val="001917C1"/>
    <w:rsid w:val="001926FD"/>
    <w:rsid w:val="00196EED"/>
    <w:rsid w:val="001A3B4E"/>
    <w:rsid w:val="001A7871"/>
    <w:rsid w:val="001B5F08"/>
    <w:rsid w:val="001B7058"/>
    <w:rsid w:val="001C7B1F"/>
    <w:rsid w:val="001C7B78"/>
    <w:rsid w:val="001D1A1A"/>
    <w:rsid w:val="001E059C"/>
    <w:rsid w:val="001E4714"/>
    <w:rsid w:val="00210236"/>
    <w:rsid w:val="00217E99"/>
    <w:rsid w:val="00220DA7"/>
    <w:rsid w:val="00221E4C"/>
    <w:rsid w:val="00226B8F"/>
    <w:rsid w:val="00241673"/>
    <w:rsid w:val="00245576"/>
    <w:rsid w:val="002573A8"/>
    <w:rsid w:val="00261D6D"/>
    <w:rsid w:val="00262A5A"/>
    <w:rsid w:val="00266FA1"/>
    <w:rsid w:val="00270944"/>
    <w:rsid w:val="002766AF"/>
    <w:rsid w:val="00282BA5"/>
    <w:rsid w:val="00283C8E"/>
    <w:rsid w:val="00292BCE"/>
    <w:rsid w:val="00293F18"/>
    <w:rsid w:val="00295D25"/>
    <w:rsid w:val="002A78D9"/>
    <w:rsid w:val="002B6C91"/>
    <w:rsid w:val="002C3A00"/>
    <w:rsid w:val="002C3C89"/>
    <w:rsid w:val="002D3B48"/>
    <w:rsid w:val="002F05FA"/>
    <w:rsid w:val="002F5D49"/>
    <w:rsid w:val="002F6474"/>
    <w:rsid w:val="002F6989"/>
    <w:rsid w:val="00301FEC"/>
    <w:rsid w:val="00316322"/>
    <w:rsid w:val="00317DE0"/>
    <w:rsid w:val="00322AE7"/>
    <w:rsid w:val="00324CD8"/>
    <w:rsid w:val="00326062"/>
    <w:rsid w:val="003262E0"/>
    <w:rsid w:val="00334176"/>
    <w:rsid w:val="00334B12"/>
    <w:rsid w:val="00341CE5"/>
    <w:rsid w:val="0035125C"/>
    <w:rsid w:val="003604A1"/>
    <w:rsid w:val="00361C0D"/>
    <w:rsid w:val="0037185B"/>
    <w:rsid w:val="00375938"/>
    <w:rsid w:val="003A16F9"/>
    <w:rsid w:val="003B2BAE"/>
    <w:rsid w:val="003B6290"/>
    <w:rsid w:val="003C5572"/>
    <w:rsid w:val="003D209C"/>
    <w:rsid w:val="003D37A7"/>
    <w:rsid w:val="003D605E"/>
    <w:rsid w:val="003E4ADD"/>
    <w:rsid w:val="003E4E39"/>
    <w:rsid w:val="003E7FAD"/>
    <w:rsid w:val="003F425C"/>
    <w:rsid w:val="004009AB"/>
    <w:rsid w:val="0040102C"/>
    <w:rsid w:val="00403D97"/>
    <w:rsid w:val="004040AA"/>
    <w:rsid w:val="00404279"/>
    <w:rsid w:val="00416D06"/>
    <w:rsid w:val="00426A5F"/>
    <w:rsid w:val="00426B9D"/>
    <w:rsid w:val="004300C9"/>
    <w:rsid w:val="0043423D"/>
    <w:rsid w:val="00440C5A"/>
    <w:rsid w:val="00442635"/>
    <w:rsid w:val="00451554"/>
    <w:rsid w:val="004531CC"/>
    <w:rsid w:val="00454857"/>
    <w:rsid w:val="004607E4"/>
    <w:rsid w:val="00486D83"/>
    <w:rsid w:val="0049072A"/>
    <w:rsid w:val="00495D57"/>
    <w:rsid w:val="004A0D68"/>
    <w:rsid w:val="004A29AB"/>
    <w:rsid w:val="004A620E"/>
    <w:rsid w:val="004A7D7D"/>
    <w:rsid w:val="004B2A0D"/>
    <w:rsid w:val="004B5877"/>
    <w:rsid w:val="004C5D1F"/>
    <w:rsid w:val="004C6B09"/>
    <w:rsid w:val="004C6B20"/>
    <w:rsid w:val="004D48AA"/>
    <w:rsid w:val="004E4B6D"/>
    <w:rsid w:val="004E590F"/>
    <w:rsid w:val="004F5D87"/>
    <w:rsid w:val="004F717B"/>
    <w:rsid w:val="00500BE4"/>
    <w:rsid w:val="005158AC"/>
    <w:rsid w:val="00517BCE"/>
    <w:rsid w:val="00521A0E"/>
    <w:rsid w:val="00522798"/>
    <w:rsid w:val="005234CF"/>
    <w:rsid w:val="00523AD1"/>
    <w:rsid w:val="005252F0"/>
    <w:rsid w:val="00530042"/>
    <w:rsid w:val="0053154D"/>
    <w:rsid w:val="00531CE9"/>
    <w:rsid w:val="00532C22"/>
    <w:rsid w:val="00542890"/>
    <w:rsid w:val="00547444"/>
    <w:rsid w:val="00560FA3"/>
    <w:rsid w:val="005631EF"/>
    <w:rsid w:val="00566D42"/>
    <w:rsid w:val="005741C4"/>
    <w:rsid w:val="005758DC"/>
    <w:rsid w:val="00575EB3"/>
    <w:rsid w:val="00577D5E"/>
    <w:rsid w:val="00581D07"/>
    <w:rsid w:val="00585363"/>
    <w:rsid w:val="0059039B"/>
    <w:rsid w:val="005932FE"/>
    <w:rsid w:val="00595B2A"/>
    <w:rsid w:val="00597727"/>
    <w:rsid w:val="005A10D2"/>
    <w:rsid w:val="005A27A2"/>
    <w:rsid w:val="005A5859"/>
    <w:rsid w:val="005B1153"/>
    <w:rsid w:val="005B1DC6"/>
    <w:rsid w:val="005B3CDD"/>
    <w:rsid w:val="005B7BF6"/>
    <w:rsid w:val="005D5A0D"/>
    <w:rsid w:val="005D6E51"/>
    <w:rsid w:val="005D7280"/>
    <w:rsid w:val="005E0474"/>
    <w:rsid w:val="005F0292"/>
    <w:rsid w:val="005F167E"/>
    <w:rsid w:val="005F5EFD"/>
    <w:rsid w:val="006051A1"/>
    <w:rsid w:val="006106A3"/>
    <w:rsid w:val="00614FDE"/>
    <w:rsid w:val="006217AF"/>
    <w:rsid w:val="006230D0"/>
    <w:rsid w:val="0062414C"/>
    <w:rsid w:val="00630D62"/>
    <w:rsid w:val="00637651"/>
    <w:rsid w:val="00654DF1"/>
    <w:rsid w:val="00655EB6"/>
    <w:rsid w:val="00656BFB"/>
    <w:rsid w:val="006622C5"/>
    <w:rsid w:val="006724DF"/>
    <w:rsid w:val="006743ED"/>
    <w:rsid w:val="0067482D"/>
    <w:rsid w:val="0067536C"/>
    <w:rsid w:val="00676162"/>
    <w:rsid w:val="00685EB3"/>
    <w:rsid w:val="00685EE4"/>
    <w:rsid w:val="00687E0E"/>
    <w:rsid w:val="0069376E"/>
    <w:rsid w:val="006A2D5B"/>
    <w:rsid w:val="006A74C8"/>
    <w:rsid w:val="006A7B41"/>
    <w:rsid w:val="006B2528"/>
    <w:rsid w:val="006B2982"/>
    <w:rsid w:val="006B734E"/>
    <w:rsid w:val="006D19AC"/>
    <w:rsid w:val="006D67DD"/>
    <w:rsid w:val="006E0CE2"/>
    <w:rsid w:val="006E1D76"/>
    <w:rsid w:val="006E2E81"/>
    <w:rsid w:val="006E60A9"/>
    <w:rsid w:val="006E62CB"/>
    <w:rsid w:val="006E6406"/>
    <w:rsid w:val="0070114B"/>
    <w:rsid w:val="007113FA"/>
    <w:rsid w:val="00715B3B"/>
    <w:rsid w:val="00715C0B"/>
    <w:rsid w:val="0072344E"/>
    <w:rsid w:val="00724C16"/>
    <w:rsid w:val="00731E4C"/>
    <w:rsid w:val="007346FC"/>
    <w:rsid w:val="007355A2"/>
    <w:rsid w:val="00736777"/>
    <w:rsid w:val="00740583"/>
    <w:rsid w:val="00741E38"/>
    <w:rsid w:val="00745E25"/>
    <w:rsid w:val="007522CF"/>
    <w:rsid w:val="00754D02"/>
    <w:rsid w:val="00754E6A"/>
    <w:rsid w:val="0075665B"/>
    <w:rsid w:val="007616DE"/>
    <w:rsid w:val="00762677"/>
    <w:rsid w:val="00762E2F"/>
    <w:rsid w:val="007668E2"/>
    <w:rsid w:val="0077624D"/>
    <w:rsid w:val="007762AF"/>
    <w:rsid w:val="00782CB5"/>
    <w:rsid w:val="007830CA"/>
    <w:rsid w:val="007838C3"/>
    <w:rsid w:val="0078791B"/>
    <w:rsid w:val="007A28E1"/>
    <w:rsid w:val="007C5B9C"/>
    <w:rsid w:val="007D190A"/>
    <w:rsid w:val="007D29CB"/>
    <w:rsid w:val="007D3003"/>
    <w:rsid w:val="007D3873"/>
    <w:rsid w:val="007D57DA"/>
    <w:rsid w:val="007D7A9B"/>
    <w:rsid w:val="007E3401"/>
    <w:rsid w:val="007E6A83"/>
    <w:rsid w:val="007F04CB"/>
    <w:rsid w:val="007F0D39"/>
    <w:rsid w:val="007F1C1E"/>
    <w:rsid w:val="00801385"/>
    <w:rsid w:val="00803FF8"/>
    <w:rsid w:val="00807366"/>
    <w:rsid w:val="008141FF"/>
    <w:rsid w:val="00827F7D"/>
    <w:rsid w:val="008325A7"/>
    <w:rsid w:val="00832A60"/>
    <w:rsid w:val="0083522A"/>
    <w:rsid w:val="00843E09"/>
    <w:rsid w:val="008509D7"/>
    <w:rsid w:val="008568F7"/>
    <w:rsid w:val="0085764D"/>
    <w:rsid w:val="00866670"/>
    <w:rsid w:val="008675C6"/>
    <w:rsid w:val="00872C38"/>
    <w:rsid w:val="008776D5"/>
    <w:rsid w:val="008801BA"/>
    <w:rsid w:val="00880F0E"/>
    <w:rsid w:val="00883AC1"/>
    <w:rsid w:val="0088589C"/>
    <w:rsid w:val="008A45A4"/>
    <w:rsid w:val="008A53ED"/>
    <w:rsid w:val="008A635B"/>
    <w:rsid w:val="008B0FE0"/>
    <w:rsid w:val="008B21CA"/>
    <w:rsid w:val="008B4E9E"/>
    <w:rsid w:val="008C033D"/>
    <w:rsid w:val="008C4A77"/>
    <w:rsid w:val="008C53D5"/>
    <w:rsid w:val="008D2469"/>
    <w:rsid w:val="008E5230"/>
    <w:rsid w:val="008E675E"/>
    <w:rsid w:val="008F1756"/>
    <w:rsid w:val="008F3A5D"/>
    <w:rsid w:val="008F660A"/>
    <w:rsid w:val="00900CBC"/>
    <w:rsid w:val="009020AC"/>
    <w:rsid w:val="00912371"/>
    <w:rsid w:val="00914902"/>
    <w:rsid w:val="009244CC"/>
    <w:rsid w:val="00925D5E"/>
    <w:rsid w:val="00930AC3"/>
    <w:rsid w:val="009448B0"/>
    <w:rsid w:val="009476AF"/>
    <w:rsid w:val="00947DD9"/>
    <w:rsid w:val="00947FA3"/>
    <w:rsid w:val="009726C7"/>
    <w:rsid w:val="0097324C"/>
    <w:rsid w:val="00973B12"/>
    <w:rsid w:val="009827D2"/>
    <w:rsid w:val="0098308D"/>
    <w:rsid w:val="00984D0D"/>
    <w:rsid w:val="0099368A"/>
    <w:rsid w:val="009A5932"/>
    <w:rsid w:val="009B1428"/>
    <w:rsid w:val="009C7335"/>
    <w:rsid w:val="009E4DAB"/>
    <w:rsid w:val="00A06BDB"/>
    <w:rsid w:val="00A06D22"/>
    <w:rsid w:val="00A13185"/>
    <w:rsid w:val="00A20E92"/>
    <w:rsid w:val="00A23E62"/>
    <w:rsid w:val="00A24469"/>
    <w:rsid w:val="00A31550"/>
    <w:rsid w:val="00A31F8E"/>
    <w:rsid w:val="00A44AE8"/>
    <w:rsid w:val="00A45D8C"/>
    <w:rsid w:val="00A50BE8"/>
    <w:rsid w:val="00A5320E"/>
    <w:rsid w:val="00A725F3"/>
    <w:rsid w:val="00A756DF"/>
    <w:rsid w:val="00A756E2"/>
    <w:rsid w:val="00A80601"/>
    <w:rsid w:val="00A84287"/>
    <w:rsid w:val="00A91B41"/>
    <w:rsid w:val="00A92BCB"/>
    <w:rsid w:val="00A92BF7"/>
    <w:rsid w:val="00A95EB6"/>
    <w:rsid w:val="00AA0E1B"/>
    <w:rsid w:val="00AA4A36"/>
    <w:rsid w:val="00AB23DD"/>
    <w:rsid w:val="00AB2431"/>
    <w:rsid w:val="00AB6EA7"/>
    <w:rsid w:val="00AB6EE6"/>
    <w:rsid w:val="00AC3FC3"/>
    <w:rsid w:val="00AC6876"/>
    <w:rsid w:val="00AE0655"/>
    <w:rsid w:val="00AF44BE"/>
    <w:rsid w:val="00AF4708"/>
    <w:rsid w:val="00B04341"/>
    <w:rsid w:val="00B1138B"/>
    <w:rsid w:val="00B14EF8"/>
    <w:rsid w:val="00B3072C"/>
    <w:rsid w:val="00B3215B"/>
    <w:rsid w:val="00B32237"/>
    <w:rsid w:val="00B34930"/>
    <w:rsid w:val="00B34EF9"/>
    <w:rsid w:val="00B43CDD"/>
    <w:rsid w:val="00B44FB6"/>
    <w:rsid w:val="00B4506D"/>
    <w:rsid w:val="00B57B80"/>
    <w:rsid w:val="00B61540"/>
    <w:rsid w:val="00B649F7"/>
    <w:rsid w:val="00B80172"/>
    <w:rsid w:val="00B81AB5"/>
    <w:rsid w:val="00B83511"/>
    <w:rsid w:val="00B8395E"/>
    <w:rsid w:val="00B942A6"/>
    <w:rsid w:val="00BA126E"/>
    <w:rsid w:val="00BA5BB2"/>
    <w:rsid w:val="00BB4A7D"/>
    <w:rsid w:val="00BB6749"/>
    <w:rsid w:val="00BB6B6B"/>
    <w:rsid w:val="00BD191F"/>
    <w:rsid w:val="00BE262F"/>
    <w:rsid w:val="00BF24C7"/>
    <w:rsid w:val="00BF6C9C"/>
    <w:rsid w:val="00C014E2"/>
    <w:rsid w:val="00C03DF4"/>
    <w:rsid w:val="00C04013"/>
    <w:rsid w:val="00C046EA"/>
    <w:rsid w:val="00C055A7"/>
    <w:rsid w:val="00C057E0"/>
    <w:rsid w:val="00C252CB"/>
    <w:rsid w:val="00C35E17"/>
    <w:rsid w:val="00C437AD"/>
    <w:rsid w:val="00C44D1E"/>
    <w:rsid w:val="00C52484"/>
    <w:rsid w:val="00C6584B"/>
    <w:rsid w:val="00C661B5"/>
    <w:rsid w:val="00C66543"/>
    <w:rsid w:val="00C67223"/>
    <w:rsid w:val="00C73578"/>
    <w:rsid w:val="00C74F67"/>
    <w:rsid w:val="00C7580C"/>
    <w:rsid w:val="00C75BDC"/>
    <w:rsid w:val="00C8360F"/>
    <w:rsid w:val="00C92336"/>
    <w:rsid w:val="00C95A65"/>
    <w:rsid w:val="00CA0343"/>
    <w:rsid w:val="00CA483A"/>
    <w:rsid w:val="00CB3DD9"/>
    <w:rsid w:val="00CB6224"/>
    <w:rsid w:val="00CC67FE"/>
    <w:rsid w:val="00CD3C8F"/>
    <w:rsid w:val="00CD5A41"/>
    <w:rsid w:val="00CE038A"/>
    <w:rsid w:val="00CE233E"/>
    <w:rsid w:val="00CE51A1"/>
    <w:rsid w:val="00CF4B6D"/>
    <w:rsid w:val="00D110A4"/>
    <w:rsid w:val="00D149C1"/>
    <w:rsid w:val="00D26D63"/>
    <w:rsid w:val="00D277F5"/>
    <w:rsid w:val="00D337E3"/>
    <w:rsid w:val="00D40508"/>
    <w:rsid w:val="00D41D26"/>
    <w:rsid w:val="00D43EEB"/>
    <w:rsid w:val="00D46516"/>
    <w:rsid w:val="00D62B7D"/>
    <w:rsid w:val="00D65A0A"/>
    <w:rsid w:val="00D8204D"/>
    <w:rsid w:val="00D860EA"/>
    <w:rsid w:val="00D96F45"/>
    <w:rsid w:val="00DA11FC"/>
    <w:rsid w:val="00DA3D4A"/>
    <w:rsid w:val="00DA4394"/>
    <w:rsid w:val="00DA6936"/>
    <w:rsid w:val="00DB01A3"/>
    <w:rsid w:val="00DB386E"/>
    <w:rsid w:val="00DB60EC"/>
    <w:rsid w:val="00DC3121"/>
    <w:rsid w:val="00DC3DEC"/>
    <w:rsid w:val="00DC562C"/>
    <w:rsid w:val="00DD4793"/>
    <w:rsid w:val="00DD77BE"/>
    <w:rsid w:val="00DE0C70"/>
    <w:rsid w:val="00DE4C2A"/>
    <w:rsid w:val="00DF1A0C"/>
    <w:rsid w:val="00DF5724"/>
    <w:rsid w:val="00E00DE9"/>
    <w:rsid w:val="00E019FA"/>
    <w:rsid w:val="00E01DE3"/>
    <w:rsid w:val="00E02CDD"/>
    <w:rsid w:val="00E036B1"/>
    <w:rsid w:val="00E07912"/>
    <w:rsid w:val="00E13A0F"/>
    <w:rsid w:val="00E2149D"/>
    <w:rsid w:val="00E22F97"/>
    <w:rsid w:val="00E3160E"/>
    <w:rsid w:val="00E359F7"/>
    <w:rsid w:val="00E37E57"/>
    <w:rsid w:val="00E37EBD"/>
    <w:rsid w:val="00E44C7F"/>
    <w:rsid w:val="00E50E6F"/>
    <w:rsid w:val="00E50F26"/>
    <w:rsid w:val="00E541AE"/>
    <w:rsid w:val="00E5658B"/>
    <w:rsid w:val="00E65476"/>
    <w:rsid w:val="00E81145"/>
    <w:rsid w:val="00E8435A"/>
    <w:rsid w:val="00E84BBA"/>
    <w:rsid w:val="00E87412"/>
    <w:rsid w:val="00E9011B"/>
    <w:rsid w:val="00E9071E"/>
    <w:rsid w:val="00E90957"/>
    <w:rsid w:val="00E90C85"/>
    <w:rsid w:val="00E92FED"/>
    <w:rsid w:val="00EA329D"/>
    <w:rsid w:val="00EB64D4"/>
    <w:rsid w:val="00EB67E4"/>
    <w:rsid w:val="00EB78E6"/>
    <w:rsid w:val="00EC0E02"/>
    <w:rsid w:val="00EC416E"/>
    <w:rsid w:val="00ED2630"/>
    <w:rsid w:val="00ED2E62"/>
    <w:rsid w:val="00ED4775"/>
    <w:rsid w:val="00EF438B"/>
    <w:rsid w:val="00EF4948"/>
    <w:rsid w:val="00EF4C39"/>
    <w:rsid w:val="00F022C4"/>
    <w:rsid w:val="00F0431B"/>
    <w:rsid w:val="00F0525C"/>
    <w:rsid w:val="00F24BD1"/>
    <w:rsid w:val="00F311D7"/>
    <w:rsid w:val="00F345DF"/>
    <w:rsid w:val="00F40C4C"/>
    <w:rsid w:val="00F43BE8"/>
    <w:rsid w:val="00F50544"/>
    <w:rsid w:val="00F511C9"/>
    <w:rsid w:val="00F51926"/>
    <w:rsid w:val="00F526A6"/>
    <w:rsid w:val="00F636FA"/>
    <w:rsid w:val="00F65CEA"/>
    <w:rsid w:val="00F7042E"/>
    <w:rsid w:val="00F71F92"/>
    <w:rsid w:val="00F770F6"/>
    <w:rsid w:val="00F77E90"/>
    <w:rsid w:val="00F85397"/>
    <w:rsid w:val="00F854A8"/>
    <w:rsid w:val="00F91262"/>
    <w:rsid w:val="00FB55B2"/>
    <w:rsid w:val="00FB7605"/>
    <w:rsid w:val="00FC1A6B"/>
    <w:rsid w:val="00FC67F0"/>
    <w:rsid w:val="00FC72B9"/>
    <w:rsid w:val="00FD2C47"/>
    <w:rsid w:val="00FD4AC9"/>
    <w:rsid w:val="00FE1BF6"/>
    <w:rsid w:val="00FE6570"/>
    <w:rsid w:val="00FE74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6DA6B435-9F0F-42B2-8DE8-29BB51698D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9"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99"/>
    <w:lsdException w:name="toc 5" w:semiHidden="1"/>
    <w:lsdException w:name="toc 6" w:semiHidden="1"/>
    <w:lsdException w:name="toc 7" w:semiHidden="1"/>
    <w:lsdException w:name="toc 8" w:semiHidden="1"/>
    <w:lsdException w:name="toc 9" w:semiHidden="1"/>
    <w:lsdException w:name="Normal Indent" w:semiHidden="1"/>
    <w:lsdException w:name="footnote text" w:uiPriority="99"/>
    <w:lsdException w:name="annotation text" w:uiPriority="99"/>
    <w:lsdException w:name="header" w:uiPriority="99"/>
    <w:lsdException w:name="footer" w:uiPriority="99"/>
    <w:lsdException w:name="index heading" w:semiHidden="1"/>
    <w:lsdException w:name="caption" w:qFormat="1"/>
    <w:lsdException w:name="table of figures" w:uiPriority="99"/>
    <w:lsdException w:name="envelope address" w:semiHidden="1"/>
    <w:lsdException w:name="envelope return" w:semiHidden="1"/>
    <w:lsdException w:name="footnote reference" w:uiPriority="99"/>
    <w:lsdException w:name="annotation reference" w:uiPriority="99"/>
    <w:lsdException w:name="line number" w:semiHidden="1"/>
    <w:lsdException w:name="page number" w:uiPriority="99"/>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qFormat="1"/>
    <w:lsdException w:name="Closing" w:semiHidden="1"/>
    <w:lsdException w:name="Signature" w:semiHidden="1"/>
    <w:lsdException w:name="Default Paragraph Font" w:uiPriority="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Hyperlink" w:uiPriority="99"/>
    <w:lsdException w:name="FollowedHyperlink" w:uiPriority="99"/>
    <w:lsdException w:name="Strong" w:qFormat="1"/>
    <w:lsdException w:name="Emphasis" w:uiPriority="20" w:qFormat="1"/>
    <w:lsdException w:name="Document Map" w:semiHidden="1"/>
    <w:lsdException w:name="Plain Text" w:semiHidden="1"/>
    <w:lsdException w:name="E-mail Signature" w:semiHidden="1"/>
    <w:lsdException w:name="Normal (Web)" w:uiPriority="99"/>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unhideWhenUsed="1"/>
    <w:lsdException w:name="HTML Sample" w:semiHidden="1"/>
    <w:lsdException w:name="HTML Typewriter" w:semiHidden="1"/>
    <w:lsdException w:name="HTML Variable" w:semiHidden="1"/>
    <w:lsdException w:name="Normal Table" w:semiHidden="1" w:unhideWhenUsed="1"/>
    <w:lsdException w:name="annotation subject" w:uiPriority="99"/>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qFormat="1"/>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1" w:qFormat="1"/>
    <w:lsdException w:name="Medium Shading 2 Accent 1" w:uiPriority="60"/>
    <w:lsdException w:name="Medium List 1 Accent 1" w:uiPriority="61"/>
    <w:lsdException w:name="Revision" w:semiHidden="1" w:uiPriority="62"/>
    <w:lsdException w:name="List Paragraph" w:uiPriority="34" w:qFormat="1"/>
    <w:lsdException w:name="Quote" w:uiPriority="64" w:qFormat="1"/>
    <w:lsdException w:name="Intense Quote" w:uiPriority="65"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99"/>
    <w:lsdException w:name="Medium Grid 1 Accent 2" w:uiPriority="34"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semiHidden="1" w:uiPriority="61" w:unhideWhenUsed="1"/>
    <w:lsdException w:name="TOC Heading" w:semiHidden="1" w:uiPriority="62"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0C85"/>
    <w:pPr>
      <w:autoSpaceDE w:val="0"/>
      <w:autoSpaceDN w:val="0"/>
      <w:adjustRightInd w:val="0"/>
      <w:snapToGrid w:val="0"/>
    </w:pPr>
    <w:rPr>
      <w:sz w:val="24"/>
      <w:szCs w:val="24"/>
    </w:rPr>
  </w:style>
  <w:style w:type="paragraph" w:styleId="Heading1">
    <w:name w:val="heading 1"/>
    <w:basedOn w:val="Normal"/>
    <w:next w:val="Normal"/>
    <w:link w:val="Heading1Char"/>
    <w:qFormat/>
    <w:rsid w:val="00E90C85"/>
    <w:pPr>
      <w:keepNext/>
      <w:spacing w:before="240" w:after="60"/>
      <w:outlineLvl w:val="0"/>
    </w:pPr>
    <w:rPr>
      <w:rFonts w:ascii="Calibri" w:eastAsia="MS Gothic" w:hAnsi="Calibri"/>
      <w:b/>
      <w:bCs/>
      <w:kern w:val="32"/>
      <w:sz w:val="32"/>
      <w:szCs w:val="32"/>
    </w:rPr>
  </w:style>
  <w:style w:type="paragraph" w:styleId="Heading2">
    <w:name w:val="heading 2"/>
    <w:basedOn w:val="Normal"/>
    <w:next w:val="Normal"/>
    <w:link w:val="Heading2Char"/>
    <w:qFormat/>
    <w:rsid w:val="00AB23DD"/>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E90C85"/>
    <w:pPr>
      <w:keepNext/>
      <w:numPr>
        <w:ilvl w:val="2"/>
        <w:numId w:val="45"/>
      </w:numPr>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PALevel1">
    <w:name w:val="APA Level 1"/>
    <w:next w:val="BodyText"/>
    <w:link w:val="APALevel1Char"/>
    <w:qFormat/>
    <w:rsid w:val="00E90C85"/>
    <w:pPr>
      <w:keepNext/>
      <w:keepLines/>
      <w:tabs>
        <w:tab w:val="right" w:leader="dot" w:pos="8640"/>
      </w:tabs>
      <w:suppressAutoHyphens/>
      <w:autoSpaceDE w:val="0"/>
      <w:autoSpaceDN w:val="0"/>
      <w:spacing w:line="480" w:lineRule="auto"/>
      <w:jc w:val="center"/>
      <w:outlineLvl w:val="1"/>
    </w:pPr>
    <w:rPr>
      <w:b/>
      <w:sz w:val="24"/>
      <w:szCs w:val="24"/>
    </w:rPr>
  </w:style>
  <w:style w:type="paragraph" w:styleId="BodyText">
    <w:name w:val="Body Text"/>
    <w:basedOn w:val="Normal"/>
    <w:link w:val="BodyTextChar"/>
    <w:rsid w:val="00E90C85"/>
    <w:pPr>
      <w:spacing w:line="480" w:lineRule="auto"/>
      <w:ind w:firstLine="720"/>
    </w:pPr>
  </w:style>
  <w:style w:type="character" w:customStyle="1" w:styleId="BodyTextChar">
    <w:name w:val="Body Text Char"/>
    <w:link w:val="BodyText"/>
    <w:rsid w:val="00E90C85"/>
    <w:rPr>
      <w:sz w:val="24"/>
      <w:szCs w:val="24"/>
    </w:rPr>
  </w:style>
  <w:style w:type="character" w:customStyle="1" w:styleId="APALevel1Char">
    <w:name w:val="APA Level 1 Char"/>
    <w:link w:val="APALevel1"/>
    <w:rsid w:val="00E90C85"/>
    <w:rPr>
      <w:b/>
      <w:sz w:val="24"/>
      <w:szCs w:val="24"/>
    </w:rPr>
  </w:style>
  <w:style w:type="paragraph" w:customStyle="1" w:styleId="APALevel2">
    <w:name w:val="APA Level 2"/>
    <w:basedOn w:val="APALevel1"/>
    <w:next w:val="BodyText"/>
    <w:qFormat/>
    <w:rsid w:val="00E90C85"/>
    <w:pPr>
      <w:widowControl w:val="0"/>
      <w:adjustRightInd w:val="0"/>
      <w:jc w:val="left"/>
      <w:outlineLvl w:val="2"/>
    </w:pPr>
    <w:rPr>
      <w:iCs/>
    </w:rPr>
  </w:style>
  <w:style w:type="paragraph" w:customStyle="1" w:styleId="APAReference">
    <w:name w:val="APA Reference"/>
    <w:qFormat/>
    <w:rsid w:val="00E90C85"/>
    <w:pPr>
      <w:widowControl w:val="0"/>
      <w:autoSpaceDE w:val="0"/>
      <w:autoSpaceDN w:val="0"/>
      <w:adjustRightInd w:val="0"/>
      <w:spacing w:line="480" w:lineRule="auto"/>
      <w:ind w:left="720" w:hanging="720"/>
    </w:pPr>
    <w:rPr>
      <w:sz w:val="24"/>
      <w:szCs w:val="24"/>
    </w:rPr>
  </w:style>
  <w:style w:type="paragraph" w:customStyle="1" w:styleId="FlushLeft">
    <w:name w:val="Flush Left"/>
    <w:link w:val="FlushLeftChar"/>
    <w:uiPriority w:val="99"/>
    <w:semiHidden/>
    <w:rsid w:val="00E90C85"/>
    <w:pPr>
      <w:widowControl w:val="0"/>
      <w:autoSpaceDE w:val="0"/>
      <w:autoSpaceDN w:val="0"/>
      <w:adjustRightInd w:val="0"/>
      <w:spacing w:line="480" w:lineRule="auto"/>
    </w:pPr>
    <w:rPr>
      <w:sz w:val="24"/>
      <w:szCs w:val="24"/>
    </w:rPr>
  </w:style>
  <w:style w:type="character" w:customStyle="1" w:styleId="FlushLeftChar">
    <w:name w:val="Flush Left Char"/>
    <w:link w:val="FlushLeft"/>
    <w:uiPriority w:val="99"/>
    <w:semiHidden/>
    <w:rsid w:val="00E90C85"/>
    <w:rPr>
      <w:sz w:val="24"/>
      <w:szCs w:val="24"/>
    </w:rPr>
  </w:style>
  <w:style w:type="paragraph" w:styleId="Header">
    <w:name w:val="header"/>
    <w:basedOn w:val="Normal"/>
    <w:link w:val="HeaderChar"/>
    <w:uiPriority w:val="99"/>
    <w:rsid w:val="00E90C85"/>
    <w:pPr>
      <w:tabs>
        <w:tab w:val="left" w:pos="0"/>
        <w:tab w:val="center" w:pos="4320"/>
        <w:tab w:val="right" w:pos="8640"/>
      </w:tabs>
    </w:pPr>
  </w:style>
  <w:style w:type="paragraph" w:styleId="Footer">
    <w:name w:val="footer"/>
    <w:basedOn w:val="Normal"/>
    <w:link w:val="FooterChar"/>
    <w:uiPriority w:val="99"/>
    <w:rsid w:val="00E90C85"/>
    <w:pPr>
      <w:tabs>
        <w:tab w:val="left" w:pos="0"/>
        <w:tab w:val="center" w:pos="4320"/>
        <w:tab w:val="right" w:pos="8640"/>
      </w:tabs>
      <w:ind w:firstLine="720"/>
    </w:pPr>
  </w:style>
  <w:style w:type="character" w:styleId="PageNumber">
    <w:name w:val="page number"/>
    <w:uiPriority w:val="99"/>
    <w:semiHidden/>
    <w:rsid w:val="00E90C85"/>
    <w:rPr>
      <w:rFonts w:cs="Times New Roman"/>
    </w:rPr>
  </w:style>
  <w:style w:type="paragraph" w:customStyle="1" w:styleId="CenteredTextSingleSpace">
    <w:name w:val="Centered Text Single Space"/>
    <w:basedOn w:val="Normal"/>
    <w:uiPriority w:val="99"/>
    <w:semiHidden/>
    <w:rsid w:val="00E90C85"/>
    <w:pPr>
      <w:jc w:val="center"/>
    </w:pPr>
  </w:style>
  <w:style w:type="paragraph" w:styleId="TableofFigures">
    <w:name w:val="table of figures"/>
    <w:basedOn w:val="Normal"/>
    <w:next w:val="Normal"/>
    <w:uiPriority w:val="99"/>
    <w:rsid w:val="00E90C85"/>
    <w:pPr>
      <w:spacing w:line="480" w:lineRule="auto"/>
      <w:ind w:left="480" w:hanging="480"/>
    </w:pPr>
  </w:style>
  <w:style w:type="paragraph" w:customStyle="1" w:styleId="APALevel0noTOC">
    <w:name w:val="APA Level 0 no TOC"/>
    <w:basedOn w:val="APALevel0"/>
    <w:next w:val="BodyText"/>
    <w:qFormat/>
    <w:rsid w:val="00E90C85"/>
    <w:pPr>
      <w:pageBreakBefore/>
      <w:outlineLvl w:val="9"/>
    </w:pPr>
  </w:style>
  <w:style w:type="paragraph" w:customStyle="1" w:styleId="APALevel0">
    <w:name w:val="APA Level 0"/>
    <w:qFormat/>
    <w:rsid w:val="00E90C85"/>
    <w:pPr>
      <w:spacing w:line="480" w:lineRule="auto"/>
      <w:jc w:val="center"/>
      <w:outlineLvl w:val="0"/>
    </w:pPr>
    <w:rPr>
      <w:sz w:val="24"/>
      <w:szCs w:val="24"/>
    </w:rPr>
  </w:style>
  <w:style w:type="paragraph" w:styleId="TOC1">
    <w:name w:val="toc 1"/>
    <w:basedOn w:val="Normal"/>
    <w:next w:val="Normal"/>
    <w:uiPriority w:val="39"/>
    <w:rsid w:val="00E90C85"/>
    <w:pPr>
      <w:tabs>
        <w:tab w:val="right" w:leader="dot" w:pos="8640"/>
      </w:tabs>
      <w:spacing w:line="480" w:lineRule="auto"/>
      <w:ind w:left="720" w:right="720" w:hanging="720"/>
      <w:outlineLvl w:val="0"/>
    </w:pPr>
    <w:rPr>
      <w:noProof/>
    </w:rPr>
  </w:style>
  <w:style w:type="paragraph" w:styleId="TOC2">
    <w:name w:val="toc 2"/>
    <w:basedOn w:val="Normal"/>
    <w:next w:val="Normal"/>
    <w:uiPriority w:val="39"/>
    <w:rsid w:val="00E90C85"/>
    <w:pPr>
      <w:tabs>
        <w:tab w:val="right" w:leader="dot" w:pos="8640"/>
      </w:tabs>
      <w:spacing w:line="480" w:lineRule="auto"/>
      <w:ind w:left="1080" w:right="720" w:hanging="720"/>
    </w:pPr>
    <w:rPr>
      <w:noProof/>
    </w:rPr>
  </w:style>
  <w:style w:type="paragraph" w:styleId="TOC3">
    <w:name w:val="toc 3"/>
    <w:basedOn w:val="Normal"/>
    <w:next w:val="Normal"/>
    <w:uiPriority w:val="39"/>
    <w:rsid w:val="00E90C85"/>
    <w:pPr>
      <w:spacing w:line="480" w:lineRule="auto"/>
      <w:ind w:left="1440" w:right="720" w:hanging="720"/>
    </w:pPr>
  </w:style>
  <w:style w:type="paragraph" w:styleId="TOC4">
    <w:name w:val="toc 4"/>
    <w:basedOn w:val="Normal"/>
    <w:next w:val="Normal"/>
    <w:uiPriority w:val="99"/>
    <w:semiHidden/>
    <w:rsid w:val="00E90C85"/>
    <w:pPr>
      <w:ind w:left="1800" w:right="720" w:hanging="720"/>
    </w:pPr>
  </w:style>
  <w:style w:type="character" w:styleId="Hyperlink">
    <w:name w:val="Hyperlink"/>
    <w:uiPriority w:val="99"/>
    <w:rsid w:val="00E90C85"/>
    <w:rPr>
      <w:rFonts w:cs="Times New Roman"/>
      <w:color w:val="1F497D"/>
      <w:u w:val="single"/>
    </w:rPr>
  </w:style>
  <w:style w:type="paragraph" w:styleId="Caption">
    <w:name w:val="caption"/>
    <w:basedOn w:val="Normal"/>
    <w:next w:val="Normal"/>
    <w:qFormat/>
    <w:rsid w:val="00E90C85"/>
    <w:pPr>
      <w:keepNext/>
      <w:spacing w:after="240"/>
    </w:pPr>
    <w:rPr>
      <w:bCs/>
      <w:szCs w:val="20"/>
    </w:rPr>
  </w:style>
  <w:style w:type="character" w:customStyle="1" w:styleId="TableTitle">
    <w:name w:val="Table Title"/>
    <w:uiPriority w:val="1"/>
    <w:qFormat/>
    <w:rsid w:val="00E90C85"/>
    <w:rPr>
      <w:i/>
    </w:rPr>
  </w:style>
  <w:style w:type="paragraph" w:customStyle="1" w:styleId="ColorfulShading-Accent31">
    <w:name w:val="Colorful Shading - Accent 31"/>
    <w:basedOn w:val="Normal"/>
    <w:uiPriority w:val="34"/>
    <w:semiHidden/>
    <w:qFormat/>
    <w:rsid w:val="00E90C85"/>
    <w:pPr>
      <w:autoSpaceDE/>
      <w:autoSpaceDN/>
      <w:adjustRightInd/>
      <w:snapToGrid/>
      <w:ind w:left="720"/>
    </w:pPr>
    <w:rPr>
      <w:rFonts w:eastAsia="Calibri"/>
    </w:rPr>
  </w:style>
  <w:style w:type="paragraph" w:styleId="BlockText">
    <w:name w:val="Block Text"/>
    <w:aliases w:val="Block Quote Text"/>
    <w:basedOn w:val="BodyText"/>
    <w:link w:val="BlockTextChar"/>
    <w:autoRedefine/>
    <w:rsid w:val="00E90C85"/>
    <w:pPr>
      <w:ind w:left="720" w:firstLine="0"/>
    </w:pPr>
  </w:style>
  <w:style w:type="character" w:customStyle="1" w:styleId="BlockTextChar">
    <w:name w:val="Block Text Char"/>
    <w:aliases w:val="Block Quote Text Char"/>
    <w:link w:val="BlockText"/>
    <w:rsid w:val="00E90C85"/>
    <w:rPr>
      <w:sz w:val="24"/>
      <w:szCs w:val="24"/>
    </w:rPr>
  </w:style>
  <w:style w:type="paragraph" w:customStyle="1" w:styleId="BlockText2">
    <w:name w:val="Block Text 2"/>
    <w:basedOn w:val="BlockText"/>
    <w:next w:val="BodyText"/>
    <w:uiPriority w:val="99"/>
    <w:semiHidden/>
    <w:rsid w:val="00E90C85"/>
    <w:pPr>
      <w:ind w:firstLine="720"/>
    </w:pPr>
  </w:style>
  <w:style w:type="paragraph" w:customStyle="1" w:styleId="TableBodyText">
    <w:name w:val="Table Body Text"/>
    <w:basedOn w:val="Normal"/>
    <w:uiPriority w:val="99"/>
    <w:semiHidden/>
    <w:rsid w:val="00E90C85"/>
    <w:pPr>
      <w:keepNext/>
      <w:keepLines/>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uppressAutoHyphens/>
      <w:snapToGrid/>
      <w:spacing w:after="240"/>
    </w:pPr>
    <w:rPr>
      <w:sz w:val="20"/>
      <w:szCs w:val="20"/>
    </w:rPr>
  </w:style>
  <w:style w:type="character" w:styleId="CommentReference">
    <w:name w:val="annotation reference"/>
    <w:uiPriority w:val="99"/>
    <w:semiHidden/>
    <w:rsid w:val="00E90C85"/>
    <w:rPr>
      <w:rFonts w:cs="Times New Roman"/>
      <w:sz w:val="16"/>
      <w:szCs w:val="16"/>
    </w:rPr>
  </w:style>
  <w:style w:type="paragraph" w:styleId="CommentText">
    <w:name w:val="annotation text"/>
    <w:basedOn w:val="Normal"/>
    <w:link w:val="CommentTextChar"/>
    <w:uiPriority w:val="99"/>
    <w:semiHidden/>
    <w:rsid w:val="00E90C85"/>
    <w:rPr>
      <w:sz w:val="20"/>
      <w:szCs w:val="20"/>
    </w:rPr>
  </w:style>
  <w:style w:type="paragraph" w:styleId="BalloonText">
    <w:name w:val="Balloon Text"/>
    <w:basedOn w:val="Normal"/>
    <w:link w:val="BalloonTextChar"/>
    <w:uiPriority w:val="99"/>
    <w:rsid w:val="00E90C85"/>
    <w:rPr>
      <w:rFonts w:ascii="Tahoma" w:hAnsi="Tahoma" w:cs="Tahoma"/>
      <w:sz w:val="16"/>
      <w:szCs w:val="16"/>
    </w:rPr>
  </w:style>
  <w:style w:type="paragraph" w:styleId="CommentSubject">
    <w:name w:val="annotation subject"/>
    <w:basedOn w:val="CommentText"/>
    <w:next w:val="CommentText"/>
    <w:link w:val="CommentSubjectChar"/>
    <w:uiPriority w:val="99"/>
    <w:semiHidden/>
    <w:rsid w:val="00E90C85"/>
    <w:rPr>
      <w:b/>
      <w:bCs/>
    </w:rPr>
  </w:style>
  <w:style w:type="paragraph" w:customStyle="1" w:styleId="StyleAPALevel4LeftLinespacingsingle">
    <w:name w:val="Style APA Level 4 + Left Line spacing:  single"/>
    <w:basedOn w:val="Normal"/>
    <w:semiHidden/>
    <w:rsid w:val="00E90C85"/>
    <w:pPr>
      <w:keepNext/>
      <w:keepLines/>
      <w:widowControl w:val="0"/>
      <w:tabs>
        <w:tab w:val="right" w:leader="dot" w:pos="8640"/>
      </w:tabs>
      <w:suppressAutoHyphens/>
      <w:snapToGrid/>
      <w:ind w:firstLine="720"/>
      <w:outlineLvl w:val="4"/>
    </w:pPr>
    <w:rPr>
      <w:bCs/>
      <w:iCs/>
      <w:szCs w:val="20"/>
    </w:rPr>
  </w:style>
  <w:style w:type="paragraph" w:customStyle="1" w:styleId="Default">
    <w:name w:val="Default"/>
    <w:rsid w:val="00E90C85"/>
    <w:pPr>
      <w:autoSpaceDE w:val="0"/>
      <w:autoSpaceDN w:val="0"/>
      <w:adjustRightInd w:val="0"/>
    </w:pPr>
    <w:rPr>
      <w:color w:val="000000"/>
      <w:sz w:val="24"/>
      <w:szCs w:val="24"/>
    </w:rPr>
  </w:style>
  <w:style w:type="paragraph" w:customStyle="1" w:styleId="Figurecaption">
    <w:name w:val="Figure caption"/>
    <w:basedOn w:val="FlushLeft"/>
    <w:next w:val="FlushLeft"/>
    <w:link w:val="FigurecaptionChar"/>
    <w:autoRedefine/>
    <w:semiHidden/>
    <w:rsid w:val="00E90C85"/>
    <w:pPr>
      <w:tabs>
        <w:tab w:val="right" w:leader="dot" w:pos="8640"/>
      </w:tabs>
    </w:pPr>
    <w:rPr>
      <w:i/>
    </w:rPr>
  </w:style>
  <w:style w:type="character" w:customStyle="1" w:styleId="FigurecaptionChar">
    <w:name w:val="Figure caption Char"/>
    <w:link w:val="Figurecaption"/>
    <w:semiHidden/>
    <w:rsid w:val="00E90C85"/>
    <w:rPr>
      <w:i/>
      <w:sz w:val="24"/>
      <w:szCs w:val="24"/>
    </w:rPr>
  </w:style>
  <w:style w:type="table" w:styleId="TableGrid">
    <w:name w:val="Table Grid"/>
    <w:basedOn w:val="TableNormal"/>
    <w:uiPriority w:val="39"/>
    <w:rsid w:val="00E90C85"/>
    <w:pPr>
      <w:autoSpaceDE w:val="0"/>
      <w:autoSpaceDN w:val="0"/>
      <w:adjustRightInd w:val="0"/>
      <w:snapToGri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lorfulShading-Accent32">
    <w:name w:val="Colorful Shading - Accent 32"/>
    <w:basedOn w:val="Normal"/>
    <w:uiPriority w:val="34"/>
    <w:semiHidden/>
    <w:qFormat/>
    <w:rsid w:val="00B04341"/>
    <w:pPr>
      <w:autoSpaceDE/>
      <w:autoSpaceDN/>
      <w:adjustRightInd/>
      <w:snapToGrid/>
      <w:ind w:left="720"/>
    </w:pPr>
    <w:rPr>
      <w:rFonts w:eastAsia="Calibri"/>
    </w:rPr>
  </w:style>
  <w:style w:type="character" w:customStyle="1" w:styleId="FooterChar">
    <w:name w:val="Footer Char"/>
    <w:link w:val="Footer"/>
    <w:uiPriority w:val="99"/>
    <w:rsid w:val="00E90C85"/>
    <w:rPr>
      <w:sz w:val="24"/>
      <w:szCs w:val="24"/>
    </w:rPr>
  </w:style>
  <w:style w:type="character" w:customStyle="1" w:styleId="HeaderChar">
    <w:name w:val="Header Char"/>
    <w:link w:val="Header"/>
    <w:uiPriority w:val="99"/>
    <w:rsid w:val="00E90C85"/>
    <w:rPr>
      <w:sz w:val="24"/>
      <w:szCs w:val="24"/>
    </w:rPr>
  </w:style>
  <w:style w:type="character" w:styleId="FollowedHyperlink">
    <w:name w:val="FollowedHyperlink"/>
    <w:uiPriority w:val="99"/>
    <w:semiHidden/>
    <w:rsid w:val="00E90C85"/>
    <w:rPr>
      <w:rFonts w:cs="Times New Roman"/>
      <w:color w:val="000000"/>
      <w:u w:val="none"/>
    </w:rPr>
  </w:style>
  <w:style w:type="character" w:customStyle="1" w:styleId="Heading1Char">
    <w:name w:val="Heading 1 Char"/>
    <w:link w:val="Heading1"/>
    <w:semiHidden/>
    <w:rsid w:val="00E90C85"/>
    <w:rPr>
      <w:rFonts w:ascii="Calibri" w:eastAsia="MS Gothic" w:hAnsi="Calibri"/>
      <w:b/>
      <w:bCs/>
      <w:kern w:val="32"/>
      <w:sz w:val="32"/>
      <w:szCs w:val="32"/>
    </w:rPr>
  </w:style>
  <w:style w:type="paragraph" w:customStyle="1" w:styleId="APALevel3">
    <w:name w:val="APA Level 3"/>
    <w:basedOn w:val="BodyText"/>
    <w:next w:val="BodyText"/>
    <w:link w:val="APALevel3Char"/>
    <w:qFormat/>
    <w:rsid w:val="00E90C85"/>
    <w:pPr>
      <w:widowControl w:val="0"/>
    </w:pPr>
    <w:rPr>
      <w:b/>
      <w:bCs/>
    </w:rPr>
  </w:style>
  <w:style w:type="character" w:customStyle="1" w:styleId="APALevel3Char">
    <w:name w:val="APA Level 3 Char"/>
    <w:link w:val="APALevel3"/>
    <w:rsid w:val="00E90C85"/>
    <w:rPr>
      <w:b/>
      <w:bCs/>
      <w:sz w:val="24"/>
      <w:szCs w:val="24"/>
    </w:rPr>
  </w:style>
  <w:style w:type="paragraph" w:customStyle="1" w:styleId="APALevel4">
    <w:name w:val="APA Level 4"/>
    <w:basedOn w:val="BodyText"/>
    <w:next w:val="BodyText"/>
    <w:link w:val="APALevel4Char"/>
    <w:qFormat/>
    <w:rsid w:val="00E90C85"/>
    <w:pPr>
      <w:widowControl w:val="0"/>
      <w:outlineLvl w:val="4"/>
    </w:pPr>
    <w:rPr>
      <w:b/>
      <w:i/>
      <w:iCs/>
    </w:rPr>
  </w:style>
  <w:style w:type="character" w:customStyle="1" w:styleId="APALevel4Char">
    <w:name w:val="APA Level 4 Char"/>
    <w:link w:val="APALevel4"/>
    <w:rsid w:val="00E90C85"/>
    <w:rPr>
      <w:b/>
      <w:i/>
      <w:iCs/>
      <w:sz w:val="24"/>
      <w:szCs w:val="24"/>
    </w:rPr>
  </w:style>
  <w:style w:type="character" w:customStyle="1" w:styleId="BalloonTextChar">
    <w:name w:val="Balloon Text Char"/>
    <w:link w:val="BalloonText"/>
    <w:uiPriority w:val="99"/>
    <w:rsid w:val="00E90C85"/>
    <w:rPr>
      <w:rFonts w:ascii="Tahoma" w:hAnsi="Tahoma" w:cs="Tahoma"/>
      <w:sz w:val="16"/>
      <w:szCs w:val="16"/>
    </w:rPr>
  </w:style>
  <w:style w:type="character" w:customStyle="1" w:styleId="CommentTextChar">
    <w:name w:val="Comment Text Char"/>
    <w:link w:val="CommentText"/>
    <w:uiPriority w:val="99"/>
    <w:semiHidden/>
    <w:rsid w:val="00E90C85"/>
  </w:style>
  <w:style w:type="character" w:customStyle="1" w:styleId="CommentSubjectChar">
    <w:name w:val="Comment Subject Char"/>
    <w:link w:val="CommentSubject"/>
    <w:uiPriority w:val="99"/>
    <w:semiHidden/>
    <w:rsid w:val="00E90C85"/>
    <w:rPr>
      <w:b/>
      <w:bCs/>
    </w:rPr>
  </w:style>
  <w:style w:type="character" w:styleId="FootnoteReference">
    <w:name w:val="footnote reference"/>
    <w:uiPriority w:val="99"/>
    <w:semiHidden/>
    <w:rsid w:val="00E90C85"/>
    <w:rPr>
      <w:vertAlign w:val="superscript"/>
    </w:rPr>
  </w:style>
  <w:style w:type="paragraph" w:styleId="FootnoteText">
    <w:name w:val="footnote text"/>
    <w:basedOn w:val="Normal"/>
    <w:link w:val="FootnoteTextChar"/>
    <w:uiPriority w:val="99"/>
    <w:semiHidden/>
    <w:rsid w:val="00E90C85"/>
    <w:pPr>
      <w:autoSpaceDE/>
      <w:autoSpaceDN/>
      <w:adjustRightInd/>
      <w:snapToGrid/>
    </w:pPr>
  </w:style>
  <w:style w:type="character" w:customStyle="1" w:styleId="FootnoteTextChar">
    <w:name w:val="Footnote Text Char"/>
    <w:link w:val="FootnoteText"/>
    <w:uiPriority w:val="99"/>
    <w:semiHidden/>
    <w:rsid w:val="00E90C85"/>
    <w:rPr>
      <w:sz w:val="24"/>
      <w:szCs w:val="24"/>
    </w:rPr>
  </w:style>
  <w:style w:type="character" w:customStyle="1" w:styleId="Heading3Char">
    <w:name w:val="Heading 3 Char"/>
    <w:link w:val="Heading3"/>
    <w:uiPriority w:val="99"/>
    <w:semiHidden/>
    <w:rsid w:val="00E90C85"/>
    <w:rPr>
      <w:rFonts w:ascii="Arial" w:hAnsi="Arial" w:cs="Arial"/>
      <w:b/>
      <w:bCs/>
      <w:sz w:val="26"/>
      <w:szCs w:val="26"/>
    </w:rPr>
  </w:style>
  <w:style w:type="character" w:customStyle="1" w:styleId="Hyperlink2">
    <w:name w:val="Hyperlink.2"/>
    <w:semiHidden/>
    <w:rsid w:val="00E90C85"/>
  </w:style>
  <w:style w:type="paragraph" w:styleId="NormalWeb">
    <w:name w:val="Normal (Web)"/>
    <w:basedOn w:val="Normal"/>
    <w:uiPriority w:val="99"/>
    <w:semiHidden/>
    <w:rsid w:val="00E90C85"/>
    <w:pPr>
      <w:autoSpaceDE/>
      <w:autoSpaceDN/>
      <w:adjustRightInd/>
      <w:snapToGrid/>
      <w:spacing w:before="100" w:beforeAutospacing="1" w:after="100" w:afterAutospacing="1"/>
    </w:pPr>
  </w:style>
  <w:style w:type="paragraph" w:customStyle="1" w:styleId="TableCaption">
    <w:name w:val="Table Caption"/>
    <w:basedOn w:val="Caption"/>
    <w:uiPriority w:val="99"/>
    <w:semiHidden/>
    <w:rsid w:val="00E90C85"/>
    <w:pPr>
      <w:keepLines/>
      <w:suppressAutoHyphens/>
      <w:spacing w:before="720" w:after="120"/>
    </w:pPr>
    <w:rPr>
      <w:b/>
      <w:bCs w:val="0"/>
      <w:szCs w:val="24"/>
    </w:rPr>
  </w:style>
  <w:style w:type="paragraph" w:customStyle="1" w:styleId="TableHeadingTitle">
    <w:name w:val="Table Heading Title"/>
    <w:basedOn w:val="FlushLeft"/>
    <w:uiPriority w:val="99"/>
    <w:semiHidden/>
    <w:rsid w:val="00E90C85"/>
    <w:pPr>
      <w:keepNext/>
      <w:keepLines/>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uppressAutoHyphens/>
      <w:spacing w:before="240" w:line="240" w:lineRule="auto"/>
    </w:pPr>
    <w:rPr>
      <w:i/>
      <w:iCs/>
    </w:rPr>
  </w:style>
  <w:style w:type="paragraph" w:customStyle="1" w:styleId="TableNumber">
    <w:name w:val="Table Number"/>
    <w:basedOn w:val="FlushLeft"/>
    <w:next w:val="FlushLeft"/>
    <w:link w:val="TableNumberChar"/>
    <w:autoRedefine/>
    <w:semiHidden/>
    <w:qFormat/>
    <w:rsid w:val="00E90C85"/>
    <w:pPr>
      <w:keepNext/>
      <w:keepLines/>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uppressAutoHyphens/>
    </w:pPr>
    <w:rPr>
      <w:iCs/>
    </w:rPr>
  </w:style>
  <w:style w:type="character" w:customStyle="1" w:styleId="TableNumberChar">
    <w:name w:val="Table Number Char"/>
    <w:link w:val="TableNumber"/>
    <w:semiHidden/>
    <w:locked/>
    <w:rsid w:val="00E90C85"/>
    <w:rPr>
      <w:iCs/>
      <w:sz w:val="24"/>
      <w:szCs w:val="24"/>
    </w:rPr>
  </w:style>
  <w:style w:type="paragraph" w:customStyle="1" w:styleId="ColorfulShading-Accent11">
    <w:name w:val="Colorful Shading - Accent 11"/>
    <w:hidden/>
    <w:uiPriority w:val="71"/>
    <w:rsid w:val="00E90C85"/>
    <w:rPr>
      <w:sz w:val="24"/>
      <w:szCs w:val="24"/>
    </w:rPr>
  </w:style>
  <w:style w:type="character" w:customStyle="1" w:styleId="Style1">
    <w:name w:val="Style1"/>
    <w:uiPriority w:val="99"/>
    <w:semiHidden/>
    <w:qFormat/>
    <w:rsid w:val="00E90C85"/>
    <w:rPr>
      <w:i/>
      <w:iCs/>
    </w:rPr>
  </w:style>
  <w:style w:type="character" w:styleId="Emphasis">
    <w:name w:val="Emphasis"/>
    <w:uiPriority w:val="20"/>
    <w:qFormat/>
    <w:rsid w:val="00E90C85"/>
    <w:rPr>
      <w:i/>
      <w:iCs/>
    </w:rPr>
  </w:style>
  <w:style w:type="paragraph" w:customStyle="1" w:styleId="NormalDouble">
    <w:name w:val="Normal Double"/>
    <w:basedOn w:val="Normal"/>
    <w:link w:val="NormalDoubleChar"/>
    <w:semiHidden/>
    <w:rsid w:val="00E90C85"/>
    <w:pPr>
      <w:autoSpaceDE/>
      <w:autoSpaceDN/>
      <w:adjustRightInd/>
      <w:snapToGrid/>
      <w:spacing w:line="480" w:lineRule="auto"/>
    </w:pPr>
    <w:rPr>
      <w:szCs w:val="20"/>
    </w:rPr>
  </w:style>
  <w:style w:type="character" w:customStyle="1" w:styleId="NormalDoubleChar">
    <w:name w:val="Normal Double Char"/>
    <w:link w:val="NormalDouble"/>
    <w:semiHidden/>
    <w:rsid w:val="00E90C85"/>
    <w:rPr>
      <w:sz w:val="24"/>
    </w:rPr>
  </w:style>
  <w:style w:type="paragraph" w:customStyle="1" w:styleId="BodyTextIndentfirstline">
    <w:name w:val="Body Text Indent first line"/>
    <w:basedOn w:val="Normal"/>
    <w:next w:val="Normal"/>
    <w:link w:val="BodyTextIndentfirstlineChar"/>
    <w:semiHidden/>
    <w:rsid w:val="00E90C85"/>
    <w:pPr>
      <w:suppressAutoHyphens/>
      <w:autoSpaceDE/>
      <w:autoSpaceDN/>
      <w:adjustRightInd/>
      <w:snapToGrid/>
      <w:spacing w:line="480" w:lineRule="auto"/>
      <w:ind w:firstLine="720"/>
    </w:pPr>
    <w:rPr>
      <w:szCs w:val="20"/>
      <w:lang w:eastAsia="ar-SA"/>
    </w:rPr>
  </w:style>
  <w:style w:type="character" w:customStyle="1" w:styleId="BodyTextIndentfirstlineChar">
    <w:name w:val="Body Text Indent first line Char"/>
    <w:link w:val="BodyTextIndentfirstline"/>
    <w:semiHidden/>
    <w:rsid w:val="00E90C85"/>
    <w:rPr>
      <w:sz w:val="24"/>
      <w:lang w:eastAsia="ar-SA"/>
    </w:rPr>
  </w:style>
  <w:style w:type="paragraph" w:customStyle="1" w:styleId="Level1">
    <w:name w:val="Level 1"/>
    <w:basedOn w:val="Normal"/>
    <w:semiHidden/>
    <w:rsid w:val="00E90C85"/>
    <w:pPr>
      <w:suppressAutoHyphens/>
      <w:autoSpaceDE/>
      <w:autoSpaceDN/>
      <w:adjustRightInd/>
      <w:snapToGrid/>
      <w:spacing w:line="480" w:lineRule="auto"/>
      <w:jc w:val="center"/>
    </w:pPr>
    <w:rPr>
      <w:lang w:eastAsia="ar-SA"/>
    </w:rPr>
  </w:style>
  <w:style w:type="paragraph" w:customStyle="1" w:styleId="ColorfulList-Accent11">
    <w:name w:val="Colorful List - Accent 11"/>
    <w:basedOn w:val="Normal"/>
    <w:uiPriority w:val="34"/>
    <w:semiHidden/>
    <w:qFormat/>
    <w:rsid w:val="00E90C85"/>
    <w:pPr>
      <w:autoSpaceDE/>
      <w:autoSpaceDN/>
      <w:adjustRightInd/>
      <w:snapToGrid/>
      <w:ind w:left="720"/>
    </w:pPr>
    <w:rPr>
      <w:rFonts w:eastAsia="Calibri"/>
    </w:rPr>
  </w:style>
  <w:style w:type="paragraph" w:customStyle="1" w:styleId="ColorfulList-Accent12">
    <w:name w:val="Colorful List - Accent 12"/>
    <w:basedOn w:val="Normal"/>
    <w:semiHidden/>
    <w:qFormat/>
    <w:rsid w:val="00E90C85"/>
    <w:pPr>
      <w:autoSpaceDE/>
      <w:autoSpaceDN/>
      <w:adjustRightInd/>
      <w:snapToGrid/>
      <w:spacing w:after="200"/>
      <w:ind w:left="720"/>
      <w:contextualSpacing/>
    </w:pPr>
    <w:rPr>
      <w:rFonts w:ascii="Arial" w:eastAsia="Calibri" w:hAnsi="Arial"/>
      <w:sz w:val="20"/>
      <w:szCs w:val="22"/>
    </w:rPr>
  </w:style>
  <w:style w:type="character" w:customStyle="1" w:styleId="TableTitleCharChar">
    <w:name w:val="Table Title Char Char"/>
    <w:semiHidden/>
    <w:rsid w:val="00E90C85"/>
    <w:rPr>
      <w:i/>
      <w:iCs/>
      <w:sz w:val="24"/>
      <w:szCs w:val="24"/>
    </w:rPr>
  </w:style>
  <w:style w:type="character" w:customStyle="1" w:styleId="Heading2Char">
    <w:name w:val="Heading 2 Char"/>
    <w:link w:val="Heading2"/>
    <w:semiHidden/>
    <w:rsid w:val="00AB23DD"/>
    <w:rPr>
      <w:rFonts w:ascii="Cambria" w:eastAsia="Times New Roman" w:hAnsi="Cambria" w:cs="Times New Roman"/>
      <w:b/>
      <w:bCs/>
      <w:i/>
      <w:iCs/>
      <w:sz w:val="28"/>
      <w:szCs w:val="28"/>
    </w:rPr>
  </w:style>
  <w:style w:type="paragraph" w:styleId="Revision">
    <w:name w:val="Revision"/>
    <w:hidden/>
    <w:uiPriority w:val="62"/>
    <w:rsid w:val="00426A5F"/>
    <w:rPr>
      <w:sz w:val="24"/>
      <w:szCs w:val="24"/>
    </w:rPr>
  </w:style>
  <w:style w:type="paragraph" w:customStyle="1" w:styleId="APA">
    <w:name w:val="APA"/>
    <w:basedOn w:val="Normal"/>
    <w:qFormat/>
    <w:rsid w:val="0069376E"/>
    <w:pPr>
      <w:autoSpaceDE/>
      <w:autoSpaceDN/>
      <w:adjustRightInd/>
      <w:snapToGrid/>
      <w:spacing w:after="160" w:line="480" w:lineRule="auto"/>
      <w:contextualSpacing/>
    </w:pPr>
    <w:rPr>
      <w:rFonts w:eastAsia="Calibri"/>
      <w:szCs w:val="22"/>
    </w:rPr>
  </w:style>
  <w:style w:type="paragraph" w:styleId="ListParagraph">
    <w:name w:val="List Paragraph"/>
    <w:basedOn w:val="Normal"/>
    <w:uiPriority w:val="34"/>
    <w:qFormat/>
    <w:rsid w:val="006A7B41"/>
    <w:pPr>
      <w:autoSpaceDE/>
      <w:autoSpaceDN/>
      <w:adjustRightInd/>
      <w:snapToGrid/>
      <w:spacing w:after="160" w:line="259" w:lineRule="auto"/>
      <w:ind w:left="720"/>
      <w:contextualSpacing/>
    </w:pPr>
    <w:rPr>
      <w:rFonts w:ascii="Calibri" w:eastAsia="Calibri"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7332233">
      <w:bodyDiv w:val="1"/>
      <w:marLeft w:val="0"/>
      <w:marRight w:val="0"/>
      <w:marTop w:val="0"/>
      <w:marBottom w:val="0"/>
      <w:divBdr>
        <w:top w:val="none" w:sz="0" w:space="0" w:color="auto"/>
        <w:left w:val="none" w:sz="0" w:space="0" w:color="auto"/>
        <w:bottom w:val="none" w:sz="0" w:space="0" w:color="auto"/>
        <w:right w:val="none" w:sz="0" w:space="0" w:color="auto"/>
      </w:divBdr>
      <w:divsChild>
        <w:div w:id="859583793">
          <w:marLeft w:val="0"/>
          <w:marRight w:val="0"/>
          <w:marTop w:val="0"/>
          <w:marBottom w:val="0"/>
          <w:divBdr>
            <w:top w:val="none" w:sz="0" w:space="0" w:color="auto"/>
            <w:left w:val="none" w:sz="0" w:space="0" w:color="auto"/>
            <w:bottom w:val="none" w:sz="0" w:space="0" w:color="auto"/>
            <w:right w:val="none" w:sz="0" w:space="0" w:color="auto"/>
          </w:divBdr>
          <w:divsChild>
            <w:div w:id="138113674">
              <w:marLeft w:val="0"/>
              <w:marRight w:val="0"/>
              <w:marTop w:val="0"/>
              <w:marBottom w:val="0"/>
              <w:divBdr>
                <w:top w:val="none" w:sz="0" w:space="0" w:color="auto"/>
                <w:left w:val="none" w:sz="0" w:space="0" w:color="auto"/>
                <w:bottom w:val="none" w:sz="0" w:space="0" w:color="auto"/>
                <w:right w:val="none" w:sz="0" w:space="0" w:color="auto"/>
              </w:divBdr>
              <w:divsChild>
                <w:div w:id="611860221">
                  <w:marLeft w:val="0"/>
                  <w:marRight w:val="0"/>
                  <w:marTop w:val="0"/>
                  <w:marBottom w:val="0"/>
                  <w:divBdr>
                    <w:top w:val="none" w:sz="0" w:space="0" w:color="auto"/>
                    <w:left w:val="none" w:sz="0" w:space="0" w:color="auto"/>
                    <w:bottom w:val="none" w:sz="0" w:space="0" w:color="auto"/>
                    <w:right w:val="none" w:sz="0" w:space="0" w:color="auto"/>
                  </w:divBdr>
                  <w:divsChild>
                    <w:div w:id="715197642">
                      <w:marLeft w:val="0"/>
                      <w:marRight w:val="0"/>
                      <w:marTop w:val="0"/>
                      <w:marBottom w:val="0"/>
                      <w:divBdr>
                        <w:top w:val="none" w:sz="0" w:space="0" w:color="auto"/>
                        <w:left w:val="none" w:sz="0" w:space="0" w:color="auto"/>
                        <w:bottom w:val="none" w:sz="0" w:space="0" w:color="auto"/>
                        <w:right w:val="none" w:sz="0" w:space="0" w:color="auto"/>
                      </w:divBdr>
                      <w:divsChild>
                        <w:div w:id="1830555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1.png"/><Relationship Id="rId26" Type="http://schemas.openxmlformats.org/officeDocument/2006/relationships/image" Target="media/image9.png"/><Relationship Id="rId39"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image" Target="media/image4.png"/><Relationship Id="rId34" Type="http://schemas.openxmlformats.org/officeDocument/2006/relationships/image" Target="media/image17.png"/><Relationship Id="rId42"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oter" Target="footer3.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image" Target="media/image3.png"/><Relationship Id="rId29" Type="http://schemas.openxmlformats.org/officeDocument/2006/relationships/image" Target="media/image12.png"/><Relationship Id="rId41"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10" Type="http://schemas.openxmlformats.org/officeDocument/2006/relationships/endnotes" Target="endnotes.xml"/><Relationship Id="rId19" Type="http://schemas.openxmlformats.org/officeDocument/2006/relationships/image" Target="media/image2.png"/><Relationship Id="rId31" Type="http://schemas.openxmlformats.org/officeDocument/2006/relationships/image" Target="media/image1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brown\Desktop\PhD_Dissertation_Template_March_2017.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AF4285B-DEE6-47CD-8852-9C1017C738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049D35E-564E-4EAF-AB1E-69017F0FEB27}">
  <ds:schemaRefs>
    <ds:schemaRef ds:uri="http://schemas.microsoft.com/sharepoint/v3/contenttype/forms"/>
  </ds:schemaRefs>
</ds:datastoreItem>
</file>

<file path=customXml/itemProps3.xml><?xml version="1.0" encoding="utf-8"?>
<ds:datastoreItem xmlns:ds="http://schemas.openxmlformats.org/officeDocument/2006/customXml" ds:itemID="{F9E4452B-8AAB-4BC8-ABC7-E2AEAAE8BA2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BE39D92-FD17-4C4D-9479-3105FE0D75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PhD_Dissertation_Template_March_2017</Template>
  <TotalTime>40</TotalTime>
  <Pages>93</Pages>
  <Words>14582</Words>
  <Characters>83122</Characters>
  <Application>Microsoft Office Word</Application>
  <DocSecurity>0</DocSecurity>
  <Lines>692</Lines>
  <Paragraphs>195</Paragraphs>
  <ScaleCrop>false</ScaleCrop>
  <HeadingPairs>
    <vt:vector size="2" baseType="variant">
      <vt:variant>
        <vt:lpstr>Title</vt:lpstr>
      </vt:variant>
      <vt:variant>
        <vt:i4>1</vt:i4>
      </vt:variant>
    </vt:vector>
  </HeadingPairs>
  <TitlesOfParts>
    <vt:vector size="1" baseType="lpstr">
      <vt:lpstr>APA 6 Doc_Study_Template</vt:lpstr>
    </vt:vector>
  </TitlesOfParts>
  <Manager/>
  <Company>Salisbury</Company>
  <LinksUpToDate>false</LinksUpToDate>
  <CharactersWithSpaces>97509</CharactersWithSpaces>
  <SharedDoc>false</SharedDoc>
  <HyperlinkBase/>
  <HLinks>
    <vt:vector size="444" baseType="variant">
      <vt:variant>
        <vt:i4>1638453</vt:i4>
      </vt:variant>
      <vt:variant>
        <vt:i4>440</vt:i4>
      </vt:variant>
      <vt:variant>
        <vt:i4>0</vt:i4>
      </vt:variant>
      <vt:variant>
        <vt:i4>5</vt:i4>
      </vt:variant>
      <vt:variant>
        <vt:lpwstr/>
      </vt:variant>
      <vt:variant>
        <vt:lpwstr>_Toc513708302</vt:lpwstr>
      </vt:variant>
      <vt:variant>
        <vt:i4>1638453</vt:i4>
      </vt:variant>
      <vt:variant>
        <vt:i4>434</vt:i4>
      </vt:variant>
      <vt:variant>
        <vt:i4>0</vt:i4>
      </vt:variant>
      <vt:variant>
        <vt:i4>5</vt:i4>
      </vt:variant>
      <vt:variant>
        <vt:lpwstr/>
      </vt:variant>
      <vt:variant>
        <vt:lpwstr>_Toc513708301</vt:lpwstr>
      </vt:variant>
      <vt:variant>
        <vt:i4>1638453</vt:i4>
      </vt:variant>
      <vt:variant>
        <vt:i4>428</vt:i4>
      </vt:variant>
      <vt:variant>
        <vt:i4>0</vt:i4>
      </vt:variant>
      <vt:variant>
        <vt:i4>5</vt:i4>
      </vt:variant>
      <vt:variant>
        <vt:lpwstr/>
      </vt:variant>
      <vt:variant>
        <vt:lpwstr>_Toc513708300</vt:lpwstr>
      </vt:variant>
      <vt:variant>
        <vt:i4>1048628</vt:i4>
      </vt:variant>
      <vt:variant>
        <vt:i4>422</vt:i4>
      </vt:variant>
      <vt:variant>
        <vt:i4>0</vt:i4>
      </vt:variant>
      <vt:variant>
        <vt:i4>5</vt:i4>
      </vt:variant>
      <vt:variant>
        <vt:lpwstr/>
      </vt:variant>
      <vt:variant>
        <vt:lpwstr>_Toc513708299</vt:lpwstr>
      </vt:variant>
      <vt:variant>
        <vt:i4>1048628</vt:i4>
      </vt:variant>
      <vt:variant>
        <vt:i4>416</vt:i4>
      </vt:variant>
      <vt:variant>
        <vt:i4>0</vt:i4>
      </vt:variant>
      <vt:variant>
        <vt:i4>5</vt:i4>
      </vt:variant>
      <vt:variant>
        <vt:lpwstr/>
      </vt:variant>
      <vt:variant>
        <vt:lpwstr>_Toc513708298</vt:lpwstr>
      </vt:variant>
      <vt:variant>
        <vt:i4>1048628</vt:i4>
      </vt:variant>
      <vt:variant>
        <vt:i4>410</vt:i4>
      </vt:variant>
      <vt:variant>
        <vt:i4>0</vt:i4>
      </vt:variant>
      <vt:variant>
        <vt:i4>5</vt:i4>
      </vt:variant>
      <vt:variant>
        <vt:lpwstr/>
      </vt:variant>
      <vt:variant>
        <vt:lpwstr>_Toc513708297</vt:lpwstr>
      </vt:variant>
      <vt:variant>
        <vt:i4>1048628</vt:i4>
      </vt:variant>
      <vt:variant>
        <vt:i4>404</vt:i4>
      </vt:variant>
      <vt:variant>
        <vt:i4>0</vt:i4>
      </vt:variant>
      <vt:variant>
        <vt:i4>5</vt:i4>
      </vt:variant>
      <vt:variant>
        <vt:lpwstr/>
      </vt:variant>
      <vt:variant>
        <vt:lpwstr>_Toc513708296</vt:lpwstr>
      </vt:variant>
      <vt:variant>
        <vt:i4>1048628</vt:i4>
      </vt:variant>
      <vt:variant>
        <vt:i4>398</vt:i4>
      </vt:variant>
      <vt:variant>
        <vt:i4>0</vt:i4>
      </vt:variant>
      <vt:variant>
        <vt:i4>5</vt:i4>
      </vt:variant>
      <vt:variant>
        <vt:lpwstr/>
      </vt:variant>
      <vt:variant>
        <vt:lpwstr>_Toc513708295</vt:lpwstr>
      </vt:variant>
      <vt:variant>
        <vt:i4>1048628</vt:i4>
      </vt:variant>
      <vt:variant>
        <vt:i4>392</vt:i4>
      </vt:variant>
      <vt:variant>
        <vt:i4>0</vt:i4>
      </vt:variant>
      <vt:variant>
        <vt:i4>5</vt:i4>
      </vt:variant>
      <vt:variant>
        <vt:lpwstr/>
      </vt:variant>
      <vt:variant>
        <vt:lpwstr>_Toc513708294</vt:lpwstr>
      </vt:variant>
      <vt:variant>
        <vt:i4>1048628</vt:i4>
      </vt:variant>
      <vt:variant>
        <vt:i4>386</vt:i4>
      </vt:variant>
      <vt:variant>
        <vt:i4>0</vt:i4>
      </vt:variant>
      <vt:variant>
        <vt:i4>5</vt:i4>
      </vt:variant>
      <vt:variant>
        <vt:lpwstr/>
      </vt:variant>
      <vt:variant>
        <vt:lpwstr>_Toc513708293</vt:lpwstr>
      </vt:variant>
      <vt:variant>
        <vt:i4>1048628</vt:i4>
      </vt:variant>
      <vt:variant>
        <vt:i4>380</vt:i4>
      </vt:variant>
      <vt:variant>
        <vt:i4>0</vt:i4>
      </vt:variant>
      <vt:variant>
        <vt:i4>5</vt:i4>
      </vt:variant>
      <vt:variant>
        <vt:lpwstr/>
      </vt:variant>
      <vt:variant>
        <vt:lpwstr>_Toc513708292</vt:lpwstr>
      </vt:variant>
      <vt:variant>
        <vt:i4>1048628</vt:i4>
      </vt:variant>
      <vt:variant>
        <vt:i4>374</vt:i4>
      </vt:variant>
      <vt:variant>
        <vt:i4>0</vt:i4>
      </vt:variant>
      <vt:variant>
        <vt:i4>5</vt:i4>
      </vt:variant>
      <vt:variant>
        <vt:lpwstr/>
      </vt:variant>
      <vt:variant>
        <vt:lpwstr>_Toc513708291</vt:lpwstr>
      </vt:variant>
      <vt:variant>
        <vt:i4>1048628</vt:i4>
      </vt:variant>
      <vt:variant>
        <vt:i4>368</vt:i4>
      </vt:variant>
      <vt:variant>
        <vt:i4>0</vt:i4>
      </vt:variant>
      <vt:variant>
        <vt:i4>5</vt:i4>
      </vt:variant>
      <vt:variant>
        <vt:lpwstr/>
      </vt:variant>
      <vt:variant>
        <vt:lpwstr>_Toc513708290</vt:lpwstr>
      </vt:variant>
      <vt:variant>
        <vt:i4>1114164</vt:i4>
      </vt:variant>
      <vt:variant>
        <vt:i4>362</vt:i4>
      </vt:variant>
      <vt:variant>
        <vt:i4>0</vt:i4>
      </vt:variant>
      <vt:variant>
        <vt:i4>5</vt:i4>
      </vt:variant>
      <vt:variant>
        <vt:lpwstr/>
      </vt:variant>
      <vt:variant>
        <vt:lpwstr>_Toc513708289</vt:lpwstr>
      </vt:variant>
      <vt:variant>
        <vt:i4>1114164</vt:i4>
      </vt:variant>
      <vt:variant>
        <vt:i4>356</vt:i4>
      </vt:variant>
      <vt:variant>
        <vt:i4>0</vt:i4>
      </vt:variant>
      <vt:variant>
        <vt:i4>5</vt:i4>
      </vt:variant>
      <vt:variant>
        <vt:lpwstr/>
      </vt:variant>
      <vt:variant>
        <vt:lpwstr>_Toc513708288</vt:lpwstr>
      </vt:variant>
      <vt:variant>
        <vt:i4>1114164</vt:i4>
      </vt:variant>
      <vt:variant>
        <vt:i4>350</vt:i4>
      </vt:variant>
      <vt:variant>
        <vt:i4>0</vt:i4>
      </vt:variant>
      <vt:variant>
        <vt:i4>5</vt:i4>
      </vt:variant>
      <vt:variant>
        <vt:lpwstr/>
      </vt:variant>
      <vt:variant>
        <vt:lpwstr>_Toc513708287</vt:lpwstr>
      </vt:variant>
      <vt:variant>
        <vt:i4>1114164</vt:i4>
      </vt:variant>
      <vt:variant>
        <vt:i4>344</vt:i4>
      </vt:variant>
      <vt:variant>
        <vt:i4>0</vt:i4>
      </vt:variant>
      <vt:variant>
        <vt:i4>5</vt:i4>
      </vt:variant>
      <vt:variant>
        <vt:lpwstr/>
      </vt:variant>
      <vt:variant>
        <vt:lpwstr>_Toc513708286</vt:lpwstr>
      </vt:variant>
      <vt:variant>
        <vt:i4>1114164</vt:i4>
      </vt:variant>
      <vt:variant>
        <vt:i4>338</vt:i4>
      </vt:variant>
      <vt:variant>
        <vt:i4>0</vt:i4>
      </vt:variant>
      <vt:variant>
        <vt:i4>5</vt:i4>
      </vt:variant>
      <vt:variant>
        <vt:lpwstr/>
      </vt:variant>
      <vt:variant>
        <vt:lpwstr>_Toc513708285</vt:lpwstr>
      </vt:variant>
      <vt:variant>
        <vt:i4>1114164</vt:i4>
      </vt:variant>
      <vt:variant>
        <vt:i4>332</vt:i4>
      </vt:variant>
      <vt:variant>
        <vt:i4>0</vt:i4>
      </vt:variant>
      <vt:variant>
        <vt:i4>5</vt:i4>
      </vt:variant>
      <vt:variant>
        <vt:lpwstr/>
      </vt:variant>
      <vt:variant>
        <vt:lpwstr>_Toc513708284</vt:lpwstr>
      </vt:variant>
      <vt:variant>
        <vt:i4>1114164</vt:i4>
      </vt:variant>
      <vt:variant>
        <vt:i4>329</vt:i4>
      </vt:variant>
      <vt:variant>
        <vt:i4>0</vt:i4>
      </vt:variant>
      <vt:variant>
        <vt:i4>5</vt:i4>
      </vt:variant>
      <vt:variant>
        <vt:lpwstr/>
      </vt:variant>
      <vt:variant>
        <vt:lpwstr>_Toc513708283</vt:lpwstr>
      </vt:variant>
      <vt:variant>
        <vt:i4>1703990</vt:i4>
      </vt:variant>
      <vt:variant>
        <vt:i4>320</vt:i4>
      </vt:variant>
      <vt:variant>
        <vt:i4>0</vt:i4>
      </vt:variant>
      <vt:variant>
        <vt:i4>5</vt:i4>
      </vt:variant>
      <vt:variant>
        <vt:lpwstr/>
      </vt:variant>
      <vt:variant>
        <vt:lpwstr>_Toc513708035</vt:lpwstr>
      </vt:variant>
      <vt:variant>
        <vt:i4>1703990</vt:i4>
      </vt:variant>
      <vt:variant>
        <vt:i4>314</vt:i4>
      </vt:variant>
      <vt:variant>
        <vt:i4>0</vt:i4>
      </vt:variant>
      <vt:variant>
        <vt:i4>5</vt:i4>
      </vt:variant>
      <vt:variant>
        <vt:lpwstr/>
      </vt:variant>
      <vt:variant>
        <vt:lpwstr>_Toc513708034</vt:lpwstr>
      </vt:variant>
      <vt:variant>
        <vt:i4>1703990</vt:i4>
      </vt:variant>
      <vt:variant>
        <vt:i4>308</vt:i4>
      </vt:variant>
      <vt:variant>
        <vt:i4>0</vt:i4>
      </vt:variant>
      <vt:variant>
        <vt:i4>5</vt:i4>
      </vt:variant>
      <vt:variant>
        <vt:lpwstr/>
      </vt:variant>
      <vt:variant>
        <vt:lpwstr>_Toc513708033</vt:lpwstr>
      </vt:variant>
      <vt:variant>
        <vt:i4>1703990</vt:i4>
      </vt:variant>
      <vt:variant>
        <vt:i4>302</vt:i4>
      </vt:variant>
      <vt:variant>
        <vt:i4>0</vt:i4>
      </vt:variant>
      <vt:variant>
        <vt:i4>5</vt:i4>
      </vt:variant>
      <vt:variant>
        <vt:lpwstr/>
      </vt:variant>
      <vt:variant>
        <vt:lpwstr>_Toc513708032</vt:lpwstr>
      </vt:variant>
      <vt:variant>
        <vt:i4>1703990</vt:i4>
      </vt:variant>
      <vt:variant>
        <vt:i4>296</vt:i4>
      </vt:variant>
      <vt:variant>
        <vt:i4>0</vt:i4>
      </vt:variant>
      <vt:variant>
        <vt:i4>5</vt:i4>
      </vt:variant>
      <vt:variant>
        <vt:lpwstr/>
      </vt:variant>
      <vt:variant>
        <vt:lpwstr>_Toc513708031</vt:lpwstr>
      </vt:variant>
      <vt:variant>
        <vt:i4>1703990</vt:i4>
      </vt:variant>
      <vt:variant>
        <vt:i4>290</vt:i4>
      </vt:variant>
      <vt:variant>
        <vt:i4>0</vt:i4>
      </vt:variant>
      <vt:variant>
        <vt:i4>5</vt:i4>
      </vt:variant>
      <vt:variant>
        <vt:lpwstr/>
      </vt:variant>
      <vt:variant>
        <vt:lpwstr>_Toc513708030</vt:lpwstr>
      </vt:variant>
      <vt:variant>
        <vt:i4>1769526</vt:i4>
      </vt:variant>
      <vt:variant>
        <vt:i4>284</vt:i4>
      </vt:variant>
      <vt:variant>
        <vt:i4>0</vt:i4>
      </vt:variant>
      <vt:variant>
        <vt:i4>5</vt:i4>
      </vt:variant>
      <vt:variant>
        <vt:lpwstr/>
      </vt:variant>
      <vt:variant>
        <vt:lpwstr>_Toc513708029</vt:lpwstr>
      </vt:variant>
      <vt:variant>
        <vt:i4>1769526</vt:i4>
      </vt:variant>
      <vt:variant>
        <vt:i4>278</vt:i4>
      </vt:variant>
      <vt:variant>
        <vt:i4>0</vt:i4>
      </vt:variant>
      <vt:variant>
        <vt:i4>5</vt:i4>
      </vt:variant>
      <vt:variant>
        <vt:lpwstr/>
      </vt:variant>
      <vt:variant>
        <vt:lpwstr>_Toc513708028</vt:lpwstr>
      </vt:variant>
      <vt:variant>
        <vt:i4>1769526</vt:i4>
      </vt:variant>
      <vt:variant>
        <vt:i4>272</vt:i4>
      </vt:variant>
      <vt:variant>
        <vt:i4>0</vt:i4>
      </vt:variant>
      <vt:variant>
        <vt:i4>5</vt:i4>
      </vt:variant>
      <vt:variant>
        <vt:lpwstr/>
      </vt:variant>
      <vt:variant>
        <vt:lpwstr>_Toc513708027</vt:lpwstr>
      </vt:variant>
      <vt:variant>
        <vt:i4>1769526</vt:i4>
      </vt:variant>
      <vt:variant>
        <vt:i4>266</vt:i4>
      </vt:variant>
      <vt:variant>
        <vt:i4>0</vt:i4>
      </vt:variant>
      <vt:variant>
        <vt:i4>5</vt:i4>
      </vt:variant>
      <vt:variant>
        <vt:lpwstr/>
      </vt:variant>
      <vt:variant>
        <vt:lpwstr>_Toc513708026</vt:lpwstr>
      </vt:variant>
      <vt:variant>
        <vt:i4>1769526</vt:i4>
      </vt:variant>
      <vt:variant>
        <vt:i4>260</vt:i4>
      </vt:variant>
      <vt:variant>
        <vt:i4>0</vt:i4>
      </vt:variant>
      <vt:variant>
        <vt:i4>5</vt:i4>
      </vt:variant>
      <vt:variant>
        <vt:lpwstr/>
      </vt:variant>
      <vt:variant>
        <vt:lpwstr>_Toc513708025</vt:lpwstr>
      </vt:variant>
      <vt:variant>
        <vt:i4>1769526</vt:i4>
      </vt:variant>
      <vt:variant>
        <vt:i4>254</vt:i4>
      </vt:variant>
      <vt:variant>
        <vt:i4>0</vt:i4>
      </vt:variant>
      <vt:variant>
        <vt:i4>5</vt:i4>
      </vt:variant>
      <vt:variant>
        <vt:lpwstr/>
      </vt:variant>
      <vt:variant>
        <vt:lpwstr>_Toc513708024</vt:lpwstr>
      </vt:variant>
      <vt:variant>
        <vt:i4>1769526</vt:i4>
      </vt:variant>
      <vt:variant>
        <vt:i4>248</vt:i4>
      </vt:variant>
      <vt:variant>
        <vt:i4>0</vt:i4>
      </vt:variant>
      <vt:variant>
        <vt:i4>5</vt:i4>
      </vt:variant>
      <vt:variant>
        <vt:lpwstr/>
      </vt:variant>
      <vt:variant>
        <vt:lpwstr>_Toc513708023</vt:lpwstr>
      </vt:variant>
      <vt:variant>
        <vt:i4>1769526</vt:i4>
      </vt:variant>
      <vt:variant>
        <vt:i4>242</vt:i4>
      </vt:variant>
      <vt:variant>
        <vt:i4>0</vt:i4>
      </vt:variant>
      <vt:variant>
        <vt:i4>5</vt:i4>
      </vt:variant>
      <vt:variant>
        <vt:lpwstr/>
      </vt:variant>
      <vt:variant>
        <vt:lpwstr>_Toc513708022</vt:lpwstr>
      </vt:variant>
      <vt:variant>
        <vt:i4>1769526</vt:i4>
      </vt:variant>
      <vt:variant>
        <vt:i4>236</vt:i4>
      </vt:variant>
      <vt:variant>
        <vt:i4>0</vt:i4>
      </vt:variant>
      <vt:variant>
        <vt:i4>5</vt:i4>
      </vt:variant>
      <vt:variant>
        <vt:lpwstr/>
      </vt:variant>
      <vt:variant>
        <vt:lpwstr>_Toc513708021</vt:lpwstr>
      </vt:variant>
      <vt:variant>
        <vt:i4>1769526</vt:i4>
      </vt:variant>
      <vt:variant>
        <vt:i4>230</vt:i4>
      </vt:variant>
      <vt:variant>
        <vt:i4>0</vt:i4>
      </vt:variant>
      <vt:variant>
        <vt:i4>5</vt:i4>
      </vt:variant>
      <vt:variant>
        <vt:lpwstr/>
      </vt:variant>
      <vt:variant>
        <vt:lpwstr>_Toc513708020</vt:lpwstr>
      </vt:variant>
      <vt:variant>
        <vt:i4>1572918</vt:i4>
      </vt:variant>
      <vt:variant>
        <vt:i4>224</vt:i4>
      </vt:variant>
      <vt:variant>
        <vt:i4>0</vt:i4>
      </vt:variant>
      <vt:variant>
        <vt:i4>5</vt:i4>
      </vt:variant>
      <vt:variant>
        <vt:lpwstr/>
      </vt:variant>
      <vt:variant>
        <vt:lpwstr>_Toc513708019</vt:lpwstr>
      </vt:variant>
      <vt:variant>
        <vt:i4>1572918</vt:i4>
      </vt:variant>
      <vt:variant>
        <vt:i4>218</vt:i4>
      </vt:variant>
      <vt:variant>
        <vt:i4>0</vt:i4>
      </vt:variant>
      <vt:variant>
        <vt:i4>5</vt:i4>
      </vt:variant>
      <vt:variant>
        <vt:lpwstr/>
      </vt:variant>
      <vt:variant>
        <vt:lpwstr>_Toc513708018</vt:lpwstr>
      </vt:variant>
      <vt:variant>
        <vt:i4>1572918</vt:i4>
      </vt:variant>
      <vt:variant>
        <vt:i4>212</vt:i4>
      </vt:variant>
      <vt:variant>
        <vt:i4>0</vt:i4>
      </vt:variant>
      <vt:variant>
        <vt:i4>5</vt:i4>
      </vt:variant>
      <vt:variant>
        <vt:lpwstr/>
      </vt:variant>
      <vt:variant>
        <vt:lpwstr>_Toc513708017</vt:lpwstr>
      </vt:variant>
      <vt:variant>
        <vt:i4>1572918</vt:i4>
      </vt:variant>
      <vt:variant>
        <vt:i4>206</vt:i4>
      </vt:variant>
      <vt:variant>
        <vt:i4>0</vt:i4>
      </vt:variant>
      <vt:variant>
        <vt:i4>5</vt:i4>
      </vt:variant>
      <vt:variant>
        <vt:lpwstr/>
      </vt:variant>
      <vt:variant>
        <vt:lpwstr>_Toc513708016</vt:lpwstr>
      </vt:variant>
      <vt:variant>
        <vt:i4>1572918</vt:i4>
      </vt:variant>
      <vt:variant>
        <vt:i4>200</vt:i4>
      </vt:variant>
      <vt:variant>
        <vt:i4>0</vt:i4>
      </vt:variant>
      <vt:variant>
        <vt:i4>5</vt:i4>
      </vt:variant>
      <vt:variant>
        <vt:lpwstr/>
      </vt:variant>
      <vt:variant>
        <vt:lpwstr>_Toc513708015</vt:lpwstr>
      </vt:variant>
      <vt:variant>
        <vt:i4>1572918</vt:i4>
      </vt:variant>
      <vt:variant>
        <vt:i4>194</vt:i4>
      </vt:variant>
      <vt:variant>
        <vt:i4>0</vt:i4>
      </vt:variant>
      <vt:variant>
        <vt:i4>5</vt:i4>
      </vt:variant>
      <vt:variant>
        <vt:lpwstr/>
      </vt:variant>
      <vt:variant>
        <vt:lpwstr>_Toc513708014</vt:lpwstr>
      </vt:variant>
      <vt:variant>
        <vt:i4>1572918</vt:i4>
      </vt:variant>
      <vt:variant>
        <vt:i4>188</vt:i4>
      </vt:variant>
      <vt:variant>
        <vt:i4>0</vt:i4>
      </vt:variant>
      <vt:variant>
        <vt:i4>5</vt:i4>
      </vt:variant>
      <vt:variant>
        <vt:lpwstr/>
      </vt:variant>
      <vt:variant>
        <vt:lpwstr>_Toc513708013</vt:lpwstr>
      </vt:variant>
      <vt:variant>
        <vt:i4>1572918</vt:i4>
      </vt:variant>
      <vt:variant>
        <vt:i4>182</vt:i4>
      </vt:variant>
      <vt:variant>
        <vt:i4>0</vt:i4>
      </vt:variant>
      <vt:variant>
        <vt:i4>5</vt:i4>
      </vt:variant>
      <vt:variant>
        <vt:lpwstr/>
      </vt:variant>
      <vt:variant>
        <vt:lpwstr>_Toc513708012</vt:lpwstr>
      </vt:variant>
      <vt:variant>
        <vt:i4>1572918</vt:i4>
      </vt:variant>
      <vt:variant>
        <vt:i4>176</vt:i4>
      </vt:variant>
      <vt:variant>
        <vt:i4>0</vt:i4>
      </vt:variant>
      <vt:variant>
        <vt:i4>5</vt:i4>
      </vt:variant>
      <vt:variant>
        <vt:lpwstr/>
      </vt:variant>
      <vt:variant>
        <vt:lpwstr>_Toc513708011</vt:lpwstr>
      </vt:variant>
      <vt:variant>
        <vt:i4>1572918</vt:i4>
      </vt:variant>
      <vt:variant>
        <vt:i4>170</vt:i4>
      </vt:variant>
      <vt:variant>
        <vt:i4>0</vt:i4>
      </vt:variant>
      <vt:variant>
        <vt:i4>5</vt:i4>
      </vt:variant>
      <vt:variant>
        <vt:lpwstr/>
      </vt:variant>
      <vt:variant>
        <vt:lpwstr>_Toc513708010</vt:lpwstr>
      </vt:variant>
      <vt:variant>
        <vt:i4>1638454</vt:i4>
      </vt:variant>
      <vt:variant>
        <vt:i4>164</vt:i4>
      </vt:variant>
      <vt:variant>
        <vt:i4>0</vt:i4>
      </vt:variant>
      <vt:variant>
        <vt:i4>5</vt:i4>
      </vt:variant>
      <vt:variant>
        <vt:lpwstr/>
      </vt:variant>
      <vt:variant>
        <vt:lpwstr>_Toc513708009</vt:lpwstr>
      </vt:variant>
      <vt:variant>
        <vt:i4>1638454</vt:i4>
      </vt:variant>
      <vt:variant>
        <vt:i4>158</vt:i4>
      </vt:variant>
      <vt:variant>
        <vt:i4>0</vt:i4>
      </vt:variant>
      <vt:variant>
        <vt:i4>5</vt:i4>
      </vt:variant>
      <vt:variant>
        <vt:lpwstr/>
      </vt:variant>
      <vt:variant>
        <vt:lpwstr>_Toc513708008</vt:lpwstr>
      </vt:variant>
      <vt:variant>
        <vt:i4>1638454</vt:i4>
      </vt:variant>
      <vt:variant>
        <vt:i4>152</vt:i4>
      </vt:variant>
      <vt:variant>
        <vt:i4>0</vt:i4>
      </vt:variant>
      <vt:variant>
        <vt:i4>5</vt:i4>
      </vt:variant>
      <vt:variant>
        <vt:lpwstr/>
      </vt:variant>
      <vt:variant>
        <vt:lpwstr>_Toc513708007</vt:lpwstr>
      </vt:variant>
      <vt:variant>
        <vt:i4>1638454</vt:i4>
      </vt:variant>
      <vt:variant>
        <vt:i4>146</vt:i4>
      </vt:variant>
      <vt:variant>
        <vt:i4>0</vt:i4>
      </vt:variant>
      <vt:variant>
        <vt:i4>5</vt:i4>
      </vt:variant>
      <vt:variant>
        <vt:lpwstr/>
      </vt:variant>
      <vt:variant>
        <vt:lpwstr>_Toc513708006</vt:lpwstr>
      </vt:variant>
      <vt:variant>
        <vt:i4>1638454</vt:i4>
      </vt:variant>
      <vt:variant>
        <vt:i4>140</vt:i4>
      </vt:variant>
      <vt:variant>
        <vt:i4>0</vt:i4>
      </vt:variant>
      <vt:variant>
        <vt:i4>5</vt:i4>
      </vt:variant>
      <vt:variant>
        <vt:lpwstr/>
      </vt:variant>
      <vt:variant>
        <vt:lpwstr>_Toc513708005</vt:lpwstr>
      </vt:variant>
      <vt:variant>
        <vt:i4>1638454</vt:i4>
      </vt:variant>
      <vt:variant>
        <vt:i4>134</vt:i4>
      </vt:variant>
      <vt:variant>
        <vt:i4>0</vt:i4>
      </vt:variant>
      <vt:variant>
        <vt:i4>5</vt:i4>
      </vt:variant>
      <vt:variant>
        <vt:lpwstr/>
      </vt:variant>
      <vt:variant>
        <vt:lpwstr>_Toc513708004</vt:lpwstr>
      </vt:variant>
      <vt:variant>
        <vt:i4>1638454</vt:i4>
      </vt:variant>
      <vt:variant>
        <vt:i4>128</vt:i4>
      </vt:variant>
      <vt:variant>
        <vt:i4>0</vt:i4>
      </vt:variant>
      <vt:variant>
        <vt:i4>5</vt:i4>
      </vt:variant>
      <vt:variant>
        <vt:lpwstr/>
      </vt:variant>
      <vt:variant>
        <vt:lpwstr>_Toc513708003</vt:lpwstr>
      </vt:variant>
      <vt:variant>
        <vt:i4>1638454</vt:i4>
      </vt:variant>
      <vt:variant>
        <vt:i4>122</vt:i4>
      </vt:variant>
      <vt:variant>
        <vt:i4>0</vt:i4>
      </vt:variant>
      <vt:variant>
        <vt:i4>5</vt:i4>
      </vt:variant>
      <vt:variant>
        <vt:lpwstr/>
      </vt:variant>
      <vt:variant>
        <vt:lpwstr>_Toc513708002</vt:lpwstr>
      </vt:variant>
      <vt:variant>
        <vt:i4>1638454</vt:i4>
      </vt:variant>
      <vt:variant>
        <vt:i4>116</vt:i4>
      </vt:variant>
      <vt:variant>
        <vt:i4>0</vt:i4>
      </vt:variant>
      <vt:variant>
        <vt:i4>5</vt:i4>
      </vt:variant>
      <vt:variant>
        <vt:lpwstr/>
      </vt:variant>
      <vt:variant>
        <vt:lpwstr>_Toc513708001</vt:lpwstr>
      </vt:variant>
      <vt:variant>
        <vt:i4>1638454</vt:i4>
      </vt:variant>
      <vt:variant>
        <vt:i4>110</vt:i4>
      </vt:variant>
      <vt:variant>
        <vt:i4>0</vt:i4>
      </vt:variant>
      <vt:variant>
        <vt:i4>5</vt:i4>
      </vt:variant>
      <vt:variant>
        <vt:lpwstr/>
      </vt:variant>
      <vt:variant>
        <vt:lpwstr>_Toc513708000</vt:lpwstr>
      </vt:variant>
      <vt:variant>
        <vt:i4>2031679</vt:i4>
      </vt:variant>
      <vt:variant>
        <vt:i4>104</vt:i4>
      </vt:variant>
      <vt:variant>
        <vt:i4>0</vt:i4>
      </vt:variant>
      <vt:variant>
        <vt:i4>5</vt:i4>
      </vt:variant>
      <vt:variant>
        <vt:lpwstr/>
      </vt:variant>
      <vt:variant>
        <vt:lpwstr>_Toc513707999</vt:lpwstr>
      </vt:variant>
      <vt:variant>
        <vt:i4>2031679</vt:i4>
      </vt:variant>
      <vt:variant>
        <vt:i4>98</vt:i4>
      </vt:variant>
      <vt:variant>
        <vt:i4>0</vt:i4>
      </vt:variant>
      <vt:variant>
        <vt:i4>5</vt:i4>
      </vt:variant>
      <vt:variant>
        <vt:lpwstr/>
      </vt:variant>
      <vt:variant>
        <vt:lpwstr>_Toc513707998</vt:lpwstr>
      </vt:variant>
      <vt:variant>
        <vt:i4>2031679</vt:i4>
      </vt:variant>
      <vt:variant>
        <vt:i4>92</vt:i4>
      </vt:variant>
      <vt:variant>
        <vt:i4>0</vt:i4>
      </vt:variant>
      <vt:variant>
        <vt:i4>5</vt:i4>
      </vt:variant>
      <vt:variant>
        <vt:lpwstr/>
      </vt:variant>
      <vt:variant>
        <vt:lpwstr>_Toc513707997</vt:lpwstr>
      </vt:variant>
      <vt:variant>
        <vt:i4>2031679</vt:i4>
      </vt:variant>
      <vt:variant>
        <vt:i4>86</vt:i4>
      </vt:variant>
      <vt:variant>
        <vt:i4>0</vt:i4>
      </vt:variant>
      <vt:variant>
        <vt:i4>5</vt:i4>
      </vt:variant>
      <vt:variant>
        <vt:lpwstr/>
      </vt:variant>
      <vt:variant>
        <vt:lpwstr>_Toc513707996</vt:lpwstr>
      </vt:variant>
      <vt:variant>
        <vt:i4>2031679</vt:i4>
      </vt:variant>
      <vt:variant>
        <vt:i4>80</vt:i4>
      </vt:variant>
      <vt:variant>
        <vt:i4>0</vt:i4>
      </vt:variant>
      <vt:variant>
        <vt:i4>5</vt:i4>
      </vt:variant>
      <vt:variant>
        <vt:lpwstr/>
      </vt:variant>
      <vt:variant>
        <vt:lpwstr>_Toc513707995</vt:lpwstr>
      </vt:variant>
      <vt:variant>
        <vt:i4>2031679</vt:i4>
      </vt:variant>
      <vt:variant>
        <vt:i4>74</vt:i4>
      </vt:variant>
      <vt:variant>
        <vt:i4>0</vt:i4>
      </vt:variant>
      <vt:variant>
        <vt:i4>5</vt:i4>
      </vt:variant>
      <vt:variant>
        <vt:lpwstr/>
      </vt:variant>
      <vt:variant>
        <vt:lpwstr>_Toc513707994</vt:lpwstr>
      </vt:variant>
      <vt:variant>
        <vt:i4>2031679</vt:i4>
      </vt:variant>
      <vt:variant>
        <vt:i4>68</vt:i4>
      </vt:variant>
      <vt:variant>
        <vt:i4>0</vt:i4>
      </vt:variant>
      <vt:variant>
        <vt:i4>5</vt:i4>
      </vt:variant>
      <vt:variant>
        <vt:lpwstr/>
      </vt:variant>
      <vt:variant>
        <vt:lpwstr>_Toc513707993</vt:lpwstr>
      </vt:variant>
      <vt:variant>
        <vt:i4>2031679</vt:i4>
      </vt:variant>
      <vt:variant>
        <vt:i4>62</vt:i4>
      </vt:variant>
      <vt:variant>
        <vt:i4>0</vt:i4>
      </vt:variant>
      <vt:variant>
        <vt:i4>5</vt:i4>
      </vt:variant>
      <vt:variant>
        <vt:lpwstr/>
      </vt:variant>
      <vt:variant>
        <vt:lpwstr>_Toc513707992</vt:lpwstr>
      </vt:variant>
      <vt:variant>
        <vt:i4>2031679</vt:i4>
      </vt:variant>
      <vt:variant>
        <vt:i4>56</vt:i4>
      </vt:variant>
      <vt:variant>
        <vt:i4>0</vt:i4>
      </vt:variant>
      <vt:variant>
        <vt:i4>5</vt:i4>
      </vt:variant>
      <vt:variant>
        <vt:lpwstr/>
      </vt:variant>
      <vt:variant>
        <vt:lpwstr>_Toc513707991</vt:lpwstr>
      </vt:variant>
      <vt:variant>
        <vt:i4>2031679</vt:i4>
      </vt:variant>
      <vt:variant>
        <vt:i4>50</vt:i4>
      </vt:variant>
      <vt:variant>
        <vt:i4>0</vt:i4>
      </vt:variant>
      <vt:variant>
        <vt:i4>5</vt:i4>
      </vt:variant>
      <vt:variant>
        <vt:lpwstr/>
      </vt:variant>
      <vt:variant>
        <vt:lpwstr>_Toc513707990</vt:lpwstr>
      </vt:variant>
      <vt:variant>
        <vt:i4>1966143</vt:i4>
      </vt:variant>
      <vt:variant>
        <vt:i4>44</vt:i4>
      </vt:variant>
      <vt:variant>
        <vt:i4>0</vt:i4>
      </vt:variant>
      <vt:variant>
        <vt:i4>5</vt:i4>
      </vt:variant>
      <vt:variant>
        <vt:lpwstr/>
      </vt:variant>
      <vt:variant>
        <vt:lpwstr>_Toc513707989</vt:lpwstr>
      </vt:variant>
      <vt:variant>
        <vt:i4>1966143</vt:i4>
      </vt:variant>
      <vt:variant>
        <vt:i4>38</vt:i4>
      </vt:variant>
      <vt:variant>
        <vt:i4>0</vt:i4>
      </vt:variant>
      <vt:variant>
        <vt:i4>5</vt:i4>
      </vt:variant>
      <vt:variant>
        <vt:lpwstr/>
      </vt:variant>
      <vt:variant>
        <vt:lpwstr>_Toc513707988</vt:lpwstr>
      </vt:variant>
      <vt:variant>
        <vt:i4>1966143</vt:i4>
      </vt:variant>
      <vt:variant>
        <vt:i4>32</vt:i4>
      </vt:variant>
      <vt:variant>
        <vt:i4>0</vt:i4>
      </vt:variant>
      <vt:variant>
        <vt:i4>5</vt:i4>
      </vt:variant>
      <vt:variant>
        <vt:lpwstr/>
      </vt:variant>
      <vt:variant>
        <vt:lpwstr>_Toc513707987</vt:lpwstr>
      </vt:variant>
      <vt:variant>
        <vt:i4>1966143</vt:i4>
      </vt:variant>
      <vt:variant>
        <vt:i4>26</vt:i4>
      </vt:variant>
      <vt:variant>
        <vt:i4>0</vt:i4>
      </vt:variant>
      <vt:variant>
        <vt:i4>5</vt:i4>
      </vt:variant>
      <vt:variant>
        <vt:lpwstr/>
      </vt:variant>
      <vt:variant>
        <vt:lpwstr>_Toc513707986</vt:lpwstr>
      </vt:variant>
      <vt:variant>
        <vt:i4>1966143</vt:i4>
      </vt:variant>
      <vt:variant>
        <vt:i4>20</vt:i4>
      </vt:variant>
      <vt:variant>
        <vt:i4>0</vt:i4>
      </vt:variant>
      <vt:variant>
        <vt:i4>5</vt:i4>
      </vt:variant>
      <vt:variant>
        <vt:lpwstr/>
      </vt:variant>
      <vt:variant>
        <vt:lpwstr>_Toc513707985</vt:lpwstr>
      </vt:variant>
      <vt:variant>
        <vt:i4>1966143</vt:i4>
      </vt:variant>
      <vt:variant>
        <vt:i4>14</vt:i4>
      </vt:variant>
      <vt:variant>
        <vt:i4>0</vt:i4>
      </vt:variant>
      <vt:variant>
        <vt:i4>5</vt:i4>
      </vt:variant>
      <vt:variant>
        <vt:lpwstr/>
      </vt:variant>
      <vt:variant>
        <vt:lpwstr>_Toc513707984</vt:lpwstr>
      </vt:variant>
      <vt:variant>
        <vt:i4>1966143</vt:i4>
      </vt:variant>
      <vt:variant>
        <vt:i4>8</vt:i4>
      </vt:variant>
      <vt:variant>
        <vt:i4>0</vt:i4>
      </vt:variant>
      <vt:variant>
        <vt:i4>5</vt:i4>
      </vt:variant>
      <vt:variant>
        <vt:lpwstr/>
      </vt:variant>
      <vt:variant>
        <vt:lpwstr>_Toc513707983</vt:lpwstr>
      </vt:variant>
      <vt:variant>
        <vt:i4>1966143</vt:i4>
      </vt:variant>
      <vt:variant>
        <vt:i4>2</vt:i4>
      </vt:variant>
      <vt:variant>
        <vt:i4>0</vt:i4>
      </vt:variant>
      <vt:variant>
        <vt:i4>5</vt:i4>
      </vt:variant>
      <vt:variant>
        <vt:lpwstr/>
      </vt:variant>
      <vt:variant>
        <vt:lpwstr>_Toc513707982</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APA 6 Doc_Study_Template</dc:title>
  <dc:subject/>
  <dc:creator>None</dc:creator>
  <cp:keywords/>
  <dc:description/>
  <cp:lastModifiedBy>Deanna Schloemer</cp:lastModifiedBy>
  <cp:revision>14</cp:revision>
  <cp:lastPrinted>2018-05-10T17:56:00Z</cp:lastPrinted>
  <dcterms:created xsi:type="dcterms:W3CDTF">2018-05-10T20:40:00Z</dcterms:created>
  <dcterms:modified xsi:type="dcterms:W3CDTF">2018-05-14T15:35:00Z</dcterms:modified>
  <cp:category/>
</cp:coreProperties>
</file>