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C90" w:rsidRDefault="006E1C90" w:rsidP="006E1C90">
      <w:pPr>
        <w:pStyle w:val="ListParagraph"/>
      </w:pPr>
    </w:p>
    <w:p w:rsidR="006E1C90" w:rsidRDefault="006E1C90" w:rsidP="006E1C90">
      <w:pPr>
        <w:pStyle w:val="western"/>
        <w:spacing w:before="0" w:beforeAutospacing="0" w:after="80" w:afterAutospacing="0"/>
        <w:contextualSpacing/>
        <w:rPr>
          <w:b/>
        </w:rPr>
      </w:pPr>
    </w:p>
    <w:p w:rsidR="00FD67EB" w:rsidRDefault="00FD67EB" w:rsidP="00FD67EB">
      <w:pPr>
        <w:spacing w:line="480" w:lineRule="auto"/>
        <w:ind w:left="720"/>
        <w:jc w:val="center"/>
        <w:rPr>
          <w:b/>
          <w:caps/>
        </w:rPr>
      </w:pPr>
      <w:r>
        <w:rPr>
          <w:b/>
          <w:caps/>
        </w:rPr>
        <w:t xml:space="preserve">identifying telomere </w:t>
      </w:r>
      <w:r w:rsidR="003C6820">
        <w:rPr>
          <w:b/>
          <w:caps/>
        </w:rPr>
        <w:t xml:space="preserve">Repeat </w:t>
      </w:r>
      <w:r>
        <w:rPr>
          <w:b/>
          <w:caps/>
        </w:rPr>
        <w:t xml:space="preserve">change during </w:t>
      </w:r>
    </w:p>
    <w:p w:rsidR="00FD67EB" w:rsidRDefault="00FD67EB" w:rsidP="00FD67EB">
      <w:pPr>
        <w:spacing w:line="480" w:lineRule="auto"/>
        <w:ind w:left="720"/>
        <w:jc w:val="center"/>
        <w:rPr>
          <w:b/>
          <w:caps/>
        </w:rPr>
      </w:pPr>
      <w:r>
        <w:rPr>
          <w:b/>
          <w:caps/>
        </w:rPr>
        <w:t xml:space="preserve">exercise using </w:t>
      </w:r>
    </w:p>
    <w:p w:rsidR="00FD67EB" w:rsidRDefault="00FD67EB" w:rsidP="00FD67EB">
      <w:pPr>
        <w:spacing w:line="480" w:lineRule="auto"/>
        <w:ind w:left="720"/>
        <w:jc w:val="center"/>
        <w:rPr>
          <w:b/>
          <w:caps/>
        </w:rPr>
      </w:pPr>
      <w:r>
        <w:rPr>
          <w:b/>
          <w:caps/>
        </w:rPr>
        <w:t>electric pulse stimulation</w:t>
      </w:r>
    </w:p>
    <w:p w:rsidR="00354313" w:rsidRPr="00AE3F41" w:rsidRDefault="00354313" w:rsidP="00354313">
      <w:pPr>
        <w:spacing w:line="480" w:lineRule="auto"/>
        <w:ind w:left="720"/>
        <w:contextualSpacing/>
        <w:jc w:val="center"/>
      </w:pPr>
      <w:r w:rsidRPr="00AE3F41">
        <w:t>by</w:t>
      </w:r>
    </w:p>
    <w:p w:rsidR="00354313" w:rsidRDefault="00DA7ACE" w:rsidP="00354313">
      <w:pPr>
        <w:spacing w:line="480" w:lineRule="auto"/>
        <w:ind w:left="720"/>
        <w:contextualSpacing/>
        <w:jc w:val="center"/>
      </w:pPr>
      <w:r>
        <w:t>Randy Manraj</w:t>
      </w:r>
    </w:p>
    <w:p w:rsidR="00354313" w:rsidRPr="00AE3F41" w:rsidRDefault="0007521A" w:rsidP="00354313">
      <w:pPr>
        <w:spacing w:line="480" w:lineRule="auto"/>
        <w:ind w:left="720"/>
        <w:contextualSpacing/>
        <w:jc w:val="center"/>
      </w:pPr>
      <w:r>
        <w:t xml:space="preserve">B.S. </w:t>
      </w:r>
      <w:r w:rsidR="00354313" w:rsidRPr="00AE3F41">
        <w:t>(</w:t>
      </w:r>
      <w:r w:rsidR="007E73D1">
        <w:t>University of Connecticut</w:t>
      </w:r>
      <w:r w:rsidR="00354313" w:rsidRPr="00AE3F41">
        <w:t xml:space="preserve">) </w:t>
      </w:r>
      <w:r w:rsidR="00DA7ACE">
        <w:t>201</w:t>
      </w:r>
      <w:r w:rsidR="007E73D1">
        <w:t>4</w:t>
      </w:r>
    </w:p>
    <w:p w:rsidR="00354313" w:rsidRPr="00AE3F41" w:rsidRDefault="00354313" w:rsidP="00354313">
      <w:pPr>
        <w:spacing w:line="480" w:lineRule="auto"/>
        <w:ind w:left="720"/>
        <w:contextualSpacing/>
        <w:jc w:val="center"/>
      </w:pPr>
      <w:r>
        <w:t>MOCK GRANT PROPOSAL</w:t>
      </w:r>
    </w:p>
    <w:p w:rsidR="00354313" w:rsidRPr="00AE3F41" w:rsidRDefault="00354313" w:rsidP="00354313">
      <w:pPr>
        <w:spacing w:line="480" w:lineRule="auto"/>
        <w:ind w:left="720"/>
        <w:contextualSpacing/>
        <w:jc w:val="center"/>
      </w:pPr>
      <w:r>
        <w:t>Submitted in</w:t>
      </w:r>
      <w:r w:rsidRPr="00AE3F41">
        <w:t xml:space="preserve"> partial satisfaction of the requirements</w:t>
      </w:r>
    </w:p>
    <w:p w:rsidR="00354313" w:rsidRPr="00AE3F41" w:rsidRDefault="00354313" w:rsidP="00354313">
      <w:pPr>
        <w:spacing w:line="480" w:lineRule="auto"/>
        <w:ind w:left="720"/>
        <w:contextualSpacing/>
        <w:jc w:val="center"/>
      </w:pPr>
      <w:r w:rsidRPr="00AE3F41">
        <w:t xml:space="preserve">for the degree of </w:t>
      </w:r>
    </w:p>
    <w:p w:rsidR="00354313" w:rsidRPr="00AE3F41" w:rsidRDefault="00354313" w:rsidP="00354313">
      <w:pPr>
        <w:spacing w:line="480" w:lineRule="auto"/>
        <w:ind w:left="720"/>
        <w:contextualSpacing/>
        <w:jc w:val="center"/>
      </w:pPr>
      <w:r w:rsidRPr="00AE3F41">
        <w:t>MASTER OF SCIENCE</w:t>
      </w:r>
    </w:p>
    <w:p w:rsidR="00354313" w:rsidRPr="00AE3F41" w:rsidRDefault="00354313" w:rsidP="00354313">
      <w:pPr>
        <w:spacing w:line="480" w:lineRule="auto"/>
        <w:ind w:left="720"/>
        <w:contextualSpacing/>
        <w:jc w:val="center"/>
      </w:pPr>
      <w:r w:rsidRPr="00AE3F41">
        <w:t>in</w:t>
      </w:r>
    </w:p>
    <w:p w:rsidR="00354313" w:rsidRPr="00AE3F41" w:rsidRDefault="00354313" w:rsidP="00354313">
      <w:pPr>
        <w:spacing w:line="480" w:lineRule="auto"/>
        <w:ind w:left="720"/>
        <w:contextualSpacing/>
        <w:jc w:val="center"/>
      </w:pPr>
      <w:r w:rsidRPr="00AE3F41">
        <w:t>BIOMEDICAL SCIENCE</w:t>
      </w:r>
    </w:p>
    <w:p w:rsidR="00354313" w:rsidRPr="00AE3F41" w:rsidRDefault="00354313" w:rsidP="00354313">
      <w:pPr>
        <w:spacing w:line="480" w:lineRule="auto"/>
        <w:ind w:left="720"/>
        <w:contextualSpacing/>
        <w:jc w:val="center"/>
      </w:pPr>
      <w:r w:rsidRPr="00AE3F41">
        <w:t>in the</w:t>
      </w:r>
    </w:p>
    <w:p w:rsidR="00354313" w:rsidRPr="00AE3F41" w:rsidRDefault="00354313" w:rsidP="00354313">
      <w:pPr>
        <w:spacing w:line="480" w:lineRule="auto"/>
        <w:ind w:left="720"/>
        <w:contextualSpacing/>
        <w:jc w:val="center"/>
      </w:pPr>
      <w:r w:rsidRPr="00AE3F41">
        <w:t>GRADUATE SCHOOL</w:t>
      </w:r>
    </w:p>
    <w:p w:rsidR="00354313" w:rsidRPr="00AE3F41" w:rsidRDefault="00354313" w:rsidP="00354313">
      <w:pPr>
        <w:spacing w:line="480" w:lineRule="auto"/>
        <w:ind w:left="720"/>
        <w:contextualSpacing/>
        <w:jc w:val="center"/>
      </w:pPr>
      <w:r w:rsidRPr="00AE3F41">
        <w:t>of</w:t>
      </w:r>
    </w:p>
    <w:p w:rsidR="00354313" w:rsidRPr="00AE3F41" w:rsidRDefault="00354313" w:rsidP="00354313">
      <w:pPr>
        <w:spacing w:line="480" w:lineRule="auto"/>
        <w:ind w:left="720"/>
        <w:contextualSpacing/>
        <w:jc w:val="center"/>
      </w:pPr>
      <w:r w:rsidRPr="00AE3F41">
        <w:t>HOOD COLLEGE</w:t>
      </w:r>
    </w:p>
    <w:p w:rsidR="00354313" w:rsidRPr="00AE3F41" w:rsidRDefault="00CB5C9F" w:rsidP="00354313">
      <w:pPr>
        <w:spacing w:line="480" w:lineRule="auto"/>
        <w:ind w:left="720"/>
        <w:contextualSpacing/>
        <w:jc w:val="center"/>
      </w:pPr>
      <w:bookmarkStart w:id="0" w:name="_GoBack"/>
      <w:bookmarkEnd w:id="0"/>
      <w:r>
        <w:t xml:space="preserve">November </w:t>
      </w:r>
      <w:r w:rsidR="00DA7ACE">
        <w:t>2018</w:t>
      </w:r>
    </w:p>
    <w:p w:rsidR="00354313" w:rsidRPr="00AE3F41" w:rsidRDefault="00354313" w:rsidP="00354313">
      <w:pPr>
        <w:ind w:left="720"/>
      </w:pPr>
      <w:r w:rsidRPr="00AE3F41">
        <w:t>Accepted:</w:t>
      </w:r>
    </w:p>
    <w:p w:rsidR="00354313" w:rsidRPr="00AE3F41" w:rsidRDefault="00354313"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DA7ACE" w:rsidP="00354313">
      <w:pPr>
        <w:ind w:left="720"/>
      </w:pPr>
      <w:r>
        <w:t>Oney Smith</w:t>
      </w:r>
      <w:r w:rsidR="00354313">
        <w:t>, Ph.D.</w:t>
      </w:r>
      <w:r w:rsidR="00354313">
        <w:tab/>
      </w:r>
      <w:r w:rsidR="00354313">
        <w:tab/>
      </w:r>
      <w:r w:rsidR="00354313">
        <w:tab/>
      </w:r>
      <w:r w:rsidR="00354313">
        <w:tab/>
      </w:r>
      <w:r>
        <w:t>Ann Boyd</w:t>
      </w:r>
      <w:r w:rsidR="00354313" w:rsidRPr="00AE3F41">
        <w:t>, Ph.D.</w:t>
      </w:r>
    </w:p>
    <w:p w:rsidR="00354313" w:rsidRPr="00AE3F41" w:rsidRDefault="00354313" w:rsidP="00354313">
      <w:pPr>
        <w:ind w:left="720"/>
      </w:pPr>
      <w:r>
        <w:t>Committee Member</w:t>
      </w:r>
      <w:r>
        <w:tab/>
      </w:r>
      <w:r>
        <w:tab/>
      </w:r>
      <w:r>
        <w:tab/>
      </w:r>
      <w:r>
        <w:tab/>
      </w:r>
      <w:r w:rsidRPr="00AE3F41">
        <w:t>Director, Biomedical Science Program</w:t>
      </w:r>
    </w:p>
    <w:p w:rsidR="00E91E06" w:rsidRDefault="00E91E06" w:rsidP="00354313">
      <w:pPr>
        <w:ind w:left="720"/>
      </w:pPr>
    </w:p>
    <w:p w:rsidR="00354313" w:rsidRDefault="00354313" w:rsidP="00354313">
      <w:pPr>
        <w:ind w:left="720"/>
      </w:pPr>
      <w:r w:rsidRPr="00AE3F41">
        <w:t>_________________________</w:t>
      </w:r>
      <w:r>
        <w:t>_______</w:t>
      </w:r>
      <w:r>
        <w:tab/>
      </w:r>
    </w:p>
    <w:p w:rsidR="00354313" w:rsidRPr="00AE3F41" w:rsidRDefault="00DA7ACE" w:rsidP="00354313">
      <w:pPr>
        <w:ind w:left="720"/>
      </w:pPr>
      <w:r>
        <w:t>Craig Laufer</w:t>
      </w:r>
      <w:r w:rsidR="00354313">
        <w:t>, Ph.D.</w:t>
      </w:r>
      <w:r w:rsidR="00354313">
        <w:tab/>
      </w:r>
      <w:r w:rsidR="00354313">
        <w:tab/>
      </w:r>
      <w:r w:rsidR="00354313">
        <w:tab/>
      </w:r>
    </w:p>
    <w:p w:rsidR="00354313" w:rsidRDefault="00354313" w:rsidP="00354313">
      <w:pPr>
        <w:ind w:left="720"/>
      </w:pPr>
      <w:r>
        <w:t>Committee Member</w:t>
      </w:r>
      <w:r>
        <w:tab/>
      </w:r>
      <w:r>
        <w:tab/>
      </w:r>
      <w:r>
        <w:tab/>
      </w:r>
      <w:r>
        <w:tab/>
      </w:r>
    </w:p>
    <w:p w:rsidR="00E91E06" w:rsidRDefault="00E91E06"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DA7ACE" w:rsidP="00354313">
      <w:pPr>
        <w:ind w:left="720"/>
      </w:pPr>
      <w:r>
        <w:t>Ann Boyd</w:t>
      </w:r>
      <w:r w:rsidR="00354313">
        <w:t>, Ph.D.</w:t>
      </w:r>
      <w:r w:rsidR="00354313">
        <w:tab/>
      </w:r>
      <w:r w:rsidR="00354313">
        <w:tab/>
      </w:r>
      <w:r w:rsidR="00354313">
        <w:tab/>
      </w:r>
      <w:r w:rsidR="00354313">
        <w:tab/>
      </w:r>
      <w:r>
        <w:t>April M. Boulton</w:t>
      </w:r>
      <w:r w:rsidR="00354313" w:rsidRPr="00AE3F41">
        <w:t>, Ph.D.</w:t>
      </w:r>
    </w:p>
    <w:p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rsidR="00F333FF" w:rsidRDefault="00354313" w:rsidP="00CB5C9F">
      <w:pPr>
        <w:ind w:left="720"/>
        <w:jc w:val="center"/>
        <w:rPr>
          <w:b/>
        </w:rPr>
      </w:pPr>
      <w:r>
        <w:rPr>
          <w:b/>
        </w:rPr>
        <w:br w:type="page"/>
      </w:r>
    </w:p>
    <w:p w:rsidR="00963357" w:rsidRDefault="00963357" w:rsidP="00F333FF">
      <w:pPr>
        <w:ind w:left="720"/>
        <w:jc w:val="center"/>
        <w:rPr>
          <w:b/>
        </w:rPr>
      </w:pPr>
      <w:r>
        <w:rPr>
          <w:b/>
        </w:rPr>
        <w:lastRenderedPageBreak/>
        <w:t xml:space="preserve">STATEMENT OF USE AND </w:t>
      </w:r>
      <w:r w:rsidRPr="00AE3F41">
        <w:rPr>
          <w:b/>
        </w:rPr>
        <w:t>COPYRIGHT WAIVER</w:t>
      </w:r>
    </w:p>
    <w:p w:rsidR="00963357" w:rsidRDefault="00963357" w:rsidP="00963357">
      <w:pPr>
        <w:ind w:left="720" w:firstLine="720"/>
        <w:jc w:val="center"/>
        <w:rPr>
          <w:b/>
        </w:rPr>
      </w:pPr>
    </w:p>
    <w:p w:rsidR="00963357" w:rsidRDefault="00963357" w:rsidP="00963357">
      <w:pPr>
        <w:ind w:left="720" w:firstLine="720"/>
        <w:jc w:val="center"/>
        <w:rPr>
          <w:b/>
        </w:rPr>
      </w:pPr>
    </w:p>
    <w:p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Content>
          <w:r w:rsidR="00462240">
            <w:t>do</w:t>
          </w:r>
        </w:sdtContent>
      </w:sdt>
      <w:r>
        <w:t xml:space="preserve">authorize </w:t>
      </w:r>
      <w:r w:rsidR="00884B58">
        <w:t>Hood College to lend this mock grant proposal</w:t>
      </w:r>
      <w:r w:rsidRPr="00AE3F41">
        <w:t>, or reproductions of it, in total or in part, at the request of other institutions or individuals for the purpose of scholarly research.</w:t>
      </w:r>
    </w:p>
    <w:p w:rsidR="00354313" w:rsidRDefault="00354313" w:rsidP="002E4513">
      <w:pPr>
        <w:ind w:left="720"/>
      </w:pPr>
    </w:p>
    <w:p w:rsidR="00963357" w:rsidRPr="00AE3F41" w:rsidRDefault="00963357" w:rsidP="002E4513">
      <w:pPr>
        <w:ind w:left="720"/>
      </w:pPr>
    </w:p>
    <w:p w:rsidR="00354313" w:rsidRPr="00AE3F41" w:rsidRDefault="00354313" w:rsidP="00354313">
      <w:pPr>
        <w:spacing w:line="480" w:lineRule="auto"/>
      </w:pPr>
    </w:p>
    <w:p w:rsidR="00354313" w:rsidRPr="00AE3F41" w:rsidRDefault="00354313" w:rsidP="00354313">
      <w:pPr>
        <w:spacing w:line="480" w:lineRule="auto"/>
      </w:pPr>
    </w:p>
    <w:p w:rsidR="00354313" w:rsidRPr="00AE3F41" w:rsidRDefault="00354313" w:rsidP="00354313">
      <w:pPr>
        <w:spacing w:line="480" w:lineRule="auto"/>
      </w:pPr>
    </w:p>
    <w:p w:rsidR="00354313" w:rsidRDefault="00354313"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647DAC" w:rsidRDefault="00647DAC" w:rsidP="00354313">
      <w:pPr>
        <w:spacing w:line="480" w:lineRule="auto"/>
      </w:pPr>
    </w:p>
    <w:p w:rsidR="00D523FD" w:rsidRPr="00647DAC" w:rsidRDefault="00D523FD" w:rsidP="00DD079E">
      <w:pPr>
        <w:spacing w:line="480" w:lineRule="auto"/>
        <w:rPr>
          <w:b/>
        </w:rPr>
      </w:pPr>
    </w:p>
    <w:p w:rsidR="00354313" w:rsidRDefault="00647DAC" w:rsidP="00354313">
      <w:pPr>
        <w:spacing w:line="480" w:lineRule="auto"/>
        <w:jc w:val="center"/>
        <w:rPr>
          <w:b/>
        </w:rPr>
      </w:pPr>
      <w:r>
        <w:rPr>
          <w:b/>
        </w:rPr>
        <w:lastRenderedPageBreak/>
        <w:t xml:space="preserve">LIST OF </w:t>
      </w:r>
      <w:r w:rsidR="00DD079E">
        <w:rPr>
          <w:b/>
        </w:rPr>
        <w:t xml:space="preserve">FIGURES </w:t>
      </w:r>
    </w:p>
    <w:p w:rsidR="00647DAC" w:rsidRDefault="00647DAC" w:rsidP="00647DAC">
      <w:pPr>
        <w:spacing w:line="480" w:lineRule="auto"/>
      </w:pPr>
      <w:r>
        <w:t>Figure</w:t>
      </w:r>
      <w:r>
        <w:tab/>
      </w:r>
      <w:r>
        <w:tab/>
      </w:r>
      <w:r>
        <w:tab/>
      </w:r>
      <w:r>
        <w:tab/>
      </w:r>
      <w:r>
        <w:tab/>
      </w:r>
      <w:r>
        <w:tab/>
      </w:r>
      <w:r>
        <w:tab/>
      </w:r>
      <w:r>
        <w:tab/>
      </w:r>
      <w:r>
        <w:tab/>
      </w:r>
      <w:r>
        <w:tab/>
      </w:r>
      <w:r>
        <w:tab/>
      </w:r>
      <w:r>
        <w:tab/>
        <w:t>Page</w:t>
      </w:r>
    </w:p>
    <w:p w:rsidR="00647DAC" w:rsidRDefault="00647DAC" w:rsidP="00DD079E">
      <w:r>
        <w:t>1</w:t>
      </w:r>
      <w:r>
        <w:tab/>
      </w:r>
      <w:r>
        <w:tab/>
        <w:t>Summary of tumor suppressor interaction with hTERT.</w:t>
      </w:r>
      <w:r w:rsidR="00DD079E">
        <w:tab/>
      </w:r>
      <w:r w:rsidR="00DD079E">
        <w:tab/>
      </w:r>
      <w:r w:rsidR="00DD079E">
        <w:tab/>
        <w:t xml:space="preserve">    9</w:t>
      </w:r>
      <w:r w:rsidR="00DD079E">
        <w:tab/>
      </w:r>
    </w:p>
    <w:p w:rsidR="00DD079E" w:rsidRDefault="00DD079E" w:rsidP="00DD079E"/>
    <w:p w:rsidR="00DD079E" w:rsidRDefault="00647DAC" w:rsidP="00DD079E">
      <w:r>
        <w:t>2</w:t>
      </w:r>
      <w:r>
        <w:tab/>
      </w:r>
      <w:r>
        <w:tab/>
        <w:t xml:space="preserve">Telomere length comparison by T/S ratio between athletes </w:t>
      </w:r>
      <w:r w:rsidR="00DD079E">
        <w:tab/>
      </w:r>
      <w:r w:rsidR="00DD079E">
        <w:tab/>
      </w:r>
      <w:r w:rsidR="00DD079E">
        <w:tab/>
        <w:t xml:space="preserve">  14</w:t>
      </w:r>
    </w:p>
    <w:p w:rsidR="00647DAC" w:rsidRDefault="00647DAC" w:rsidP="00DD079E">
      <w:pPr>
        <w:ind w:left="720" w:firstLine="720"/>
      </w:pPr>
      <w:r>
        <w:t>and non-athletes</w:t>
      </w:r>
      <w:r w:rsidR="00DD079E">
        <w:t>.</w:t>
      </w:r>
    </w:p>
    <w:p w:rsidR="00DD079E" w:rsidRDefault="00DD079E" w:rsidP="00DD079E">
      <w:pPr>
        <w:spacing w:line="276" w:lineRule="auto"/>
        <w:ind w:left="720" w:firstLine="720"/>
      </w:pPr>
    </w:p>
    <w:p w:rsidR="00DD079E" w:rsidRDefault="00647DAC" w:rsidP="00DD079E">
      <w:pPr>
        <w:spacing w:line="276" w:lineRule="auto"/>
        <w:ind w:left="1440" w:hanging="1440"/>
      </w:pPr>
      <w:r>
        <w:t>3</w:t>
      </w:r>
      <w:r w:rsidR="00DD079E">
        <w:tab/>
        <w:t xml:space="preserve">Example of Chemiluminescent detection of </w:t>
      </w:r>
      <w:r w:rsidR="0078741B">
        <w:t>t</w:t>
      </w:r>
      <w:r w:rsidR="00DD079E">
        <w:t>elomere repeat factors</w:t>
      </w:r>
      <w:r w:rsidR="00DD079E">
        <w:tab/>
      </w:r>
      <w:r w:rsidR="0078741B">
        <w:tab/>
      </w:r>
      <w:r w:rsidR="00DD079E">
        <w:t>18</w:t>
      </w:r>
    </w:p>
    <w:p w:rsidR="00647DAC" w:rsidRDefault="00DD079E" w:rsidP="00DD079E">
      <w:pPr>
        <w:spacing w:line="276" w:lineRule="auto"/>
        <w:ind w:left="1440"/>
      </w:pPr>
      <w:r>
        <w:t>used in TELOTAGGG</w:t>
      </w:r>
      <w:r w:rsidR="004D3E34" w:rsidRPr="00C379EA">
        <w:rPr>
          <w:vertAlign w:val="superscript"/>
        </w:rPr>
        <w:t>TM</w:t>
      </w:r>
      <w:r>
        <w:t>.</w:t>
      </w:r>
    </w:p>
    <w:p w:rsidR="0078741B" w:rsidRDefault="0078741B" w:rsidP="00DD079E">
      <w:pPr>
        <w:spacing w:line="276" w:lineRule="auto"/>
        <w:ind w:left="1440"/>
      </w:pPr>
    </w:p>
    <w:p w:rsidR="005345C0" w:rsidRDefault="003611A0" w:rsidP="003611A0">
      <w:pPr>
        <w:spacing w:line="276" w:lineRule="auto"/>
      </w:pPr>
      <w:r>
        <w:t xml:space="preserve">   4</w:t>
      </w:r>
      <w:r>
        <w:tab/>
      </w:r>
      <w:r>
        <w:tab/>
        <w:t xml:space="preserve">The </w:t>
      </w:r>
      <w:r w:rsidR="0078741B">
        <w:t xml:space="preserve">experimental </w:t>
      </w:r>
      <w:r>
        <w:t>setup for electric pulse stimula</w:t>
      </w:r>
      <w:r w:rsidR="0078741B">
        <w:t>ted well plate</w:t>
      </w:r>
      <w:r w:rsidR="005345C0">
        <w:t>s</w:t>
      </w:r>
      <w:r w:rsidR="005345C0">
        <w:tab/>
      </w:r>
      <w:r w:rsidR="005345C0">
        <w:tab/>
        <w:t xml:space="preserve">  19</w:t>
      </w:r>
    </w:p>
    <w:p w:rsidR="0078741B" w:rsidRDefault="005345C0" w:rsidP="003611A0">
      <w:pPr>
        <w:spacing w:line="276" w:lineRule="auto"/>
      </w:pPr>
      <w:r>
        <w:tab/>
      </w:r>
      <w:r>
        <w:tab/>
        <w:t>by the use of a pulse generator and carbon electrodes</w:t>
      </w:r>
      <w:r w:rsidR="003611A0">
        <w:tab/>
      </w:r>
      <w:r w:rsidR="003611A0">
        <w:tab/>
      </w: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523FD" w:rsidRDefault="00D523FD" w:rsidP="00DD079E">
      <w:pPr>
        <w:spacing w:line="276" w:lineRule="auto"/>
        <w:ind w:left="1440"/>
      </w:pPr>
    </w:p>
    <w:p w:rsidR="00D523FD" w:rsidRDefault="00D523FD"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Default="00DD079E" w:rsidP="00DD079E">
      <w:pPr>
        <w:spacing w:line="276" w:lineRule="auto"/>
        <w:ind w:left="1440"/>
      </w:pPr>
    </w:p>
    <w:p w:rsidR="00DD079E" w:rsidRPr="00647DAC" w:rsidRDefault="00DD079E" w:rsidP="00D523FD">
      <w:pPr>
        <w:spacing w:line="276" w:lineRule="auto"/>
      </w:pPr>
    </w:p>
    <w:p w:rsidR="00DD079E" w:rsidRPr="00DD079E" w:rsidRDefault="00DD079E" w:rsidP="00DD079E">
      <w:pPr>
        <w:spacing w:line="480" w:lineRule="auto"/>
        <w:jc w:val="center"/>
        <w:rPr>
          <w:b/>
        </w:rPr>
      </w:pPr>
      <w:r>
        <w:rPr>
          <w:b/>
        </w:rPr>
        <w:lastRenderedPageBreak/>
        <w:t>LIST OF TABLES</w:t>
      </w:r>
    </w:p>
    <w:p w:rsidR="00DD079E" w:rsidRDefault="00DD079E" w:rsidP="00DD079E">
      <w:pPr>
        <w:spacing w:line="480" w:lineRule="auto"/>
        <w:rPr>
          <w:b/>
        </w:rPr>
      </w:pPr>
      <w:r w:rsidRPr="00DD079E">
        <w:t>Table</w:t>
      </w:r>
      <w:r w:rsidR="00D523FD">
        <w:tab/>
      </w:r>
      <w:r w:rsidR="00D523FD">
        <w:tab/>
      </w:r>
      <w:r w:rsidR="00D523FD">
        <w:tab/>
      </w:r>
      <w:r w:rsidR="00D523FD">
        <w:tab/>
      </w:r>
      <w:r w:rsidR="00D523FD">
        <w:tab/>
      </w:r>
      <w:r w:rsidR="00D523FD">
        <w:tab/>
      </w:r>
      <w:r w:rsidR="00D523FD">
        <w:tab/>
      </w:r>
      <w:r w:rsidR="00D523FD">
        <w:tab/>
      </w:r>
      <w:r w:rsidR="00D523FD">
        <w:tab/>
      </w:r>
      <w:r w:rsidR="00D523FD">
        <w:tab/>
      </w:r>
      <w:r w:rsidR="00D523FD">
        <w:tab/>
      </w:r>
      <w:r w:rsidR="00D523FD">
        <w:tab/>
        <w:t>Page</w:t>
      </w:r>
    </w:p>
    <w:p w:rsidR="00DD079E" w:rsidRPr="00DD079E" w:rsidRDefault="00DD079E" w:rsidP="00DD079E">
      <w:pPr>
        <w:spacing w:line="480" w:lineRule="auto"/>
        <w:sectPr w:rsidR="00DD079E" w:rsidRPr="00DD079E"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r w:rsidRPr="00DD079E">
        <w:t xml:space="preserve"> 1</w:t>
      </w:r>
      <w:r>
        <w:tab/>
      </w:r>
      <w:r>
        <w:tab/>
        <w:t>Summary of experiments and predicted outcomes.</w:t>
      </w:r>
      <w:r>
        <w:tab/>
      </w:r>
      <w:r>
        <w:tab/>
      </w:r>
      <w:r>
        <w:tab/>
      </w:r>
      <w:r>
        <w:tab/>
        <w:t xml:space="preserve">  2</w:t>
      </w:r>
      <w:r w:rsidR="003611A0">
        <w:t>2</w:t>
      </w:r>
    </w:p>
    <w:tbl>
      <w:tblPr>
        <w:tblW w:w="10800" w:type="dxa"/>
        <w:tblInd w:w="-1051" w:type="dxa"/>
        <w:tblLayout w:type="fixed"/>
        <w:tblCellMar>
          <w:top w:w="29" w:type="dxa"/>
          <w:left w:w="29" w:type="dxa"/>
          <w:right w:w="29" w:type="dxa"/>
        </w:tblCellMar>
        <w:tblLook w:val="000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rsidTr="00B126BB">
        <w:trPr>
          <w:cantSplit/>
        </w:trPr>
        <w:tc>
          <w:tcPr>
            <w:tcW w:w="10800" w:type="dxa"/>
            <w:gridSpan w:val="28"/>
            <w:tcBorders>
              <w:bottom w:val="single" w:sz="6" w:space="0" w:color="auto"/>
            </w:tcBorders>
          </w:tcPr>
          <w:p w:rsidR="006E1C90" w:rsidRPr="000336EB" w:rsidRDefault="006E1C90" w:rsidP="000336EB">
            <w:pPr>
              <w:pStyle w:val="FormHeader"/>
              <w:tabs>
                <w:tab w:val="clear" w:pos="10656"/>
              </w:tabs>
              <w:ind w:right="61"/>
              <w:jc w:val="right"/>
              <w:rPr>
                <w:bCs/>
                <w:sz w:val="14"/>
                <w:szCs w:val="14"/>
              </w:rPr>
            </w:pPr>
          </w:p>
        </w:tc>
      </w:tr>
      <w:tr w:rsidR="006E1C90"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rsidTr="00B126BB">
        <w:trPr>
          <w:cantSplit/>
          <w:trHeight w:val="173"/>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rsidR="006E1C90" w:rsidRDefault="000336EB" w:rsidP="00F901CA">
            <w:pPr>
              <w:pStyle w:val="FormFieldCaption"/>
            </w:pPr>
            <w:r>
              <w:t>Version  –</w:t>
            </w:r>
            <w:r w:rsidR="00F901CA">
              <w:t>HC</w:t>
            </w:r>
            <w:r w:rsidR="004A46C0">
              <w:t>BMS.</w:t>
            </w:r>
            <w:r w:rsidR="00F901CA">
              <w:t>0117</w:t>
            </w:r>
            <w:r>
              <w:t>12</w:t>
            </w:r>
          </w:p>
        </w:tc>
      </w:tr>
      <w:tr w:rsidR="006E1C90" w:rsidTr="00B126BB">
        <w:trPr>
          <w:cantSplit/>
          <w:trHeight w:val="317"/>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rsidR="006E1C90" w:rsidRDefault="006E1C90" w:rsidP="00F40F58">
            <w:pPr>
              <w:pStyle w:val="FormFieldCaption"/>
            </w:pPr>
            <w:r>
              <w:t>Formerly</w:t>
            </w:r>
          </w:p>
        </w:tc>
      </w:tr>
      <w:tr w:rsidR="006E1C90" w:rsidTr="00B126BB">
        <w:trPr>
          <w:cantSplit/>
          <w:trHeight w:val="361"/>
        </w:trPr>
        <w:tc>
          <w:tcPr>
            <w:tcW w:w="5775" w:type="dxa"/>
            <w:gridSpan w:val="12"/>
            <w:vMerge/>
            <w:tcBorders>
              <w:left w:val="single" w:sz="6" w:space="0" w:color="auto"/>
              <w:bottom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rsidR="006E1C90" w:rsidRDefault="006E1C90" w:rsidP="00F40F58">
            <w:pPr>
              <w:pStyle w:val="FormFieldCaption"/>
            </w:pPr>
            <w:r>
              <w:t>Date Received</w:t>
            </w:r>
          </w:p>
        </w:tc>
      </w:tr>
      <w:tr w:rsidR="006E1C90" w:rsidTr="00B126BB">
        <w:trPr>
          <w:trHeight w:hRule="exact" w:val="576"/>
        </w:trPr>
        <w:tc>
          <w:tcPr>
            <w:tcW w:w="10800" w:type="dxa"/>
            <w:gridSpan w:val="28"/>
            <w:tcBorders>
              <w:top w:val="nil"/>
              <w:left w:val="single" w:sz="6" w:space="0" w:color="auto"/>
              <w:bottom w:val="single" w:sz="6" w:space="0" w:color="auto"/>
              <w:right w:val="single" w:sz="6" w:space="0" w:color="auto"/>
            </w:tcBorders>
          </w:tcPr>
          <w:p w:rsidR="006E1C90" w:rsidRDefault="006E1C90" w:rsidP="00F40F58">
            <w:pPr>
              <w:pStyle w:val="FormFieldCaption"/>
            </w:pPr>
            <w:r>
              <w:t>1.</w:t>
            </w:r>
            <w:r>
              <w:tab/>
              <w:t xml:space="preserve">TITLE OF PROJECT </w:t>
            </w:r>
            <w:r>
              <w:rPr>
                <w:i/>
                <w:iCs/>
              </w:rPr>
              <w:t>(Do not exceed 81 characters, including spaces and punctuation.)</w:t>
            </w:r>
          </w:p>
          <w:p w:rsidR="006E1C90" w:rsidRPr="00997FE1" w:rsidRDefault="00FA4C89" w:rsidP="00B126BB">
            <w:pPr>
              <w:pStyle w:val="DataField11pt"/>
              <w:tabs>
                <w:tab w:val="left" w:pos="3600"/>
              </w:tabs>
              <w:ind w:left="259"/>
              <w:rPr>
                <w:sz w:val="20"/>
              </w:rPr>
            </w:pPr>
            <w:r>
              <w:rPr>
                <w:sz w:val="20"/>
              </w:rPr>
              <w:t>Identifying relationships between telomere length regulation and exercise</w:t>
            </w:r>
          </w:p>
        </w:tc>
      </w:tr>
      <w:tr w:rsidR="006E1C90"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rsidR="006E1C90" w:rsidRDefault="006E1C90" w:rsidP="00F40F58">
            <w:pPr>
              <w:pStyle w:val="FormFieldCaption"/>
            </w:pPr>
            <w:r>
              <w:t>2.</w:t>
            </w:r>
            <w:r>
              <w:tab/>
              <w:t xml:space="preserve">RESPONSE TO SPECIFIC REQUEST FOR APPLICATIONS OR PROGRAM ANNOUNCEMENT OR SOLICITATION  </w:t>
            </w:r>
            <w:r w:rsidR="00E347BF">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E347BF">
              <w:rPr>
                <w:sz w:val="20"/>
                <w:szCs w:val="20"/>
              </w:rPr>
            </w:r>
            <w:r w:rsidR="00E347BF">
              <w:rPr>
                <w:sz w:val="20"/>
                <w:szCs w:val="20"/>
              </w:rPr>
              <w:fldChar w:fldCharType="end"/>
            </w:r>
            <w:r>
              <w:t xml:space="preserve"> NO  </w:t>
            </w:r>
            <w:r w:rsidR="00E347BF">
              <w:rPr>
                <w:sz w:val="20"/>
                <w:szCs w:val="20"/>
              </w:rPr>
              <w:fldChar w:fldCharType="begin">
                <w:ffData>
                  <w:name w:val=""/>
                  <w:enabled/>
                  <w:calcOnExit w:val="0"/>
                  <w:checkBox>
                    <w:size w:val="20"/>
                    <w:default w:val="0"/>
                  </w:checkBox>
                </w:ffData>
              </w:fldChar>
            </w:r>
            <w:r>
              <w:rPr>
                <w:sz w:val="20"/>
                <w:szCs w:val="20"/>
              </w:rPr>
              <w:instrText xml:space="preserve"> FORMCHECKBOX </w:instrText>
            </w:r>
            <w:r w:rsidR="00E347BF">
              <w:rPr>
                <w:sz w:val="20"/>
                <w:szCs w:val="20"/>
              </w:rPr>
            </w:r>
            <w:r w:rsidR="00E347BF">
              <w:rPr>
                <w:sz w:val="20"/>
                <w:szCs w:val="20"/>
              </w:rPr>
              <w:fldChar w:fldCharType="end"/>
            </w:r>
            <w:r>
              <w:t xml:space="preserve"> YES </w:t>
            </w:r>
          </w:p>
          <w:p w:rsidR="006E1C90" w:rsidRDefault="006E1C90" w:rsidP="00F40F58">
            <w:pPr>
              <w:pStyle w:val="FormFieldCaption"/>
              <w:rPr>
                <w:i/>
                <w:iCs/>
              </w:rPr>
            </w:pPr>
            <w:r>
              <w:tab/>
            </w:r>
            <w:r>
              <w:rPr>
                <w:i/>
                <w:iCs/>
              </w:rPr>
              <w:t>(If “Yes,” state number and title)</w:t>
            </w:r>
          </w:p>
        </w:tc>
      </w:tr>
      <w:tr w:rsidR="006E1C90" w:rsidTr="00B126BB">
        <w:trPr>
          <w:trHeight w:hRule="exact" w:val="346"/>
        </w:trPr>
        <w:tc>
          <w:tcPr>
            <w:tcW w:w="824" w:type="dxa"/>
            <w:gridSpan w:val="2"/>
            <w:tcBorders>
              <w:left w:val="single" w:sz="6" w:space="0" w:color="auto"/>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rsidR="006E1C90" w:rsidRDefault="006E1C90" w:rsidP="00F40F58">
            <w:pPr>
              <w:pStyle w:val="DataField10pt"/>
              <w:rPr>
                <w:sz w:val="16"/>
                <w:szCs w:val="16"/>
              </w:rPr>
            </w:pPr>
          </w:p>
        </w:tc>
        <w:tc>
          <w:tcPr>
            <w:tcW w:w="459" w:type="dxa"/>
            <w:gridSpan w:val="2"/>
            <w:tcBorders>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rsidR="006E1C90" w:rsidRDefault="006E1C90" w:rsidP="00F40F58">
            <w:pPr>
              <w:pStyle w:val="DataField10pt"/>
              <w:rPr>
                <w:sz w:val="16"/>
                <w:szCs w:val="16"/>
              </w:rPr>
            </w:pPr>
          </w:p>
        </w:tc>
      </w:tr>
      <w:tr w:rsidR="006E1C90"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rsidR="006E1C90" w:rsidRDefault="006E1C90" w:rsidP="0050789A">
            <w:pPr>
              <w:pStyle w:val="FormFieldCaption"/>
              <w:rPr>
                <w:b/>
                <w:bCs/>
              </w:rPr>
            </w:pPr>
            <w:r>
              <w:rPr>
                <w:b/>
                <w:bCs/>
              </w:rPr>
              <w:t xml:space="preserve">New Investigator    </w:t>
            </w:r>
            <w:bookmarkStart w:id="1" w:name="Check1"/>
            <w:r w:rsidR="00E347BF">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E347BF">
              <w:rPr>
                <w:b/>
                <w:bCs/>
                <w:sz w:val="20"/>
                <w:szCs w:val="20"/>
              </w:rPr>
            </w:r>
            <w:r w:rsidR="00E347BF">
              <w:rPr>
                <w:b/>
                <w:bCs/>
                <w:sz w:val="20"/>
                <w:szCs w:val="20"/>
              </w:rPr>
              <w:fldChar w:fldCharType="end"/>
            </w:r>
            <w:bookmarkEnd w:id="1"/>
            <w:r>
              <w:rPr>
                <w:b/>
                <w:bCs/>
              </w:rPr>
              <w:t xml:space="preserve"> No      </w:t>
            </w:r>
            <w:r w:rsidR="00E347BF">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E347BF">
              <w:rPr>
                <w:b/>
                <w:bCs/>
                <w:sz w:val="20"/>
                <w:szCs w:val="20"/>
              </w:rPr>
            </w:r>
            <w:r w:rsidR="00E347BF">
              <w:rPr>
                <w:b/>
                <w:bCs/>
                <w:sz w:val="20"/>
                <w:szCs w:val="20"/>
              </w:rPr>
              <w:fldChar w:fldCharType="end"/>
            </w:r>
            <w:r>
              <w:rPr>
                <w:b/>
                <w:bCs/>
              </w:rPr>
              <w:t xml:space="preserve"> Yes</w:t>
            </w:r>
          </w:p>
        </w:tc>
      </w:tr>
      <w:tr w:rsidR="006E1C90" w:rsidTr="00B126BB">
        <w:trPr>
          <w:cantSplit/>
          <w:trHeight w:hRule="exact" w:val="242"/>
        </w:trPr>
        <w:tc>
          <w:tcPr>
            <w:tcW w:w="5775" w:type="dxa"/>
            <w:gridSpan w:val="12"/>
            <w:tcBorders>
              <w:top w:val="nil"/>
              <w:left w:val="single" w:sz="6" w:space="0" w:color="auto"/>
              <w:right w:val="single" w:sz="6" w:space="0" w:color="auto"/>
            </w:tcBorders>
          </w:tcPr>
          <w:p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rsidR="006E1C90" w:rsidRDefault="006E1C90" w:rsidP="00F40F58">
            <w:pPr>
              <w:pStyle w:val="FormFieldCaption"/>
            </w:pPr>
            <w:r>
              <w:rPr>
                <w:rStyle w:val="FormFieldCaptionChar"/>
              </w:rPr>
              <w:t>3h.</w:t>
            </w:r>
            <w:r>
              <w:rPr>
                <w:rStyle w:val="FormFieldCaptionChar"/>
              </w:rPr>
              <w:tab/>
              <w:t>eRA Commons User Name</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tcPr>
          <w:p w:rsidR="006E1C90" w:rsidRDefault="00FA4C89" w:rsidP="00F40F58">
            <w:pPr>
              <w:pStyle w:val="DataField10pt"/>
              <w:ind w:left="259"/>
              <w:rPr>
                <w:sz w:val="16"/>
                <w:szCs w:val="16"/>
              </w:rPr>
            </w:pPr>
            <w:r>
              <w:t>Manraj, Randy</w:t>
            </w:r>
          </w:p>
        </w:tc>
        <w:tc>
          <w:tcPr>
            <w:tcW w:w="773" w:type="dxa"/>
            <w:gridSpan w:val="3"/>
            <w:tcBorders>
              <w:left w:val="nil"/>
              <w:bottom w:val="single" w:sz="6" w:space="0" w:color="auto"/>
              <w:right w:val="nil"/>
            </w:tcBorders>
          </w:tcPr>
          <w:p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rsidR="006E1C90" w:rsidRDefault="00E347BF" w:rsidP="00F40F58">
            <w:pPr>
              <w:pStyle w:val="DataField10pt"/>
              <w:rPr>
                <w:sz w:val="16"/>
                <w:szCs w:val="16"/>
              </w:rPr>
            </w:pPr>
            <w:r>
              <w:fldChar w:fldCharType="begin">
                <w:ffData>
                  <w:name w:val=""/>
                  <w:enabled/>
                  <w:calcOnExit w:val="0"/>
                  <w:textInput/>
                </w:ffData>
              </w:fldChar>
            </w:r>
            <w:r w:rsidR="003C3DF1">
              <w:instrText xml:space="preserve"> FORMTEXT </w:instrText>
            </w:r>
            <w:r>
              <w:fldChar w:fldCharType="separate"/>
            </w:r>
            <w:r w:rsidR="003C3DF1">
              <w:rPr>
                <w:noProof/>
              </w:rPr>
              <w:t> </w:t>
            </w:r>
            <w:r w:rsidR="003C3DF1">
              <w:rPr>
                <w:noProof/>
              </w:rPr>
              <w:t> </w:t>
            </w:r>
            <w:r w:rsidR="003C3DF1">
              <w:rPr>
                <w:noProof/>
              </w:rPr>
              <w:t> </w:t>
            </w:r>
            <w:r w:rsidR="003C3DF1">
              <w:rPr>
                <w:noProof/>
              </w:rPr>
              <w:t> </w:t>
            </w:r>
            <w:r w:rsidR="003C3DF1">
              <w:rPr>
                <w:noProof/>
              </w:rPr>
              <w:t> </w:t>
            </w:r>
            <w:r>
              <w:fldChar w:fldCharType="end"/>
            </w:r>
          </w:p>
        </w:tc>
        <w:tc>
          <w:tcPr>
            <w:tcW w:w="978" w:type="dxa"/>
            <w:gridSpan w:val="2"/>
            <w:tcBorders>
              <w:left w:val="nil"/>
              <w:bottom w:val="single" w:sz="6" w:space="0" w:color="auto"/>
              <w:right w:val="nil"/>
            </w:tcBorders>
          </w:tcPr>
          <w:p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rsidR="006E1C90" w:rsidRDefault="0050789A" w:rsidP="00F40F58">
            <w:pPr>
              <w:pStyle w:val="DataField10pt"/>
            </w:pPr>
            <w:r w:rsidRPr="0050789A">
              <w:t>N/A</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3c.</w:t>
            </w:r>
            <w:r>
              <w:tab/>
              <w:t>POSITION TITLE</w:t>
            </w:r>
          </w:p>
          <w:p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rsidR="006E1C90" w:rsidRDefault="006E1C90" w:rsidP="00F40F58">
            <w:pPr>
              <w:pStyle w:val="FormFieldCaption"/>
            </w:pPr>
            <w:r>
              <w:t>3d.</w:t>
            </w:r>
            <w:r>
              <w:tab/>
              <w:t xml:space="preserve">MAILING ADDRESS  </w:t>
            </w:r>
            <w:r>
              <w:rPr>
                <w:i/>
                <w:iCs/>
              </w:rPr>
              <w:t>(Street, city, state, zip code)</w:t>
            </w:r>
          </w:p>
          <w:p w:rsidR="006C1A66" w:rsidRDefault="006C1A66" w:rsidP="00F40F58">
            <w:pPr>
              <w:pStyle w:val="DataField10pt14ptspacing"/>
              <w:ind w:left="245"/>
            </w:pPr>
            <w:r>
              <w:t>401 Rosemont Ave.</w:t>
            </w:r>
          </w:p>
          <w:p w:rsidR="006C1A66" w:rsidRDefault="006C1A66" w:rsidP="00F40F58">
            <w:pPr>
              <w:pStyle w:val="DataField10pt14ptspacing"/>
              <w:ind w:left="245"/>
            </w:pPr>
            <w:r>
              <w:t>Frederick, MD 21201</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3e.</w:t>
            </w:r>
            <w:r>
              <w:tab/>
              <w:t>DEPARTMENT, SERVICE, LABORATORY, OR EQUIVALENT</w:t>
            </w:r>
          </w:p>
          <w:p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pPr>
            <w:r>
              <w:t>3f.</w:t>
            </w:r>
            <w:r>
              <w:tab/>
              <w:t>MAJOR SUBDIVISION</w:t>
            </w:r>
          </w:p>
          <w:p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rsidR="006E1C90" w:rsidRDefault="006E1C90" w:rsidP="00F40F58">
            <w:pPr>
              <w:pStyle w:val="FormFieldCaption"/>
              <w:rPr>
                <w:sz w:val="22"/>
                <w:szCs w:val="22"/>
              </w:rPr>
            </w:pPr>
            <w:r>
              <w:t xml:space="preserve">E-MAIL ADDRESS: </w:t>
            </w:r>
          </w:p>
        </w:tc>
      </w:tr>
      <w:tr w:rsidR="006E1C90" w:rsidTr="00B126BB">
        <w:trPr>
          <w:cantSplit/>
          <w:trHeight w:hRule="exact" w:val="346"/>
        </w:trPr>
        <w:tc>
          <w:tcPr>
            <w:tcW w:w="554" w:type="dxa"/>
            <w:tcBorders>
              <w:left w:val="single" w:sz="6" w:space="0" w:color="auto"/>
              <w:bottom w:val="single" w:sz="6" w:space="0" w:color="auto"/>
            </w:tcBorders>
            <w:vAlign w:val="center"/>
          </w:tcPr>
          <w:p w:rsidR="006E1C90" w:rsidRDefault="006E1C90" w:rsidP="00F40F58">
            <w:pPr>
              <w:pStyle w:val="FormFieldCaption"/>
            </w:pPr>
            <w:r>
              <w:t>TEL:</w:t>
            </w:r>
          </w:p>
        </w:tc>
        <w:tc>
          <w:tcPr>
            <w:tcW w:w="2415" w:type="dxa"/>
            <w:gridSpan w:val="5"/>
            <w:tcBorders>
              <w:bottom w:val="single" w:sz="6" w:space="0" w:color="auto"/>
            </w:tcBorders>
            <w:tcMar>
              <w:top w:w="29" w:type="dxa"/>
            </w:tcMar>
          </w:tcPr>
          <w:p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rsidR="006E1C90" w:rsidRDefault="00FA4C89" w:rsidP="00F40F58">
            <w:pPr>
              <w:pStyle w:val="DataField10pt"/>
            </w:pPr>
            <w:r>
              <w:t>Randy.Manraj@gmail.com</w:t>
            </w:r>
          </w:p>
        </w:tc>
      </w:tr>
      <w:tr w:rsidR="006E1C90" w:rsidTr="00B126BB">
        <w:trPr>
          <w:cantSplit/>
          <w:trHeight w:val="230"/>
        </w:trPr>
        <w:tc>
          <w:tcPr>
            <w:tcW w:w="3640" w:type="dxa"/>
            <w:gridSpan w:val="9"/>
            <w:tcBorders>
              <w:left w:val="single" w:sz="6" w:space="0" w:color="auto"/>
              <w:right w:val="single" w:sz="6" w:space="0" w:color="auto"/>
            </w:tcBorders>
            <w:vAlign w:val="center"/>
          </w:tcPr>
          <w:p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rsidR="006E1C90" w:rsidRDefault="006E1C90" w:rsidP="00F40F58">
            <w:pPr>
              <w:pStyle w:val="FormFieldCaption"/>
            </w:pPr>
          </w:p>
        </w:tc>
      </w:tr>
      <w:tr w:rsidR="006E1C90" w:rsidTr="00B126BB">
        <w:trPr>
          <w:cantSplit/>
          <w:trHeight w:val="288"/>
        </w:trPr>
        <w:tc>
          <w:tcPr>
            <w:tcW w:w="3640" w:type="dxa"/>
            <w:gridSpan w:val="9"/>
            <w:tcBorders>
              <w:left w:val="single" w:sz="6" w:space="0" w:color="auto"/>
              <w:right w:val="single" w:sz="6" w:space="0" w:color="auto"/>
            </w:tcBorders>
            <w:vAlign w:val="center"/>
          </w:tcPr>
          <w:p w:rsidR="006E1C90" w:rsidRDefault="00E347BF" w:rsidP="003C3DF1">
            <w:pPr>
              <w:pStyle w:val="FormFieldCaption"/>
            </w:pPr>
            <w:r>
              <w:rPr>
                <w:sz w:val="20"/>
                <w:szCs w:val="20"/>
              </w:rPr>
              <w:fldChar w:fldCharType="begin">
                <w:ffData>
                  <w:name w:val=""/>
                  <w:enabled/>
                  <w:calcOnExit w:val="0"/>
                  <w:checkBox>
                    <w:size w:val="20"/>
                    <w:default w:val="1"/>
                  </w:checkBox>
                </w:ffData>
              </w:fldChar>
            </w:r>
            <w:r w:rsidR="004F6A1C">
              <w:rPr>
                <w:sz w:val="20"/>
                <w:szCs w:val="20"/>
              </w:rPr>
              <w:instrText xml:space="preserve"> FORMCHECKBOX </w:instrText>
            </w:r>
            <w:r>
              <w:rPr>
                <w:sz w:val="20"/>
                <w:szCs w:val="20"/>
              </w:rPr>
            </w:r>
            <w:r>
              <w:rPr>
                <w:sz w:val="20"/>
                <w:szCs w:val="20"/>
              </w:rPr>
              <w:fldChar w:fldCharType="end"/>
            </w:r>
            <w:r w:rsidR="006E1C90">
              <w:t xml:space="preserve">  No  </w:t>
            </w:r>
            <w:r>
              <w:rPr>
                <w:sz w:val="20"/>
                <w:szCs w:val="20"/>
              </w:rPr>
              <w:fldChar w:fldCharType="begin">
                <w:ffData>
                  <w:name w:val=""/>
                  <w:enabled/>
                  <w:calcOnExit w:val="0"/>
                  <w:checkBox>
                    <w:size w:val="20"/>
                    <w:default w:val="0"/>
                  </w:checkBox>
                </w:ffData>
              </w:fldChar>
            </w:r>
            <w:r w:rsidR="006E1C90">
              <w:rPr>
                <w:sz w:val="20"/>
                <w:szCs w:val="20"/>
              </w:rPr>
              <w:instrText xml:space="preserve"> FORMCHECKBOX </w:instrText>
            </w:r>
            <w:r>
              <w:rPr>
                <w:sz w:val="20"/>
                <w:szCs w:val="20"/>
              </w:rPr>
            </w:r>
            <w:r>
              <w:rPr>
                <w:sz w:val="20"/>
                <w:szCs w:val="20"/>
              </w:rPr>
              <w:fldChar w:fldCharType="end"/>
            </w:r>
            <w:r w:rsidR="006E1C90">
              <w:t xml:space="preserve">  Yes</w:t>
            </w:r>
          </w:p>
        </w:tc>
        <w:tc>
          <w:tcPr>
            <w:tcW w:w="2135" w:type="dxa"/>
            <w:gridSpan w:val="3"/>
            <w:tcBorders>
              <w:left w:val="single" w:sz="6" w:space="0" w:color="auto"/>
              <w:bottom w:val="single" w:sz="6" w:space="0" w:color="auto"/>
            </w:tcBorders>
            <w:vAlign w:val="center"/>
          </w:tcPr>
          <w:p w:rsidR="006E1C90" w:rsidRPr="0050789A" w:rsidRDefault="0050789A" w:rsidP="003C3DF1">
            <w:pPr>
              <w:pStyle w:val="FormFieldCaption"/>
              <w:rPr>
                <w:sz w:val="20"/>
                <w:szCs w:val="20"/>
              </w:rPr>
            </w:pPr>
            <w:r w:rsidRPr="0050789A">
              <w:rPr>
                <w:sz w:val="20"/>
                <w:szCs w:val="20"/>
              </w:rPr>
              <w:t>N/A</w:t>
            </w:r>
          </w:p>
        </w:tc>
        <w:tc>
          <w:tcPr>
            <w:tcW w:w="5025" w:type="dxa"/>
            <w:gridSpan w:val="16"/>
            <w:tcBorders>
              <w:left w:val="nil"/>
              <w:bottom w:val="single" w:sz="6" w:space="0" w:color="auto"/>
              <w:right w:val="single" w:sz="6" w:space="0" w:color="auto"/>
            </w:tcBorders>
            <w:vAlign w:val="center"/>
          </w:tcPr>
          <w:p w:rsidR="006E1C90" w:rsidRDefault="006E1C90" w:rsidP="00F40F58">
            <w:pPr>
              <w:pStyle w:val="DataField10pt"/>
            </w:pPr>
          </w:p>
        </w:tc>
      </w:tr>
      <w:tr w:rsidR="006E1C90" w:rsidRPr="00E352C5" w:rsidTr="00B126BB">
        <w:trPr>
          <w:cantSplit/>
          <w:trHeight w:val="230"/>
        </w:trPr>
        <w:tc>
          <w:tcPr>
            <w:tcW w:w="3640" w:type="dxa"/>
            <w:gridSpan w:val="9"/>
            <w:tcBorders>
              <w:top w:val="single" w:sz="6" w:space="0" w:color="auto"/>
              <w:left w:val="single" w:sz="6" w:space="0" w:color="auto"/>
              <w:right w:val="single" w:sz="6" w:space="0" w:color="auto"/>
            </w:tcBorders>
            <w:vAlign w:val="center"/>
          </w:tcPr>
          <w:p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rsidR="006E1C90" w:rsidRPr="00E352C5" w:rsidRDefault="006E1C90" w:rsidP="00F40F58">
            <w:pPr>
              <w:pStyle w:val="FormFieldCaption"/>
            </w:pPr>
            <w:r w:rsidRPr="00E352C5">
              <w:t>4d.</w:t>
            </w:r>
            <w:r w:rsidRPr="00E352C5">
              <w:tab/>
              <w:t>NIH-defined Phase III Clinical Trial</w:t>
            </w:r>
          </w:p>
        </w:tc>
      </w:tr>
      <w:tr w:rsidR="006E1C90"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rsidR="006E1C90" w:rsidRDefault="00E347BF" w:rsidP="00F40F58">
            <w:pPr>
              <w:pStyle w:val="FormFieldCaption"/>
            </w:pPr>
            <w:r>
              <w:fldChar w:fldCharType="begin">
                <w:ffData>
                  <w:name w:val=""/>
                  <w:enabled/>
                  <w:calcOnExit w:val="0"/>
                  <w:checkBox>
                    <w:size w:val="20"/>
                    <w:default w:val="1"/>
                  </w:checkBox>
                </w:ffData>
              </w:fldChar>
            </w:r>
            <w:r w:rsidR="004F6A1C">
              <w:instrText xml:space="preserve"> FORMCHECKBOX </w:instrText>
            </w:r>
            <w:r>
              <w:fldChar w:fldCharType="end"/>
            </w:r>
            <w:r w:rsidR="006E1C90" w:rsidRPr="00E352C5">
              <w:t>No</w:t>
            </w:r>
            <w:r>
              <w:fldChar w:fldCharType="begin">
                <w:ffData>
                  <w:name w:val=""/>
                  <w:enabled/>
                  <w:calcOnExit w:val="0"/>
                  <w:checkBox>
                    <w:size w:val="20"/>
                    <w:default w:val="0"/>
                  </w:checkBox>
                </w:ffData>
              </w:fldChar>
            </w:r>
            <w:r w:rsidR="006E1C90">
              <w:instrText xml:space="preserve"> FORMCHECKBOX </w:instrText>
            </w:r>
            <w:r>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rsidR="006E1C90" w:rsidRDefault="00E347BF" w:rsidP="003C3DF1">
            <w:pPr>
              <w:pStyle w:val="FormFieldCaption"/>
            </w:pPr>
            <w:r>
              <w:fldChar w:fldCharType="begin">
                <w:ffData>
                  <w:name w:val=""/>
                  <w:enabled/>
                  <w:calcOnExit w:val="0"/>
                  <w:checkBox>
                    <w:size w:val="20"/>
                    <w:default w:val="1"/>
                  </w:checkBox>
                </w:ffData>
              </w:fldChar>
            </w:r>
            <w:r w:rsidR="004F6A1C">
              <w:instrText xml:space="preserve"> FORMCHECKBOX </w:instrText>
            </w:r>
            <w:r>
              <w:fldChar w:fldCharType="end"/>
            </w:r>
            <w:r w:rsidR="006E1C90" w:rsidRPr="00E352C5">
              <w:t>No</w:t>
            </w:r>
            <w:r>
              <w:rPr>
                <w:sz w:val="14"/>
                <w:szCs w:val="14"/>
              </w:rPr>
              <w:fldChar w:fldCharType="begin">
                <w:ffData>
                  <w:name w:val=""/>
                  <w:enabled/>
                  <w:calcOnExit w:val="0"/>
                  <w:checkBox>
                    <w:size w:val="20"/>
                    <w:default w:val="0"/>
                  </w:checkBox>
                </w:ffData>
              </w:fldChar>
            </w:r>
            <w:r w:rsidR="006E1C90">
              <w:rPr>
                <w:sz w:val="14"/>
                <w:szCs w:val="14"/>
              </w:rPr>
              <w:instrText xml:space="preserve"> FORMCHECKBOX </w:instrText>
            </w:r>
            <w:r>
              <w:rPr>
                <w:sz w:val="14"/>
                <w:szCs w:val="14"/>
              </w:rPr>
            </w:r>
            <w:r>
              <w:rPr>
                <w:sz w:val="14"/>
                <w:szCs w:val="14"/>
              </w:rPr>
              <w:fldChar w:fldCharType="end"/>
            </w:r>
            <w:r w:rsidR="006E1C90" w:rsidRPr="00E352C5">
              <w:t>Yes</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rsidR="006E1C90" w:rsidRDefault="006E1C90" w:rsidP="003C3DF1">
            <w:pPr>
              <w:pStyle w:val="FormFieldCaption"/>
            </w:pPr>
            <w:r>
              <w:t>5.  VERTEBRATE  ANIMALS</w:t>
            </w:r>
            <w:r w:rsidR="00E347BF">
              <w:fldChar w:fldCharType="begin">
                <w:ffData>
                  <w:name w:val=""/>
                  <w:enabled/>
                  <w:calcOnExit w:val="0"/>
                  <w:checkBox>
                    <w:size w:val="20"/>
                    <w:default w:val="1"/>
                  </w:checkBox>
                </w:ffData>
              </w:fldChar>
            </w:r>
            <w:r w:rsidR="004F6A1C">
              <w:instrText xml:space="preserve"> FORMCHECKBOX </w:instrText>
            </w:r>
            <w:r w:rsidR="00E347BF">
              <w:fldChar w:fldCharType="end"/>
            </w:r>
            <w:r>
              <w:t xml:space="preserve">  No    </w:t>
            </w:r>
            <w:r w:rsidR="00E347BF">
              <w:fldChar w:fldCharType="begin">
                <w:ffData>
                  <w:name w:val=""/>
                  <w:enabled/>
                  <w:calcOnExit w:val="0"/>
                  <w:checkBox>
                    <w:size w:val="18"/>
                    <w:default w:val="0"/>
                  </w:checkBox>
                </w:ffData>
              </w:fldChar>
            </w:r>
            <w:r>
              <w:instrText xml:space="preserve"> FORMCHECKBOX </w:instrText>
            </w:r>
            <w:r w:rsidR="00E347BF">
              <w:fldChar w:fldCharType="end"/>
            </w:r>
            <w:r>
              <w:t xml:space="preserve">  Yes</w:t>
            </w:r>
          </w:p>
        </w:tc>
        <w:tc>
          <w:tcPr>
            <w:tcW w:w="2704" w:type="dxa"/>
            <w:gridSpan w:val="10"/>
            <w:tcBorders>
              <w:left w:val="nil"/>
              <w:bottom w:val="single" w:sz="4" w:space="0" w:color="auto"/>
            </w:tcBorders>
            <w:vAlign w:val="center"/>
          </w:tcPr>
          <w:p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rsidR="006E1C90" w:rsidRDefault="0050789A" w:rsidP="00F40F58">
            <w:pPr>
              <w:pStyle w:val="DataField10pt"/>
            </w:pPr>
            <w:r w:rsidRPr="0050789A">
              <w:t>N/A</w:t>
            </w:r>
          </w:p>
        </w:tc>
      </w:tr>
      <w:tr w:rsidR="006E1C90"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
            </w:pPr>
            <w:r>
              <w:t>6.</w:t>
            </w:r>
            <w:r>
              <w:tab/>
              <w:t xml:space="preserve">DATES OF PROPOSED PERIOD OF </w:t>
            </w:r>
          </w:p>
          <w:p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7.</w:t>
            </w:r>
            <w:r>
              <w:tab/>
              <w:t>COSTS REQUESTED FOR INITIAL</w:t>
            </w:r>
          </w:p>
          <w:p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8.</w:t>
            </w:r>
            <w:r>
              <w:tab/>
              <w:t>COSTS REQUESTED FOR PROPOSED</w:t>
            </w:r>
          </w:p>
          <w:p w:rsidR="006E1C90" w:rsidRDefault="006E1C90" w:rsidP="00F40F58">
            <w:pPr>
              <w:pStyle w:val="FormFieldCaption"/>
            </w:pPr>
            <w:r>
              <w:tab/>
              <w:t>PERIOD OF SUPPORT</w:t>
            </w:r>
          </w:p>
        </w:tc>
      </w:tr>
      <w:tr w:rsidR="006E1C90" w:rsidTr="00B126BB">
        <w:trPr>
          <w:trHeight w:hRule="exact" w:val="259"/>
        </w:trPr>
        <w:tc>
          <w:tcPr>
            <w:tcW w:w="1851" w:type="dxa"/>
            <w:gridSpan w:val="4"/>
            <w:tcBorders>
              <w:top w:val="nil"/>
              <w:left w:val="single" w:sz="6" w:space="0" w:color="auto"/>
              <w:bottom w:val="nil"/>
              <w:right w:val="single" w:sz="6" w:space="0" w:color="auto"/>
            </w:tcBorders>
            <w:vAlign w:val="center"/>
          </w:tcPr>
          <w:p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rsidR="006E1C90" w:rsidRDefault="006E1C90" w:rsidP="00F40F58">
            <w:pPr>
              <w:pStyle w:val="FormFieldCaption7pt"/>
            </w:pPr>
            <w:r>
              <w:t>8b.  Total Costs ($)</w:t>
            </w:r>
          </w:p>
        </w:tc>
      </w:tr>
      <w:tr w:rsidR="006E1C90"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rsidR="006E1C90" w:rsidRDefault="004F6A1C" w:rsidP="00F40F58">
            <w:pPr>
              <w:pStyle w:val="DataField10pt"/>
              <w:jc w:val="center"/>
            </w:pPr>
            <w:r w:rsidRPr="004F6A1C">
              <w:rPr>
                <w:highlight w:val="lightGray"/>
              </w:rPr>
              <w:t>01/01/2019</w:t>
            </w:r>
          </w:p>
        </w:tc>
        <w:tc>
          <w:tcPr>
            <w:tcW w:w="2027" w:type="dxa"/>
            <w:gridSpan w:val="7"/>
            <w:tcBorders>
              <w:top w:val="nil"/>
              <w:left w:val="single" w:sz="6" w:space="0" w:color="auto"/>
              <w:bottom w:val="single" w:sz="6" w:space="0" w:color="auto"/>
              <w:right w:val="single" w:sz="6" w:space="0" w:color="auto"/>
            </w:tcBorders>
            <w:vAlign w:val="center"/>
          </w:tcPr>
          <w:p w:rsidR="006E1C90" w:rsidRDefault="009F5C97" w:rsidP="00F40F58">
            <w:pPr>
              <w:pStyle w:val="DataField10pt"/>
              <w:jc w:val="center"/>
            </w:pPr>
            <w:r w:rsidRPr="009F5C97">
              <w:rPr>
                <w:highlight w:val="lightGray"/>
              </w:rPr>
              <w:t>0</w:t>
            </w:r>
            <w:r w:rsidR="00914A72">
              <w:rPr>
                <w:highlight w:val="lightGray"/>
              </w:rPr>
              <w:t>3</w:t>
            </w:r>
            <w:r w:rsidRPr="009F5C97">
              <w:rPr>
                <w:highlight w:val="lightGray"/>
              </w:rPr>
              <w:t>/01/2020</w:t>
            </w:r>
          </w:p>
        </w:tc>
        <w:tc>
          <w:tcPr>
            <w:tcW w:w="1897" w:type="dxa"/>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r>
      <w:tr w:rsidR="006E1C90" w:rsidTr="00B126BB">
        <w:trPr>
          <w:trHeight w:hRule="exact" w:val="230"/>
        </w:trPr>
        <w:tc>
          <w:tcPr>
            <w:tcW w:w="5775" w:type="dxa"/>
            <w:gridSpan w:val="12"/>
            <w:tcBorders>
              <w:top w:val="nil"/>
              <w:left w:val="single" w:sz="6" w:space="0" w:color="auto"/>
              <w:bottom w:val="nil"/>
              <w:right w:val="nil"/>
            </w:tcBorders>
            <w:vAlign w:val="center"/>
          </w:tcPr>
          <w:p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rsidR="006E1C90" w:rsidRDefault="006E1C90" w:rsidP="00F40F58">
            <w:pPr>
              <w:pStyle w:val="FormFieldCaption"/>
            </w:pPr>
            <w:r>
              <w:t>10.</w:t>
            </w:r>
            <w:r>
              <w:tab/>
              <w:t>TYPE OF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FA4C89" w:rsidP="00F40F58">
            <w:pPr>
              <w:pStyle w:val="DataField10pt"/>
              <w:rPr>
                <w:sz w:val="16"/>
                <w:szCs w:val="16"/>
              </w:rPr>
            </w:pPr>
            <w:r>
              <w:t>Randy Manraj</w:t>
            </w:r>
          </w:p>
        </w:tc>
        <w:tc>
          <w:tcPr>
            <w:tcW w:w="5025" w:type="dxa"/>
            <w:gridSpan w:val="16"/>
            <w:tcBorders>
              <w:top w:val="nil"/>
              <w:left w:val="single" w:sz="6" w:space="0" w:color="auto"/>
              <w:bottom w:val="nil"/>
              <w:right w:val="single" w:sz="6" w:space="0" w:color="auto"/>
            </w:tcBorders>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E347BF">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E347BF">
              <w:rPr>
                <w:rFonts w:ascii="Arial" w:hAnsi="Arial" w:cs="Arial"/>
                <w:sz w:val="20"/>
                <w:szCs w:val="20"/>
              </w:rPr>
            </w:r>
            <w:r w:rsidR="00E347BF">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E347BF">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E347BF">
              <w:rPr>
                <w:rFonts w:ascii="Arial" w:hAnsi="Arial" w:cs="Arial"/>
                <w:sz w:val="16"/>
                <w:szCs w:val="16"/>
              </w:rPr>
            </w:r>
            <w:r w:rsidR="00E347BF">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E347BF">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E347BF">
              <w:rPr>
                <w:rFonts w:ascii="Arial" w:hAnsi="Arial" w:cs="Arial"/>
                <w:sz w:val="16"/>
                <w:szCs w:val="16"/>
              </w:rPr>
            </w:r>
            <w:r w:rsidR="00E347BF">
              <w:rPr>
                <w:rFonts w:ascii="Arial" w:hAnsi="Arial" w:cs="Arial"/>
                <w:sz w:val="16"/>
                <w:szCs w:val="16"/>
              </w:rPr>
              <w:fldChar w:fldCharType="end"/>
            </w:r>
            <w:r>
              <w:rPr>
                <w:rFonts w:ascii="Arial" w:hAnsi="Arial" w:cs="Arial"/>
                <w:sz w:val="16"/>
                <w:szCs w:val="16"/>
              </w:rPr>
              <w:t xml:space="preserve">  Local</w:t>
            </w:r>
          </w:p>
        </w:tc>
      </w:tr>
      <w:tr w:rsidR="006E1C90" w:rsidTr="00B126BB">
        <w:trPr>
          <w:cantSplit/>
          <w:trHeight w:hRule="exact" w:val="317"/>
        </w:trPr>
        <w:tc>
          <w:tcPr>
            <w:tcW w:w="911" w:type="dxa"/>
            <w:gridSpan w:val="3"/>
            <w:vMerge w:val="restart"/>
            <w:tcBorders>
              <w:top w:val="nil"/>
              <w:left w:val="single" w:sz="6" w:space="0" w:color="auto"/>
            </w:tcBorders>
          </w:tcPr>
          <w:p w:rsidR="006E1C90" w:rsidRDefault="006E1C90" w:rsidP="00F40F58">
            <w:pPr>
              <w:pStyle w:val="FormFieldCaption"/>
            </w:pPr>
            <w:r>
              <w:t>Address</w:t>
            </w:r>
          </w:p>
        </w:tc>
        <w:tc>
          <w:tcPr>
            <w:tcW w:w="4864" w:type="dxa"/>
            <w:gridSpan w:val="9"/>
            <w:vMerge w:val="restart"/>
            <w:tcBorders>
              <w:right w:val="nil"/>
            </w:tcBorders>
          </w:tcPr>
          <w:p w:rsidR="006E1C90" w:rsidRDefault="006C1A66" w:rsidP="00F40F58">
            <w:pPr>
              <w:pStyle w:val="DataField10pt14ptspacing"/>
            </w:pPr>
            <w:r>
              <w:t>Department of Biology</w:t>
            </w:r>
          </w:p>
          <w:p w:rsidR="006C1A66" w:rsidRDefault="006C1A66" w:rsidP="00F40F58">
            <w:pPr>
              <w:pStyle w:val="DataField10pt14ptspacing"/>
            </w:pPr>
            <w:r>
              <w:t>Hood College</w:t>
            </w:r>
          </w:p>
          <w:p w:rsidR="006C1A66" w:rsidRDefault="006C1A66" w:rsidP="00F40F58">
            <w:pPr>
              <w:pStyle w:val="DataField10pt14ptspacing"/>
            </w:pPr>
            <w:r>
              <w:t>401 Rosemont Ave</w:t>
            </w:r>
          </w:p>
          <w:p w:rsidR="006C1A66" w:rsidRDefault="006C1A66" w:rsidP="00F40F58">
            <w:pPr>
              <w:pStyle w:val="DataField10pt14ptspacing"/>
            </w:pPr>
            <w:r>
              <w:t>Frederick, MD 21701</w:t>
            </w:r>
          </w:p>
          <w:p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E347BF">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E347BF">
              <w:rPr>
                <w:rFonts w:ascii="Arial" w:hAnsi="Arial" w:cs="Arial"/>
                <w:sz w:val="16"/>
                <w:szCs w:val="16"/>
              </w:rPr>
            </w:r>
            <w:r w:rsidR="00E347BF">
              <w:rPr>
                <w:rFonts w:ascii="Arial" w:hAnsi="Arial" w:cs="Arial"/>
                <w:sz w:val="16"/>
                <w:szCs w:val="16"/>
              </w:rPr>
              <w:fldChar w:fldCharType="end"/>
            </w:r>
            <w:r>
              <w:rPr>
                <w:rFonts w:ascii="Arial" w:hAnsi="Arial" w:cs="Arial"/>
                <w:sz w:val="16"/>
                <w:szCs w:val="16"/>
              </w:rPr>
              <w:t xml:space="preserve">  Private Nonprofit</w:t>
            </w:r>
          </w:p>
        </w:tc>
      </w:tr>
      <w:tr w:rsidR="006E1C90" w:rsidTr="00B126BB">
        <w:trPr>
          <w:cantSplit/>
          <w:trHeight w:hRule="exact" w:val="634"/>
        </w:trPr>
        <w:tc>
          <w:tcPr>
            <w:tcW w:w="911" w:type="dxa"/>
            <w:gridSpan w:val="3"/>
            <w:vMerge/>
            <w:tcBorders>
              <w:left w:val="single" w:sz="6" w:space="0" w:color="auto"/>
            </w:tcBorders>
          </w:tcPr>
          <w:p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sidR="00E347BF">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E347BF">
              <w:rPr>
                <w:rFonts w:ascii="Arial" w:hAnsi="Arial" w:cs="Arial"/>
                <w:sz w:val="16"/>
                <w:szCs w:val="16"/>
              </w:rPr>
            </w:r>
            <w:r w:rsidR="00E347BF">
              <w:rPr>
                <w:rFonts w:ascii="Arial" w:hAnsi="Arial" w:cs="Arial"/>
                <w:sz w:val="16"/>
                <w:szCs w:val="16"/>
              </w:rPr>
              <w:fldChar w:fldCharType="end"/>
            </w:r>
            <w:r>
              <w:rPr>
                <w:rFonts w:ascii="Arial" w:hAnsi="Arial" w:cs="Arial"/>
                <w:sz w:val="16"/>
                <w:szCs w:val="16"/>
              </w:rPr>
              <w:t xml:space="preserve">  General       </w:t>
            </w:r>
            <w:r w:rsidR="00E347BF">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E347BF">
              <w:rPr>
                <w:rFonts w:ascii="Arial" w:hAnsi="Arial" w:cs="Arial"/>
                <w:sz w:val="16"/>
                <w:szCs w:val="16"/>
              </w:rPr>
            </w:r>
            <w:r w:rsidR="00E347BF">
              <w:rPr>
                <w:rFonts w:ascii="Arial" w:hAnsi="Arial" w:cs="Arial"/>
                <w:sz w:val="16"/>
                <w:szCs w:val="16"/>
              </w:rPr>
              <w:fldChar w:fldCharType="end"/>
            </w:r>
            <w:r>
              <w:rPr>
                <w:rFonts w:ascii="Arial" w:hAnsi="Arial" w:cs="Arial"/>
                <w:sz w:val="16"/>
                <w:szCs w:val="16"/>
              </w:rPr>
              <w:t xml:space="preserve">  Small Business </w:t>
            </w:r>
          </w:p>
          <w:p w:rsidR="006E1C90" w:rsidRDefault="00E347BF"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Pr>
                <w:rFonts w:ascii="Arial" w:hAnsi="Arial" w:cs="Arial"/>
                <w:sz w:val="16"/>
                <w:szCs w:val="16"/>
              </w:rPr>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Pr>
                <w:rFonts w:ascii="Arial" w:hAnsi="Arial" w:cs="Arial"/>
                <w:sz w:val="16"/>
                <w:szCs w:val="16"/>
              </w:rPr>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rsidTr="00B126BB">
        <w:trPr>
          <w:cantSplit/>
          <w:trHeight w:hRule="exact" w:val="490"/>
        </w:trPr>
        <w:tc>
          <w:tcPr>
            <w:tcW w:w="911" w:type="dxa"/>
            <w:gridSpan w:val="3"/>
            <w:vMerge/>
            <w:tcBorders>
              <w:left w:val="single" w:sz="6" w:space="0" w:color="auto"/>
            </w:tcBorders>
          </w:tcPr>
          <w:p w:rsidR="006E1C90" w:rsidRDefault="006E1C90" w:rsidP="00F40F58">
            <w:pPr>
              <w:pStyle w:val="FormFieldCaption"/>
            </w:pPr>
          </w:p>
        </w:tc>
        <w:tc>
          <w:tcPr>
            <w:tcW w:w="4864" w:type="dxa"/>
            <w:gridSpan w:val="9"/>
            <w:vMerge/>
            <w:tcBorders>
              <w:right w:val="single" w:sz="6" w:space="0" w:color="auto"/>
            </w:tcBorders>
          </w:tcPr>
          <w:p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11.  ENTITY IDENTIFICATION NUMBER</w:t>
            </w:r>
          </w:p>
          <w:p w:rsidR="006E1C90" w:rsidRDefault="006E1C90" w:rsidP="00F40F58">
            <w:pPr>
              <w:pStyle w:val="DataField10pt"/>
            </w:pPr>
          </w:p>
        </w:tc>
      </w:tr>
      <w:tr w:rsidR="006E1C90" w:rsidTr="00B126BB">
        <w:trPr>
          <w:cantSplit/>
          <w:trHeight w:hRule="exact" w:val="346"/>
        </w:trPr>
        <w:tc>
          <w:tcPr>
            <w:tcW w:w="911" w:type="dxa"/>
            <w:gridSpan w:val="3"/>
            <w:vMerge/>
            <w:tcBorders>
              <w:left w:val="single" w:sz="6" w:space="0" w:color="auto"/>
              <w:bottom w:val="single" w:sz="6" w:space="0" w:color="auto"/>
            </w:tcBorders>
          </w:tcPr>
          <w:p w:rsidR="006E1C90" w:rsidRDefault="006E1C90" w:rsidP="00F40F58">
            <w:pPr>
              <w:pStyle w:val="FormFieldCaption"/>
              <w:rPr>
                <w:sz w:val="20"/>
                <w:szCs w:val="20"/>
              </w:rPr>
            </w:pPr>
          </w:p>
        </w:tc>
        <w:tc>
          <w:tcPr>
            <w:tcW w:w="4864" w:type="dxa"/>
            <w:gridSpan w:val="9"/>
            <w:vMerge/>
            <w:tcBorders>
              <w:bottom w:val="single" w:sz="6" w:space="0" w:color="auto"/>
            </w:tcBorders>
          </w:tcPr>
          <w:p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rsidR="006E1C90" w:rsidRDefault="0050789A" w:rsidP="00F40F58">
            <w:pPr>
              <w:pStyle w:val="DataField10pt"/>
            </w:pPr>
            <w:r w:rsidRPr="0050789A">
              <w:t>N/A</w:t>
            </w:r>
          </w:p>
        </w:tc>
        <w:tc>
          <w:tcPr>
            <w:tcW w:w="1080" w:type="dxa"/>
            <w:gridSpan w:val="5"/>
            <w:tcBorders>
              <w:top w:val="nil"/>
              <w:bottom w:val="single" w:sz="6" w:space="0" w:color="auto"/>
            </w:tcBorders>
          </w:tcPr>
          <w:p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rsidR="006E1C90" w:rsidRDefault="0050789A" w:rsidP="00F40F58">
            <w:pPr>
              <w:pStyle w:val="DataField10pt"/>
            </w:pPr>
            <w:r w:rsidRPr="0050789A">
              <w:t>N/A</w:t>
            </w:r>
          </w:p>
        </w:tc>
      </w:tr>
      <w:tr w:rsidR="006E1C90" w:rsidTr="00B126BB">
        <w:trPr>
          <w:trHeight w:hRule="exact" w:val="230"/>
        </w:trPr>
        <w:tc>
          <w:tcPr>
            <w:tcW w:w="5775" w:type="dxa"/>
            <w:gridSpan w:val="12"/>
            <w:tcBorders>
              <w:top w:val="single" w:sz="6" w:space="0" w:color="auto"/>
              <w:left w:val="single" w:sz="6" w:space="0" w:color="auto"/>
              <w:bottom w:val="nil"/>
              <w:right w:val="nil"/>
            </w:tcBorders>
            <w:vAlign w:val="center"/>
          </w:tcPr>
          <w:p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13.</w:t>
            </w:r>
            <w:r>
              <w:tab/>
              <w:t>OFFICIAL SIGNING FOR APPLICANT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FA4C89" w:rsidP="00F40F58">
            <w:pPr>
              <w:pStyle w:val="DataField10pt"/>
              <w:rPr>
                <w:sz w:val="16"/>
                <w:szCs w:val="16"/>
              </w:rPr>
            </w:pPr>
            <w:r>
              <w:t>Randy Manraj</w:t>
            </w:r>
          </w:p>
        </w:tc>
        <w:tc>
          <w:tcPr>
            <w:tcW w:w="724" w:type="dxa"/>
            <w:gridSpan w:val="2"/>
            <w:tcBorders>
              <w:top w:val="nil"/>
              <w:left w:val="single" w:sz="6" w:space="0" w:color="auto"/>
              <w:bottom w:val="nil"/>
            </w:tcBorders>
          </w:tcPr>
          <w:p w:rsidR="006E1C90" w:rsidRDefault="006E1C90" w:rsidP="00F40F58">
            <w:pPr>
              <w:pStyle w:val="FormFieldCaption"/>
            </w:pPr>
            <w:r>
              <w:t>Name</w:t>
            </w:r>
          </w:p>
        </w:tc>
        <w:tc>
          <w:tcPr>
            <w:tcW w:w="4301" w:type="dxa"/>
            <w:gridSpan w:val="14"/>
            <w:tcBorders>
              <w:top w:val="nil"/>
              <w:right w:val="single" w:sz="6" w:space="0" w:color="auto"/>
            </w:tcBorders>
          </w:tcPr>
          <w:p w:rsidR="006E1C90" w:rsidRDefault="00FA4C89" w:rsidP="00F40F58">
            <w:pPr>
              <w:pStyle w:val="DataField10pt"/>
              <w:rPr>
                <w:sz w:val="16"/>
                <w:szCs w:val="16"/>
              </w:rPr>
            </w:pPr>
            <w:r>
              <w:t>Randy Manraj</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Title</w:t>
            </w:r>
          </w:p>
        </w:tc>
        <w:tc>
          <w:tcPr>
            <w:tcW w:w="4864" w:type="dxa"/>
            <w:gridSpan w:val="9"/>
            <w:tcBorders>
              <w:top w:val="nil"/>
              <w:right w:val="nil"/>
            </w:tcBorders>
          </w:tcPr>
          <w:p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rsidR="006E1C90" w:rsidRDefault="006E1C90" w:rsidP="00F40F58">
            <w:pPr>
              <w:pStyle w:val="FormFieldCaption"/>
            </w:pPr>
            <w:r>
              <w:t xml:space="preserve">Title </w:t>
            </w:r>
          </w:p>
        </w:tc>
        <w:tc>
          <w:tcPr>
            <w:tcW w:w="4301" w:type="dxa"/>
            <w:gridSpan w:val="14"/>
            <w:tcBorders>
              <w:top w:val="nil"/>
              <w:right w:val="single" w:sz="6" w:space="0" w:color="auto"/>
            </w:tcBorders>
          </w:tcPr>
          <w:p w:rsidR="006E1C90" w:rsidRDefault="006C1A66" w:rsidP="00F40F58">
            <w:pPr>
              <w:pStyle w:val="DataField10pt"/>
              <w:rPr>
                <w:sz w:val="16"/>
                <w:szCs w:val="16"/>
              </w:rPr>
            </w:pPr>
            <w:r>
              <w:t>Graduate Student</w:t>
            </w:r>
          </w:p>
        </w:tc>
      </w:tr>
      <w:tr w:rsidR="006E1C90" w:rsidTr="00B126BB">
        <w:trPr>
          <w:cantSplit/>
          <w:trHeight w:hRule="exact" w:val="950"/>
        </w:trPr>
        <w:tc>
          <w:tcPr>
            <w:tcW w:w="911" w:type="dxa"/>
            <w:gridSpan w:val="3"/>
            <w:tcBorders>
              <w:top w:val="nil"/>
              <w:left w:val="single" w:sz="6" w:space="0" w:color="auto"/>
              <w:bottom w:val="nil"/>
            </w:tcBorders>
          </w:tcPr>
          <w:p w:rsidR="006E1C90" w:rsidRDefault="006E1C90" w:rsidP="00F40F58">
            <w:pPr>
              <w:pStyle w:val="FormFieldCaption"/>
              <w:rPr>
                <w:sz w:val="20"/>
                <w:szCs w:val="20"/>
              </w:rPr>
            </w:pPr>
            <w:r>
              <w:t>Address</w:t>
            </w:r>
          </w:p>
        </w:tc>
        <w:tc>
          <w:tcPr>
            <w:tcW w:w="4864" w:type="dxa"/>
            <w:gridSpan w:val="9"/>
            <w:tcBorders>
              <w:top w:val="nil"/>
              <w:bottom w:val="nil"/>
              <w:right w:val="nil"/>
            </w:tcBorders>
          </w:tcPr>
          <w:p w:rsidR="006C1A66" w:rsidRDefault="006C1A66" w:rsidP="006C1A66">
            <w:pPr>
              <w:pStyle w:val="DataField10pt14ptspacing"/>
            </w:pPr>
            <w:r>
              <w:t>Hood College</w:t>
            </w:r>
          </w:p>
          <w:p w:rsidR="006C1A66" w:rsidRDefault="006C1A66" w:rsidP="006C1A66">
            <w:pPr>
              <w:pStyle w:val="DataField10pt14ptspacing"/>
            </w:pPr>
            <w:r>
              <w:t>401 Rosemont Ave</w:t>
            </w:r>
          </w:p>
          <w:p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rsidR="006E1C90" w:rsidRDefault="006C1A66" w:rsidP="00F40F58">
            <w:pPr>
              <w:pStyle w:val="DataField10pt14ptspacing"/>
            </w:pPr>
            <w:r>
              <w:t>Hood College</w:t>
            </w:r>
          </w:p>
          <w:p w:rsidR="006C1A66" w:rsidRDefault="006C1A66" w:rsidP="00F40F58">
            <w:pPr>
              <w:pStyle w:val="DataField10pt14ptspacing"/>
            </w:pPr>
            <w:r>
              <w:t>401 Rosemont Ave</w:t>
            </w:r>
          </w:p>
          <w:p w:rsidR="006C1A66" w:rsidRPr="006C1A66" w:rsidRDefault="006C1A66" w:rsidP="00F40F58">
            <w:pPr>
              <w:pStyle w:val="DataField10pt14ptspacing"/>
            </w:pPr>
            <w:r>
              <w:t>Frederick, MD 21701</w:t>
            </w:r>
          </w:p>
        </w:tc>
      </w:tr>
      <w:tr w:rsidR="006E1C90" w:rsidTr="00B126BB">
        <w:trPr>
          <w:trHeight w:hRule="exact" w:val="346"/>
        </w:trPr>
        <w:tc>
          <w:tcPr>
            <w:tcW w:w="554" w:type="dxa"/>
            <w:tcBorders>
              <w:top w:val="nil"/>
              <w:left w:val="single" w:sz="4" w:space="0" w:color="auto"/>
              <w:bottom w:val="nil"/>
            </w:tcBorders>
            <w:vAlign w:val="center"/>
          </w:tcPr>
          <w:p w:rsidR="006E1C90" w:rsidRDefault="006E1C90" w:rsidP="00F40F58">
            <w:pPr>
              <w:pStyle w:val="FormFieldCaption"/>
            </w:pPr>
            <w:r>
              <w:t>Tel:</w:t>
            </w:r>
          </w:p>
        </w:tc>
        <w:tc>
          <w:tcPr>
            <w:tcW w:w="2694" w:type="dxa"/>
            <w:gridSpan w:val="6"/>
            <w:tcBorders>
              <w:top w:val="nil"/>
              <w:bottom w:val="nil"/>
              <w:right w:val="nil"/>
            </w:tcBorders>
            <w:vAlign w:val="center"/>
          </w:tcPr>
          <w:p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rsidR="006E1C90" w:rsidRDefault="006E1C90" w:rsidP="00F40F58">
            <w:pPr>
              <w:pStyle w:val="FormFieldCaption"/>
              <w:rPr>
                <w:sz w:val="14"/>
                <w:szCs w:val="14"/>
              </w:rPr>
            </w:pPr>
            <w:r>
              <w:t>Tel:</w:t>
            </w:r>
          </w:p>
        </w:tc>
        <w:tc>
          <w:tcPr>
            <w:tcW w:w="2337" w:type="dxa"/>
            <w:gridSpan w:val="10"/>
            <w:tcBorders>
              <w:top w:val="nil"/>
              <w:right w:val="nil"/>
            </w:tcBorders>
            <w:vAlign w:val="center"/>
          </w:tcPr>
          <w:p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rsidR="006E1C90" w:rsidRDefault="003A6626" w:rsidP="00F40F58">
            <w:pPr>
              <w:pStyle w:val="DataField10pt"/>
              <w:rPr>
                <w:sz w:val="14"/>
                <w:szCs w:val="14"/>
              </w:rPr>
            </w:pPr>
            <w:r>
              <w:t>N/A</w:t>
            </w:r>
          </w:p>
        </w:tc>
      </w:tr>
      <w:tr w:rsidR="006E1C90" w:rsidTr="00B126BB">
        <w:trPr>
          <w:trHeight w:hRule="exact" w:val="346"/>
        </w:trPr>
        <w:tc>
          <w:tcPr>
            <w:tcW w:w="911" w:type="dxa"/>
            <w:gridSpan w:val="3"/>
            <w:tcBorders>
              <w:top w:val="nil"/>
              <w:left w:val="single" w:sz="6" w:space="0" w:color="auto"/>
              <w:bottom w:val="nil"/>
            </w:tcBorders>
            <w:vAlign w:val="center"/>
          </w:tcPr>
          <w:p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rsidR="006E1C90" w:rsidRDefault="00FA4C89" w:rsidP="00F40F58">
            <w:pPr>
              <w:pStyle w:val="DataField10pt"/>
              <w:rPr>
                <w:sz w:val="16"/>
                <w:szCs w:val="16"/>
              </w:rPr>
            </w:pPr>
            <w:r>
              <w:t>Randy.Manraj@gmail.com</w:t>
            </w:r>
          </w:p>
        </w:tc>
        <w:tc>
          <w:tcPr>
            <w:tcW w:w="724" w:type="dxa"/>
            <w:gridSpan w:val="2"/>
            <w:tcBorders>
              <w:top w:val="nil"/>
              <w:left w:val="single" w:sz="6" w:space="0" w:color="auto"/>
              <w:bottom w:val="nil"/>
            </w:tcBorders>
            <w:vAlign w:val="center"/>
          </w:tcPr>
          <w:p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rsidR="006E1C90" w:rsidRDefault="00FA4C89" w:rsidP="00F40F58">
            <w:pPr>
              <w:pStyle w:val="DataField10pt"/>
              <w:rPr>
                <w:sz w:val="16"/>
                <w:szCs w:val="16"/>
              </w:rPr>
            </w:pPr>
            <w:r>
              <w:t>Randy.Manraj@gmail.com</w:t>
            </w:r>
          </w:p>
        </w:tc>
      </w:tr>
      <w:tr w:rsidR="006E1C90"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SIGNATURE OF OFFICIAL NAMED IN 13.</w:t>
            </w:r>
          </w:p>
          <w:p w:rsidR="006E1C90" w:rsidRDefault="006E1C90" w:rsidP="00F40F58">
            <w:pPr>
              <w:pStyle w:val="FormFieldCaption"/>
              <w:rPr>
                <w:i/>
                <w:iCs/>
              </w:rPr>
            </w:pPr>
            <w:r>
              <w:rPr>
                <w:i/>
                <w:iCs/>
              </w:rPr>
              <w:t>(In ink. “Per” signature not acceptable.)</w:t>
            </w:r>
          </w:p>
          <w:p w:rsidR="0050789A" w:rsidRDefault="0050789A" w:rsidP="00F40F58">
            <w:pPr>
              <w:pStyle w:val="FormFieldCaption"/>
              <w:rPr>
                <w:i/>
                <w:iCs/>
              </w:rPr>
            </w:pPr>
          </w:p>
          <w:p w:rsidR="0050789A" w:rsidRPr="00267722" w:rsidRDefault="00267722" w:rsidP="0094086B">
            <w:pPr>
              <w:pStyle w:val="FormFieldCaption"/>
              <w:rPr>
                <w:iCs/>
                <w:sz w:val="20"/>
                <w:szCs w:val="20"/>
              </w:rPr>
            </w:pPr>
            <w:r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DATE</w:t>
            </w:r>
          </w:p>
          <w:p w:rsidR="006E1C90" w:rsidRDefault="006E1C90" w:rsidP="00F40F58">
            <w:pPr>
              <w:pStyle w:val="FormFieldCaption"/>
            </w:pPr>
          </w:p>
          <w:p w:rsidR="006E1C90" w:rsidRDefault="00E347BF" w:rsidP="00F40F58">
            <w:pPr>
              <w:pStyle w:val="DataField10pt"/>
            </w:pPr>
            <w:r>
              <w:fldChar w:fldCharType="begin">
                <w:ffData>
                  <w:name w:val=""/>
                  <w:enabled/>
                  <w:calcOnExit w:val="0"/>
                  <w:textInput/>
                </w:ffData>
              </w:fldChar>
            </w:r>
            <w:r w:rsidR="00B841CF">
              <w:instrText xml:space="preserve"> FORMTEXT </w:instrText>
            </w:r>
            <w:r>
              <w:fldChar w:fldCharType="separate"/>
            </w:r>
            <w:r w:rsidR="00B841CF">
              <w:rPr>
                <w:noProof/>
              </w:rPr>
              <w:t> </w:t>
            </w:r>
            <w:r w:rsidR="00B841CF">
              <w:rPr>
                <w:noProof/>
              </w:rPr>
              <w:t> </w:t>
            </w:r>
            <w:r w:rsidR="00B841CF">
              <w:rPr>
                <w:noProof/>
              </w:rPr>
              <w:t> </w:t>
            </w:r>
            <w:r w:rsidR="00B841CF">
              <w:rPr>
                <w:noProof/>
              </w:rPr>
              <w:t> </w:t>
            </w:r>
            <w:r w:rsidR="00B841CF">
              <w:rPr>
                <w:noProof/>
              </w:rPr>
              <w:t> </w:t>
            </w:r>
            <w:r>
              <w:fldChar w:fldCharType="end"/>
            </w:r>
          </w:p>
        </w:tc>
      </w:tr>
    </w:tbl>
    <w:p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rsidR="006E1C90" w:rsidRDefault="006E1C90" w:rsidP="006E1C90">
      <w:pPr>
        <w:pStyle w:val="PIHeader"/>
        <w:ind w:left="0"/>
        <w:sectPr w:rsidR="006E1C90"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tblPr>
      <w:tblGrid>
        <w:gridCol w:w="468"/>
        <w:gridCol w:w="270"/>
        <w:gridCol w:w="90"/>
        <w:gridCol w:w="900"/>
        <w:gridCol w:w="1824"/>
        <w:gridCol w:w="246"/>
        <w:gridCol w:w="540"/>
        <w:gridCol w:w="270"/>
        <w:gridCol w:w="720"/>
        <w:gridCol w:w="720"/>
        <w:gridCol w:w="1170"/>
        <w:gridCol w:w="810"/>
        <w:gridCol w:w="540"/>
        <w:gridCol w:w="2088"/>
      </w:tblGrid>
      <w:tr w:rsidR="006E1C90" w:rsidTr="00F40F58">
        <w:trPr>
          <w:cantSplit/>
          <w:trHeight w:hRule="exact" w:val="43"/>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rsidR="006E1C90" w:rsidRDefault="006E1C90" w:rsidP="00F40F58">
            <w:pPr>
              <w:pStyle w:val="FormInstructions"/>
              <w:jc w:val="left"/>
              <w:rPr>
                <w:rStyle w:val="StyleFormInstructions8ptChar"/>
                <w:sz w:val="16"/>
              </w:rPr>
            </w:pPr>
            <w:r>
              <w:rPr>
                <w:rStyle w:val="StyleFormInstructions8ptChar"/>
                <w:sz w:val="16"/>
              </w:rPr>
              <w:t>PROJECT SUMMARY (See instructions):</w:t>
            </w: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Pr="00F9016F" w:rsidRDefault="006E1C90" w:rsidP="00F40F58">
            <w:pPr>
              <w:pStyle w:val="FormInstructions"/>
              <w:jc w:val="left"/>
              <w:rPr>
                <w:sz w:val="16"/>
              </w:rPr>
            </w:pPr>
          </w:p>
        </w:tc>
      </w:tr>
      <w:tr w:rsidR="006E1C90"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rsidR="00865000" w:rsidRDefault="00805802" w:rsidP="00C137C7">
            <w:pPr>
              <w:spacing w:line="480" w:lineRule="auto"/>
              <w:ind w:firstLine="720"/>
              <w:contextualSpacing/>
              <w:rPr>
                <w:b/>
              </w:rPr>
            </w:pPr>
            <w:r w:rsidRPr="005B7C6B">
              <w:t xml:space="preserve">This project aims to discover </w:t>
            </w:r>
            <w:r w:rsidR="004D64C5">
              <w:t xml:space="preserve">a link between the reduced telomere length shortening and exercise. </w:t>
            </w:r>
            <w:r w:rsidR="008F3F70">
              <w:t>H</w:t>
            </w:r>
            <w:r w:rsidRPr="005B7C6B">
              <w:t xml:space="preserve">uman </w:t>
            </w:r>
            <w:r w:rsidR="00107D2C">
              <w:t xml:space="preserve">skeletal </w:t>
            </w:r>
            <w:r w:rsidRPr="005B7C6B">
              <w:t xml:space="preserve">muscle </w:t>
            </w:r>
            <w:r w:rsidR="008F3F70">
              <w:t xml:space="preserve">cell </w:t>
            </w:r>
            <w:r w:rsidR="006E627B">
              <w:t xml:space="preserve">(HSkMC) </w:t>
            </w:r>
            <w:r w:rsidR="008F3F70">
              <w:t xml:space="preserve">will be exposed to </w:t>
            </w:r>
            <w:r w:rsidR="0060294D">
              <w:t xml:space="preserve">various treatment conditions and electric pulse stimulation to </w:t>
            </w:r>
            <w:r w:rsidR="00CB5C9F">
              <w:t>replicate the effects of exercise</w:t>
            </w:r>
            <w:r w:rsidR="0060294D">
              <w:t xml:space="preserve">. </w:t>
            </w:r>
            <w:r w:rsidR="004D64C5">
              <w:t xml:space="preserve">Quantification of </w:t>
            </w:r>
            <w:r w:rsidR="00BE16BA">
              <w:t xml:space="preserve">telomere length </w:t>
            </w:r>
            <w:r w:rsidR="004D64C5">
              <w:t>will be done by</w:t>
            </w:r>
            <w:r w:rsidR="00BE16BA">
              <w:t xml:space="preserve"> the use of TELOTAGGG</w:t>
            </w:r>
            <w:r w:rsidR="00BE16BA" w:rsidRPr="00BE16BA">
              <w:rPr>
                <w:vertAlign w:val="superscript"/>
              </w:rPr>
              <w:t>TM</w:t>
            </w:r>
            <w:r w:rsidR="004D64C5">
              <w:t>.</w:t>
            </w:r>
            <w:r w:rsidR="00C137C7">
              <w:t xml:space="preserve">This project will help determine </w:t>
            </w:r>
            <w:r w:rsidR="004D64C5">
              <w:t>which metabo</w:t>
            </w:r>
            <w:r w:rsidR="0060294D">
              <w:t>lic conditions and/or if reactive oxygen species (ROS) impact the lengths of telomere repeats in HSkMC</w:t>
            </w:r>
            <w:r w:rsidR="00794979">
              <w:t>.This will help to</w:t>
            </w:r>
            <w:r w:rsidR="004D64C5">
              <w:t xml:space="preserve"> determine if these factors </w:t>
            </w:r>
            <w:r w:rsidR="00794979">
              <w:t xml:space="preserve">are related to </w:t>
            </w:r>
            <w:r w:rsidR="004D64C5">
              <w:t>telomeres and exercise.</w:t>
            </w:r>
          </w:p>
          <w:p w:rsidR="006E1C90" w:rsidRPr="00264848" w:rsidRDefault="006E1C90" w:rsidP="00BF1D02">
            <w:pPr>
              <w:spacing w:line="360" w:lineRule="auto"/>
              <w:ind w:left="274" w:right="158"/>
              <w:jc w:val="both"/>
            </w:pPr>
          </w:p>
          <w:p w:rsidR="006E1C90" w:rsidRPr="00264848" w:rsidRDefault="006E1C90" w:rsidP="00F40F58">
            <w:pPr>
              <w:ind w:right="158"/>
            </w:pPr>
          </w:p>
          <w:p w:rsidR="006E1C90" w:rsidRPr="00264848" w:rsidRDefault="006E1C90" w:rsidP="00F40F58">
            <w:pPr>
              <w:autoSpaceDE w:val="0"/>
              <w:autoSpaceDN w:val="0"/>
              <w:adjustRightInd w:val="0"/>
              <w:jc w:val="both"/>
            </w:pPr>
          </w:p>
          <w:p w:rsidR="006E1C90" w:rsidRPr="00264848" w:rsidRDefault="006E1C90" w:rsidP="00F40F58">
            <w:pPr>
              <w:pStyle w:val="DataField11pt"/>
              <w:spacing w:line="240" w:lineRule="auto"/>
              <w:rPr>
                <w:rFonts w:ascii="Times New Roman" w:hAnsi="Times New Roman" w:cs="Times New Roman"/>
                <w:sz w:val="24"/>
                <w:szCs w:val="24"/>
              </w:rPr>
            </w:pPr>
          </w:p>
        </w:tc>
      </w:tr>
      <w:tr w:rsidR="006E1C90" w:rsidTr="00F40F58">
        <w:trPr>
          <w:trHeight w:hRule="exact" w:val="288"/>
        </w:trPr>
        <w:tc>
          <w:tcPr>
            <w:tcW w:w="10656" w:type="dxa"/>
            <w:gridSpan w:val="14"/>
            <w:tcBorders>
              <w:top w:val="single" w:sz="4" w:space="0" w:color="auto"/>
              <w:left w:val="single" w:sz="4" w:space="0" w:color="auto"/>
              <w:bottom w:val="nil"/>
              <w:right w:val="single" w:sz="4" w:space="0" w:color="auto"/>
            </w:tcBorders>
          </w:tcPr>
          <w:p w:rsidR="006E1C90" w:rsidRDefault="006E1C90" w:rsidP="00F40F58">
            <w:pPr>
              <w:pStyle w:val="DataField11pt"/>
            </w:pPr>
            <w:r>
              <w:rPr>
                <w:rStyle w:val="StyleFormInstructions8ptChar"/>
                <w:sz w:val="16"/>
              </w:rPr>
              <w:t>RELEVANCE (See instructions):</w:t>
            </w:r>
          </w:p>
        </w:tc>
      </w:tr>
      <w:tr w:rsidR="006E1C90" w:rsidTr="00B94038">
        <w:trPr>
          <w:trHeight w:hRule="exact" w:val="1845"/>
        </w:trPr>
        <w:tc>
          <w:tcPr>
            <w:tcW w:w="10656" w:type="dxa"/>
            <w:gridSpan w:val="14"/>
            <w:tcBorders>
              <w:top w:val="nil"/>
              <w:left w:val="single" w:sz="6" w:space="0" w:color="auto"/>
              <w:bottom w:val="single" w:sz="6" w:space="0" w:color="auto"/>
              <w:right w:val="single" w:sz="6" w:space="0" w:color="auto"/>
            </w:tcBorders>
          </w:tcPr>
          <w:p w:rsidR="00865000" w:rsidRDefault="00C137C7" w:rsidP="00865000">
            <w:pPr>
              <w:spacing w:line="480" w:lineRule="auto"/>
              <w:ind w:firstLine="720"/>
              <w:contextualSpacing/>
              <w:jc w:val="both"/>
              <w:rPr>
                <w:b/>
              </w:rPr>
            </w:pPr>
            <w:r>
              <w:t>This project is relevant because of the influx of age-related diseases that are occurring today. Telomere shortening is known to be one of the key factors in these diseases and</w:t>
            </w:r>
            <w:r w:rsidR="004D64C5">
              <w:t xml:space="preserve"> in</w:t>
            </w:r>
            <w:r>
              <w:t xml:space="preserve"> recent research has found telomere</w:t>
            </w:r>
            <w:r w:rsidR="004D64C5">
              <w:t xml:space="preserve">s to have a decreased rate of shortening post exercise. </w:t>
            </w:r>
          </w:p>
          <w:p w:rsidR="006E1C90" w:rsidRPr="004B12D0" w:rsidRDefault="006E1C90" w:rsidP="00865000">
            <w:pPr>
              <w:spacing w:before="120" w:line="360" w:lineRule="auto"/>
              <w:ind w:left="274" w:right="158"/>
            </w:pPr>
          </w:p>
        </w:tc>
      </w:tr>
      <w:tr w:rsidR="006E1C90" w:rsidTr="00F40F58">
        <w:trPr>
          <w:trHeight w:hRule="exact" w:val="317"/>
        </w:trPr>
        <w:tc>
          <w:tcPr>
            <w:tcW w:w="10656" w:type="dxa"/>
            <w:gridSpan w:val="14"/>
            <w:tcBorders>
              <w:top w:val="nil"/>
              <w:left w:val="nil"/>
              <w:bottom w:val="single" w:sz="4" w:space="0" w:color="auto"/>
              <w:right w:val="nil"/>
            </w:tcBorders>
            <w:vAlign w:val="center"/>
          </w:tcPr>
          <w:p w:rsidR="006E1C90" w:rsidRDefault="006E1C90" w:rsidP="00F40F58">
            <w:pPr>
              <w:pStyle w:val="FormFieldCaption"/>
              <w:rPr>
                <w:sz w:val="20"/>
              </w:rPr>
            </w:pPr>
            <w:r>
              <w:t>PROJECT/PERFORMANCE SITE(S)  (if additional space is needed, use Project/Performance Site Format Page)</w:t>
            </w: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Project/Performance Site Primary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rsidTr="00F40F58">
        <w:trPr>
          <w:trHeight w:hRule="exact" w:val="317"/>
        </w:trPr>
        <w:tc>
          <w:tcPr>
            <w:tcW w:w="3798" w:type="dxa"/>
            <w:gridSpan w:val="6"/>
            <w:tcBorders>
              <w:top w:val="nil"/>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rsidR="006E1C90" w:rsidRPr="00997FE1" w:rsidRDefault="00E347BF"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rsidTr="00F40F58">
        <w:trPr>
          <w:trHeight w:hRule="exact" w:val="29"/>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Additional Project/Performance Site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bl>
    <w:p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r>
      <w:r w:rsidRPr="00F333FF">
        <w:rPr>
          <w:b/>
        </w:rPr>
        <w:t>Page</w:t>
      </w:r>
      <w:r w:rsidRPr="00BA798A">
        <w:rPr>
          <w:rStyle w:val="PageNumber"/>
          <w:rFonts w:cs="Arial"/>
          <w:sz w:val="18"/>
          <w:szCs w:val="18"/>
        </w:rPr>
        <w:t>2</w:t>
      </w:r>
      <w:r w:rsidRPr="00944775">
        <w:tab/>
      </w:r>
    </w:p>
    <w:tbl>
      <w:tblPr>
        <w:tblW w:w="10656" w:type="dxa"/>
        <w:tblInd w:w="420" w:type="dxa"/>
        <w:tblLayout w:type="fixed"/>
        <w:tblCellMar>
          <w:left w:w="115" w:type="dxa"/>
          <w:right w:w="115" w:type="dxa"/>
        </w:tblCellMar>
        <w:tblLook w:val="0000"/>
      </w:tblPr>
      <w:tblGrid>
        <w:gridCol w:w="5058"/>
        <w:gridCol w:w="270"/>
        <w:gridCol w:w="1241"/>
        <w:gridCol w:w="1459"/>
        <w:gridCol w:w="2628"/>
      </w:tblGrid>
      <w:tr w:rsidR="006E1C90" w:rsidTr="00F40F58">
        <w:trPr>
          <w:trHeight w:hRule="exact" w:val="897"/>
        </w:trPr>
        <w:tc>
          <w:tcPr>
            <w:tcW w:w="10656" w:type="dxa"/>
            <w:gridSpan w:val="5"/>
            <w:tcBorders>
              <w:top w:val="single" w:sz="6" w:space="0" w:color="auto"/>
              <w:left w:val="nil"/>
              <w:bottom w:val="single" w:sz="6" w:space="0" w:color="auto"/>
              <w:right w:val="nil"/>
            </w:tcBorders>
          </w:tcPr>
          <w:p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rsidTr="00F40F58">
        <w:trPr>
          <w:trHeight w:hRule="exact" w:val="216"/>
        </w:trPr>
        <w:tc>
          <w:tcPr>
            <w:tcW w:w="10656" w:type="dxa"/>
            <w:gridSpan w:val="5"/>
            <w:tcBorders>
              <w:top w:val="single" w:sz="6" w:space="0" w:color="auto"/>
              <w:left w:val="nil"/>
              <w:bottom w:val="single" w:sz="6" w:space="0" w:color="auto"/>
              <w:right w:val="nil"/>
            </w:tcBorders>
          </w:tcPr>
          <w:p w:rsidR="006E1C90" w:rsidRDefault="006E1C90" w:rsidP="00F40F58">
            <w:pPr>
              <w:jc w:val="center"/>
              <w:rPr>
                <w:rFonts w:ascii="Arial" w:hAnsi="Arial" w:cs="Arial"/>
                <w:sz w:val="20"/>
                <w:szCs w:val="20"/>
              </w:rPr>
            </w:pPr>
          </w:p>
        </w:tc>
      </w:tr>
      <w:tr w:rsidR="006E1C90"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r>
              <w:t>NAME</w:t>
            </w:r>
          </w:p>
          <w:p w:rsidR="006E1C90" w:rsidRPr="00997FE1" w:rsidRDefault="00E347BF" w:rsidP="00F40F58">
            <w:pPr>
              <w:pStyle w:val="DataField11pt-Single"/>
              <w:rPr>
                <w:sz w:val="20"/>
              </w:rPr>
            </w:pPr>
            <w:r w:rsidRPr="00997FE1">
              <w:rPr>
                <w:sz w:val="20"/>
              </w:rPr>
              <w:fldChar w:fldCharType="begin">
                <w:ffData>
                  <w:name w:val=""/>
                  <w:enabled/>
                  <w:calcOnExit w:val="0"/>
                  <w:textInput>
                    <w:default w:val="                                   "/>
                  </w:textInput>
                </w:ffData>
              </w:fldChar>
            </w:r>
            <w:r w:rsidR="00997FE1" w:rsidRPr="00997FE1">
              <w:rPr>
                <w:sz w:val="20"/>
              </w:rPr>
              <w:instrText xml:space="preserve"> FORMTEXT </w:instrText>
            </w:r>
            <w:r w:rsidRPr="00997FE1">
              <w:rPr>
                <w:sz w:val="20"/>
              </w:rPr>
            </w:r>
            <w:r w:rsidRPr="00997FE1">
              <w:rPr>
                <w:sz w:val="20"/>
              </w:rPr>
              <w:fldChar w:fldCharType="end"/>
            </w:r>
          </w:p>
        </w:tc>
        <w:tc>
          <w:tcPr>
            <w:tcW w:w="5328" w:type="dxa"/>
            <w:gridSpan w:val="3"/>
            <w:vMerge w:val="restart"/>
            <w:tcBorders>
              <w:top w:val="single" w:sz="6" w:space="0" w:color="auto"/>
              <w:left w:val="nil"/>
              <w:right w:val="nil"/>
            </w:tcBorders>
            <w:tcMar>
              <w:top w:w="14" w:type="dxa"/>
              <w:bottom w:w="14" w:type="dxa"/>
            </w:tcMar>
          </w:tcPr>
          <w:p w:rsidR="006E1C90" w:rsidRDefault="006E1C90" w:rsidP="00F40F58">
            <w:pPr>
              <w:pStyle w:val="FormFieldCaption"/>
            </w:pPr>
            <w:r>
              <w:t>POSITION TITLE</w:t>
            </w:r>
          </w:p>
          <w:p w:rsidR="006E1C90" w:rsidRPr="0009166D" w:rsidRDefault="00E347BF" w:rsidP="00F40F58">
            <w:pPr>
              <w:pStyle w:val="DataField11pt-Single"/>
            </w:pPr>
            <w:r w:rsidRPr="00997FE1">
              <w:rPr>
                <w:sz w:val="20"/>
              </w:rPr>
              <w:fldChar w:fldCharType="begin">
                <w:ffData>
                  <w:name w:val=""/>
                  <w:enabled/>
                  <w:calcOnExit w:val="0"/>
                  <w:textInput>
                    <w:default w:val="                                   "/>
                  </w:textInput>
                </w:ffData>
              </w:fldChar>
            </w:r>
            <w:r w:rsidR="00997FE1" w:rsidRPr="00997FE1">
              <w:rPr>
                <w:sz w:val="20"/>
              </w:rPr>
              <w:instrText xml:space="preserve"> FORMTEXT </w:instrText>
            </w:r>
            <w:r w:rsidRPr="00997FE1">
              <w:rPr>
                <w:sz w:val="20"/>
              </w:rPr>
            </w:r>
            <w:r w:rsidRPr="00997FE1">
              <w:rPr>
                <w:sz w:val="20"/>
              </w:rPr>
              <w:fldChar w:fldCharType="end"/>
            </w:r>
          </w:p>
        </w:tc>
      </w:tr>
      <w:tr w:rsidR="006E1C90"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r>
              <w:t>eRA COMMONS USER NAME (credential, e.g., agency login)</w:t>
            </w:r>
          </w:p>
          <w:p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rsidR="006E1C90" w:rsidRDefault="006E1C90" w:rsidP="00F40F58">
            <w:pPr>
              <w:pStyle w:val="FormFieldCaption"/>
            </w:pPr>
          </w:p>
        </w:tc>
      </w:tr>
      <w:tr w:rsidR="006E1C90" w:rsidTr="00F40F58">
        <w:trPr>
          <w:trHeight w:hRule="exact" w:val="288"/>
        </w:trPr>
        <w:tc>
          <w:tcPr>
            <w:tcW w:w="10656" w:type="dxa"/>
            <w:gridSpan w:val="5"/>
            <w:tcBorders>
              <w:left w:val="nil"/>
              <w:bottom w:val="single" w:sz="6" w:space="0" w:color="auto"/>
            </w:tcBorders>
            <w:vAlign w:val="center"/>
          </w:tcPr>
          <w:p w:rsidR="006E1C90" w:rsidRDefault="006E1C90" w:rsidP="00F40F58">
            <w:pPr>
              <w:pStyle w:val="FormFieldCaption"/>
            </w:pPr>
            <w:r>
              <w:t xml:space="preserve">EDUCATION/TRAINING  </w:t>
            </w:r>
            <w:r>
              <w:rPr>
                <w:i/>
                <w:iCs/>
              </w:rPr>
              <w:t>(Begin with baccalaureate or other initial professional education, such as nursing, and include postdoctoral training.)</w:t>
            </w:r>
          </w:p>
        </w:tc>
      </w:tr>
      <w:tr w:rsidR="006E1C90" w:rsidTr="00F40F58">
        <w:tc>
          <w:tcPr>
            <w:tcW w:w="5058"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DEGREE</w:t>
            </w:r>
          </w:p>
          <w:p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rsidR="006E1C90" w:rsidRDefault="006E1C90" w:rsidP="00F40F58">
            <w:pPr>
              <w:pStyle w:val="FormFieldCaption"/>
              <w:jc w:val="center"/>
            </w:pPr>
            <w:r>
              <w:t>FIELD OF STUDY</w:t>
            </w:r>
          </w:p>
        </w:tc>
      </w:tr>
      <w:tr w:rsidR="006E1C90" w:rsidTr="00997FE1">
        <w:trPr>
          <w:trHeight w:val="601"/>
        </w:trPr>
        <w:tc>
          <w:tcPr>
            <w:tcW w:w="5058" w:type="dxa"/>
            <w:tcBorders>
              <w:top w:val="single" w:sz="6" w:space="0" w:color="auto"/>
              <w:left w:val="nil"/>
              <w:bottom w:val="nil"/>
              <w:right w:val="single" w:sz="4" w:space="0" w:color="auto"/>
            </w:tcBorders>
            <w:vAlign w:val="center"/>
          </w:tcPr>
          <w:p w:rsidR="006E1C90" w:rsidRPr="0009166D" w:rsidRDefault="006E1C90" w:rsidP="00F40F58">
            <w:pPr>
              <w:pStyle w:val="DataField11pt-Single"/>
              <w:rPr>
                <w:szCs w:val="22"/>
              </w:rPr>
            </w:pPr>
          </w:p>
          <w:p w:rsidR="006E1C90" w:rsidRPr="0009166D" w:rsidRDefault="009F5C97" w:rsidP="00F40F58">
            <w:pPr>
              <w:pStyle w:val="DataField11pt-Single"/>
              <w:rPr>
                <w:szCs w:val="22"/>
              </w:rPr>
            </w:pPr>
            <w:r>
              <w:rPr>
                <w:sz w:val="20"/>
              </w:rPr>
              <w:t>University of Connecticut, Storrs, CT</w:t>
            </w:r>
          </w:p>
        </w:tc>
        <w:tc>
          <w:tcPr>
            <w:tcW w:w="1511" w:type="dxa"/>
            <w:gridSpan w:val="2"/>
            <w:tcBorders>
              <w:top w:val="single" w:sz="6" w:space="0" w:color="auto"/>
              <w:left w:val="single" w:sz="4" w:space="0" w:color="auto"/>
              <w:bottom w:val="nil"/>
              <w:right w:val="single" w:sz="4" w:space="0" w:color="auto"/>
            </w:tcBorders>
            <w:vAlign w:val="center"/>
          </w:tcPr>
          <w:p w:rsidR="006E1C90" w:rsidRPr="00997FE1" w:rsidRDefault="009F5C97" w:rsidP="00F40F58">
            <w:pPr>
              <w:pStyle w:val="DataField11pt-Single"/>
              <w:jc w:val="center"/>
              <w:rPr>
                <w:sz w:val="20"/>
              </w:rPr>
            </w:pPr>
            <w:r>
              <w:rPr>
                <w:sz w:val="20"/>
              </w:rPr>
              <w:t>B.S.</w:t>
            </w:r>
          </w:p>
        </w:tc>
        <w:tc>
          <w:tcPr>
            <w:tcW w:w="1459" w:type="dxa"/>
            <w:tcBorders>
              <w:top w:val="single" w:sz="6" w:space="0" w:color="auto"/>
              <w:left w:val="single" w:sz="4" w:space="0" w:color="auto"/>
              <w:bottom w:val="nil"/>
              <w:right w:val="single" w:sz="4" w:space="0" w:color="auto"/>
            </w:tcBorders>
            <w:vAlign w:val="center"/>
          </w:tcPr>
          <w:p w:rsidR="006E1C90" w:rsidRPr="00997FE1" w:rsidRDefault="009F5C97" w:rsidP="00F40F58">
            <w:pPr>
              <w:pStyle w:val="DataField11pt-Single"/>
              <w:jc w:val="center"/>
              <w:rPr>
                <w:sz w:val="20"/>
              </w:rPr>
            </w:pPr>
            <w:r>
              <w:rPr>
                <w:sz w:val="20"/>
              </w:rPr>
              <w:t>2014</w:t>
            </w:r>
          </w:p>
        </w:tc>
        <w:tc>
          <w:tcPr>
            <w:tcW w:w="2628" w:type="dxa"/>
            <w:tcBorders>
              <w:top w:val="single" w:sz="6" w:space="0" w:color="auto"/>
              <w:left w:val="single" w:sz="4" w:space="0" w:color="auto"/>
              <w:bottom w:val="nil"/>
              <w:right w:val="nil"/>
            </w:tcBorders>
            <w:vAlign w:val="center"/>
          </w:tcPr>
          <w:p w:rsidR="006E1C90" w:rsidRPr="0009166D" w:rsidRDefault="009F5C97" w:rsidP="00F40F58">
            <w:pPr>
              <w:pStyle w:val="DataField11pt-Single"/>
              <w:rPr>
                <w:szCs w:val="22"/>
              </w:rPr>
            </w:pPr>
            <w:r>
              <w:rPr>
                <w:sz w:val="20"/>
              </w:rPr>
              <w:t>Biological Sciences</w:t>
            </w:r>
          </w:p>
        </w:tc>
      </w:tr>
      <w:tr w:rsidR="006E1C90" w:rsidTr="00F40F58">
        <w:tc>
          <w:tcPr>
            <w:tcW w:w="5058" w:type="dxa"/>
            <w:tcBorders>
              <w:top w:val="nil"/>
              <w:left w:val="nil"/>
              <w:bottom w:val="nil"/>
              <w:right w:val="single" w:sz="4" w:space="0" w:color="auto"/>
            </w:tcBorders>
            <w:vAlign w:val="center"/>
          </w:tcPr>
          <w:p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rsidR="006E1C90" w:rsidRDefault="006E1C90" w:rsidP="00F40F58">
            <w:pPr>
              <w:pStyle w:val="DataField11pt-Single"/>
              <w:rPr>
                <w:sz w:val="20"/>
              </w:rPr>
            </w:pPr>
          </w:p>
          <w:p w:rsidR="00997FE1" w:rsidRPr="0009166D" w:rsidRDefault="00997FE1" w:rsidP="00F40F58">
            <w:pPr>
              <w:pStyle w:val="DataField11pt-Single"/>
              <w:rPr>
                <w:szCs w:val="22"/>
              </w:rPr>
            </w:pPr>
          </w:p>
        </w:tc>
      </w:tr>
      <w:tr w:rsidR="006E1C90" w:rsidTr="00F40F58">
        <w:tc>
          <w:tcPr>
            <w:tcW w:w="5058" w:type="dxa"/>
            <w:tcBorders>
              <w:top w:val="nil"/>
              <w:left w:val="nil"/>
              <w:bottom w:val="nil"/>
              <w:right w:val="single" w:sz="4" w:space="0" w:color="auto"/>
            </w:tcBorders>
            <w:vAlign w:val="center"/>
          </w:tcPr>
          <w:p w:rsidR="006E1C90" w:rsidRPr="00997FE1" w:rsidRDefault="006E1C90"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rsidR="006E1C90" w:rsidRPr="0009166D" w:rsidRDefault="006E1C90"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rsidR="006E1C90" w:rsidRPr="00997FE1" w:rsidRDefault="009F5C97" w:rsidP="00F40F58">
            <w:pPr>
              <w:pStyle w:val="DataField11pt-Single"/>
              <w:jc w:val="center"/>
              <w:rPr>
                <w:sz w:val="20"/>
              </w:rPr>
            </w:pPr>
            <w:r w:rsidRPr="009F5C97">
              <w:rPr>
                <w:sz w:val="20"/>
                <w:highlight w:val="lightGray"/>
              </w:rPr>
              <w:t>2018</w:t>
            </w:r>
          </w:p>
        </w:tc>
        <w:tc>
          <w:tcPr>
            <w:tcW w:w="2628" w:type="dxa"/>
            <w:tcBorders>
              <w:top w:val="nil"/>
              <w:left w:val="single" w:sz="4" w:space="0" w:color="auto"/>
              <w:bottom w:val="nil"/>
              <w:right w:val="nil"/>
            </w:tcBorders>
            <w:vAlign w:val="center"/>
          </w:tcPr>
          <w:p w:rsidR="006E1C90" w:rsidRPr="00D31890" w:rsidRDefault="006E1C90" w:rsidP="00F40F58">
            <w:pPr>
              <w:pStyle w:val="DataField11pt-Single"/>
              <w:rPr>
                <w:sz w:val="20"/>
              </w:rPr>
            </w:pPr>
            <w:r w:rsidRPr="00D31890">
              <w:rPr>
                <w:sz w:val="20"/>
              </w:rPr>
              <w:t>Biomedical Science</w:t>
            </w:r>
          </w:p>
        </w:tc>
      </w:tr>
      <w:tr w:rsidR="006E1C90" w:rsidTr="00F40F58">
        <w:tc>
          <w:tcPr>
            <w:tcW w:w="5058" w:type="dxa"/>
            <w:tcBorders>
              <w:top w:val="nil"/>
              <w:left w:val="nil"/>
              <w:right w:val="single" w:sz="4" w:space="0" w:color="auto"/>
            </w:tcBorders>
            <w:vAlign w:val="center"/>
          </w:tcPr>
          <w:p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rsidR="006E1C90" w:rsidRPr="0009166D" w:rsidRDefault="006E1C90" w:rsidP="00F40F58">
            <w:pPr>
              <w:pStyle w:val="DataField11pt-Single"/>
              <w:rPr>
                <w:szCs w:val="22"/>
              </w:rPr>
            </w:pPr>
          </w:p>
        </w:tc>
      </w:tr>
      <w:tr w:rsidR="006E1C90" w:rsidTr="00F40F58">
        <w:tc>
          <w:tcPr>
            <w:tcW w:w="5058" w:type="dxa"/>
            <w:tcBorders>
              <w:top w:val="nil"/>
              <w:left w:val="nil"/>
              <w:bottom w:val="single" w:sz="6" w:space="0" w:color="auto"/>
              <w:right w:val="single" w:sz="4" w:space="0" w:color="auto"/>
            </w:tcBorders>
            <w:vAlign w:val="center"/>
          </w:tcPr>
          <w:p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rsidR="006E1C90" w:rsidRDefault="006E1C90" w:rsidP="00F40F58">
            <w:pPr>
              <w:pStyle w:val="DataField11pt-Single"/>
            </w:pPr>
          </w:p>
        </w:tc>
      </w:tr>
    </w:tbl>
    <w:p w:rsidR="006E1C90" w:rsidRPr="0009166D" w:rsidRDefault="006E1C90" w:rsidP="00D31890">
      <w:pPr>
        <w:pStyle w:val="DataField11pt-Single"/>
        <w:tabs>
          <w:tab w:val="left" w:pos="450"/>
        </w:tabs>
        <w:ind w:left="630" w:hanging="360"/>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rsidR="00D31890" w:rsidRDefault="00D31890" w:rsidP="00D31890">
      <w:pPr>
        <w:pStyle w:val="DataField11pt-Single"/>
        <w:tabs>
          <w:tab w:val="left" w:pos="-450"/>
          <w:tab w:val="left" w:pos="180"/>
          <w:tab w:val="left" w:pos="450"/>
        </w:tabs>
        <w:ind w:left="630"/>
        <w:rPr>
          <w:szCs w:val="22"/>
        </w:rPr>
      </w:pPr>
    </w:p>
    <w:p w:rsidR="00D31890" w:rsidRPr="0009166D" w:rsidRDefault="00E24427" w:rsidP="00D31890">
      <w:pPr>
        <w:pStyle w:val="DataField11pt-Single"/>
        <w:tabs>
          <w:tab w:val="left" w:pos="-450"/>
          <w:tab w:val="left" w:pos="180"/>
          <w:tab w:val="left" w:pos="450"/>
        </w:tabs>
        <w:ind w:left="630"/>
        <w:rPr>
          <w:szCs w:val="22"/>
        </w:rPr>
      </w:pPr>
      <w:r>
        <w:rPr>
          <w:sz w:val="20"/>
        </w:rPr>
        <w:t>N/A</w:t>
      </w:r>
    </w:p>
    <w:p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rsidR="00D318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rsidR="00D31890" w:rsidRDefault="00D31890" w:rsidP="00D31890">
      <w:pPr>
        <w:pStyle w:val="DataField11pt-Single"/>
        <w:tabs>
          <w:tab w:val="left" w:pos="-450"/>
          <w:tab w:val="left" w:pos="180"/>
          <w:tab w:val="left" w:pos="450"/>
        </w:tabs>
        <w:ind w:left="630"/>
        <w:rPr>
          <w:szCs w:val="22"/>
        </w:rPr>
      </w:pPr>
    </w:p>
    <w:p w:rsidR="00D31890" w:rsidRPr="00D31890" w:rsidRDefault="00E24427" w:rsidP="00D31890">
      <w:pPr>
        <w:pStyle w:val="DataField11pt-Single"/>
        <w:tabs>
          <w:tab w:val="left" w:pos="-450"/>
          <w:tab w:val="left" w:pos="180"/>
          <w:tab w:val="left" w:pos="450"/>
        </w:tabs>
        <w:ind w:left="630"/>
        <w:rPr>
          <w:szCs w:val="22"/>
        </w:rPr>
      </w:pPr>
      <w:r>
        <w:rPr>
          <w:sz w:val="20"/>
        </w:rPr>
        <w:t>N/A</w:t>
      </w:r>
    </w:p>
    <w:p w:rsidR="006E1C90" w:rsidRPr="0009166D" w:rsidRDefault="006E1C90" w:rsidP="00D31890">
      <w:pPr>
        <w:pStyle w:val="DataField11pt-Single"/>
        <w:tabs>
          <w:tab w:val="left" w:pos="-450"/>
          <w:tab w:val="left" w:pos="180"/>
          <w:tab w:val="left" w:pos="450"/>
        </w:tabs>
        <w:ind w:left="630" w:hanging="360"/>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rsidR="00D31890" w:rsidRDefault="00D31890" w:rsidP="00D31890">
      <w:pPr>
        <w:pStyle w:val="DataField11pt-Single"/>
        <w:tabs>
          <w:tab w:val="left" w:pos="-450"/>
          <w:tab w:val="left" w:pos="180"/>
          <w:tab w:val="left" w:pos="450"/>
        </w:tabs>
        <w:ind w:left="630"/>
        <w:rPr>
          <w:szCs w:val="22"/>
        </w:rPr>
      </w:pPr>
    </w:p>
    <w:p w:rsidR="00D31890" w:rsidRPr="0009166D" w:rsidRDefault="00E24427" w:rsidP="00D31890">
      <w:pPr>
        <w:pStyle w:val="DataField11pt-Single"/>
        <w:tabs>
          <w:tab w:val="left" w:pos="-450"/>
          <w:tab w:val="left" w:pos="180"/>
          <w:tab w:val="left" w:pos="450"/>
        </w:tabs>
        <w:ind w:left="630"/>
        <w:rPr>
          <w:szCs w:val="22"/>
        </w:rPr>
      </w:pPr>
      <w:r>
        <w:rPr>
          <w:sz w:val="20"/>
        </w:rPr>
        <w:t>N/A</w:t>
      </w:r>
    </w:p>
    <w:p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Default="006E1C90" w:rsidP="006E1C90">
      <w:pPr>
        <w:pStyle w:val="DataField11pt-Single"/>
        <w:tabs>
          <w:tab w:val="left" w:pos="-450"/>
          <w:tab w:val="left" w:pos="180"/>
          <w:tab w:val="left" w:pos="450"/>
        </w:tabs>
        <w:ind w:left="2160" w:hanging="2160"/>
      </w:pPr>
    </w:p>
    <w:p w:rsidR="006E1C90" w:rsidRDefault="006E1C90" w:rsidP="006E1C90">
      <w:pPr>
        <w:sectPr w:rsidR="006E1C90" w:rsidSect="00C447B5">
          <w:headerReference w:type="default" r:id="rId16"/>
          <w:footerReference w:type="default" r:id="rId17"/>
          <w:type w:val="continuous"/>
          <w:pgSz w:w="12240" w:h="15840"/>
          <w:pgMar w:top="563" w:right="810" w:bottom="1440" w:left="990" w:header="450" w:footer="720" w:gutter="0"/>
          <w:cols w:space="720"/>
          <w:docGrid w:linePitch="360"/>
        </w:sectPr>
      </w:pPr>
    </w:p>
    <w:p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Director/Principal Investigator (</w:t>
      </w:r>
      <w:r w:rsidR="00D523FD">
        <w:rPr>
          <w:rFonts w:ascii="Arial" w:hAnsi="Arial" w:cs="Arial"/>
          <w:sz w:val="18"/>
          <w:szCs w:val="18"/>
        </w:rPr>
        <w:t>Boyd, Ann</w:t>
      </w:r>
      <w:r w:rsidRPr="0010456C">
        <w:rPr>
          <w:rFonts w:ascii="Arial" w:hAnsi="Arial" w:cs="Arial"/>
          <w:sz w:val="18"/>
          <w:szCs w:val="18"/>
        </w:rPr>
        <w:t xml:space="preserve">): </w:t>
      </w:r>
      <w:r w:rsidR="00D523FD">
        <w:rPr>
          <w:rFonts w:ascii="Arial" w:hAnsi="Arial" w:cs="Arial"/>
          <w:sz w:val="18"/>
          <w:szCs w:val="18"/>
        </w:rPr>
        <w:t>Manraj</w:t>
      </w:r>
      <w:r w:rsidRPr="0010456C">
        <w:rPr>
          <w:rFonts w:ascii="Arial" w:hAnsi="Arial" w:cs="Arial"/>
          <w:sz w:val="18"/>
          <w:szCs w:val="18"/>
        </w:rPr>
        <w:t xml:space="preserve">, </w:t>
      </w:r>
      <w:r w:rsidR="00D523FD">
        <w:rPr>
          <w:rFonts w:ascii="Arial" w:hAnsi="Arial" w:cs="Arial"/>
          <w:sz w:val="18"/>
          <w:szCs w:val="18"/>
        </w:rPr>
        <w:t>Randy</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tblPr>
      <w:tblGrid>
        <w:gridCol w:w="10656"/>
      </w:tblGrid>
      <w:tr w:rsidR="006E1C90" w:rsidTr="0010456C">
        <w:trPr>
          <w:cantSplit/>
          <w:trHeight w:hRule="exact" w:val="86"/>
        </w:trPr>
        <w:tc>
          <w:tcPr>
            <w:tcW w:w="10656" w:type="dxa"/>
            <w:tcBorders>
              <w:left w:val="nil"/>
              <w:bottom w:val="single" w:sz="6" w:space="0" w:color="auto"/>
              <w:right w:val="nil"/>
            </w:tcBorders>
            <w:vAlign w:val="bottom"/>
          </w:tcPr>
          <w:p w:rsidR="006E1C90" w:rsidRDefault="006E1C90" w:rsidP="0010456C">
            <w:pPr>
              <w:pStyle w:val="DataField11pt"/>
            </w:pPr>
          </w:p>
        </w:tc>
      </w:tr>
      <w:tr w:rsidR="006E1C90" w:rsidTr="0010456C">
        <w:trPr>
          <w:trHeight w:hRule="exact" w:val="346"/>
        </w:trPr>
        <w:tc>
          <w:tcPr>
            <w:tcW w:w="10656" w:type="dxa"/>
            <w:tcBorders>
              <w:top w:val="single" w:sz="6" w:space="0" w:color="auto"/>
              <w:left w:val="nil"/>
              <w:bottom w:val="single" w:sz="6" w:space="0" w:color="auto"/>
              <w:right w:val="nil"/>
            </w:tcBorders>
            <w:vAlign w:val="center"/>
          </w:tcPr>
          <w:p w:rsidR="006E1C90" w:rsidRDefault="006E1C90" w:rsidP="0010456C">
            <w:pPr>
              <w:pStyle w:val="Heading1"/>
            </w:pPr>
            <w:r>
              <w:t>RESOURCES</w:t>
            </w:r>
          </w:p>
        </w:tc>
      </w:tr>
      <w:tr w:rsidR="006E1C90" w:rsidTr="0010456C">
        <w:trPr>
          <w:trHeight w:hRule="exact" w:val="778"/>
        </w:trPr>
        <w:tc>
          <w:tcPr>
            <w:tcW w:w="10656" w:type="dxa"/>
            <w:tcBorders>
              <w:top w:val="single" w:sz="6" w:space="0" w:color="auto"/>
              <w:left w:val="nil"/>
              <w:right w:val="nil"/>
            </w:tcBorders>
          </w:tcPr>
          <w:p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rsidTr="0010456C">
        <w:trPr>
          <w:trHeight w:hRule="exact" w:val="1642"/>
        </w:trPr>
        <w:tc>
          <w:tcPr>
            <w:tcW w:w="10656" w:type="dxa"/>
            <w:tcBorders>
              <w:left w:val="nil"/>
              <w:right w:val="nil"/>
            </w:tcBorders>
          </w:tcPr>
          <w:p w:rsidR="00D31890" w:rsidRDefault="00D31890" w:rsidP="0010456C">
            <w:pPr>
              <w:pStyle w:val="FormFieldCaption"/>
            </w:pPr>
          </w:p>
          <w:p w:rsidR="006E1C90" w:rsidRPr="00D31890" w:rsidRDefault="006E1C90" w:rsidP="0010456C">
            <w:pPr>
              <w:pStyle w:val="FormFieldCaption"/>
            </w:pPr>
            <w:r w:rsidRPr="00D31890">
              <w:t>Laboratory:</w:t>
            </w:r>
          </w:p>
          <w:p w:rsidR="006E1C90" w:rsidRPr="001E7618" w:rsidRDefault="00E24427" w:rsidP="0010456C">
            <w:pPr>
              <w:pStyle w:val="DataField11pt"/>
              <w:rPr>
                <w:sz w:val="20"/>
              </w:rPr>
            </w:pPr>
            <w:r>
              <w:rPr>
                <w:sz w:val="20"/>
              </w:rPr>
              <w:t>Hood College</w:t>
            </w:r>
          </w:p>
        </w:tc>
      </w:tr>
      <w:tr w:rsidR="006E1C90" w:rsidTr="0010456C">
        <w:trPr>
          <w:trHeight w:hRule="exact" w:val="1107"/>
        </w:trPr>
        <w:tc>
          <w:tcPr>
            <w:tcW w:w="10656" w:type="dxa"/>
            <w:tcBorders>
              <w:left w:val="nil"/>
              <w:right w:val="nil"/>
            </w:tcBorders>
          </w:tcPr>
          <w:p w:rsidR="006E1C90" w:rsidRPr="00D31890" w:rsidRDefault="006E1C90" w:rsidP="0010456C">
            <w:pPr>
              <w:pStyle w:val="FormFieldCaption"/>
            </w:pPr>
            <w:r w:rsidRPr="00D31890">
              <w:t>Clinical:</w:t>
            </w:r>
          </w:p>
          <w:p w:rsidR="006E1C90" w:rsidRPr="00185992" w:rsidRDefault="00E24427" w:rsidP="0010456C">
            <w:pPr>
              <w:pStyle w:val="DataField11pt"/>
              <w:rPr>
                <w:rFonts w:ascii="Times New Roman" w:hAnsi="Times New Roman" w:cs="Times New Roman"/>
                <w:sz w:val="24"/>
                <w:szCs w:val="24"/>
              </w:rPr>
            </w:pPr>
            <w:r>
              <w:rPr>
                <w:sz w:val="20"/>
              </w:rPr>
              <w:t>N/A</w:t>
            </w:r>
          </w:p>
        </w:tc>
      </w:tr>
      <w:tr w:rsidR="006E1C90" w:rsidTr="0010456C">
        <w:trPr>
          <w:trHeight w:hRule="exact" w:val="972"/>
        </w:trPr>
        <w:tc>
          <w:tcPr>
            <w:tcW w:w="10656" w:type="dxa"/>
            <w:tcBorders>
              <w:left w:val="nil"/>
              <w:right w:val="nil"/>
            </w:tcBorders>
          </w:tcPr>
          <w:p w:rsidR="006E1C90" w:rsidRPr="00D31890" w:rsidRDefault="006E1C90" w:rsidP="0010456C">
            <w:pPr>
              <w:pStyle w:val="FormFieldCaption"/>
            </w:pPr>
            <w:r w:rsidRPr="00D31890">
              <w:t>Animal:</w:t>
            </w:r>
          </w:p>
          <w:p w:rsidR="006E1C90" w:rsidRPr="00185992" w:rsidRDefault="00E24427" w:rsidP="0010456C">
            <w:pPr>
              <w:pStyle w:val="DataField11pt"/>
              <w:rPr>
                <w:rFonts w:ascii="Times New Roman" w:hAnsi="Times New Roman" w:cs="Times New Roman"/>
                <w:sz w:val="24"/>
                <w:szCs w:val="24"/>
              </w:rPr>
            </w:pPr>
            <w:r>
              <w:rPr>
                <w:sz w:val="20"/>
              </w:rPr>
              <w:t>N/A</w:t>
            </w:r>
          </w:p>
        </w:tc>
      </w:tr>
      <w:tr w:rsidR="006E1C90" w:rsidTr="0010456C">
        <w:trPr>
          <w:trHeight w:hRule="exact" w:val="1152"/>
        </w:trPr>
        <w:tc>
          <w:tcPr>
            <w:tcW w:w="10656" w:type="dxa"/>
            <w:tcBorders>
              <w:left w:val="nil"/>
              <w:right w:val="nil"/>
            </w:tcBorders>
          </w:tcPr>
          <w:p w:rsidR="006E1C90" w:rsidRPr="00D31890" w:rsidRDefault="006E1C90" w:rsidP="0010456C">
            <w:pPr>
              <w:pStyle w:val="FormFieldCaption"/>
            </w:pPr>
            <w:r w:rsidRPr="00D31890">
              <w:t>Computer:</w:t>
            </w:r>
          </w:p>
          <w:p w:rsidR="006E1C90" w:rsidRPr="00185992" w:rsidRDefault="00E24427" w:rsidP="0010456C">
            <w:pPr>
              <w:pStyle w:val="DataField11pt"/>
              <w:rPr>
                <w:rFonts w:ascii="Times New Roman" w:hAnsi="Times New Roman" w:cs="Times New Roman"/>
                <w:sz w:val="24"/>
                <w:szCs w:val="24"/>
              </w:rPr>
            </w:pPr>
            <w:r>
              <w:rPr>
                <w:sz w:val="20"/>
              </w:rPr>
              <w:t>N/A</w:t>
            </w:r>
          </w:p>
        </w:tc>
      </w:tr>
      <w:tr w:rsidR="006E1C90" w:rsidTr="0010456C">
        <w:trPr>
          <w:trHeight w:hRule="exact" w:val="864"/>
        </w:trPr>
        <w:tc>
          <w:tcPr>
            <w:tcW w:w="10656" w:type="dxa"/>
            <w:tcBorders>
              <w:left w:val="nil"/>
              <w:right w:val="nil"/>
            </w:tcBorders>
          </w:tcPr>
          <w:p w:rsidR="006E1C90" w:rsidRPr="00D31890" w:rsidRDefault="006E1C90" w:rsidP="0010456C">
            <w:pPr>
              <w:pStyle w:val="FormFieldCaption"/>
            </w:pPr>
            <w:r w:rsidRPr="00D31890">
              <w:t>Office:</w:t>
            </w:r>
          </w:p>
          <w:p w:rsidR="001E7618" w:rsidRDefault="00E24427" w:rsidP="0010456C">
            <w:pPr>
              <w:pStyle w:val="DataField11pt"/>
              <w:rPr>
                <w:rFonts w:ascii="Times New Roman" w:hAnsi="Times New Roman" w:cs="Times New Roman"/>
                <w:sz w:val="24"/>
                <w:szCs w:val="24"/>
              </w:rPr>
            </w:pPr>
            <w:r>
              <w:rPr>
                <w:sz w:val="20"/>
              </w:rPr>
              <w:t>N/A</w:t>
            </w:r>
          </w:p>
          <w:p w:rsidR="001E7618" w:rsidRPr="00185992" w:rsidRDefault="001E7618" w:rsidP="0010456C">
            <w:pPr>
              <w:pStyle w:val="DataField11pt"/>
              <w:rPr>
                <w:rFonts w:ascii="Times New Roman" w:hAnsi="Times New Roman" w:cs="Times New Roman"/>
                <w:sz w:val="24"/>
                <w:szCs w:val="24"/>
              </w:rPr>
            </w:pPr>
          </w:p>
        </w:tc>
      </w:tr>
      <w:tr w:rsidR="006E1C90" w:rsidTr="0010456C">
        <w:trPr>
          <w:trHeight w:hRule="exact" w:val="729"/>
        </w:trPr>
        <w:tc>
          <w:tcPr>
            <w:tcW w:w="10656" w:type="dxa"/>
            <w:tcBorders>
              <w:left w:val="nil"/>
              <w:bottom w:val="single" w:sz="6" w:space="0" w:color="auto"/>
              <w:right w:val="nil"/>
            </w:tcBorders>
          </w:tcPr>
          <w:p w:rsidR="001E7618" w:rsidRDefault="001E7618" w:rsidP="0010456C">
            <w:pPr>
              <w:pStyle w:val="FormFieldCaption"/>
            </w:pPr>
          </w:p>
          <w:p w:rsidR="006E1C90" w:rsidRPr="00D31890" w:rsidRDefault="006E1C90" w:rsidP="0010456C">
            <w:pPr>
              <w:pStyle w:val="FormFieldCaption"/>
            </w:pPr>
            <w:r w:rsidRPr="00D31890">
              <w:t>Other:</w:t>
            </w:r>
          </w:p>
          <w:p w:rsidR="006E1C90" w:rsidRPr="00185992" w:rsidRDefault="00E24427" w:rsidP="0010456C">
            <w:pPr>
              <w:pStyle w:val="DataField11pt"/>
              <w:rPr>
                <w:rFonts w:ascii="Times New Roman" w:hAnsi="Times New Roman" w:cs="Times New Roman"/>
                <w:sz w:val="24"/>
                <w:szCs w:val="24"/>
              </w:rPr>
            </w:pPr>
            <w:r>
              <w:rPr>
                <w:sz w:val="20"/>
              </w:rPr>
              <w:t>N/A</w:t>
            </w:r>
          </w:p>
        </w:tc>
      </w:tr>
    </w:tbl>
    <w:p w:rsidR="006E1C90" w:rsidRDefault="006E1C90" w:rsidP="006E1C90">
      <w:pPr>
        <w:rPr>
          <w:rFonts w:ascii="Arial" w:hAnsi="Arial" w:cs="Arial"/>
          <w:sz w:val="22"/>
          <w:szCs w:val="20"/>
        </w:rPr>
      </w:pPr>
    </w:p>
    <w:p w:rsidR="006E1C90" w:rsidRDefault="006E1C90" w:rsidP="006E1C90">
      <w:pPr>
        <w:pStyle w:val="FormFieldCaption"/>
        <w:sectPr w:rsidR="006E1C90" w:rsidSect="00C447B5">
          <w:headerReference w:type="default" r:id="rId18"/>
          <w:footerReference w:type="default" r:id="rId19"/>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tblPr>
      <w:tblGrid>
        <w:gridCol w:w="5868"/>
        <w:gridCol w:w="4788"/>
      </w:tblGrid>
      <w:tr w:rsidR="006E1C90" w:rsidTr="0010456C">
        <w:trPr>
          <w:trHeight w:val="263"/>
          <w:jc w:val="center"/>
        </w:trPr>
        <w:tc>
          <w:tcPr>
            <w:tcW w:w="10656" w:type="dxa"/>
            <w:gridSpan w:val="2"/>
            <w:tcBorders>
              <w:top w:val="single" w:sz="6" w:space="0" w:color="auto"/>
              <w:left w:val="nil"/>
              <w:right w:val="nil"/>
            </w:tcBorders>
          </w:tcPr>
          <w:p w:rsidR="006E1C90" w:rsidRDefault="006E1C90" w:rsidP="00F40F58">
            <w:pPr>
              <w:pStyle w:val="FormFieldCaption"/>
            </w:pPr>
            <w:r>
              <w:lastRenderedPageBreak/>
              <w:t>MAJOR EQUIPMENT: List the most important equipment items already available for this project, noting the location and pertinent capabilities of each.</w:t>
            </w:r>
          </w:p>
          <w:p w:rsidR="006E1C90" w:rsidRDefault="006E1C90" w:rsidP="00F40F58">
            <w:pPr>
              <w:pStyle w:val="DataField11pt"/>
              <w:rPr>
                <w:sz w:val="16"/>
                <w:szCs w:val="16"/>
              </w:rPr>
            </w:pPr>
          </w:p>
        </w:tc>
      </w:tr>
      <w:tr w:rsidR="006E1C90" w:rsidTr="0010456C">
        <w:trPr>
          <w:trHeight w:hRule="exact" w:val="4203"/>
          <w:jc w:val="center"/>
        </w:trPr>
        <w:tc>
          <w:tcPr>
            <w:tcW w:w="5868" w:type="dxa"/>
            <w:tcBorders>
              <w:left w:val="nil"/>
              <w:right w:val="nil"/>
            </w:tcBorders>
          </w:tcPr>
          <w:p w:rsidR="006E1C90" w:rsidRPr="00544944" w:rsidRDefault="006E1C90" w:rsidP="00F40F58">
            <w:pPr>
              <w:pStyle w:val="FormFieldCaption"/>
              <w:rPr>
                <w:b/>
                <w:sz w:val="20"/>
                <w:szCs w:val="20"/>
              </w:rPr>
            </w:pPr>
            <w:r w:rsidRPr="00544944">
              <w:rPr>
                <w:b/>
                <w:sz w:val="20"/>
                <w:szCs w:val="20"/>
              </w:rPr>
              <w:t>The following major equipment is available on site:</w:t>
            </w:r>
          </w:p>
          <w:p w:rsidR="006E1C90" w:rsidRPr="001E7618" w:rsidRDefault="006E1C90" w:rsidP="00F40F58">
            <w:pPr>
              <w:pStyle w:val="FormFieldCaption"/>
              <w:rPr>
                <w:sz w:val="20"/>
                <w:szCs w:val="20"/>
              </w:rPr>
            </w:pPr>
          </w:p>
          <w:p w:rsidR="006E1C90" w:rsidRPr="001E7618" w:rsidRDefault="006E1C90" w:rsidP="00F40F58">
            <w:pPr>
              <w:pStyle w:val="FormFieldCaption"/>
              <w:rPr>
                <w:sz w:val="20"/>
                <w:szCs w:val="20"/>
              </w:rPr>
            </w:pPr>
          </w:p>
          <w:bookmarkStart w:id="5" w:name="Text13"/>
          <w:p w:rsidR="006E1C90" w:rsidRDefault="00E347BF" w:rsidP="00522E7F">
            <w:pPr>
              <w:pStyle w:val="FormFieldCaption"/>
              <w:tabs>
                <w:tab w:val="clear" w:pos="270"/>
                <w:tab w:val="left" w:pos="259"/>
                <w:tab w:val="left" w:pos="2239"/>
              </w:tabs>
              <w:rPr>
                <w:sz w:val="20"/>
                <w:szCs w:val="20"/>
              </w:rPr>
            </w:pPr>
            <w:r>
              <w:rPr>
                <w:sz w:val="20"/>
                <w:szCs w:val="20"/>
              </w:rPr>
              <w:fldChar w:fldCharType="begin">
                <w:ffData>
                  <w:name w:val="Text13"/>
                  <w:enabled/>
                  <w:calcOnExit w:val="0"/>
                  <w:textInput>
                    <w:default w:val="• Centrifuges - For collection of cell lysates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Incubator for Cell Culture</w:t>
            </w:r>
            <w:r>
              <w:rPr>
                <w:sz w:val="20"/>
                <w:szCs w:val="20"/>
              </w:rPr>
              <w:fldChar w:fldCharType="end"/>
            </w:r>
            <w:bookmarkEnd w:id="5"/>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CR machines - DNA amplification and qRT-PCR"/>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Binocular microscope</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Blotting equipment</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 xml:space="preserve">UV-Crosslinker </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Shaking water bath</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Orbital shaker</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9C2DEC">
              <w:rPr>
                <w:noProof/>
                <w:sz w:val="20"/>
                <w:szCs w:val="20"/>
              </w:rPr>
              <w:t>Hybridization oven</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DD30CD">
              <w:rPr>
                <w:noProof/>
                <w:sz w:val="20"/>
                <w:szCs w:val="20"/>
              </w:rPr>
              <w:t>X-ray film</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DD30CD">
              <w:rPr>
                <w:noProof/>
                <w:sz w:val="20"/>
                <w:szCs w:val="20"/>
              </w:rPr>
              <w:t>Densitometer</w:t>
            </w:r>
            <w:r>
              <w:rPr>
                <w:sz w:val="20"/>
                <w:szCs w:val="20"/>
              </w:rPr>
              <w:fldChar w:fldCharType="end"/>
            </w:r>
          </w:p>
          <w:p w:rsidR="00522E7F" w:rsidRPr="001E7618" w:rsidRDefault="00522E7F" w:rsidP="00522E7F">
            <w:pPr>
              <w:pStyle w:val="FormFieldCaption"/>
              <w:tabs>
                <w:tab w:val="clear" w:pos="270"/>
                <w:tab w:val="left" w:pos="259"/>
                <w:tab w:val="left" w:pos="2239"/>
              </w:tabs>
              <w:rPr>
                <w:sz w:val="20"/>
                <w:szCs w:val="20"/>
              </w:rPr>
            </w:pPr>
          </w:p>
        </w:tc>
        <w:tc>
          <w:tcPr>
            <w:tcW w:w="4788" w:type="dxa"/>
            <w:tcBorders>
              <w:left w:val="nil"/>
              <w:right w:val="nil"/>
            </w:tcBorders>
          </w:tcPr>
          <w:p w:rsidR="001E7618" w:rsidRPr="00544944" w:rsidRDefault="001E7618" w:rsidP="001E7618">
            <w:pPr>
              <w:pStyle w:val="FormFieldCaption"/>
              <w:rPr>
                <w:b/>
                <w:sz w:val="20"/>
                <w:szCs w:val="20"/>
              </w:rPr>
            </w:pPr>
            <w:r w:rsidRPr="00544944">
              <w:rPr>
                <w:b/>
                <w:sz w:val="20"/>
                <w:szCs w:val="20"/>
              </w:rPr>
              <w:t>The following consumables will be purchased</w:t>
            </w:r>
          </w:p>
          <w:p w:rsidR="001E7618" w:rsidRPr="00544944" w:rsidRDefault="001E7618" w:rsidP="001E7618">
            <w:pPr>
              <w:pStyle w:val="FormFieldCaption"/>
              <w:rPr>
                <w:b/>
                <w:sz w:val="20"/>
                <w:szCs w:val="20"/>
              </w:rPr>
            </w:pPr>
            <w:r w:rsidRPr="00544944">
              <w:rPr>
                <w:b/>
                <w:sz w:val="20"/>
                <w:szCs w:val="20"/>
              </w:rPr>
              <w:t>with grant funding:</w:t>
            </w:r>
          </w:p>
          <w:p w:rsidR="00522E7F" w:rsidRDefault="00522E7F" w:rsidP="001E7618">
            <w:pPr>
              <w:pStyle w:val="FormFieldCaption"/>
              <w:rPr>
                <w:b/>
                <w:sz w:val="20"/>
                <w:szCs w:val="20"/>
              </w:rPr>
            </w:pP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rotein and DNA Ladders "/>
                  </w:textInput>
                </w:ffData>
              </w:fldChar>
            </w:r>
            <w:r w:rsidR="00CE02D6">
              <w:rPr>
                <w:sz w:val="20"/>
                <w:szCs w:val="20"/>
              </w:rPr>
              <w:instrText xml:space="preserve"> FORMTEXT </w:instrText>
            </w:r>
            <w:r>
              <w:rPr>
                <w:sz w:val="20"/>
                <w:szCs w:val="20"/>
              </w:rPr>
            </w:r>
            <w:r>
              <w:rPr>
                <w:sz w:val="20"/>
                <w:szCs w:val="20"/>
              </w:rPr>
              <w:fldChar w:fldCharType="separate"/>
            </w:r>
            <w:r w:rsidR="00CE02D6">
              <w:rPr>
                <w:noProof/>
                <w:sz w:val="20"/>
                <w:szCs w:val="20"/>
              </w:rPr>
              <w:t>•</w:t>
            </w:r>
            <w:r w:rsidR="00CE02D6">
              <w:rPr>
                <w:noProof/>
                <w:sz w:val="20"/>
                <w:szCs w:val="20"/>
              </w:rPr>
              <w:tab/>
            </w:r>
            <w:r w:rsidR="00DD30CD">
              <w:rPr>
                <w:noProof/>
                <w:sz w:val="20"/>
                <w:szCs w:val="20"/>
              </w:rPr>
              <w:t>Cell culture flasks</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Petri Dishes"/>
                  </w:textInput>
                </w:ffData>
              </w:fldChar>
            </w:r>
            <w:r w:rsidR="00CE02D6">
              <w:rPr>
                <w:sz w:val="20"/>
                <w:szCs w:val="20"/>
              </w:rPr>
              <w:instrText xml:space="preserve"> FORMTEXT </w:instrText>
            </w:r>
            <w:r>
              <w:rPr>
                <w:sz w:val="20"/>
                <w:szCs w:val="20"/>
              </w:rPr>
            </w:r>
            <w:r>
              <w:rPr>
                <w:sz w:val="20"/>
                <w:szCs w:val="20"/>
              </w:rPr>
              <w:fldChar w:fldCharType="separate"/>
            </w:r>
            <w:r w:rsidR="00CE02D6">
              <w:rPr>
                <w:noProof/>
                <w:sz w:val="20"/>
                <w:szCs w:val="20"/>
              </w:rPr>
              <w:t>•</w:t>
            </w:r>
            <w:r w:rsidR="00DD30CD">
              <w:rPr>
                <w:noProof/>
                <w:sz w:val="20"/>
                <w:szCs w:val="20"/>
              </w:rPr>
              <w:t xml:space="preserve">   Telomere Length Assay (TeloTAGGG)</w:t>
            </w:r>
            <w:r w:rsidR="00CE02D6">
              <w:rPr>
                <w:noProof/>
                <w:sz w:val="20"/>
                <w:szCs w:val="20"/>
              </w:rPr>
              <w:tab/>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DD30CD">
              <w:rPr>
                <w:noProof/>
                <w:sz w:val="20"/>
                <w:szCs w:val="20"/>
              </w:rPr>
              <w:t>Human Skeletal Muscle Cells (HSkMC)</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DD30CD">
              <w:rPr>
                <w:noProof/>
                <w:sz w:val="20"/>
                <w:szCs w:val="20"/>
              </w:rPr>
              <w:t>Human Skeletal Muscle Cell Media</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r>
            <w:r w:rsidR="00DD30CD">
              <w:rPr>
                <w:noProof/>
                <w:sz w:val="20"/>
                <w:szCs w:val="20"/>
              </w:rPr>
              <w:t>Soft-Tissue Sarcoma Cell Panel</w:t>
            </w:r>
            <w:r>
              <w:rPr>
                <w:sz w:val="20"/>
                <w:szCs w:val="20"/>
              </w:rPr>
              <w:fldChar w:fldCharType="end"/>
            </w:r>
          </w:p>
          <w:p w:rsidR="00522E7F" w:rsidRDefault="00E347BF"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Mitochondrial Uncouplers                                       "/>
                  </w:textInput>
                </w:ffData>
              </w:fldChar>
            </w:r>
            <w:r w:rsidR="004156F3">
              <w:rPr>
                <w:sz w:val="20"/>
                <w:szCs w:val="20"/>
              </w:rPr>
              <w:instrText xml:space="preserve"> FORMTEXT </w:instrText>
            </w:r>
            <w:r>
              <w:rPr>
                <w:sz w:val="20"/>
                <w:szCs w:val="20"/>
              </w:rPr>
            </w:r>
            <w:r>
              <w:rPr>
                <w:sz w:val="20"/>
                <w:szCs w:val="20"/>
              </w:rPr>
              <w:fldChar w:fldCharType="separate"/>
            </w:r>
            <w:r w:rsidR="004156F3">
              <w:rPr>
                <w:noProof/>
                <w:sz w:val="20"/>
                <w:szCs w:val="20"/>
              </w:rPr>
              <w:t xml:space="preserve">•   Mitochondrial Uncouplers                                       </w:t>
            </w:r>
            <w:r>
              <w:rPr>
                <w:sz w:val="20"/>
                <w:szCs w:val="20"/>
              </w:rPr>
              <w:fldChar w:fldCharType="end"/>
            </w:r>
          </w:p>
          <w:p w:rsidR="00522E7F" w:rsidRPr="00DD30CD" w:rsidRDefault="00E347BF" w:rsidP="00DD30CD">
            <w:pPr>
              <w:pStyle w:val="FormFieldCaption"/>
              <w:tabs>
                <w:tab w:val="left" w:pos="2239"/>
              </w:tabs>
              <w:rPr>
                <w:sz w:val="20"/>
                <w:szCs w:val="20"/>
              </w:rPr>
            </w:pPr>
            <w:r>
              <w:rPr>
                <w:sz w:val="20"/>
                <w:szCs w:val="20"/>
              </w:rPr>
              <w:fldChar w:fldCharType="begin">
                <w:ffData>
                  <w:name w:val=""/>
                  <w:enabled/>
                  <w:calcOnExit w:val="0"/>
                  <w:textInput>
                    <w:default w:val="•                                                                                "/>
                  </w:textInput>
                </w:ffData>
              </w:fldChar>
            </w:r>
            <w:r w:rsidR="00DC3EA1">
              <w:rPr>
                <w:sz w:val="20"/>
                <w:szCs w:val="20"/>
              </w:rPr>
              <w:instrText xml:space="preserve"> FORMTEXT </w:instrText>
            </w:r>
            <w:r>
              <w:rPr>
                <w:sz w:val="20"/>
                <w:szCs w:val="20"/>
              </w:rPr>
            </w:r>
            <w:r>
              <w:rPr>
                <w:sz w:val="20"/>
                <w:szCs w:val="20"/>
              </w:rPr>
              <w:fldChar w:fldCharType="separate"/>
            </w:r>
            <w:r w:rsidR="00DC3EA1">
              <w:rPr>
                <w:noProof/>
                <w:sz w:val="20"/>
                <w:szCs w:val="20"/>
              </w:rPr>
              <w:t xml:space="preserve">•   C-Pace 100                                                                               </w:t>
            </w:r>
            <w:r>
              <w:rPr>
                <w:sz w:val="20"/>
                <w:szCs w:val="20"/>
              </w:rPr>
              <w:fldChar w:fldCharType="end"/>
            </w:r>
          </w:p>
          <w:p w:rsidR="006E1C90" w:rsidRPr="001E7618" w:rsidRDefault="006E1C90" w:rsidP="00F40F58">
            <w:pPr>
              <w:pStyle w:val="FormFieldCaption"/>
              <w:rPr>
                <w:b/>
                <w:sz w:val="20"/>
                <w:szCs w:val="20"/>
              </w:rPr>
            </w:pPr>
          </w:p>
          <w:p w:rsidR="006E1C90" w:rsidRPr="001E7618" w:rsidRDefault="006E1C90" w:rsidP="0009166D">
            <w:pPr>
              <w:pStyle w:val="FormFieldCaption"/>
              <w:ind w:left="720"/>
              <w:rPr>
                <w:b/>
                <w:sz w:val="20"/>
                <w:szCs w:val="20"/>
              </w:rPr>
            </w:pPr>
          </w:p>
        </w:tc>
      </w:tr>
    </w:tbl>
    <w:p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rsidR="00675F48" w:rsidRDefault="00675F48" w:rsidP="00675F48">
      <w:pPr>
        <w:jc w:val="center"/>
        <w:rPr>
          <w:b/>
        </w:rPr>
      </w:pPr>
      <w:r>
        <w:rPr>
          <w:b/>
        </w:rPr>
        <w:lastRenderedPageBreak/>
        <w:t>SPECIFIC AIMS</w:t>
      </w:r>
    </w:p>
    <w:p w:rsidR="00D11965" w:rsidRPr="00D11965" w:rsidRDefault="00D11965" w:rsidP="00D11965">
      <w:pPr>
        <w:jc w:val="center"/>
        <w:rPr>
          <w:b/>
        </w:rPr>
      </w:pPr>
    </w:p>
    <w:p w:rsidR="00D11965" w:rsidRPr="00D11965" w:rsidRDefault="00D11965" w:rsidP="00D11965">
      <w:pPr>
        <w:jc w:val="center"/>
        <w:rPr>
          <w:b/>
        </w:rPr>
      </w:pPr>
    </w:p>
    <w:p w:rsidR="00675F48" w:rsidRDefault="00797A2A" w:rsidP="00797A2A">
      <w:pPr>
        <w:rPr>
          <w:b/>
        </w:rPr>
      </w:pPr>
      <w:r w:rsidRPr="00797A2A">
        <w:rPr>
          <w:b/>
        </w:rPr>
        <w:t xml:space="preserve">Aim 1: Culture Human Skeletal Muscle Cells with Electric Pulse Stimulation and   </w:t>
      </w:r>
      <w:r w:rsidR="00CC163F">
        <w:rPr>
          <w:b/>
        </w:rPr>
        <w:t>d</w:t>
      </w:r>
      <w:r w:rsidRPr="00797A2A">
        <w:rPr>
          <w:b/>
        </w:rPr>
        <w:t xml:space="preserve">ocument </w:t>
      </w:r>
      <w:r w:rsidR="00CC163F">
        <w:rPr>
          <w:b/>
        </w:rPr>
        <w:t>l</w:t>
      </w:r>
      <w:r w:rsidRPr="00797A2A">
        <w:rPr>
          <w:b/>
        </w:rPr>
        <w:t>ength</w:t>
      </w:r>
      <w:r w:rsidR="00594A26">
        <w:rPr>
          <w:b/>
        </w:rPr>
        <w:t xml:space="preserve"> of </w:t>
      </w:r>
      <w:r w:rsidR="00CC163F">
        <w:rPr>
          <w:b/>
        </w:rPr>
        <w:t>t</w:t>
      </w:r>
      <w:r w:rsidR="00594A26">
        <w:rPr>
          <w:b/>
        </w:rPr>
        <w:t>elomeres</w:t>
      </w:r>
      <w:r w:rsidRPr="00797A2A">
        <w:rPr>
          <w:b/>
        </w:rPr>
        <w:t xml:space="preserve"> using TeloTAGGG</w:t>
      </w:r>
      <w:r w:rsidR="00F83B04" w:rsidRPr="00F83B04">
        <w:rPr>
          <w:b/>
          <w:vertAlign w:val="superscript"/>
        </w:rPr>
        <w:t>TM</w:t>
      </w:r>
    </w:p>
    <w:p w:rsidR="00797A2A" w:rsidRDefault="00797A2A" w:rsidP="00797A2A">
      <w:pPr>
        <w:rPr>
          <w:b/>
        </w:rPr>
      </w:pPr>
    </w:p>
    <w:p w:rsidR="00875E57" w:rsidRDefault="009A732A" w:rsidP="00CC233B">
      <w:pPr>
        <w:spacing w:line="480" w:lineRule="auto"/>
        <w:ind w:firstLine="720"/>
        <w:jc w:val="both"/>
      </w:pPr>
      <w:r>
        <w:t>Human Skeletal Muscle Cell</w:t>
      </w:r>
      <w:r w:rsidR="00736D4D">
        <w:t xml:space="preserve"> (HSkMC)</w:t>
      </w:r>
      <w:r>
        <w:t xml:space="preserve"> line will be obtained and cultured following the protocol provided by Sigma-Aldrich. </w:t>
      </w:r>
      <w:r w:rsidR="00736D4D">
        <w:t xml:space="preserve">The </w:t>
      </w:r>
      <w:r w:rsidR="000C1BB0">
        <w:t>cells’</w:t>
      </w:r>
      <w:r w:rsidR="00736D4D">
        <w:t xml:space="preserve"> telomere lengths </w:t>
      </w:r>
      <w:r w:rsidR="000C1BB0">
        <w:t xml:space="preserve">will be </w:t>
      </w:r>
      <w:r w:rsidR="00736D4D">
        <w:t xml:space="preserve">quantified initially and after </w:t>
      </w:r>
      <w:r w:rsidR="00873442">
        <w:t>every doubling cycle as a way to interpret telomere shortening rates</w:t>
      </w:r>
      <w:r w:rsidR="00675379">
        <w:t xml:space="preserve"> by establishing a growth curve</w:t>
      </w:r>
      <w:r w:rsidR="00873442">
        <w:t xml:space="preserve">. </w:t>
      </w:r>
      <w:r w:rsidR="000F5FFE">
        <w:t xml:space="preserve">The technique of electric pulse stimulation (EPS) is a </w:t>
      </w:r>
      <w:r w:rsidR="00436A45">
        <w:t xml:space="preserve">means of </w:t>
      </w:r>
      <w:r w:rsidR="00CB5C9F">
        <w:t>stimulating</w:t>
      </w:r>
      <w:r w:rsidR="000F5FFE">
        <w:t xml:space="preserve"> muscle contractions </w:t>
      </w:r>
      <w:r w:rsidR="00436A45">
        <w:t>in cell culture conditions</w:t>
      </w:r>
      <w:r w:rsidR="00E347BF" w:rsidRPr="002C4CDE">
        <w:fldChar w:fldCharType="begin"/>
      </w:r>
      <w:r w:rsidR="003E6153">
        <w:instrText xml:space="preserve"> ADDIN ZOTERO_ITEM CSL_CITATION {"citationID":"OnucHmq2","properties":{"formattedCitation":"(Evers-van Gogh et al. 2015)","plainCitation":"(Evers-van Gogh et al. 2015)","noteIndex":0},"citationItems":[{"id":169,"uris":["http://zotero.org/users/4515386/items/8QFPQXSG"],"uri":["http://zotero.org/users/4515386/items/8QFPQXSG"],"itemData":{"id":169,"type":"article-journal","title":"Electric Pulse Stimulation of Myotubes as an In Vitro Exercise Model: Cell-Mediated and Non-Cell-Mediated Effects","container-title":"Scientific Reports","volume":"5","source":"PubMed Central","abstract":"Regular exercise has emerged as one of the best therapeutic strategies to prevent and treat type-2-diabetes. Exercise-induced changes in the muscle secretome, consisting of myokines and metabolites, may underlie the inter-organ communication between muscle and other organs. To investigate this crosstalk, we developed an in vitro system in which mouse C2C12 myotubes underwent electric pulse stimulation (EPS) to induce contraction. Subsequently the effects of EPS-conditioned media (EPS-CM) on hepatocytes were investigated. Here, we demonstrate that EPS-CM induces Metallothionein 1/2 and Slc30a2 gene expression and reduces Cyp2a3 gene expression in rat hepatocytes. When testing EPS-CM that was generated in the absence of C2C12 myotubes (non-cell EPS-CM) no decrease in Cyp2a3 expression was detected. However, similar inductions in hepatic Mt1/2 and Slc30a2 expression were observed. Non-cell EPS-CM were also applied to C2C12 myotubes and compared to C2C12 myotubes that underwent EPS: here changes in AMPK phosphorylation and myokine secretion largely depended on EPS-induced contraction. Taken together, these findings indicate that EPS can alter C2C12 myotube function and thereby affect gene expression in cells subjected to EPS-CM (Cyp2a3). However, EPS can also generate non-cell-mediated changes in cell culture media, which can affect gene expression in cells subjected to EPS-CM too. While EPS clearly represents a valuable tool in exercise research, care should be taken in experimental design to control for non-cell-mediated effects.","URL":"https://www.ncbi.nlm.nih.gov/pmc/articles/PMC4473537/","DOI":"10.1038/srep10944","ISSN":"2045-2322","note":"PMID: 26091097\nPMCID: PMC4473537","shortTitle":"Electric Pulse Stimulation of Myotubes as an In Vitro Exercise Model","journalAbbreviation":"Sci Rep","author":[{"family":"Evers-van Gogh","given":"Inkie J.A."},{"family":"Alex","given":"Sheril"},{"family":"Stienstra","given":"Rinke"},{"family":"Brenkman","given":"Arjan B."},{"family":"Kersten","given":"Sander"},{"family":"Kalkhoven","given":"Eric"}],"issued":{"date-parts":[["2015",6,19]]},"accessed":{"date-parts":[["2018",6,30]]}}}],"schema":"https://github.com/citation-style-language/schema/raw/master/csl-citation.json"} </w:instrText>
      </w:r>
      <w:r w:rsidR="00E347BF" w:rsidRPr="002C4CDE">
        <w:fldChar w:fldCharType="separate"/>
      </w:r>
      <w:r w:rsidR="003E6153" w:rsidRPr="003E6153">
        <w:t>(Evers-van Gogh et al. 2015)</w:t>
      </w:r>
      <w:r w:rsidR="00E347BF" w:rsidRPr="002C4CDE">
        <w:fldChar w:fldCharType="end"/>
      </w:r>
      <w:r w:rsidR="000F5FFE" w:rsidRPr="002C4CDE">
        <w:t>.</w:t>
      </w:r>
      <w:r w:rsidR="005A5FC4">
        <w:t xml:space="preserve"> Telomere lengths will then be quantified after every doubling cycle to determine if the EPS technique effects telomere </w:t>
      </w:r>
      <w:r w:rsidR="00675379">
        <w:t xml:space="preserve">repeat </w:t>
      </w:r>
      <w:r w:rsidR="005A5FC4">
        <w:t xml:space="preserve">length.  The challenge in this aim will be to obtain quality cultures of HSkMC undergoing EPS that provide information and </w:t>
      </w:r>
      <w:r w:rsidR="00436A45">
        <w:t xml:space="preserve">on base-line telomere length to compare to the treatment conditions. </w:t>
      </w:r>
    </w:p>
    <w:p w:rsidR="007246A3" w:rsidRDefault="004F0C23" w:rsidP="00436A45">
      <w:pPr>
        <w:spacing w:after="240"/>
        <w:jc w:val="both"/>
        <w:rPr>
          <w:b/>
        </w:rPr>
      </w:pPr>
      <w:r w:rsidRPr="004F0C23">
        <w:rPr>
          <w:b/>
        </w:rPr>
        <w:t xml:space="preserve">Aim </w:t>
      </w:r>
      <w:r>
        <w:rPr>
          <w:b/>
        </w:rPr>
        <w:t>2</w:t>
      </w:r>
      <w:r w:rsidRPr="004F0C23">
        <w:rPr>
          <w:b/>
        </w:rPr>
        <w:t xml:space="preserve">: </w:t>
      </w:r>
      <w:r w:rsidR="00675379">
        <w:rPr>
          <w:b/>
        </w:rPr>
        <w:t xml:space="preserve">Identify if </w:t>
      </w:r>
      <w:r w:rsidR="00740743">
        <w:rPr>
          <w:b/>
        </w:rPr>
        <w:t>c</w:t>
      </w:r>
      <w:r w:rsidR="00675379">
        <w:rPr>
          <w:b/>
        </w:rPr>
        <w:t xml:space="preserve">hanges in </w:t>
      </w:r>
      <w:r w:rsidR="00436A45">
        <w:rPr>
          <w:b/>
        </w:rPr>
        <w:t>carbon source utilization that are associated with exercise affect telomere repeat length in predicted ways</w:t>
      </w:r>
    </w:p>
    <w:p w:rsidR="00740743" w:rsidRDefault="004F0C23" w:rsidP="00740743">
      <w:pPr>
        <w:spacing w:line="480" w:lineRule="auto"/>
        <w:jc w:val="both"/>
      </w:pPr>
      <w:r>
        <w:tab/>
      </w:r>
      <w:r w:rsidR="00740743">
        <w:t xml:space="preserve">Metabolism will be targeted where separate cultures of HSkMC will be given different media which contain higher concentrations of proteins, carbohydrates or lipids. This will force the cells into different metabolic pathways which occur during exercise where cells will undergo lipid metabolism when glycogen stores become depleted </w:t>
      </w:r>
      <w:r w:rsidR="00E347BF" w:rsidRPr="0074459D">
        <w:fldChar w:fldCharType="begin"/>
      </w:r>
      <w:r w:rsidR="00740743">
        <w:instrText xml:space="preserve"> ADDIN ZOTERO_ITEM CSL_CITATION {"citationID":"a219k1reba5","properties":{"formattedCitation":"(Burton et al. 2004)","plainCitation":"(Burton et al. 2004)","noteIndex":0},"citationItems":[{"id":52,"uris":["http://zotero.org/users/4515386/items/TR53VGP4"],"uri":["http://zotero.org/users/4515386/items/TR53VGP4"],"itemData":{"id":52,"type":"article-journal","title":"Physiological effects of exercise","container-title":"Continuing Education in Anaesthesia Critical Care &amp; Pain","page":"185-188","volume":"4","issue":"6","source":"academic.oup.com","abstract":"The physiological response to exercise is dependent on the intensity, duration and frequency of the exercise as well as the environmental conditions. During physical exercise, requirements for oxygen and substrate in skeletal muscle are increased, as are the removal of metabolites and carbon dioxide. Chemical, mechanical and thermal stimuli affect alterations in metabolic, cardiovascular and ventilatory function in order to meet these increased demands.","DOI":"10.1093/bjaceaccp/mkh050","ISSN":"1743-1816","journalAbbreviation":"Contin Educ Anaesth Crit Care Pain","language":"en","author":[{"family":"Burton","given":"Deborah Anne"},{"family":"Stokes","given":"Keith"},{"family":"Hall","given":"George M."}],"issued":{"date-parts":[["2004",12,1]]}}}],"schema":"https://github.com/citation-style-language/schema/raw/master/csl-citation.json"} </w:instrText>
      </w:r>
      <w:r w:rsidR="00E347BF" w:rsidRPr="0074459D">
        <w:fldChar w:fldCharType="separate"/>
      </w:r>
      <w:r w:rsidR="00740743" w:rsidRPr="000A43EF">
        <w:t>(Burton et al. 2004)</w:t>
      </w:r>
      <w:r w:rsidR="00E347BF" w:rsidRPr="0074459D">
        <w:fldChar w:fldCharType="end"/>
      </w:r>
      <w:r w:rsidR="00740743" w:rsidRPr="0074459D">
        <w:t>.</w:t>
      </w:r>
      <w:r w:rsidR="00740743">
        <w:t xml:space="preserve">  EPS will also be used for testing active metabolism during exercise of HSkMC.</w:t>
      </w:r>
    </w:p>
    <w:p w:rsidR="00794979" w:rsidRDefault="00794979" w:rsidP="00740743">
      <w:pPr>
        <w:spacing w:line="480" w:lineRule="auto"/>
        <w:jc w:val="both"/>
      </w:pPr>
    </w:p>
    <w:p w:rsidR="00794979" w:rsidRDefault="00794979" w:rsidP="00740743">
      <w:pPr>
        <w:spacing w:line="480" w:lineRule="auto"/>
        <w:jc w:val="both"/>
      </w:pPr>
    </w:p>
    <w:p w:rsidR="004F0C23" w:rsidRDefault="00740743" w:rsidP="00EE6701">
      <w:pPr>
        <w:jc w:val="both"/>
        <w:rPr>
          <w:b/>
        </w:rPr>
      </w:pPr>
      <w:r w:rsidRPr="004F0C23">
        <w:rPr>
          <w:b/>
        </w:rPr>
        <w:lastRenderedPageBreak/>
        <w:t>Aim</w:t>
      </w:r>
      <w:r>
        <w:rPr>
          <w:b/>
        </w:rPr>
        <w:t xml:space="preserve"> 3</w:t>
      </w:r>
      <w:r w:rsidRPr="004F0C23">
        <w:rPr>
          <w:b/>
        </w:rPr>
        <w:t xml:space="preserve">: </w:t>
      </w:r>
      <w:r>
        <w:rPr>
          <w:b/>
        </w:rPr>
        <w:t xml:space="preserve">Identify if changes in reactive oxygen species </w:t>
      </w:r>
      <w:r w:rsidR="00794979">
        <w:rPr>
          <w:b/>
        </w:rPr>
        <w:t>are related to</w:t>
      </w:r>
      <w:r>
        <w:rPr>
          <w:b/>
        </w:rPr>
        <w:t xml:space="preserve"> telomere repeat length</w:t>
      </w:r>
      <w:r w:rsidR="00436A45">
        <w:rPr>
          <w:b/>
        </w:rPr>
        <w:t xml:space="preserve"> in predicted ways</w:t>
      </w:r>
    </w:p>
    <w:p w:rsidR="00EE6701" w:rsidRPr="00740743" w:rsidRDefault="00EE6701" w:rsidP="00EE6701">
      <w:pPr>
        <w:jc w:val="both"/>
        <w:rPr>
          <w:b/>
        </w:rPr>
      </w:pPr>
    </w:p>
    <w:p w:rsidR="00B22B2B" w:rsidRDefault="001A286F" w:rsidP="000902F8">
      <w:pPr>
        <w:spacing w:line="480" w:lineRule="auto"/>
        <w:jc w:val="both"/>
      </w:pPr>
      <w:r>
        <w:tab/>
        <w:t xml:space="preserve">Reactive oxygen species </w:t>
      </w:r>
      <w:r w:rsidR="00C27B2A">
        <w:t xml:space="preserve">(ROS) </w:t>
      </w:r>
      <w:r>
        <w:t xml:space="preserve">are created at a higher rate during exercise by NADPH oxidases in the mitochondria. By the use of mitochondrial uncouplers, we will achieve an increased basal  metabolic rate </w:t>
      </w:r>
      <w:r w:rsidR="00E347BF" w:rsidRPr="00C27B2A">
        <w:fldChar w:fldCharType="begin"/>
      </w:r>
      <w:r w:rsidR="00974631">
        <w:instrText xml:space="preserve"> ADDIN ZOTERO_ITEM CSL_CITATION {"citationID":"aqjki8iej9","properties":{"formattedCitation":"(Ocloo and Dongdem 2011)","plainCitation":"(Ocloo and Dongdem 2011)","noteIndex":0},"citationItems":[{"id":59,"uris":["http://zotero.org/users/4515386/items/VCUGNE5B"],"uri":["http://zotero.org/users/4515386/items/VCUGNE5B"],"itemData":{"id":59,"type":"article-journal","title":"Mitochondria as Pharmacological Targets: The Discovery of Novel Anti-Obesity Mitochondrial Uncouplers from Africa's Medicinal Plants","container-title":"African Journal of Traditional, Complementary, and Alternative Medicines","page":"256-259","volume":"9","issue":"2","source":"PubMed Central","abstract":"Obesity results from prolonged positive imbalance between energy in take and expenditure. When food intake chronically exceeds the body's energy need, an efficient metabolism results in the storage of the excess energy as fat. Mitochondria are the main centre for energy production in eukaryotic cells. Mitochondrial proton cycling is responsible for a significant proportion of basal or standard metabolic rate, therefore, further uncoupling of mitochondria may be a good way to increase energy expenditure and hence represent a good pharmacological target for the treatment of obesity. This implies that, any chemical agent or photochemical compound that further uncouples the mitochondria in vivo without having any effect on mitochondria activity could be a potential target in finding treatment for obesity. In the past, uncoupling by 2, 4-dinitrophenol has been used this way with notable success. This paper discusses the mitochondria as targets in the discovery of potential plant natural anti-obesity products from Africa's rich rainforests.","ISSN":"0189-6016","note":"PMID: 23983343\nPMCID: PMC3746629","shortTitle":"Mitochondria as Pharmacological Targets","journalAbbreviation":"Afr J Tradit Complement Altern Med","author":[{"family":"Ocloo","given":"Augustine"},{"family":"Dongdem","given":"Julius Tieroyaare"}],"issued":{"date-parts":[["2011",12,29]]}}}],"schema":"https://github.com/citation-style-language/schema/raw/master/csl-citation.json"} </w:instrText>
      </w:r>
      <w:r w:rsidR="00E347BF" w:rsidRPr="00C27B2A">
        <w:fldChar w:fldCharType="separate"/>
      </w:r>
      <w:r w:rsidR="000A43EF" w:rsidRPr="000A43EF">
        <w:t>(Ocloo and Dongdem 2011)</w:t>
      </w:r>
      <w:r w:rsidR="00E347BF" w:rsidRPr="00C27B2A">
        <w:fldChar w:fldCharType="end"/>
      </w:r>
      <w:r w:rsidR="00C27B2A">
        <w:t xml:space="preserve"> which will cause an increase in mitochondrial activity. By exposure to enhanced ROS, </w:t>
      </w:r>
      <w:r w:rsidR="00F35565">
        <w:t xml:space="preserve">induction of </w:t>
      </w:r>
      <w:r w:rsidR="00C27B2A">
        <w:t xml:space="preserve">HSkMC antioxidant defense systems </w:t>
      </w:r>
      <w:r w:rsidR="00F35565">
        <w:t xml:space="preserve">will occur, which in turn </w:t>
      </w:r>
      <w:r w:rsidR="00C27B2A">
        <w:t xml:space="preserve">will enhance damage repair systems </w:t>
      </w:r>
      <w:r w:rsidR="00E347BF" w:rsidRPr="00C27B2A">
        <w:fldChar w:fldCharType="begin"/>
      </w:r>
      <w:r w:rsidR="00974631">
        <w:instrText xml:space="preserve"> ADDIN ZOTERO_ITEM CSL_CITATION {"citationID":"a2q9n40h2m6","properties":{"formattedCitation":"(Chilton et al. 2017)","plainCitation":"(Chilton et al. 2017)","noteIndex":0},"citationItems":[{"id":62,"uris":["http://zotero.org/users/4515386/items/WITKR3XW"],"uri":["http://zotero.org/users/4515386/items/WITKR3XW"],"itemData":{"id":62,"type":"article-journal","title":"Telomeres, Aging and Exercise: Guilty by Association?","container-title":"International Journal of Molecular Sciences","volume":"18","issue":"12","source":"PubMed Central","abstract":"Telomeres are repetitive tandem DNA sequences that cap chromosomal ends protecting genomic DNA from enzymatic degradation. Telomeres progressively shorten with cellular replication and are therefore assumed to correlate with biological and chronological age. An expanding body of evidence suggests (i) a predictable inverse association between telomere length, aging and age-related diseases and (ii) a positive association between physical activity and telomere length. Both hypotheses have garnered tremendous research attention and broad consensus; however, the evidence for each proposition is inconsistent and equivocal at best. Telomere length does not meet the basic criteria for an aging biomarker and at least 50% of key studies fail to find associations with physical activity. In this review, we address the evidence in support and refutation of the putative associations between telomere length, aging and physical activity. We finish with a brief review of plausible mechanisms and potential future research directions.","URL":"https://www.ncbi.nlm.nih.gov/pmc/articles/PMC5751176/","DOI":"10.3390/ijms18122573","ISSN":"1422-0067","note":"PMID: 29186077\nPMCID: PMC5751176","shortTitle":"Telomeres, Aging and Exercise","journalAbbreviation":"Int J Mol Sci","author":[{"family":"Chilton","given":"Warrick"},{"family":"O’Brien","given":"Brendan"},{"family":"Charchar","given":"Fadi"}],"issued":{"date-parts":[["2017",11,29]]},"accessed":{"date-parts":[["2018",2,9]]}}}],"schema":"https://github.com/citation-style-language/schema/raw/master/csl-citation.json"} </w:instrText>
      </w:r>
      <w:r w:rsidR="00E347BF" w:rsidRPr="00C27B2A">
        <w:fldChar w:fldCharType="separate"/>
      </w:r>
      <w:r w:rsidR="000A43EF" w:rsidRPr="000A43EF">
        <w:t>(Chilton et al. 2017)</w:t>
      </w:r>
      <w:r w:rsidR="00E347BF" w:rsidRPr="00C27B2A">
        <w:fldChar w:fldCharType="end"/>
      </w:r>
      <w:r w:rsidR="00C27B2A" w:rsidRPr="00C27B2A">
        <w:t>.</w:t>
      </w:r>
      <w:r w:rsidR="00C27B2A">
        <w:t xml:space="preserve"> The HSkMC exposed to mitochondrial uncouplers will be compared to HSkMC control cells that are not subjected to any factors</w:t>
      </w:r>
      <w:r w:rsidR="0065385C">
        <w:t>. T</w:t>
      </w:r>
      <w:r w:rsidR="00C27B2A">
        <w:t xml:space="preserve">elomere lengths will be quantified </w:t>
      </w:r>
      <w:r w:rsidR="000902F8">
        <w:t>after every doubling</w:t>
      </w:r>
      <w:r w:rsidR="0065385C">
        <w:t xml:space="preserve"> for each set of cells with and without ROS along </w:t>
      </w:r>
      <w:r w:rsidR="000902F8">
        <w:t>withand without the use of EPS</w:t>
      </w:r>
      <w:r w:rsidR="0065385C">
        <w:t xml:space="preserve">. </w:t>
      </w: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0902F8" w:rsidRDefault="000902F8" w:rsidP="000902F8">
      <w:pPr>
        <w:spacing w:line="480" w:lineRule="auto"/>
        <w:jc w:val="both"/>
      </w:pPr>
    </w:p>
    <w:p w:rsidR="00920832" w:rsidRDefault="00920832"/>
    <w:p w:rsidR="00CC233B" w:rsidRDefault="00CC233B">
      <w:pPr>
        <w:rPr>
          <w:b/>
          <w:szCs w:val="20"/>
        </w:rPr>
      </w:pPr>
    </w:p>
    <w:p w:rsidR="00675F48" w:rsidRDefault="00675F48" w:rsidP="00794979">
      <w:pPr>
        <w:jc w:val="center"/>
        <w:rPr>
          <w:b/>
        </w:rPr>
      </w:pPr>
      <w:r>
        <w:rPr>
          <w:b/>
        </w:rPr>
        <w:lastRenderedPageBreak/>
        <w:t>BACKGROUND AND SIGNIFICANCE</w:t>
      </w:r>
    </w:p>
    <w:p w:rsidR="00675F48" w:rsidRDefault="00675F48" w:rsidP="00675F48">
      <w:pPr>
        <w:jc w:val="center"/>
        <w:rPr>
          <w:b/>
        </w:rPr>
      </w:pPr>
    </w:p>
    <w:p w:rsidR="00675F48" w:rsidRDefault="00675F48" w:rsidP="00675F48">
      <w:pPr>
        <w:jc w:val="center"/>
        <w:rPr>
          <w:b/>
        </w:rPr>
      </w:pPr>
    </w:p>
    <w:p w:rsidR="006F619D" w:rsidRDefault="001F6D5C" w:rsidP="003966B9">
      <w:pPr>
        <w:spacing w:line="480" w:lineRule="auto"/>
        <w:ind w:firstLine="720"/>
        <w:jc w:val="both"/>
      </w:pPr>
      <w:r>
        <w:t>Telomere research</w:t>
      </w:r>
      <w:r w:rsidR="003966B9" w:rsidRPr="005B7C6B">
        <w:t xml:space="preserve"> is a rapidly growing topic and is </w:t>
      </w:r>
      <w:r w:rsidR="007562F1">
        <w:t>the key</w:t>
      </w:r>
      <w:r w:rsidR="003966B9" w:rsidRPr="005B7C6B">
        <w:t xml:space="preserve"> to many common diseases </w:t>
      </w:r>
      <w:r w:rsidR="007562F1">
        <w:t>such as</w:t>
      </w:r>
      <w:r w:rsidR="003966B9" w:rsidRPr="005B7C6B">
        <w:t xml:space="preserve"> cancer, cardiovascular disease and other age-related diseases</w:t>
      </w:r>
      <w:r w:rsidR="00D95DDF">
        <w:t xml:space="preserve">. </w:t>
      </w:r>
      <w:r w:rsidR="00E40BAB">
        <w:t>The</w:t>
      </w:r>
      <w:r w:rsidR="00D95DDF">
        <w:t xml:space="preserve"> factors that influence </w:t>
      </w:r>
      <w:r w:rsidR="003966B9" w:rsidRPr="005B7C6B">
        <w:t xml:space="preserve">telomere shortening/lengthening </w:t>
      </w:r>
      <w:r w:rsidR="00361875">
        <w:t>are</w:t>
      </w:r>
      <w:r w:rsidR="003966B9" w:rsidRPr="005B7C6B">
        <w:t xml:space="preserve"> not fully understood although there are many processes that are </w:t>
      </w:r>
      <w:r w:rsidR="00550FB7">
        <w:t>known</w:t>
      </w:r>
      <w:r w:rsidR="003966B9" w:rsidRPr="005B7C6B">
        <w:t xml:space="preserve"> to have a great impact on the regulation of telomeres</w:t>
      </w:r>
      <w:r w:rsidR="00E347BF">
        <w:fldChar w:fldCharType="begin"/>
      </w:r>
      <w:r w:rsidR="00CB6061">
        <w:instrText xml:space="preserve"> ADDIN ZOTERO_ITEM CSL_CITATION {"citationID":"skYX5x6l","properties":{"formattedCitation":"(Chilton et al. 2017)","plainCitation":"(Chilton et al. 2017)","noteIndex":0},"citationItems":[{"id":62,"uris":["http://zotero.org/users/4515386/items/WITKR3XW"],"uri":["http://zotero.org/users/4515386/items/WITKR3XW"],"itemData":{"id":62,"type":"article-journal","title":"Telomeres, Aging and Exercise: Guilty by Association?","container-title":"International Journal of Molecular Sciences","volume":"18","issue":"12","source":"PubMed Central","abstract":"Telomeres are repetitive tandem DNA sequences that cap chromosomal ends protecting genomic DNA from enzymatic degradation. Telomeres progressively shorten with cellular replication and are therefore assumed to correlate with biological and chronological age. An expanding body of evidence suggests (i) a predictable inverse association between telomere length, aging and age-related diseases and (ii) a positive association between physical activity and telomere length. Both hypotheses have garnered tremendous research attention and broad consensus; however, the evidence for each proposition is inconsistent and equivocal at best. Telomere length does not meet the basic criteria for an aging biomarker and at least 50% of key studies fail to find associations with physical activity. In this review, we address the evidence in support and refutation of the putative associations between telomere length, aging and physical activity. We finish with a brief review of plausible mechanisms and potential future research directions.","URL":"https://www.ncbi.nlm.nih.gov/pmc/articles/PMC5751176/","DOI":"10.3390/ijms18122573","ISSN":"1422-0067","note":"PMID: 29186077\nPMCID: PMC5751176","shortTitle":"Telomeres, Aging and Exercise","journalAbbreviation":"Int J Mol Sci","author":[{"family":"Chilton","given":"Warrick"},{"family":"O’Brien","given":"Brendan"},{"family":"Charchar","given":"Fadi"}],"issued":{"date-parts":[["2017",11,29]]},"accessed":{"date-parts":[["2018",2,9]]}}}],"schema":"https://github.com/citation-style-language/schema/raw/master/csl-citation.json"} </w:instrText>
      </w:r>
      <w:r w:rsidR="00E347BF">
        <w:fldChar w:fldCharType="separate"/>
      </w:r>
      <w:r w:rsidR="00CB6061" w:rsidRPr="00CB6061">
        <w:t>(Chilton et al. 2017)</w:t>
      </w:r>
      <w:r w:rsidR="00E347BF">
        <w:fldChar w:fldCharType="end"/>
      </w:r>
      <w:r w:rsidR="003966B9" w:rsidRPr="005B7C6B">
        <w:t xml:space="preserve">.  </w:t>
      </w:r>
      <w:r w:rsidR="006F619D">
        <w:t>C</w:t>
      </w:r>
      <w:r w:rsidR="003966B9" w:rsidRPr="005B7C6B">
        <w:t xml:space="preserve">ellular mechanisms that contribute to </w:t>
      </w:r>
      <w:r w:rsidR="006F619D">
        <w:t>telomere lengths can be influenced by physical exercise</w:t>
      </w:r>
      <w:r w:rsidR="003966B9" w:rsidRPr="005B7C6B">
        <w:t>.  Mechanisms that are responsible for the change in telomere</w:t>
      </w:r>
      <w:r w:rsidR="006F619D">
        <w:t xml:space="preserve"> length</w:t>
      </w:r>
      <w:r w:rsidR="00C9656A">
        <w:t>are</w:t>
      </w:r>
      <w:r w:rsidR="006F619D">
        <w:t>a field of interest for research today</w:t>
      </w:r>
      <w:r w:rsidR="003966B9" w:rsidRPr="005B7C6B">
        <w:t xml:space="preserve">.  By understanding </w:t>
      </w:r>
      <w:r w:rsidR="009744BA">
        <w:t>the relationship between exercise and telomere length, we can contribute our understanding to this growing field</w:t>
      </w:r>
      <w:r w:rsidR="00E347BF">
        <w:fldChar w:fldCharType="begin"/>
      </w:r>
      <w:r w:rsidR="00CB6061">
        <w:instrText xml:space="preserve"> ADDIN ZOTERO_ITEM CSL_CITATION {"citationID":"IS7wavi5","properties":{"formattedCitation":"(Chilton et al. 2017)","plainCitation":"(Chilton et al. 2017)","noteIndex":0},"citationItems":[{"id":62,"uris":["http://zotero.org/users/4515386/items/WITKR3XW"],"uri":["http://zotero.org/users/4515386/items/WITKR3XW"],"itemData":{"id":62,"type":"article-journal","title":"Telomeres, Aging and Exercise: Guilty by Association?","container-title":"International Journal of Molecular Sciences","volume":"18","issue":"12","source":"PubMed Central","abstract":"Telomeres are repetitive tandem DNA sequences that cap chromosomal ends protecting genomic DNA from enzymatic degradation. Telomeres progressively shorten with cellular replication and are therefore assumed to correlate with biological and chronological age. An expanding body of evidence suggests (i) a predictable inverse association between telomere length, aging and age-related diseases and (ii) a positive association between physical activity and telomere length. Both hypotheses have garnered tremendous research attention and broad consensus; however, the evidence for each proposition is inconsistent and equivocal at best. Telomere length does not meet the basic criteria for an aging biomarker and at least 50% of key studies fail to find associations with physical activity. In this review, we address the evidence in support and refutation of the putative associations between telomere length, aging and physical activity. We finish with a brief review of plausible mechanisms and potential future research directions.","URL":"https://www.ncbi.nlm.nih.gov/pmc/articles/PMC5751176/","DOI":"10.3390/ijms18122573","ISSN":"1422-0067","note":"PMID: 29186077\nPMCID: PMC5751176","shortTitle":"Telomeres, Aging and Exercise","journalAbbreviation":"Int J Mol Sci","author":[{"family":"Chilton","given":"Warrick"},{"family":"O’Brien","given":"Brendan"},{"family":"Charchar","given":"Fadi"}],"issued":{"date-parts":[["2017",11,29]]},"accessed":{"date-parts":[["2018",2,9]]}}}],"schema":"https://github.com/citation-style-language/schema/raw/master/csl-citation.json"} </w:instrText>
      </w:r>
      <w:r w:rsidR="00E347BF">
        <w:fldChar w:fldCharType="separate"/>
      </w:r>
      <w:r w:rsidR="00CB6061" w:rsidRPr="00CB6061">
        <w:t>(Chilton et al. 2017)</w:t>
      </w:r>
      <w:r w:rsidR="00E347BF">
        <w:fldChar w:fldCharType="end"/>
      </w:r>
      <w:r w:rsidR="009744BA">
        <w:t>.</w:t>
      </w:r>
    </w:p>
    <w:p w:rsidR="00914A72" w:rsidRPr="005B7C6B" w:rsidRDefault="00361875" w:rsidP="00CF03FD">
      <w:pPr>
        <w:spacing w:line="480" w:lineRule="auto"/>
        <w:ind w:firstLine="720"/>
        <w:jc w:val="both"/>
      </w:pPr>
      <w:r>
        <w:t>Most</w:t>
      </w:r>
      <w:r w:rsidR="00805802" w:rsidRPr="005B7C6B">
        <w:t xml:space="preserve"> cell</w:t>
      </w:r>
      <w:r>
        <w:t>s</w:t>
      </w:r>
      <w:r w:rsidR="00805802" w:rsidRPr="005B7C6B">
        <w:t xml:space="preserve"> in our body undergo telomere shortening </w:t>
      </w:r>
      <w:r w:rsidR="00673ABE">
        <w:t xml:space="preserve">after </w:t>
      </w:r>
      <w:r>
        <w:t>each</w:t>
      </w:r>
      <w:r w:rsidR="00673ABE">
        <w:t xml:space="preserve"> completion of mitosis. </w:t>
      </w:r>
      <w:r w:rsidR="00113FE9" w:rsidRPr="005B7C6B">
        <w:t xml:space="preserve">Telomeres are a sequence located at the ends of each chromosome consisting of a 5’-GGGTTA-3’ </w:t>
      </w:r>
      <w:r w:rsidR="00113FE9">
        <w:t>repeats thatare</w:t>
      </w:r>
      <w:r w:rsidR="00113FE9" w:rsidRPr="005B7C6B">
        <w:t xml:space="preserve"> about 3 </w:t>
      </w:r>
      <w:r w:rsidR="00113FE9">
        <w:t>to</w:t>
      </w:r>
      <w:r w:rsidR="00113FE9" w:rsidRPr="005B7C6B">
        <w:t xml:space="preserve"> 20 kilobases in length.  Telomeres protect the DNA sequence from </w:t>
      </w:r>
      <w:r w:rsidRPr="005B7C6B">
        <w:t>unravelling</w:t>
      </w:r>
      <w:r w:rsidR="00113FE9" w:rsidRPr="005B7C6B">
        <w:t xml:space="preserve"> and shield</w:t>
      </w:r>
      <w:r w:rsidR="00113FE9">
        <w:t>s</w:t>
      </w:r>
      <w:r w:rsidR="00113FE9" w:rsidRPr="005B7C6B">
        <w:t xml:space="preserve"> chromosomes from degradation, fusion and checkpoint recognition</w:t>
      </w:r>
      <w:r w:rsidR="00E347BF" w:rsidRPr="005B7C6B">
        <w:fldChar w:fldCharType="begin"/>
      </w:r>
      <w:r w:rsidR="00113FE9">
        <w:instrText xml:space="preserve"> ADDIN ZOTERO_ITEM CSL_CITATION {"citationID":"a6o9pp1rro","properties":{"formattedCitation":"(Webb et al. 2013)","plainCitation":"(Webb et al. 2013)","noteIndex":0},"citationItems":[{"id":19,"uris":["http://zotero.org/users/4515386/items/UMDMB5WN"],"uri":["http://zotero.org/users/4515386/items/UMDMB5WN"],"itemData":{"id":19,"type":"article-journal","title":"DNA Repair at Telomeres: Keeping the Ends Intact","container-title":"Cold Spring Harbor Perspectives in Biology","volume":"5","issue":"6","source":"PubMed Central","abstract":"The molecular era of telomere biology began with the discovery that telomeres usually consist of G-rich simple repeats and end with 3′ single-stranded tails. Enormous progress has been made in identifying the mechanisms that maintain and replenish telomeric DNA and the proteins that protect them from degradation, fusions, and checkpoint activation. Although telomeres in different organisms (or even in the same organism under different conditions) are maintained by different mechanisms, the disparate processes have the common goals of repairing defects caused by semiconservative replication through G-rich DNA, countering the shortening caused by incomplete replication, and postreplication regeneration of G tails. In addition, standard DNA repair mechanisms must be suppressed or modified at telomeres to prevent their being recognized and processed as DNA double-strand breaks. Here, we discuss the players and processes that maintain and regenerate telomere structure., Specialized processes (e.g., nonreciprocal recombination) have evolved to maintain telomeres. If a telomere is lost, it is recognized as a double-strand break, causing checkpoint arrest, telomere fusions, and degradation.","URL":"https://www.ncbi.nlm.nih.gov/pmc/articles/PMC3660827/","DOI":"10.1101/cshperspect.a012666","ISSN":"1943-0264","note":"PMID: 23732473\nPMCID: PMC3660827","shortTitle":"DNA Repair at Telomeres","journalAbbreviation":"Cold Spring Harb Perspect Biol","author":[{"family":"Webb","given":"Christopher J."},{"family":"Wu","given":"Yun"},{"family":"Zakian","given":"Virginia A."}],"issued":{"date-parts":[["2013",6]]},"accessed":{"date-parts":[["2017",11,20]]}}}],"schema":"https://github.com/citation-style-language/schema/raw/master/csl-citation.json"} </w:instrText>
      </w:r>
      <w:r w:rsidR="00E347BF" w:rsidRPr="005B7C6B">
        <w:fldChar w:fldCharType="separate"/>
      </w:r>
      <w:r w:rsidR="00113FE9" w:rsidRPr="000A43EF">
        <w:t>(Webb et al. 2013)</w:t>
      </w:r>
      <w:r w:rsidR="00E347BF" w:rsidRPr="005B7C6B">
        <w:fldChar w:fldCharType="end"/>
      </w:r>
      <w:r w:rsidR="00113FE9">
        <w:t xml:space="preserve">.  </w:t>
      </w:r>
      <w:r w:rsidR="00113FE9" w:rsidRPr="00914A72">
        <w:t xml:space="preserve">Telomeres on average lose around 300 bps per cell cycle.  </w:t>
      </w:r>
      <w:r>
        <w:t xml:space="preserve">After </w:t>
      </w:r>
      <w:r w:rsidR="00CF03FD">
        <w:t>replication by the use of DNA polymerase, the RNA primer at the 5’ end will leave a gap which cannot be replicated leading to telomere attrition</w:t>
      </w:r>
      <w:r w:rsidR="00113FE9" w:rsidRPr="00914A72">
        <w:t xml:space="preserve"> (Webb et al. 2013). </w:t>
      </w:r>
      <w:r w:rsidR="00673ABE">
        <w:t>T</w:t>
      </w:r>
      <w:r w:rsidR="00805802" w:rsidRPr="005B7C6B">
        <w:t xml:space="preserve">elomere </w:t>
      </w:r>
      <w:r w:rsidR="00673ABE">
        <w:t>lengthening</w:t>
      </w:r>
      <w:r w:rsidR="002334DB">
        <w:t>has</w:t>
      </w:r>
      <w:r w:rsidR="00805802" w:rsidRPr="005B7C6B">
        <w:t xml:space="preserve"> been linked to specific enzymes such as telomerase</w:t>
      </w:r>
      <w:r w:rsidR="00673ABE">
        <w:t xml:space="preserve">, </w:t>
      </w:r>
      <w:r w:rsidR="00805802" w:rsidRPr="005B7C6B">
        <w:t xml:space="preserve">but </w:t>
      </w:r>
      <w:r w:rsidR="00AD79F7">
        <w:t xml:space="preserve">in </w:t>
      </w:r>
      <w:r w:rsidR="00805802" w:rsidRPr="005B7C6B">
        <w:t>skeletal muscle</w:t>
      </w:r>
      <w:r w:rsidR="00AD79F7">
        <w:t xml:space="preserve"> cells</w:t>
      </w:r>
      <w:r w:rsidR="00805802" w:rsidRPr="005B7C6B">
        <w:t>, it has been observed that exercise impacts the rate that the telomeres are shortened</w:t>
      </w:r>
      <w:r w:rsidR="00AD79F7">
        <w:t xml:space="preserve"> when comparing active and inactive individuals</w:t>
      </w:r>
      <w:r w:rsidR="00E347BF">
        <w:fldChar w:fldCharType="begin"/>
      </w:r>
      <w:r w:rsidR="003E6153">
        <w:instrText xml:space="preserve"> ADDIN ZOTERO_ITEM CSL_CITATION {"citationID":"WoEZe1lZ","properties":{"formattedCitation":"(Burton et al. 2004)","plainCitation":"(Burton et al. 2004)","noteIndex":0},"citationItems":[{"id":52,"uris":["http://zotero.org/users/4515386/items/TR53VGP4"],"uri":["http://zotero.org/users/4515386/items/TR53VGP4"],"itemData":{"id":52,"type":"article-journal","title":"Physiological effects of exercise","container-title":"Continuing Education in Anaesthesia Critical Care &amp; Pain","page":"185-188","volume":"4","issue":"6","source":"academic.oup.com","abstract":"The physiological response to exercise is dependent on the intensity, duration and frequency of the exercise as well as the environmental conditions. During physical exercise, requirements for oxygen and substrate in skeletal muscle are increased, as are the removal of metabolites and carbon dioxide. Chemical, mechanical and thermal stimuli affect alterations in metabolic, cardiovascular and ventilatory function in order to meet these increased demands.","DOI":"10.1093/bjaceaccp/mkh050","ISSN":"1743-1816","journalAbbreviation":"Contin Educ Anaesth Crit Care Pain","language":"en","author":[{"family":"Burton","given":"Deborah Anne"},{"family":"Stokes","given":"Keith"},{"family":"Hall","given":"George M."}],"issued":{"date-parts":[["2004",12,1]]}}}],"schema":"https://github.com/citation-style-language/schema/raw/master/csl-citation.json"} </w:instrText>
      </w:r>
      <w:r w:rsidR="00E347BF">
        <w:fldChar w:fldCharType="separate"/>
      </w:r>
      <w:r w:rsidR="003E6153" w:rsidRPr="003E6153">
        <w:t>(Burton et al. 2004)</w:t>
      </w:r>
      <w:r w:rsidR="00E347BF">
        <w:fldChar w:fldCharType="end"/>
      </w:r>
      <w:r w:rsidR="00AD79F7">
        <w:t>.</w:t>
      </w:r>
      <w:r w:rsidR="00805802" w:rsidRPr="005B7C6B">
        <w:t xml:space="preserve"> Some of these mechanisms do not result </w:t>
      </w:r>
      <w:r w:rsidR="00E56888">
        <w:t>from</w:t>
      </w:r>
      <w:r w:rsidR="00805802" w:rsidRPr="005B7C6B">
        <w:t xml:space="preserve"> telomerase </w:t>
      </w:r>
      <w:r w:rsidR="00E56888">
        <w:t xml:space="preserve">activity </w:t>
      </w:r>
      <w:r w:rsidR="00805802" w:rsidRPr="005B7C6B">
        <w:t xml:space="preserve">but are </w:t>
      </w:r>
      <w:r w:rsidR="00E56888">
        <w:t>reported</w:t>
      </w:r>
      <w:r w:rsidR="00805802" w:rsidRPr="005B7C6B">
        <w:t xml:space="preserve"> to be affected by a telomere shielding enzyme known as shelterin</w:t>
      </w:r>
      <w:r w:rsidR="00E347BF" w:rsidRPr="005B7C6B">
        <w:fldChar w:fldCharType="begin"/>
      </w:r>
      <w:r w:rsidR="00930876">
        <w:instrText xml:space="preserve"> ADDIN ZOTERO_ITEM CSL_CITATION {"citationID":"a6sqm925ti","properties":{"formattedCitation":"(Ludlow et al. 2013)","plainCitation":"(Ludlow et al. 2013)","noteIndex":0},"citationItems":[{"id":2,"uris":["http://zotero.org/users/4515386/items/YFHQ66SM"],"uri":["http://zotero.org/users/4515386/items/YFHQ66SM"],"itemData":{"id":2,"type":"article-journal","title":"Do Telomeres Adapt to Physiological Stress? Exploring the Effect of Exercise on Telomere Length and Telomere-Related Proteins","container-title":"BioMed Research International","volume":"2013","source":"PubMed Central","abstract":"Aging is associated with a tissue degeneration phenotype marked by a loss of tissue regenerative capacity. Regenerative capacity is dictated by environmental and genetic factors that govern the balance between damage and repair. The age-associated changes in the ability of tissues to replace lost or damaged cells is partly the cause of many age-related diseases such as Alzheimer's disease, cardiovascular disease, type II diabetes, and sarcopenia. A well-established marker of the aging process is the length of the protective cap at the ends of chromosomes, called telomeres. Telomeres shorten with each cell division and with increasing chronological age and short telomeres have been associated with a range of age-related diseases. Several studies have shown that chronic exposure to exercise (i.e., exercise training) is associated with telomere length maintenance; however, recent evidence points out several controversial issues concerning tissue-specific telomere length responses. The goals of the review are to familiarize the reader with the current telomere dogma, review the literature exploring the interactions of exercise with telomere phenotypes, discuss the mechanistic research relating telomere dynamics to exercise stimuli, and finally propose future directions for work related to telomeres and physiological stress.","URL":"https://www.ncbi.nlm.nih.gov/pmc/articles/PMC3884693/","DOI":"10.1155/2013/601368","ISSN":"2314-6133","note":"PMID: 24455708\nPMCID: PMC3884693","shortTitle":"Do Telomeres Adapt to Physiological Stress?","journalAbbreviation":"Biomed Res Int","author":[{"family":"Ludlow","given":"Andrew T."},{"family":"Ludlow","given":"Lindsay W."},{"family":"Roth","given":"Stephen M."}],"issued":{"date-parts":[["2013"]]},"accessed":{"date-parts":[["2017",11,21]]}}}],"schema":"https://github.com/citation-style-language/schema/raw/master/csl-citation.json"} </w:instrText>
      </w:r>
      <w:r w:rsidR="00E347BF" w:rsidRPr="005B7C6B">
        <w:fldChar w:fldCharType="separate"/>
      </w:r>
      <w:r w:rsidR="000A43EF" w:rsidRPr="000A43EF">
        <w:t>(Ludlow et al. 2013)</w:t>
      </w:r>
      <w:r w:rsidR="00E347BF" w:rsidRPr="005B7C6B">
        <w:fldChar w:fldCharType="end"/>
      </w:r>
      <w:r w:rsidR="00550FB7">
        <w:t>.</w:t>
      </w:r>
      <w:r w:rsidR="00805802" w:rsidRPr="005B7C6B">
        <w:t xml:space="preserve"> </w:t>
      </w:r>
      <w:r w:rsidR="00805802" w:rsidRPr="005B7C6B">
        <w:lastRenderedPageBreak/>
        <w:t xml:space="preserve">Due to </w:t>
      </w:r>
      <w:r w:rsidR="00F43BA8">
        <w:t>conflicting reports on the relationship</w:t>
      </w:r>
      <w:r w:rsidR="00CF03FD">
        <w:t xml:space="preserve"> between exercise and telomere lengths</w:t>
      </w:r>
      <w:r w:rsidR="00805802" w:rsidRPr="005B7C6B">
        <w:t xml:space="preserve">, </w:t>
      </w:r>
      <w:r w:rsidR="00993A82">
        <w:t>this</w:t>
      </w:r>
      <w:r w:rsidR="00805802" w:rsidRPr="005B7C6B">
        <w:t xml:space="preserve"> project aims to </w:t>
      </w:r>
      <w:r w:rsidR="004B2127">
        <w:t>help establish connections between the two</w:t>
      </w:r>
      <w:r w:rsidR="00E347BF">
        <w:fldChar w:fldCharType="begin"/>
      </w:r>
      <w:r w:rsidR="00CB6061">
        <w:instrText xml:space="preserve"> ADDIN ZOTERO_ITEM CSL_CITATION {"citationID":"zOOQnRY4","properties":{"formattedCitation":"(Arsenis et al. 2017)","plainCitation":"(Arsenis et al. 2017)","noteIndex":0},"citationItems":[{"id":207,"uris":["http://zotero.org/users/4515386/items/3D3WTUM3"],"uri":["http://zotero.org/users/4515386/items/3D3WTUM3"],"itemData":{"id":207,"type":"article-journal","title":"Physical activity and telomere length: Impact of aging and potential mechanisms of action","container-title":"Oncotarget","page":"45008-45019","volume":"8","issue":"27","source":"PubMed Central","abstract":"Telomeres protect the integrity of information-carrying DNA by serving as caps on the terminal portions of chromosomes. Telomere length decreases with aging, and this contributes to cell senescence. Recent evidence supports that telomere length of leukocytes and skeletal muscle cells may be positively associated with healthy living and inversely correlated with the risk of several age-related diseases, including cancer, cardiovascular disease, obesity, diabetes, chronic pain, and stress. In observational studies, higher levels of physical activity or exercise are related to longer telomere lengths in various populations, and athletes tend to have longer telomere lengths than non-athletes. This relationship is particularly evident in older individuals, suggesting a role of physical activity in combating the typical age-induced decrements in telomere length. To date, a small number of exercise interventions have been executed to examine the potential influence of chronic exercise on telomere length, but these studies have not fully established such relationship. Several potential mechanisms through which physical activity or exercise could affect telomere length are discussed, including changes in telomerase activity, oxidative stress, inflammation, and decreased skeletal muscle satellite cell content. Future research is needed to mechanistically examine the effects of various modalities of exercise on telomere length in middle-aged and older adults, as well as in specific clinical populations.","DOI":"10.18632/oncotarget.16726","ISSN":"1949-2553","note":"PMID: 28410238\nPMCID: PMC5546536","shortTitle":"Physical activity and telomere length","journalAbbreviation":"Oncotarget","author":[{"family":"Arsenis","given":"Nicole C."},{"family":"You","given":"Tongjian"},{"family":"Ogawa","given":"Elisa F."},{"family":"Tinsley","given":"Grant M."},{"family":"Zuo","given":"Li"}],"issued":{"date-parts":[["2017",3,30]]}}}],"schema":"https://github.com/citation-style-language/schema/raw/master/csl-citation.json"} </w:instrText>
      </w:r>
      <w:r w:rsidR="00E347BF">
        <w:fldChar w:fldCharType="separate"/>
      </w:r>
      <w:r w:rsidR="00CB6061" w:rsidRPr="00CB6061">
        <w:t>(Arsenis et al. 2017)</w:t>
      </w:r>
      <w:r w:rsidR="00E347BF">
        <w:fldChar w:fldCharType="end"/>
      </w:r>
      <w:r w:rsidR="004B2127">
        <w:t>.</w:t>
      </w:r>
    </w:p>
    <w:p w:rsidR="00805802" w:rsidRPr="005B7C6B" w:rsidRDefault="00805802" w:rsidP="00914A72">
      <w:pPr>
        <w:spacing w:line="480" w:lineRule="auto"/>
        <w:ind w:firstLine="720"/>
        <w:jc w:val="both"/>
      </w:pPr>
      <w:r w:rsidRPr="005B7C6B">
        <w:t xml:space="preserve">Double stranded </w:t>
      </w:r>
      <w:r w:rsidR="00CF7481">
        <w:t xml:space="preserve">DNA </w:t>
      </w:r>
      <w:r w:rsidRPr="005B7C6B">
        <w:t xml:space="preserve">breaks result in </w:t>
      </w:r>
      <w:r w:rsidR="00BA105F">
        <w:t xml:space="preserve">repair </w:t>
      </w:r>
      <w:r w:rsidRPr="005B7C6B">
        <w:t>mechanisms known as Non</w:t>
      </w:r>
      <w:r w:rsidR="00595D26">
        <w:t>-</w:t>
      </w:r>
      <w:r w:rsidR="00AE7400" w:rsidRPr="005B7C6B">
        <w:t>homologous</w:t>
      </w:r>
      <w:r w:rsidRPr="005B7C6B">
        <w:t xml:space="preserve"> DNA End Joining (NHEJ) and Homology-Directed Repair </w:t>
      </w:r>
      <w:r w:rsidR="0081693A">
        <w:t xml:space="preserve">(HDR) </w:t>
      </w:r>
      <w:r w:rsidRPr="005B7C6B">
        <w:t xml:space="preserve">which handles the process of joining two freely open ends of DNA </w:t>
      </w:r>
      <w:r w:rsidR="00E347BF" w:rsidRPr="005B7C6B">
        <w:fldChar w:fldCharType="begin"/>
      </w:r>
      <w:r w:rsidR="0034747D">
        <w:instrText xml:space="preserve"> ADDIN ZOTERO_ITEM CSL_CITATION {"citationID":"a1ossjmuf19","properties":{"formattedCitation":"(Lieber 2010)","plainCitation":"(Lieber 2010)","noteIndex":0},"citationItems":[{"id":18,"uris":["http://zotero.org/users/4515386/items/2XEWH8QG"],"uri":["http://zotero.org/users/4515386/items/2XEWH8QG"],"itemData":{"id":18,"type":"article-journal","title":"The Mechanism of Double-Strand DNA Break Repair by the Nonhomologous DNA End Joining Pathway","container-title":"Annual review of biochemistry","page":"181-211","volume":"79","source":"PubMed Central","abstract":"Double-strand DNA breaks are common events in eukaryotic cells, and there are two major pathways for repairing them: homologous recombination and nonhomologous DNA end joining (NHEJ). The diverse causes of DSBs result in a diverse chemistry of DNA ends that must be repaired. Across NHEJ evolution, the enzymes of the NHEJ pathway exhibit a remarkable degree of structural tolerance in the range of DNA end substrate configurations upon which they can act. In vertebrate cells, the nuclease, polymerases and ligase of NHEJ are the most mechanistically flexible and multifunctional enzymes in each of their classes. Unlike repair pathways for more defined lesions, NHEJ repair enzymes act iteratively, act in any order, and can function independently of one another at each of the two DNA ends being joined. NHEJ is critical not only for the repair of pathologic DSBs as in chromosomal translocations, but also for the repair of physiologic DSBs created during V(D)J recombination and class switch recombination. Therefore, patients lacking normal NHEJ are not only sensitive to ionizing radiation, but also severely immunodeficient.","DOI":"10.1146/annurev.biochem.052308.093131","ISSN":"0066-4154","note":"PMID: 20192759\nPMCID: PMC3079308","journalAbbreviation":"Annu Rev Biochem","author":[{"family":"Lieber","given":"Michael R."}],"issued":{"date-parts":[["2010"]]}}}],"schema":"https://github.com/citation-style-language/schema/raw/master/csl-citation.json"} </w:instrText>
      </w:r>
      <w:r w:rsidR="00E347BF" w:rsidRPr="005B7C6B">
        <w:fldChar w:fldCharType="separate"/>
      </w:r>
      <w:r w:rsidR="000A43EF" w:rsidRPr="000A43EF">
        <w:t>(Lieber 2010)</w:t>
      </w:r>
      <w:r w:rsidR="00E347BF" w:rsidRPr="005B7C6B">
        <w:fldChar w:fldCharType="end"/>
      </w:r>
      <w:r w:rsidR="0049568E">
        <w:t>.</w:t>
      </w:r>
      <w:r w:rsidRPr="005B7C6B">
        <w:t xml:space="preserve"> The telomere caps </w:t>
      </w:r>
      <w:r w:rsidR="002E33D6">
        <w:t>seal</w:t>
      </w:r>
      <w:r w:rsidRPr="005B7C6B">
        <w:t xml:space="preserve"> DNA </w:t>
      </w:r>
      <w:r w:rsidR="002E33D6">
        <w:t xml:space="preserve">ends </w:t>
      </w:r>
      <w:r w:rsidRPr="005B7C6B">
        <w:t xml:space="preserve">from becoming open and </w:t>
      </w:r>
      <w:r w:rsidR="00BA105F">
        <w:t>restricts</w:t>
      </w:r>
      <w:r w:rsidRPr="005B7C6B">
        <w:t xml:space="preserve"> the DNA from </w:t>
      </w:r>
      <w:r w:rsidR="00BA105F">
        <w:t>joining with other strands of DNA</w:t>
      </w:r>
      <w:r w:rsidRPr="005B7C6B">
        <w:t>.  Telomeres also shield the chromosomes from genome instability which masks the DNA from constitutive exposure to the DNA damage response (DDR).  DDR is a mechanism that is used t</w:t>
      </w:r>
      <w:r w:rsidRPr="005B7C6B">
        <w:rPr>
          <w:color w:val="000000"/>
          <w:shd w:val="clear" w:color="auto" w:fill="FFFFFF"/>
        </w:rPr>
        <w:t>o deal with the fundamental problem of genomic erosion</w:t>
      </w:r>
      <w:r w:rsidR="00E347BF" w:rsidRPr="005B7C6B">
        <w:rPr>
          <w:color w:val="000000"/>
          <w:shd w:val="clear" w:color="auto" w:fill="FFFFFF"/>
        </w:rPr>
        <w:fldChar w:fldCharType="begin"/>
      </w:r>
      <w:r w:rsidR="0034747D">
        <w:rPr>
          <w:color w:val="000000"/>
          <w:shd w:val="clear" w:color="auto" w:fill="FFFFFF"/>
        </w:rPr>
        <w:instrText xml:space="preserve"> ADDIN ZOTERO_ITEM CSL_CITATION {"citationID":"a6e0me1s0v","properties":{"formattedCitation":"(Giglia-Mari et al. 2011)","plainCitation":"(Giglia-Mari et al. 2011)","noteIndex":0},"citationItems":[{"id":17,"uris":["http://zotero.org/users/4515386/items/7EV7J7HE"],"uri":["http://zotero.org/users/4515386/items/7EV7J7HE"],"itemData":{"id":17,"type":"article-journal","title":"DNA Damage Response","container-title":"Cold Spring Harbor Perspectives in Biology","volume":"3","issue":"1","source":"PubMed Central","abstract":"Structural changes to DNA severely affect its functions, such as replication and transcription, and play a major role in age-related diseases and cancer. A complicated and entangled network of DNA damage response (DDR) mechanisms, including multiple DNA repair pathways, damage tolerance processes, and cell-cycle checkpoints safeguard genomic integrity. Like transcription and replication, DDR is a chromatin-associated process that is generally tightly controlled in time and space. As DNA damage can occur at any time on any genomic location, a specialized spatio-temporal orchestration of this defense apparatus is required., DNA damage activates a network of repair/tolerance mechanisms and cell cycle checkpoints. These involve dynamic complexes that share numerous components, whose functions are tightly controlled in time and space.","URL":"https://www.ncbi.nlm.nih.gov/pmc/articles/PMC3003462/","DOI":"10.1101/cshperspect.a000745","ISSN":"1943-0264","note":"PMID: 20980439\nPMCID: PMC3003462","journalAbbreviation":"Cold Spring Harb Perspect Biol","author":[{"family":"Giglia-Mari","given":"Giuseppina"},{"family":"Zotter","given":"Angelika"},{"family":"Vermeulen","given":"Wim"}],"issued":{"date-parts":[["2011",1]]},"accessed":{"date-parts":[["2017",11,20]]}}}],"schema":"https://github.com/citation-style-language/schema/raw/master/csl-citation.json"} </w:instrText>
      </w:r>
      <w:r w:rsidR="00E347BF" w:rsidRPr="005B7C6B">
        <w:rPr>
          <w:color w:val="000000"/>
          <w:shd w:val="clear" w:color="auto" w:fill="FFFFFF"/>
        </w:rPr>
        <w:fldChar w:fldCharType="separate"/>
      </w:r>
      <w:r w:rsidR="000A43EF" w:rsidRPr="000A43EF">
        <w:t>(Giglia-Mari et al. 2011)</w:t>
      </w:r>
      <w:r w:rsidR="00E347BF" w:rsidRPr="005B7C6B">
        <w:rPr>
          <w:color w:val="000000"/>
          <w:shd w:val="clear" w:color="auto" w:fill="FFFFFF"/>
        </w:rPr>
        <w:fldChar w:fldCharType="end"/>
      </w:r>
      <w:r w:rsidR="00234420">
        <w:rPr>
          <w:color w:val="000000"/>
          <w:shd w:val="clear" w:color="auto" w:fill="FFFFFF"/>
        </w:rPr>
        <w:t>.</w:t>
      </w:r>
      <w:r w:rsidRPr="005B7C6B">
        <w:rPr>
          <w:color w:val="000000"/>
          <w:shd w:val="clear" w:color="auto" w:fill="FFFFFF"/>
        </w:rPr>
        <w:t xml:space="preserve"> Without the telomere, the ends of chromosomes would be attacked by many cellular repair mechanisms which would diminish the coding sequences of the DNA causing rapid loss of cellular function</w:t>
      </w:r>
      <w:r w:rsidR="00BA105F">
        <w:rPr>
          <w:color w:val="000000"/>
          <w:shd w:val="clear" w:color="auto" w:fill="FFFFFF"/>
        </w:rPr>
        <w:t xml:space="preserve"> due to genome instability.</w:t>
      </w:r>
    </w:p>
    <w:p w:rsidR="005F3A41" w:rsidRDefault="00D06A43" w:rsidP="00805802">
      <w:pPr>
        <w:spacing w:line="480" w:lineRule="auto"/>
        <w:ind w:firstLine="720"/>
        <w:jc w:val="both"/>
      </w:pPr>
      <w:r>
        <w:t>Two</w:t>
      </w:r>
      <w:r w:rsidR="00805802" w:rsidRPr="005B7C6B">
        <w:t xml:space="preserve"> major ways </w:t>
      </w:r>
      <w:r w:rsidR="00184D2A">
        <w:t>known</w:t>
      </w:r>
      <w:r w:rsidR="00805802" w:rsidRPr="005B7C6B">
        <w:t xml:space="preserve"> to lengthen the telomeric ends of </w:t>
      </w:r>
      <w:r w:rsidRPr="005B7C6B">
        <w:t>chromosomes</w:t>
      </w:r>
      <w:r>
        <w:t xml:space="preserve"> are by use of telomerase and</w:t>
      </w:r>
      <w:r w:rsidR="00805802" w:rsidRPr="005B7C6B">
        <w:t xml:space="preserve"> recombination.  Telomerase is an enzyme that consists of a reverse transcriptase known as </w:t>
      </w:r>
      <w:r w:rsidR="00184D2A">
        <w:t>telomerase reverse transcriptase (TERT)</w:t>
      </w:r>
      <w:r w:rsidR="00805802" w:rsidRPr="005B7C6B">
        <w:t xml:space="preserve"> and </w:t>
      </w:r>
      <w:r w:rsidR="007A59B0">
        <w:t>hTERT in</w:t>
      </w:r>
      <w:r w:rsidR="00805802" w:rsidRPr="005B7C6B">
        <w:t xml:space="preserve"> humans </w:t>
      </w:r>
      <w:r w:rsidR="00E347BF" w:rsidRPr="005B7C6B">
        <w:fldChar w:fldCharType="begin"/>
      </w:r>
      <w:r w:rsidR="0034747D">
        <w:instrText xml:space="preserve"> ADDIN ZOTERO_ITEM CSL_CITATION {"citationID":"a1ul3gg2am8","properties":{"formattedCitation":"(Webb et al. 2013)","plainCitation":"(Webb et al. 2013)","noteIndex":0},"citationItems":[{"id":19,"uris":["http://zotero.org/users/4515386/items/UMDMB5WN"],"uri":["http://zotero.org/users/4515386/items/UMDMB5WN"],"itemData":{"id":19,"type":"article-journal","title":"DNA Repair at Telomeres: Keeping the Ends Intact","container-title":"Cold Spring Harbor Perspectives in Biology","volume":"5","issue":"6","source":"PubMed Central","abstract":"The molecular era of telomere biology began with the discovery that telomeres usually consist of G-rich simple repeats and end with 3′ single-stranded tails. Enormous progress has been made in identifying the mechanisms that maintain and replenish telomeric DNA and the proteins that protect them from degradation, fusions, and checkpoint activation. Although telomeres in different organisms (or even in the same organism under different conditions) are maintained by different mechanisms, the disparate processes have the common goals of repairing defects caused by semiconservative replication through G-rich DNA, countering the shortening caused by incomplete replication, and postreplication regeneration of G tails. In addition, standard DNA repair mechanisms must be suppressed or modified at telomeres to prevent their being recognized and processed as DNA double-strand breaks. Here, we discuss the players and processes that maintain and regenerate telomere structure., Specialized processes (e.g., nonreciprocal recombination) have evolved to maintain telomeres. If a telomere is lost, it is recognized as a double-strand break, causing checkpoint arrest, telomere fusions, and degradation.","URL":"https://www.ncbi.nlm.nih.gov/pmc/articles/PMC3660827/","DOI":"10.1101/cshperspect.a012666","ISSN":"1943-0264","note":"PMID: 23732473\nPMCID: PMC3660827","shortTitle":"DNA Repair at Telomeres","journalAbbreviation":"Cold Spring Harb Perspect Biol","author":[{"family":"Webb","given":"Christopher J."},{"family":"Wu","given":"Yun"},{"family":"Zakian","given":"Virginia A."}],"issued":{"date-parts":[["2013",6]]},"accessed":{"date-parts":[["2017",11,20]]}}}],"schema":"https://github.com/citation-style-language/schema/raw/master/csl-citation.json"} </w:instrText>
      </w:r>
      <w:r w:rsidR="00E347BF" w:rsidRPr="005B7C6B">
        <w:fldChar w:fldCharType="separate"/>
      </w:r>
      <w:r w:rsidR="000A43EF" w:rsidRPr="000A43EF">
        <w:t>(Webb et al. 2013)</w:t>
      </w:r>
      <w:r w:rsidR="00E347BF" w:rsidRPr="005B7C6B">
        <w:fldChar w:fldCharType="end"/>
      </w:r>
      <w:r w:rsidR="00234420">
        <w:t>.</w:t>
      </w:r>
      <w:r w:rsidR="00805802" w:rsidRPr="005B7C6B">
        <w:t xml:space="preserve"> In humans, telomerase is not active in most somatic cells due to </w:t>
      </w:r>
      <w:r w:rsidR="000F7D52">
        <w:t xml:space="preserve">a lack of </w:t>
      </w:r>
      <w:r w:rsidR="00805802" w:rsidRPr="005B7C6B">
        <w:t xml:space="preserve">transcription of </w:t>
      </w:r>
      <w:r w:rsidR="007A59B0">
        <w:t>h</w:t>
      </w:r>
      <w:r w:rsidR="00805802" w:rsidRPr="005B7C6B">
        <w:t xml:space="preserve">TERT, the catalytic subunit, which is suppressed by many tumor suppressor pathways such as </w:t>
      </w:r>
      <w:r w:rsidR="00805802" w:rsidRPr="00184D2A">
        <w:rPr>
          <w:i/>
        </w:rPr>
        <w:t>Mad1/c-Myc</w:t>
      </w:r>
      <w:r w:rsidR="00805802" w:rsidRPr="005B7C6B">
        <w:t xml:space="preserve">, </w:t>
      </w:r>
      <w:r w:rsidR="00805802" w:rsidRPr="00184D2A">
        <w:rPr>
          <w:i/>
        </w:rPr>
        <w:t>SIP1</w:t>
      </w:r>
      <w:r w:rsidR="00805802" w:rsidRPr="005B7C6B">
        <w:t xml:space="preserve"> and </w:t>
      </w:r>
      <w:r w:rsidR="00805802" w:rsidRPr="00184D2A">
        <w:rPr>
          <w:i/>
        </w:rPr>
        <w:t>Menin</w:t>
      </w:r>
      <w:r w:rsidR="007A59B0">
        <w:t xml:space="preserve">.  </w:t>
      </w:r>
      <w:r w:rsidR="007A59B0" w:rsidRPr="00184D2A">
        <w:rPr>
          <w:i/>
        </w:rPr>
        <w:t>Mad1/c-Myc</w:t>
      </w:r>
      <w:r w:rsidR="007A59B0">
        <w:t xml:space="preserve"> are associated with inhibiting hTERT, in many cancers, it is common to see hTERT activation which will lead to an expression of telomerase which is expressed in 90% of human cancers </w:t>
      </w:r>
      <w:r w:rsidR="00E347BF" w:rsidRPr="005B7C6B">
        <w:fldChar w:fldCharType="begin"/>
      </w:r>
      <w:r w:rsidR="0034747D">
        <w:instrText xml:space="preserve"> ADDIN ZOTERO_ITEM CSL_CITATION {"citationID":"a3tcccq570","properties":{"formattedCitation":"(Lin and Elledge 2003)","plainCitation":"(Lin and Elledge 2003)","noteIndex":0},"citationItems":[{"id":14,"uris":["http://zotero.org/users/4515386/items/NWYLU99L"],"uri":["http://zotero.org/users/4515386/items/NWYLU99L"],"itemData":{"id":14,"type":"article-journal","title":"Multiple tumor suppressor pathways negatively regulate telomerase","container-title":"Cell","page":"881-889","volume":"113","issue":"7","source":"PubMed","abstract":"Telomerase expression is repressed in most somatic cells but is observed in stem cells and a high percentage of human cancers and has been hypothesized to contribute to tumorigenesis and maintenance of stem cell states. To explore telomerase regulation, we employed a general genetic screen to identify negative regulators of hTERT. We discovered three tumor suppressor/oncogene pathways involved in hTERT repression. One, the Mad1/c-Myc pathway, had been previously implicated in hTERT regulation. The second, SIP1, a transcriptional target of the TGF-beta pathway, mediates the TGF-beta regulated repression of hTERT. The third, the tumor suppressor Menin, is a direct repressor of hTERT. Depleting Menin immortalizes primary human fibroblasts and causes a transformation phenotype when coupled with expression of SV40 Large and Small T antigen and oncogenic ras. These studies suggest that multiple tumor suppressor/oncogene pathways coordinately repress hTERT expression and imply that telomerase is reactivated in human tumors through oncogenic mutations.","ISSN":"0092-8674","note":"PMID: 12837246","journalAbbreviation":"Cell","language":"eng","author":[{"family":"Lin","given":"Shiaw Yih"},{"family":"Elledge","given":"Stephen J."}],"issued":{"date-parts":[["2003",6,27]]}}}],"schema":"https://github.com/citation-style-language/schema/raw/master/csl-citation.json"} </w:instrText>
      </w:r>
      <w:r w:rsidR="00E347BF" w:rsidRPr="005B7C6B">
        <w:fldChar w:fldCharType="separate"/>
      </w:r>
      <w:r w:rsidR="000A43EF" w:rsidRPr="000A43EF">
        <w:t>(Lin and Elledge 2003)</w:t>
      </w:r>
      <w:r w:rsidR="00E347BF" w:rsidRPr="005B7C6B">
        <w:fldChar w:fldCharType="end"/>
      </w:r>
      <w:r w:rsidR="007A59B0">
        <w:t xml:space="preserve">.  </w:t>
      </w:r>
      <w:r w:rsidR="007A59B0" w:rsidRPr="00184D2A">
        <w:rPr>
          <w:i/>
        </w:rPr>
        <w:t>SIP1</w:t>
      </w:r>
      <w:r w:rsidR="007A59B0">
        <w:t xml:space="preserve"> does not directly interact with hTERT transcription but </w:t>
      </w:r>
      <w:r w:rsidR="009635D2">
        <w:t>is targeted by</w:t>
      </w:r>
      <w:r w:rsidR="007A59B0">
        <w:t xml:space="preserve"> a downstream transcriptional target </w:t>
      </w:r>
      <w:r w:rsidR="007A59B0" w:rsidRPr="007A59B0">
        <w:t xml:space="preserve">known as </w:t>
      </w:r>
      <w:r w:rsidR="007A59B0">
        <w:t>transforming growth factor beta (</w:t>
      </w:r>
      <w:r w:rsidR="007A59B0" w:rsidRPr="007A59B0">
        <w:rPr>
          <w:shd w:val="clear" w:color="auto" w:fill="FFFFFF"/>
        </w:rPr>
        <w:t>TGF-β</w:t>
      </w:r>
      <w:r w:rsidR="007A59B0">
        <w:rPr>
          <w:shd w:val="clear" w:color="auto" w:fill="FFFFFF"/>
        </w:rPr>
        <w:t>)</w:t>
      </w:r>
      <w:r w:rsidR="005F3A41">
        <w:rPr>
          <w:shd w:val="clear" w:color="auto" w:fill="FFFFFF"/>
        </w:rPr>
        <w:t xml:space="preserve"> which induces transcription of different target genes including hTERT</w:t>
      </w:r>
      <w:r w:rsidR="00E347BF" w:rsidRPr="007A59B0">
        <w:rPr>
          <w:shd w:val="clear" w:color="auto" w:fill="FFFFFF"/>
        </w:rPr>
        <w:fldChar w:fldCharType="begin"/>
      </w:r>
      <w:r w:rsidR="00974631">
        <w:rPr>
          <w:shd w:val="clear" w:color="auto" w:fill="FFFFFF"/>
        </w:rPr>
        <w:instrText xml:space="preserve"> ADDIN ZOTERO_ITEM CSL_CITATION {"citationID":"asbm3dhmae","properties":{"formattedCitation":"(Comijn et al. 2001)","plainCitation":"(Comijn et al. 2001)","noteIndex":0},"citationItems":[{"id":109,"uris":["http://zotero.org/users/4515386/items/4JSHJ42R"],"uri":["http://zotero.org/users/4515386/items/4JSHJ42R"],"itemData":{"id":109,"type":"article-journal","title":"The Two-Handed E Box Binding Zinc Finger Protein SIP1 Downregulates E-Cadherin and Induces Invasion","container-title":"Molecular Cell","page":"1267-1278","volume":"7","issue":"6","source":"CrossRef","abstract":"Transcriptional downregulation of E-cadherin appears to be an important event in the progression of various epithelial tumors. SIP1 (ZEB-2) is a Smad-interacting, multi-zinc finger protein that shows specific DNA binding activity. Here, we report that expression of wildtype but not of mutated SIP1 downregulates mammalian E-cadherin transcription via binding to both conserved E2 boxes of the minimal E-cadherin promoter. SIP1 and Snail bind to partly overlapping promoter sequences and showed similar silencing effects. SIP1 can be induced by TGF-␤ treatment and shows high expression in several E-cadherin-negative human carcinoma cell lines. Conditional expression of SIP1 in E-cadherin-positive MDCK cells abrogates E-cadherin-mediated intercellular adhesion and simultaneously induces invasion. SIP1 therefore appears to be a promoter of invasion in malignant epithelial tumors.","DOI":"10.1016/S1097-2765(01)00260-X","ISSN":"10972765","language":"en","author":[{"family":"Comijn","given":"Joke"},{"family":"Berx","given":"Geert"},{"family":"Vermassen","given":"Petra"},{"family":"Verschueren","given":"Kristin"},{"family":"Grunsven","given":"Leo","non-dropping-particle":"van"},{"family":"Bruyneel","given":"Erik"},{"family":"Mareel","given":"Marc"},{"family":"Huylebroeck","given":"Danny"},{"family":"Roy","given":"Frans","non-dropping-particle":"van"}],"issued":{"date-parts":[["2001",6]]}}}],"schema":"https://github.com/citation-style-language/schema/raw/master/csl-citation.json"} </w:instrText>
      </w:r>
      <w:r w:rsidR="00E347BF" w:rsidRPr="007A59B0">
        <w:rPr>
          <w:shd w:val="clear" w:color="auto" w:fill="FFFFFF"/>
        </w:rPr>
        <w:fldChar w:fldCharType="separate"/>
      </w:r>
      <w:r w:rsidR="000A43EF" w:rsidRPr="000A43EF">
        <w:t xml:space="preserve">(Comijn </w:t>
      </w:r>
      <w:r w:rsidR="000A43EF" w:rsidRPr="000A43EF">
        <w:lastRenderedPageBreak/>
        <w:t>et al. 2001)</w:t>
      </w:r>
      <w:r w:rsidR="00E347BF" w:rsidRPr="007A59B0">
        <w:rPr>
          <w:shd w:val="clear" w:color="auto" w:fill="FFFFFF"/>
        </w:rPr>
        <w:fldChar w:fldCharType="end"/>
      </w:r>
      <w:r w:rsidR="007A59B0" w:rsidRPr="007A59B0">
        <w:t xml:space="preserve">. </w:t>
      </w:r>
      <w:r w:rsidR="005F3A41" w:rsidRPr="00184D2A">
        <w:rPr>
          <w:i/>
        </w:rPr>
        <w:t>Menin</w:t>
      </w:r>
      <w:r w:rsidR="005F3A41">
        <w:t xml:space="preserve"> is a direct repressor of hTERT interacting with the promoter and in combination with</w:t>
      </w:r>
      <w:r w:rsidR="005F3A41" w:rsidRPr="00184D2A">
        <w:rPr>
          <w:i/>
        </w:rPr>
        <w:t>Mad1/c-Myc</w:t>
      </w:r>
      <w:r w:rsidR="005F3A41">
        <w:t xml:space="preserve"> and </w:t>
      </w:r>
      <w:r w:rsidR="005F3A41" w:rsidRPr="00184D2A">
        <w:rPr>
          <w:i/>
        </w:rPr>
        <w:t>SIP1</w:t>
      </w:r>
      <w:r w:rsidR="005F3A41">
        <w:t xml:space="preserve">, a complex system for regulation of hTERT in cells is achieved </w:t>
      </w:r>
      <w:r w:rsidR="00E347BF" w:rsidRPr="005F3A41">
        <w:fldChar w:fldCharType="begin"/>
      </w:r>
      <w:r w:rsidR="00974631">
        <w:instrText xml:space="preserve"> ADDIN ZOTERO_ITEM CSL_CITATION {"citationID":"a2ogop525c7","properties":{"formattedCitation":"(Lin and Elledge 2003)","plainCitation":"(Lin and Elledge 2003)","noteIndex":0},"citationItems":[{"id":14,"uris":["http://zotero.org/users/4515386/items/NWYLU99L"],"uri":["http://zotero.org/users/4515386/items/NWYLU99L"],"itemData":{"id":14,"type":"article-journal","title":"Multiple tumor suppressor pathways negatively regulate telomerase","container-title":"Cell","page":"881-889","volume":"113","issue":"7","source":"PubMed","abstract":"Telomerase expression is repressed in most somatic cells but is observed in stem cells and a high percentage of human cancers and has been hypothesized to contribute to tumorigenesis and maintenance of stem cell states. To explore telomerase regulation, we employed a general genetic screen to identify negative regulators of hTERT. We discovered three tumor suppressor/oncogene pathways involved in hTERT repression. One, the Mad1/c-Myc pathway, had been previously implicated in hTERT regulation. The second, SIP1, a transcriptional target of the TGF-beta pathway, mediates the TGF-beta regulated repression of hTERT. The third, the tumor suppressor Menin, is a direct repressor of hTERT. Depleting Menin immortalizes primary human fibroblasts and causes a transformation phenotype when coupled with expression of SV40 Large and Small T antigen and oncogenic ras. These studies suggest that multiple tumor suppressor/oncogene pathways coordinately repress hTERT expression and imply that telomerase is reactivated in human tumors through oncogenic mutations.","ISSN":"0092-8674","note":"PMID: 12837246","journalAbbreviation":"Cell","language":"eng","author":[{"family":"Lin","given":"Shiaw Yih"},{"family":"Elledge","given":"Stephen J."}],"issued":{"date-parts":[["2003",6,27]]}}}],"schema":"https://github.com/citation-style-language/schema/raw/master/csl-citation.json"} </w:instrText>
      </w:r>
      <w:r w:rsidR="00E347BF" w:rsidRPr="005F3A41">
        <w:fldChar w:fldCharType="separate"/>
      </w:r>
      <w:r w:rsidR="000A43EF" w:rsidRPr="000A43EF">
        <w:t>(Lin and Elledge 2003)</w:t>
      </w:r>
      <w:r w:rsidR="00E347BF" w:rsidRPr="005F3A41">
        <w:fldChar w:fldCharType="end"/>
      </w:r>
      <w:r w:rsidR="005F3A41" w:rsidRPr="005F3A41">
        <w:t>.</w:t>
      </w:r>
      <w:r w:rsidR="001D5CC5">
        <w:t xml:space="preserve">The tumor suppressors are shown in figure </w:t>
      </w:r>
      <w:r w:rsidR="0019447C">
        <w:t xml:space="preserve">1 </w:t>
      </w:r>
      <w:r w:rsidR="001D5CC5">
        <w:t>below with their interactions to hTERT and other tumor suppressors.</w:t>
      </w:r>
    </w:p>
    <w:p w:rsidR="0029338A" w:rsidRDefault="00184D2A" w:rsidP="00805802">
      <w:pPr>
        <w:spacing w:line="480" w:lineRule="auto"/>
        <w:ind w:firstLine="720"/>
        <w:jc w:val="both"/>
      </w:pPr>
      <w:r>
        <w:rPr>
          <w:noProof/>
        </w:rPr>
        <w:drawing>
          <wp:inline distT="0" distB="0" distL="0" distR="0">
            <wp:extent cx="5476875" cy="20669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76875" cy="2066925"/>
                    </a:xfrm>
                    <a:prstGeom prst="rect">
                      <a:avLst/>
                    </a:prstGeom>
                    <a:noFill/>
                    <a:ln>
                      <a:noFill/>
                    </a:ln>
                  </pic:spPr>
                </pic:pic>
              </a:graphicData>
            </a:graphic>
          </wp:inline>
        </w:drawing>
      </w:r>
    </w:p>
    <w:p w:rsidR="009635D2" w:rsidRDefault="009635D2" w:rsidP="009635D2">
      <w:pPr>
        <w:jc w:val="both"/>
      </w:pPr>
      <w:r>
        <w:t xml:space="preserve">Figure 1.  A summary of the tumor suppressors that interact with hTERT. Repressive proteins are shown in red and activating proteins are shown in green. </w:t>
      </w:r>
      <w:r w:rsidRPr="003738FA">
        <w:rPr>
          <w:i/>
        </w:rPr>
        <w:t>Rak</w:t>
      </w:r>
      <w:r>
        <w:t xml:space="preserve">, </w:t>
      </w:r>
      <w:r w:rsidRPr="003738FA">
        <w:rPr>
          <w:i/>
        </w:rPr>
        <w:t>BRIT1</w:t>
      </w:r>
      <w:r>
        <w:t xml:space="preserve"> and </w:t>
      </w:r>
      <w:r w:rsidRPr="003738FA">
        <w:rPr>
          <w:i/>
        </w:rPr>
        <w:t xml:space="preserve">hSir2 </w:t>
      </w:r>
      <w:r>
        <w:t xml:space="preserve">can independently </w:t>
      </w:r>
      <w:r w:rsidR="00277D7C">
        <w:t xml:space="preserve">act upon hTERT gene regulation or along with </w:t>
      </w:r>
      <w:r w:rsidR="00277D7C" w:rsidRPr="003738FA">
        <w:rPr>
          <w:i/>
        </w:rPr>
        <w:t>Menin</w:t>
      </w:r>
      <w:r w:rsidR="00277D7C">
        <w:t xml:space="preserve">, </w:t>
      </w:r>
      <w:r w:rsidR="00277D7C" w:rsidRPr="003738FA">
        <w:rPr>
          <w:i/>
          <w:shd w:val="clear" w:color="auto" w:fill="FFFFFF"/>
        </w:rPr>
        <w:t>TGF-β</w:t>
      </w:r>
      <w:r w:rsidR="00277D7C" w:rsidRPr="003738FA">
        <w:rPr>
          <w:shd w:val="clear" w:color="auto" w:fill="FFFFFF"/>
        </w:rPr>
        <w:t>/</w:t>
      </w:r>
      <w:r w:rsidR="00277D7C" w:rsidRPr="003738FA">
        <w:rPr>
          <w:i/>
          <w:shd w:val="clear" w:color="auto" w:fill="FFFFFF"/>
        </w:rPr>
        <w:t>SIP1</w:t>
      </w:r>
      <w:r w:rsidR="00277D7C">
        <w:rPr>
          <w:shd w:val="clear" w:color="auto" w:fill="FFFFFF"/>
        </w:rPr>
        <w:t xml:space="preserve"> and </w:t>
      </w:r>
      <w:r w:rsidR="00277D7C" w:rsidRPr="003738FA">
        <w:rPr>
          <w:i/>
          <w:shd w:val="clear" w:color="auto" w:fill="FFFFFF"/>
        </w:rPr>
        <w:t>c-Myc</w:t>
      </w:r>
      <w:r w:rsidR="00277D7C">
        <w:rPr>
          <w:shd w:val="clear" w:color="auto" w:fill="FFFFFF"/>
        </w:rPr>
        <w:t>/</w:t>
      </w:r>
      <w:r w:rsidR="00277D7C" w:rsidRPr="003738FA">
        <w:rPr>
          <w:i/>
          <w:shd w:val="clear" w:color="auto" w:fill="FFFFFF"/>
        </w:rPr>
        <w:t>Mad1</w:t>
      </w:r>
      <w:r w:rsidR="00277D7C">
        <w:rPr>
          <w:shd w:val="clear" w:color="auto" w:fill="FFFFFF"/>
        </w:rPr>
        <w:t xml:space="preserve"> pathway</w:t>
      </w:r>
      <w:r w:rsidR="00E347BF">
        <w:fldChar w:fldCharType="begin"/>
      </w:r>
      <w:r w:rsidR="00D5744F">
        <w:instrText xml:space="preserve"> ADDIN ZOTERO_ITEM CSL_CITATION {"citationID":"SUnIMIxn","properties":{"formattedCitation":"(Lin and Elledge 2003)","plainCitation":"(Lin and Elledge 2003)","noteIndex":0},"citationItems":[{"id":14,"uris":["http://zotero.org/users/4515386/items/NWYLU99L"],"uri":["http://zotero.org/users/4515386/items/NWYLU99L"],"itemData":{"id":14,"type":"article-journal","title":"Multiple tumor suppressor pathways negatively regulate telomerase","container-title":"Cell","page":"881-889","volume":"113","issue":"7","source":"PubMed","abstract":"Telomerase expression is repressed in most somatic cells but is observed in stem cells and a high percentage of human cancers and has been hypothesized to contribute to tumorigenesis and maintenance of stem cell states. To explore telomerase regulation, we employed a general genetic screen to identify negative regulators of hTERT. We discovered three tumor suppressor/oncogene pathways involved in hTERT repression. One, the Mad1/c-Myc pathway, had been previously implicated in hTERT regulation. The second, SIP1, a transcriptional target of the TGF-beta pathway, mediates the TGF-beta regulated repression of hTERT. The third, the tumor suppressor Menin, is a direct repressor of hTERT. Depleting Menin immortalizes primary human fibroblasts and causes a transformation phenotype when coupled with expression of SV40 Large and Small T antigen and oncogenic ras. These studies suggest that multiple tumor suppressor/oncogene pathways coordinately repress hTERT expression and imply that telomerase is reactivated in human tumors through oncogenic mutations.","ISSN":"0092-8674","note":"PMID: 12837246","journalAbbreviation":"Cell","language":"eng","author":[{"family":"Lin","given":"Shiaw Yih"},{"family":"Elledge","given":"Stephen J."}],"issued":{"date-parts":[["2003",6,27]]}}}],"schema":"https://github.com/citation-style-language/schema/raw/master/csl-citation.json"} </w:instrText>
      </w:r>
      <w:r w:rsidR="00E347BF">
        <w:fldChar w:fldCharType="separate"/>
      </w:r>
      <w:r w:rsidR="00D5744F" w:rsidRPr="00D5744F">
        <w:t>(Lin and Elledge 2003)</w:t>
      </w:r>
      <w:r w:rsidR="00E347BF">
        <w:fldChar w:fldCharType="end"/>
      </w:r>
      <w:r w:rsidR="00993A82">
        <w:t>.</w:t>
      </w:r>
    </w:p>
    <w:p w:rsidR="0029338A" w:rsidRDefault="0029338A" w:rsidP="00277D7C">
      <w:pPr>
        <w:spacing w:line="480" w:lineRule="auto"/>
        <w:jc w:val="both"/>
      </w:pPr>
    </w:p>
    <w:p w:rsidR="007739A6" w:rsidRPr="00D5744F" w:rsidRDefault="00805802" w:rsidP="00D5744F">
      <w:pPr>
        <w:spacing w:line="480" w:lineRule="auto"/>
        <w:jc w:val="both"/>
      </w:pPr>
      <w:r w:rsidRPr="005B7C6B">
        <w:tab/>
        <w:t xml:space="preserve">Exercise </w:t>
      </w:r>
      <w:r w:rsidR="00116A73">
        <w:t>affects</w:t>
      </w:r>
      <w:r w:rsidRPr="005B7C6B">
        <w:t xml:space="preserve"> telomere</w:t>
      </w:r>
      <w:r w:rsidR="00C37735">
        <w:t xml:space="preserve"> attrition </w:t>
      </w:r>
      <w:r w:rsidR="00C37735" w:rsidRPr="005B7C6B">
        <w:t>in</w:t>
      </w:r>
      <w:r w:rsidR="007C1B22">
        <w:t>skeletal muscle</w:t>
      </w:r>
      <w:r w:rsidRPr="005B7C6B">
        <w:t xml:space="preserve"> and leukocytes in humans.  Although the telomere shortening process is very consistent over the </w:t>
      </w:r>
      <w:r w:rsidR="007C1B22">
        <w:t>lifespan</w:t>
      </w:r>
      <w:r w:rsidRPr="005B7C6B">
        <w:t xml:space="preserve">, it has been recently discovered that in the fourth decade of life, </w:t>
      </w:r>
      <w:r w:rsidR="00E01ACC">
        <w:t>you</w:t>
      </w:r>
      <w:r w:rsidRPr="005B7C6B">
        <w:t xml:space="preserve"> can still decrease the rate that the telomeres are shortening </w:t>
      </w:r>
      <w:r w:rsidR="00620E70">
        <w:t>with</w:t>
      </w:r>
      <w:r w:rsidRPr="005B7C6B">
        <w:t xml:space="preserve"> exercise which exhibits an rejuvenating </w:t>
      </w:r>
      <w:r w:rsidR="007C1B22">
        <w:t>effect</w:t>
      </w:r>
      <w:r w:rsidR="00E347BF" w:rsidRPr="005B7C6B">
        <w:fldChar w:fldCharType="begin"/>
      </w:r>
      <w:r w:rsidR="0034747D">
        <w:instrText xml:space="preserve"> ADDIN ZOTERO_ITEM CSL_CITATION {"citationID":"a1ku900sv22","properties":{"formattedCitation":"(Loprinzi et al. 2015)","plainCitation":"(Loprinzi et al. 2015)","noteIndex":0},"citationItems":[{"id":8,"uris":["http://zotero.org/users/4515386/items/8QUBTQZ6"],"uri":["http://zotero.org/users/4515386/items/8QUBTQZ6"],"itemData":{"id":8,"type":"article-journal","title":"Movement-based Behaviors and Leukocyte Telomere Length among Us Adults","container-title":"Medicine &amp; Science in Sports &amp; Exercise","page":"2347-2352","volume":"47","issue":"11","source":"insights.ovid.com","abstract":"Short leukocyte telomere length (LTL) has become a hallmark characteristic of aging. Some, but not all, evidence suggests that physical activity (PA) may play an important role in attenuating age-related diseases and may provide a protective effect for telomeres. The purpose of this study was to examine the association between PA and LTL in a national sample of US adults from the National Health and Nutrition Examination Survey. National Health and Nutrition Examination Survey data from 1999 to 2002 (n = 6503; 20–84 yr) were used. Four self-report questions related to movement-based behaviors (MBB) were assessed. The four MBB included whether individuals participated in moderate-intensity PA, vigorous-intensity PA, walking/cycling for transportation, and muscle-strengthening activities. An MBB index variable was created by summing the number of MBB an individual engaged in (range, 0–4). A clear dose–response relation was observed between MBB and LTL; across the LTL tertiles, respectively, the mean numbers of MBB were 1.18, 1.44, and 1.54 (Ptrend &lt; 0.001). After adjustments (including age) and compared with those engaging in 0 MBB, those engaging in 1, 2, 3, and 4 MBB, respectively, had a 3% (P = 0.84), 24% (P = 0.02), 29% (P = 0.04), and 52% (P = 0.004) reduced odds of being in the lowest (vs highest) tertile of LTL; MBB was not associated with being in the middle (vs highest) tertile of LTL. Greater engagement in MBB was associated with reduced odds of being in the lowest LTL tertile.","DOI":"10.1249/MSS.0000000000000695","ISSN":"0195-9131","note":"PMID: 00005768-201511000-00012","language":"ENGLISH","author":[{"family":"Loprinzi","given":"Paul D."},{"family":"Loenneke","given":"Jeremy P."},{"family":"Blackburn","given":"Elizabeth H."}],"issued":{"date-parts":[["2015",11,1]]}}}],"schema":"https://github.com/citation-style-language/schema/raw/master/csl-citation.json"} </w:instrText>
      </w:r>
      <w:r w:rsidR="00E347BF" w:rsidRPr="005B7C6B">
        <w:fldChar w:fldCharType="separate"/>
      </w:r>
      <w:r w:rsidR="000A43EF" w:rsidRPr="000A43EF">
        <w:t>(Loprinzi et al. 2015)</w:t>
      </w:r>
      <w:r w:rsidR="00E347BF" w:rsidRPr="005B7C6B">
        <w:fldChar w:fldCharType="end"/>
      </w:r>
      <w:r w:rsidR="00A1515F">
        <w:t>.</w:t>
      </w:r>
      <w:r w:rsidR="00407EA4">
        <w:t>A</w:t>
      </w:r>
      <w:r w:rsidRPr="005B7C6B">
        <w:t xml:space="preserve"> 2-year trial was conducted </w:t>
      </w:r>
      <w:r w:rsidR="00407EA4">
        <w:t xml:space="preserve">in 2017 </w:t>
      </w:r>
      <w:r w:rsidRPr="005B7C6B">
        <w:t xml:space="preserve">called The Finnish Geriatric Intervention Study to Prevent Cognitive Impairment and Disability (FINGER) using participants that were assigned to a different lifestyle intervention including diet, exercise, cognitive training and vascular risk management.  It was discovered that shorter leukocyte </w:t>
      </w:r>
      <w:r w:rsidR="007C1B22">
        <w:t xml:space="preserve">and </w:t>
      </w:r>
      <w:r w:rsidR="007C1B22">
        <w:lastRenderedPageBreak/>
        <w:t xml:space="preserve">skeletal muscle </w:t>
      </w:r>
      <w:r w:rsidRPr="005B7C6B">
        <w:t>telomere length</w:t>
      </w:r>
      <w:r w:rsidR="006A6326">
        <w:t>s</w:t>
      </w:r>
      <w:r w:rsidRPr="005B7C6B">
        <w:t xml:space="preserve"> was associated with  a less </w:t>
      </w:r>
      <w:r w:rsidR="00720352">
        <w:t>active</w:t>
      </w:r>
      <w:r w:rsidRPr="005B7C6B">
        <w:t xml:space="preserve"> lifestyle </w:t>
      </w:r>
      <w:r w:rsidR="00E01ACC">
        <w:t>where subjects were rated on their daily activity</w:t>
      </w:r>
      <w:r w:rsidR="00E347BF" w:rsidRPr="005B7C6B">
        <w:fldChar w:fldCharType="begin"/>
      </w:r>
      <w:r w:rsidR="0034747D">
        <w:instrText xml:space="preserve"> ADDIN ZOTERO_ITEM CSL_CITATION {"citationID":"a626foqf4q","properties":{"formattedCitation":"(Sindi et al. 2017)","plainCitation":"(Sindi et al. 2017)","noteIndex":0},"citationItems":[{"id":6,"uris":["http://zotero.org/users/4515386/items/DKYH6I4X"],"uri":["http://zotero.org/users/4515386/items/DKYH6I4X"],"itemData":{"id":6,"type":"article-journal","title":"Baseline Telomere Length and Effects of a Multidomain Lifestyle Intervention on Cognition: The FINGER Randomized Controlled Trial","container-title":"Journal of Alzheimer's disease: JAD","page":"1459-1470","volume":"59","issue":"4","source":"PubMed","abstract":"Leukocyte telomere length (LTL) is a biomarker of aging, and it is associated with lifestyle. It is currently unknown whether LTL is associated with the response to lifestyle interventions. The goal is to assess whether baseline LTL modified the cognitive benefits of a 2-year multidomain lifestyle intervention (exploratory analyses). The Finnish Geriatric Intervention Study to Prevent Cognitive Impairment and Disability (FINGER) was a 2-year randomized controlled trial including 1,260 people at risk of cognitive decline, aged 60-77 years identified from the general population. Participants were randomly assigned to the lifestyle intervention (diet, exercise, cognitive training, and vascular risk management) and control (general health advice) groups. Primary outcome was change in cognition (comprehensive neuropsychological test battery). Secondary outcomes were changes in cognitive domains: memory, executive functioning, and processing speed. 775 participants (392 control, 383 intervention) had baseline LTL (peripheral blood DNA). Mixed effects regression models with maximum likelihood estimation were used to analyze change in cognition as a function of randomization group, time, baseline LTL, and their interaction. Intervention and control groups did not significantly differ at baseline. Shorter LTL was related to less healthy baseline lifestyle. Intervention benefits on executive functioning were more pronounced among those with shorter baseline LTL (p-value for interaction was 0.010 adjusted for age and sex, and 0.007 additionally adjusted for baseline lifestyle factors). The FINGER intervention cognitive benefits were more pronounced with shorter baseline LTL, particularly for executive functioning, indicating that the multidomain lifestyle intervention was especially beneficial among higher-risk individuals.","DOI":"10.3233/JAD-170123","ISSN":"1875-8908","note":"PMID: 28777749\nPMCID: PMC5611796","shortTitle":"Baseline Telomere Length and Effects of a Multidomain Lifestyle Intervention on Cognition","journalAbbreviation":"J. Alzheimers Dis.","language":"eng","author":[{"family":"Sindi","given":"Shireen"},{"family":"Ngandu","given":"Tiia"},{"family":"Hovatta","given":"Iiris"},{"family":"Kåreholt","given":"Ingemar"},{"family":"Antikainen","given":"Riitta"},{"family":"Hänninen","given":"Tuomo"},{"family":"Levälahti","given":"Esko"},{"family":"Laatikainen","given":"Tiina"},{"family":"Lindström","given":"Jaana"},{"family":"Paajanen","given":"Teemu"},{"family":"Peltonen","given":"Markku"},{"family":"Khalsa","given":"Dharma Singh"},{"family":"Wolozin","given":"Benjamin"},{"family":"Strandberg","given":"Timo"},{"family":"Tuomilehto","given":"Jaakko"},{"family":"Soininen","given":"Hilkka"},{"family":"Kivipelto","given":"Miia"},{"family":"Solomon","given":"Alina"},{"literal":"FINGER study group"}],"issued":{"date-parts":[["2017"]]}}}],"schema":"https://github.com/citation-style-language/schema/raw/master/csl-citation.json"} </w:instrText>
      </w:r>
      <w:r w:rsidR="00E347BF" w:rsidRPr="005B7C6B">
        <w:fldChar w:fldCharType="separate"/>
      </w:r>
      <w:r w:rsidR="000A43EF" w:rsidRPr="000A43EF">
        <w:t>(Sindi et al. 2017)</w:t>
      </w:r>
      <w:r w:rsidR="00E347BF" w:rsidRPr="005B7C6B">
        <w:fldChar w:fldCharType="end"/>
      </w:r>
      <w:r w:rsidR="00A1515F">
        <w:t>.</w:t>
      </w:r>
    </w:p>
    <w:p w:rsidR="007739A6" w:rsidRPr="007739A6" w:rsidRDefault="007739A6" w:rsidP="007739A6">
      <w:pPr>
        <w:spacing w:line="480" w:lineRule="auto"/>
        <w:ind w:firstLine="720"/>
        <w:jc w:val="both"/>
        <w:rPr>
          <w:rFonts w:cstheme="minorHAnsi"/>
        </w:rPr>
      </w:pPr>
      <w:r>
        <w:rPr>
          <w:rFonts w:cstheme="minorHAnsi"/>
        </w:rPr>
        <w:t xml:space="preserve">Mitochondrial uncouplers are noted to increase the production of ROS </w:t>
      </w:r>
      <w:r w:rsidR="00E347BF">
        <w:rPr>
          <w:rFonts w:cstheme="minorHAnsi"/>
        </w:rPr>
        <w:fldChar w:fldCharType="begin"/>
      </w:r>
      <w:r w:rsidR="00DB5B72">
        <w:rPr>
          <w:rFonts w:cstheme="minorHAnsi"/>
        </w:rPr>
        <w:instrText xml:space="preserve"> ADDIN ZOTERO_ITEM CSL_CITATION {"citationID":"8nvLIXqm","properties":{"formattedCitation":"(Cadenas 2018 May 31)","plainCitation":"(Cadenas 2018 May 31)","noteIndex":0},"citationItems":[{"id":193,"uris":["http://zotero.org/users/4515386/items/XKSJ9QCX"],"uri":["http://zotero.org/users/4515386/items/XKSJ9QCX"],"itemData":{"id":193,"type":"article-journal","title":"Mitochondrial uncoupling, ROS generation and cardioprotection","container-title":"Biochimica et Biophysica Acta (BBA) - Bioenergetics","source":"ScienceDirect","abstract":"Mitochondrial oxidative phosphorylation is incompletely coupled, since protons translocated to the intermembrane space by specific respiratory complexes of the electron transport chain can return to the mitochondrial matrix independently of the ATP synthase —a process known as proton leak— generating heat instead of ATP. Proton leak across the inner mitochondrial membrane increases the respiration rate and decreases the electrochemical proton gradient (Δp), and is an important mechanism for energy dissipation that accounts for up to 25% of the basal metabolic rate. It is well established that mitochondrial superoxide production is steeply dependent on Δp in isolated mitochondria and, correspondingly, mitochondrial uncoupling has been identified as a cytoprotective strategy under conditions of oxidative stress, including diabetes, drug-resistance in tumor cells, ischemia-reperfusion (IR) injury or aging. Mitochondrial uncoupling proteins (UCPs) are able to lower the efficiency of oxidative phosphorylation and are involved in the control of mitochondrial reactive oxygen species (ROS) production. There is strong evidence that UCP2 and UCP3, the UCP1 homologues expressed in the heart, protect against mitochondrial oxidative damage by reducing the production of ROS. This review first analyzes the relationship between mitochondrial proton leak and ROS generation, and then focuses on the cardioprotective role of chemical uncoupling and uncoupling mediated by UCPs. This includes their protective effects against cardiac IR, a condition known to increase ROS production, and their roles in modulating cardiovascular risk factors such as obesity, diabetes and atherosclerosis.","URL":"http://www.sciencedirect.com/science/article/pii/S000527281830135X","DOI":"10.1016/j.bbabio.2018.05.019","ISSN":"0005-2728","journalAbbreviation":"Biochimica et Biophysica Acta (BBA) - Bioenergetics","author":[{"family":"Cadenas","given":"Susana"}],"issued":{"date-parts":[["2018",5,31]]},"accessed":{"date-parts":[["2018",7,31]]}}}],"schema":"https://github.com/citation-style-language/schema/raw/master/csl-citation.json"} </w:instrText>
      </w:r>
      <w:r w:rsidR="00E347BF">
        <w:rPr>
          <w:rFonts w:cstheme="minorHAnsi"/>
        </w:rPr>
        <w:fldChar w:fldCharType="separate"/>
      </w:r>
      <w:r w:rsidR="00DB5B72" w:rsidRPr="00DB5B72">
        <w:t>(Cadenas 2018 May 31)</w:t>
      </w:r>
      <w:r w:rsidR="00E347BF">
        <w:rPr>
          <w:rFonts w:cstheme="minorHAnsi"/>
        </w:rPr>
        <w:fldChar w:fldCharType="end"/>
      </w:r>
      <w:r>
        <w:rPr>
          <w:rFonts w:cstheme="minorHAnsi"/>
        </w:rPr>
        <w:t xml:space="preserve">. </w:t>
      </w:r>
      <w:r w:rsidRPr="007739A6">
        <w:rPr>
          <w:rFonts w:cstheme="minorHAnsi"/>
        </w:rPr>
        <w:t>The uncoupler picks up protons from the cytosol which allows it to diffuse across the mitochondrial inner membrane and into the matrix</w:t>
      </w:r>
      <w:r w:rsidR="007475BA">
        <w:rPr>
          <w:rFonts w:cstheme="minorHAnsi"/>
        </w:rPr>
        <w:t xml:space="preserve"> via uncoupling protein-1 (UCP-1) also known as thermogenin </w:t>
      </w:r>
      <w:r w:rsidR="00E347BF">
        <w:rPr>
          <w:rFonts w:cstheme="minorHAnsi"/>
        </w:rPr>
        <w:fldChar w:fldCharType="begin"/>
      </w:r>
      <w:r w:rsidR="00CB6061">
        <w:rPr>
          <w:rFonts w:cstheme="minorHAnsi"/>
        </w:rPr>
        <w:instrText xml:space="preserve"> ADDIN ZOTERO_ITEM CSL_CITATION {"citationID":"T0DspS11","properties":{"formattedCitation":"(Crichton et al. 2017)","plainCitation":"(Crichton et al. 2017)","noteIndex":0},"citationItems":[{"id":200,"uris":["http://zotero.org/users/4515386/items/NRL928SA"],"uri":["http://zotero.org/users/4515386/items/NRL928SA"],"itemData":{"id":200,"type":"article-journal","title":"The molecular features of uncoupling protein 1 support a conventional mitochondrial carrier-like mechanism","container-title":"Biochimie","page":"35-50","volume":"134","source":"PubMed Central","abstract":"Uncoupling protein 1 (UCP1) is an integral membrane protein found in the mitochondrial inner membrane of brown adipose tissue, and facilitates the process of non-shivering thermogenesis in mammals. Its activation by fatty acids, which overcomes its inhibition by purine nucleotides, leads to an increase in the proton conductance of the inner mitochondrial membrane, short-circuiting the mitochondrion to produce heat rather than ATP. Despite 40 years of intense research, the underlying molecular mechanism of UCP1 is still under debate. The protein belongs to the mitochondrial carrier family of transporters, which have recently been shown to utilise a domain-based alternating-access mechanism, cycling between a cytoplasmic and matrix state to transport metabolites across the inner membrane. Here, we review the protein properties of UCP1 and compare them to those of mitochondrial carriers. UCP1 has the same structural fold as other mitochondrial carriers and, in contrast to past claims, is a monomer, binding one purine nucleotide and three cardiolipin molecules tightly. The protein has a single substrate binding site, which is similar to those of the dicarboxylate and oxoglutarate carriers, but also contains a proton binding site and several hydrophobic residues. As found in other mitochondrial carriers, UCP1 has two conserved salt bridge networks on either side of the central cavity, which regulate access to the substrate binding site in an alternating way. The conserved domain structures and mobile inter-domain interfaces are consistent with an alternating access mechanism too. In conclusion, UCP1 has retained all of the key features of mitochondrial carriers, indicating that it operates by a conventional carrier-like mechanism.","DOI":"10.1016/j.biochi.2016.12.016","ISSN":"0300-9084","note":"PMID: 28057583\nPMCID: PMC5395090","journalAbbreviation":"Biochimie","author":[{"family":"Crichton","given":"Paul G."},{"family":"Lee","given":"Yang"},{"family":"Kunji","given":"Edmund R.S."}],"issued":{"date-parts":[["2017",3]]}}}],"schema":"https://github.com/citation-style-language/schema/raw/master/csl-citation.json"} </w:instrText>
      </w:r>
      <w:r w:rsidR="00E347BF">
        <w:rPr>
          <w:rFonts w:cstheme="minorHAnsi"/>
        </w:rPr>
        <w:fldChar w:fldCharType="separate"/>
      </w:r>
      <w:r w:rsidR="00CB6061" w:rsidRPr="00CB6061">
        <w:t>(Crichton et al. 2017)</w:t>
      </w:r>
      <w:r w:rsidR="00E347BF">
        <w:rPr>
          <w:rFonts w:cstheme="minorHAnsi"/>
        </w:rPr>
        <w:fldChar w:fldCharType="end"/>
      </w:r>
      <w:r w:rsidRPr="007739A6">
        <w:rPr>
          <w:rFonts w:cstheme="minorHAnsi"/>
        </w:rPr>
        <w:t>. The uncoupler then deprotonates and exits as anions and repeats the catalytic cycle (Ocloo and Dongdem 2011).</w:t>
      </w:r>
      <w:r w:rsidR="00CF7481">
        <w:rPr>
          <w:rFonts w:cstheme="minorHAnsi"/>
        </w:rPr>
        <w:t>Increased mitochondrial uncoupling leads to</w:t>
      </w:r>
      <w:r w:rsidRPr="007739A6">
        <w:rPr>
          <w:rFonts w:cstheme="minorHAnsi"/>
        </w:rPr>
        <w:t xml:space="preserve"> decreas</w:t>
      </w:r>
      <w:r w:rsidR="00CF7481">
        <w:rPr>
          <w:rFonts w:cstheme="minorHAnsi"/>
        </w:rPr>
        <w:t>ed</w:t>
      </w:r>
      <w:r w:rsidRPr="007739A6">
        <w:rPr>
          <w:rFonts w:cstheme="minorHAnsi"/>
        </w:rPr>
        <w:t xml:space="preserve"> metabolic efficiency,  which increases the basal metabolic rate </w:t>
      </w:r>
      <w:r w:rsidR="00087733">
        <w:rPr>
          <w:rFonts w:cstheme="minorHAnsi"/>
        </w:rPr>
        <w:t>and</w:t>
      </w:r>
      <w:r w:rsidRPr="007739A6">
        <w:rPr>
          <w:rFonts w:cstheme="minorHAnsi"/>
        </w:rPr>
        <w:t xml:space="preserve"> increase in mitochondrial activity</w:t>
      </w:r>
      <w:r w:rsidR="00087733" w:rsidRPr="007739A6">
        <w:rPr>
          <w:rFonts w:cstheme="minorHAnsi"/>
        </w:rPr>
        <w:t>(Ocloo and Dongdem 2011)</w:t>
      </w:r>
      <w:r w:rsidRPr="007739A6">
        <w:rPr>
          <w:rFonts w:cstheme="minorHAnsi"/>
        </w:rPr>
        <w:t xml:space="preserve">. In the end, an increase in ROS production </w:t>
      </w:r>
      <w:r w:rsidR="00087733">
        <w:rPr>
          <w:rFonts w:cstheme="minorHAnsi"/>
        </w:rPr>
        <w:t>cause</w:t>
      </w:r>
      <w:r w:rsidR="007475BA">
        <w:rPr>
          <w:rFonts w:cstheme="minorHAnsi"/>
        </w:rPr>
        <w:t>s</w:t>
      </w:r>
      <w:r w:rsidRPr="007739A6">
        <w:rPr>
          <w:rFonts w:cstheme="minorHAnsi"/>
        </w:rPr>
        <w:t>the cells</w:t>
      </w:r>
      <w:r w:rsidR="00087733">
        <w:rPr>
          <w:rFonts w:cstheme="minorHAnsi"/>
        </w:rPr>
        <w:t xml:space="preserve"> to</w:t>
      </w:r>
      <w:r w:rsidRPr="007739A6">
        <w:rPr>
          <w:rFonts w:cstheme="minorHAnsi"/>
        </w:rPr>
        <w:t xml:space="preserve"> increase</w:t>
      </w:r>
      <w:r w:rsidR="007475BA">
        <w:rPr>
          <w:rFonts w:cstheme="minorHAnsi"/>
        </w:rPr>
        <w:t xml:space="preserve"> the</w:t>
      </w:r>
      <w:r w:rsidRPr="007739A6">
        <w:rPr>
          <w:rFonts w:cstheme="minorHAnsi"/>
        </w:rPr>
        <w:t xml:space="preserve"> rate of antioxidant defense system which will enhance oxidative damage repair systems (Chilton et al. 2017).</w:t>
      </w:r>
    </w:p>
    <w:p w:rsidR="003A7A24" w:rsidRDefault="007C1B22" w:rsidP="007C1B22">
      <w:pPr>
        <w:spacing w:line="480" w:lineRule="auto"/>
        <w:ind w:firstLine="720"/>
        <w:jc w:val="both"/>
      </w:pPr>
      <w:r>
        <w:t>T</w:t>
      </w:r>
      <w:r w:rsidR="0046629C">
        <w:t xml:space="preserve">his project </w:t>
      </w:r>
      <w:r>
        <w:t xml:space="preserve">will focus on </w:t>
      </w:r>
      <w:r w:rsidR="0046629C">
        <w:t xml:space="preserve">human skeletal muscle cells also known as HSkMC. This cell type </w:t>
      </w:r>
      <w:r w:rsidR="003A7A24">
        <w:t xml:space="preserve">will be obtained </w:t>
      </w:r>
      <w:r>
        <w:t>from</w:t>
      </w:r>
      <w:r w:rsidR="003A7A24">
        <w:t xml:space="preserve"> SIGMA-ALDRICH and contains </w:t>
      </w:r>
      <w:r w:rsidR="0046629C">
        <w:t xml:space="preserve">about 500,000 cells in Basal Medium </w:t>
      </w:r>
      <w:r>
        <w:t>(</w:t>
      </w:r>
      <w:r w:rsidR="0046629C">
        <w:t>10% FBS and 10% DMSO</w:t>
      </w:r>
      <w:r>
        <w:t>)</w:t>
      </w:r>
      <w:r w:rsidR="0046629C">
        <w:t xml:space="preserve">. These cells are capable of doubling 15 times and are isolated from the skeletal muscle of limbs from adult donors. This cell type </w:t>
      </w:r>
      <w:r>
        <w:t>is</w:t>
      </w:r>
      <w:r w:rsidR="0046629C">
        <w:t xml:space="preserve"> a useful model in understanding the aspects of </w:t>
      </w:r>
      <w:r>
        <w:t>muscle</w:t>
      </w:r>
      <w:r w:rsidR="0046629C">
        <w:t xml:space="preserve"> function</w:t>
      </w:r>
      <w:r>
        <w:t>,measurement of</w:t>
      </w:r>
      <w:r w:rsidR="0046629C">
        <w:t xml:space="preserve"> various lipid and glucose metabolism</w:t>
      </w:r>
      <w:r>
        <w:t xml:space="preserve"> in response to</w:t>
      </w:r>
      <w:r w:rsidR="0046629C">
        <w:t xml:space="preserve"> exercise, insulin and cell signaling</w:t>
      </w:r>
      <w:r w:rsidR="00E347BF">
        <w:fldChar w:fldCharType="begin"/>
      </w:r>
      <w:r w:rsidR="00CB6061">
        <w:instrText xml:space="preserve"> ADDIN ZOTERO_ITEM CSL_CITATION {"citationID":"DXCE2cD5","properties":{"formattedCitation":"(Zhao and Zhao 2015)","plainCitation":"(Zhao and Zhao 2015)","noteIndex":0},"citationItems":[{"id":210,"uris":["http://zotero.org/users/4515386/items/L5A3EQ5B"],"uri":["http://zotero.org/users/4515386/items/L5A3EQ5B"],"itemData":{"id":210,"type":"article-journal","title":"Different effects of statins on induction of diabetes mellitus: an experimental study","container-title":"Drug Design, Development and Therapy","page":"6211-6223","volume":"9","source":"PubMed Central","abstract":"Background\nTo determine the effect of different statins on the induction of diabetes mellitus.\n\nMaterials and methods\nFour statins (atorvastatin, pravastatin, rosuvastatin, and pitavastatin) were used. Cytotoxicity, insulin secretion, glucose-stimulated insulin secretion, and G0/G1 phase cell cycle arrest were investigated in human pancreas islet β cells, and glucose uptake and signaling were studied in human skeletal muscle cells (HSkMCs).\n\nResults\nHuman pancreas islet β cells treated with 100 nM atorvastatin, pravastatin, rosuvastatin, and pitavastatin had reduced cell viability (32.12%, 41.09%, 33.96%, and 29.19%, respectively) compared to controls. Such cytotoxic effect was significantly attenuated by decreasing the dose to 10 and 1 nM, ranged from 1.46% to 17.28%. Cells treated with 100 nM atorvastatin, pravastatin, rosuvastatin, and pitavastatin had a reduction in the rate of insulin secretion rate by 34.07%, 30.06%, 26.78%, and 19.22%, respectively. The inhibitory effect was slightly attenuated by decreasing the dose to 10 and 1 nM, ranging from 10.84% to 29.60%. Insulin secretion stimulated by a high concentration of glucose (28 mmol/L) was significantly higher than a physiologic concentration of glucose (5.6 mmol/L) in all treatment groups. The glucose uptake rates at a concentration of 100 nM were as follows: atorvastatin (58.76%) &lt; pravastatin (60.21%) &lt; rosuvastatin (72.54%) &lt; pitavastatin (89.96%). We also found that atorvastatin and pravastatin decreased glucose transporter (GLUT)-2 expression and induced p-p38 MAPK levels in human pancreas islet β cells. Atorvastatin, pravastatin, and rosuvastatin inhibited GLUT-4, p-AKT, p-GSK-3β, and p-p38 MAPK levels in HSkMCs.\n\nConclusion\nStatins similar but different degree of effects on pancreas islet β cells damage and induce insulin resistance in HSkMC.","DOI":"10.2147/DDDT.S87979","ISSN":"1177-8881","note":"PMID: 26648697\nPMCID: PMC4664500","shortTitle":"Different effects of statins on induction of diabetes mellitus","journalAbbreviation":"Drug Des Devel Ther","author":[{"family":"Zhao","given":"Wang"},{"family":"Zhao","given":"Shui-Ping"}],"issued":{"date-parts":[["2015",11,24]]}}}],"schema":"https://github.com/citation-style-language/schema/raw/master/csl-citation.json"} </w:instrText>
      </w:r>
      <w:r w:rsidR="00E347BF">
        <w:fldChar w:fldCharType="separate"/>
      </w:r>
      <w:r w:rsidR="00CB6061" w:rsidRPr="00CB6061">
        <w:t>(Zhao and Zhao 2015)</w:t>
      </w:r>
      <w:r w:rsidR="00E347BF">
        <w:fldChar w:fldCharType="end"/>
      </w:r>
      <w:r w:rsidR="0046629C">
        <w:t>.</w:t>
      </w:r>
    </w:p>
    <w:p w:rsidR="00805802" w:rsidRDefault="00805802" w:rsidP="00805802">
      <w:pPr>
        <w:spacing w:line="480" w:lineRule="auto"/>
        <w:jc w:val="both"/>
      </w:pPr>
      <w:r w:rsidRPr="005B7C6B">
        <w:tab/>
        <w:t xml:space="preserve">There are many techniques that can be used to measure telomere length </w:t>
      </w:r>
      <w:r w:rsidR="00944D76">
        <w:t>including</w:t>
      </w:r>
      <w:r w:rsidR="00EE44B7">
        <w:t>S</w:t>
      </w:r>
      <w:r w:rsidRPr="005B7C6B">
        <w:t xml:space="preserve">outhern blot </w:t>
      </w:r>
      <w:r w:rsidR="00A500D5">
        <w:t>and</w:t>
      </w:r>
      <w:r w:rsidRPr="005B7C6B">
        <w:t xml:space="preserve"> qPCR techniques.  In </w:t>
      </w:r>
      <w:r w:rsidR="00087733">
        <w:t xml:space="preserve">the </w:t>
      </w:r>
      <w:r w:rsidR="00EE44B7">
        <w:t>S</w:t>
      </w:r>
      <w:r w:rsidRPr="005B7C6B">
        <w:t xml:space="preserve">outhern blot technique, </w:t>
      </w:r>
      <w:r w:rsidR="003A7A24">
        <w:t>DNA is digested</w:t>
      </w:r>
      <w:r w:rsidRPr="005B7C6B">
        <w:t xml:space="preserve"> into fragments </w:t>
      </w:r>
      <w:r w:rsidR="009F41C2">
        <w:t>with restriction enzymes</w:t>
      </w:r>
      <w:r w:rsidR="003A7A24">
        <w:t xml:space="preserve">, </w:t>
      </w:r>
      <w:r w:rsidR="00A500D5">
        <w:t>separated by</w:t>
      </w:r>
      <w:r w:rsidRPr="005B7C6B">
        <w:t>gel</w:t>
      </w:r>
      <w:r w:rsidR="005B1196" w:rsidRPr="005B7C6B">
        <w:t>electrophoresis</w:t>
      </w:r>
      <w:r w:rsidR="005B1196">
        <w:t>, transferred</w:t>
      </w:r>
      <w:r w:rsidR="00F9399A">
        <w:t xml:space="preserve"> to a positively charged nylon membrane where a nucleic acid probe </w:t>
      </w:r>
      <w:r w:rsidR="00A500D5">
        <w:t xml:space="preserve">labeled </w:t>
      </w:r>
      <w:r w:rsidR="00A500D5">
        <w:lastRenderedPageBreak/>
        <w:t>with</w:t>
      </w:r>
      <w:r w:rsidR="00F9399A">
        <w:t xml:space="preserve"> radioactivity</w:t>
      </w:r>
      <w:r w:rsidR="00A500D5">
        <w:t xml:space="preserve">or </w:t>
      </w:r>
      <w:r w:rsidR="00F9399A">
        <w:t xml:space="preserve">fluorescent dye or enzyme driven chemiluminescence </w:t>
      </w:r>
      <w:r w:rsidR="00A500D5">
        <w:t>detect</w:t>
      </w:r>
      <w:r w:rsidR="007475BA">
        <w:t>s</w:t>
      </w:r>
      <w:r w:rsidR="00A500D5">
        <w:t xml:space="preserve"> hybridizing DNA</w:t>
      </w:r>
      <w:r w:rsidR="00F9399A">
        <w:t>.</w:t>
      </w:r>
      <w:r w:rsidRPr="005B7C6B">
        <w:t xml:space="preserve">  By exposing it to X-ray film </w:t>
      </w:r>
      <w:r w:rsidR="00F9399A">
        <w:t xml:space="preserve">or </w:t>
      </w:r>
      <w:r w:rsidRPr="005B7C6B">
        <w:t>chemiluminescence</w:t>
      </w:r>
      <w:r w:rsidR="00A500D5">
        <w:t xml:space="preserve">, </w:t>
      </w:r>
      <w:r w:rsidRPr="005B7C6B">
        <w:t xml:space="preserve">you can analyze the length of the telomere </w:t>
      </w:r>
      <w:r w:rsidR="00E347BF" w:rsidRPr="005B7C6B">
        <w:fldChar w:fldCharType="begin"/>
      </w:r>
      <w:r w:rsidR="0034747D">
        <w:instrText xml:space="preserve"> ADDIN ZOTERO_ITEM CSL_CITATION {"citationID":"a2jbhr3odon","properties":{"formattedCitation":"(Kimura et al. 2010)","plainCitation":"(Kimura et al. 2010)","noteIndex":0},"citationItems":[{"id":4,"uris":["http://zotero.org/users/4515386/items/EREHRXJH"],"uri":["http://zotero.org/users/4515386/items/EREHRXJH"],"itemData":{"id":4,"type":"article-journal","title":"Measurement of telomere length by the Southern blot analysis of terminal restriction fragment lengths","container-title":"Nature Protocols","page":"1596-1607","volume":"5","issue":"9","source":"PubMed","abstract":"In this protocol we describe a method to obtain telomere length parameters using Southern blots of terminal restriction fragments (TRFs). We use this approach primarily for epidemiological studies that examine leukocyte telomere length. However, the method can be adapted for telomere length measurements in other cells whose telomere lengths are within its detection boundaries. After extraction, DNA is inspected for integrity, digested, resolved by gel electrophoresis, transferred to a membrane, hybridized with labeled probes and exposed to X-ray film using chemiluminescence. Although precise and highly accurate, the method requires a considerable amount of DNA (3 μg per sample) and it measures both the canonical and noncanonical components of telomeres. The method also provides parameters of telomere length distribution in each DNA sample, which are useful in answering questions beyond those focusing on the mean length of telomeres in a given sample. A skilled technician can measure TRF length in </w:instrText>
      </w:r>
      <w:r w:rsidR="0034747D">
        <w:rPr>
          <w:rFonts w:ascii="Cambria Math" w:hAnsi="Cambria Math" w:cs="Cambria Math"/>
        </w:rPr>
        <w:instrText>∼</w:instrText>
      </w:r>
      <w:r w:rsidR="0034747D">
        <w:instrText xml:space="preserve">130 samples per week.","DOI":"10.1038/nprot.2010.124","ISSN":"1750-2799","note":"PMID: 21085125","journalAbbreviation":"Nat Protoc","language":"eng","author":[{"family":"Kimura","given":"Masayuki"},{"family":"Stone","given":"Rivka C."},{"family":"Hunt","given":"Steven C."},{"family":"Skurnick","given":"Joan"},{"family":"Lu","given":"Xiaobin"},{"family":"Cao","given":"Xiaojian"},{"family":"Harley","given":"Calvin B."},{"family":"Aviv","given":"Abraham"}],"issued":{"date-parts":[["2010",9]]}}}],"schema":"https://github.com/citation-style-language/schema/raw/master/csl-citation.json"} </w:instrText>
      </w:r>
      <w:r w:rsidR="00E347BF" w:rsidRPr="005B7C6B">
        <w:fldChar w:fldCharType="separate"/>
      </w:r>
      <w:r w:rsidR="000A43EF" w:rsidRPr="000A43EF">
        <w:t>(Kimura et al. 2010)</w:t>
      </w:r>
      <w:r w:rsidR="00E347BF" w:rsidRPr="005B7C6B">
        <w:fldChar w:fldCharType="end"/>
      </w:r>
      <w:r w:rsidR="00211AF7">
        <w:t>.</w:t>
      </w:r>
      <w:r w:rsidRPr="005B7C6B">
        <w:t xml:space="preserve"> The technique of quantitative real-time PCR using 84bp long primers specific for the telomere repeat sequence </w:t>
      </w:r>
      <w:r w:rsidR="003A7A24">
        <w:t>is</w:t>
      </w:r>
      <w:r w:rsidRPr="005B7C6B">
        <w:t xml:space="preserve"> amplified and a AB software produce</w:t>
      </w:r>
      <w:r w:rsidR="00A500D5">
        <w:t>s</w:t>
      </w:r>
      <w:r w:rsidRPr="005B7C6B">
        <w:t xml:space="preserve"> a value for the telomere length based on </w:t>
      </w:r>
      <w:r w:rsidR="00A500D5">
        <w:t xml:space="preserve"> a </w:t>
      </w:r>
      <w:r w:rsidRPr="005B7C6B">
        <w:t>standard curve (</w:t>
      </w:r>
      <w:r w:rsidR="00E347BF" w:rsidRPr="005B7C6B">
        <w:fldChar w:fldCharType="begin"/>
      </w:r>
      <w:r w:rsidR="0034747D">
        <w:instrText xml:space="preserve"> ADDIN ZOTERO_ITEM CSL_CITATION {"citationID":"a2f8scqo28h","properties":{"formattedCitation":"([CSL STYLE ERROR: reference with no printed form.])","plainCitation":"([CSL STYLE ERROR: reference with no printed form.])","dontUpdate":true,"noteIndex":0},"citationItems":[{"id":3,"uris":["http://zotero.org/users/4515386/items/BPJKFXPL"],"uri":["http://zotero.org/users/4515386/items/BPJKFXPL"],"itemData":{"id":3,"type":"webpage","title":"BioTechniques - A quantitative real-time PCR method for absolute telomere length","URL":"https://www.biotechniques.com/biotechniques/BiotechniquesJournal/2008/May/A-quantitative-real-time-PCR-method-for-absolute-telomere-length/biotechniques-45204.html","accessed":{"date-parts":[["2017",11,21]]}}}],"schema":"https://github.com/citation-style-language/schema/raw/master/csl-citation.json"} </w:instrText>
      </w:r>
      <w:r w:rsidR="00E347BF" w:rsidRPr="005B7C6B">
        <w:fldChar w:fldCharType="separate"/>
      </w:r>
      <w:r w:rsidRPr="005B7C6B">
        <w:t>Biotechniques, 2017)</w:t>
      </w:r>
      <w:r w:rsidR="00E347BF" w:rsidRPr="005B7C6B">
        <w:fldChar w:fldCharType="end"/>
      </w:r>
      <w:r w:rsidR="00211AF7">
        <w:t>.</w:t>
      </w:r>
      <w:r w:rsidR="00D83797">
        <w:t xml:space="preserve"> In </w:t>
      </w:r>
      <w:r w:rsidR="00087733">
        <w:t>this</w:t>
      </w:r>
      <w:r w:rsidR="00D83797">
        <w:t xml:space="preserve"> project, the </w:t>
      </w:r>
      <w:r w:rsidR="00D83797" w:rsidRPr="005B7C6B">
        <w:t>TeloTAGGG</w:t>
      </w:r>
      <w:r w:rsidR="00D83797" w:rsidRPr="005B7C6B">
        <w:rPr>
          <w:vertAlign w:val="superscript"/>
        </w:rPr>
        <w:t>TM</w:t>
      </w:r>
      <w:r w:rsidR="00D83797" w:rsidRPr="005B7C6B">
        <w:t>Telomere Length Assay</w:t>
      </w:r>
      <w:r w:rsidR="00D83797">
        <w:t xml:space="preserve"> kit</w:t>
      </w:r>
      <w:r w:rsidR="006A6326">
        <w:t xml:space="preserve"> will utilize gel electrophoresis, </w:t>
      </w:r>
      <w:r w:rsidR="007475BA">
        <w:t>S</w:t>
      </w:r>
      <w:r w:rsidR="006A6326">
        <w:t>outhern blotting with the use of X-ray film as stated by the protocol.</w:t>
      </w:r>
    </w:p>
    <w:p w:rsidR="00BE1750" w:rsidRPr="0056601B" w:rsidRDefault="002237FA" w:rsidP="0056601B">
      <w:pPr>
        <w:spacing w:line="480" w:lineRule="auto"/>
        <w:jc w:val="both"/>
      </w:pPr>
      <w:r>
        <w:tab/>
      </w:r>
      <w:r w:rsidR="00EF7AB7">
        <w:t>There</w:t>
      </w:r>
      <w:r w:rsidR="00B55CE5">
        <w:t>are</w:t>
      </w:r>
      <w:r>
        <w:t xml:space="preserve"> a lot of inconsistent results </w:t>
      </w:r>
      <w:r w:rsidR="00D621B8">
        <w:t xml:space="preserve">reported regarding </w:t>
      </w:r>
      <w:r>
        <w:t xml:space="preserve">the relationship of exercise and telomere lengths. </w:t>
      </w:r>
      <w:r w:rsidR="008420E0">
        <w:t>Many</w:t>
      </w:r>
      <w:r>
        <w:t xml:space="preserve"> papers</w:t>
      </w:r>
      <w:r w:rsidR="008420E0">
        <w:t xml:space="preserve"> report,</w:t>
      </w:r>
      <w:r>
        <w:t xml:space="preserve"> that more research is needed </w:t>
      </w:r>
      <w:r w:rsidR="008420E0">
        <w:t>to establish the relationship</w:t>
      </w:r>
      <w:r w:rsidR="00EF7AB7">
        <w:t xml:space="preserve">between </w:t>
      </w:r>
      <w:r>
        <w:t xml:space="preserve">exercise </w:t>
      </w:r>
      <w:r w:rsidR="00EF7AB7">
        <w:t xml:space="preserve">and </w:t>
      </w:r>
      <w:r w:rsidR="008420E0">
        <w:t xml:space="preserve">the regulation of </w:t>
      </w:r>
      <w:r>
        <w:t xml:space="preserve">telomere length. </w:t>
      </w:r>
      <w:r w:rsidR="006361BD">
        <w:t xml:space="preserve">The proposed project will </w:t>
      </w:r>
      <w:r w:rsidR="00D621B8">
        <w:t>provide an in vitro model help define this relationship</w:t>
      </w:r>
      <w:r w:rsidR="006361BD">
        <w:t>.</w:t>
      </w:r>
      <w:r w:rsidR="008420E0">
        <w:t xml:space="preserve">The </w:t>
      </w:r>
      <w:r w:rsidR="00BE1750">
        <w:t xml:space="preserve">HSkMC </w:t>
      </w:r>
      <w:r w:rsidR="008420E0">
        <w:t xml:space="preserve">system </w:t>
      </w:r>
      <w:r w:rsidR="00BE1750">
        <w:t xml:space="preserve">has not yet been experimented with the use of EPS for tracking telomere length but there </w:t>
      </w:r>
      <w:r w:rsidR="00751AB6">
        <w:t>have</w:t>
      </w:r>
      <w:r w:rsidR="00BE1750">
        <w:t xml:space="preserve"> been many other studies using HSkMC and EPS in pathway signaling.</w:t>
      </w:r>
      <w:r w:rsidR="006361BD">
        <w:t xml:space="preserve"> Information obtained in this project can lead to animal models for understanding</w:t>
      </w:r>
      <w:r w:rsidR="00BE1750">
        <w:t xml:space="preserve"> the relationship between</w:t>
      </w:r>
      <w:r w:rsidR="006361BD">
        <w:t xml:space="preserve"> of telomeres and exercise. </w:t>
      </w:r>
    </w:p>
    <w:p w:rsidR="00AD7078" w:rsidRDefault="00AD7078" w:rsidP="002669E5">
      <w:pPr>
        <w:contextualSpacing/>
        <w:jc w:val="center"/>
        <w:rPr>
          <w:b/>
        </w:rPr>
      </w:pPr>
    </w:p>
    <w:p w:rsidR="00AD7078" w:rsidRDefault="00AD7078" w:rsidP="002669E5">
      <w:pPr>
        <w:contextualSpacing/>
        <w:jc w:val="center"/>
        <w:rPr>
          <w:b/>
        </w:rPr>
      </w:pPr>
    </w:p>
    <w:p w:rsidR="00AD7078" w:rsidRDefault="00AD707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2E7938" w:rsidRDefault="002E7938" w:rsidP="002669E5">
      <w:pPr>
        <w:contextualSpacing/>
        <w:jc w:val="center"/>
        <w:rPr>
          <w:b/>
        </w:rPr>
      </w:pPr>
    </w:p>
    <w:p w:rsidR="0061232D" w:rsidRDefault="0061232D" w:rsidP="002669E5">
      <w:pPr>
        <w:contextualSpacing/>
        <w:jc w:val="center"/>
        <w:rPr>
          <w:b/>
        </w:rPr>
      </w:pPr>
    </w:p>
    <w:p w:rsidR="00AD7078" w:rsidRDefault="00AD7078" w:rsidP="007F6425">
      <w:pPr>
        <w:contextualSpacing/>
        <w:rPr>
          <w:b/>
        </w:rPr>
      </w:pPr>
    </w:p>
    <w:p w:rsidR="00342257" w:rsidRDefault="001E1CE6" w:rsidP="002669E5">
      <w:pPr>
        <w:contextualSpacing/>
        <w:jc w:val="center"/>
        <w:rPr>
          <w:b/>
        </w:rPr>
      </w:pPr>
      <w:r>
        <w:rPr>
          <w:b/>
        </w:rPr>
        <w:lastRenderedPageBreak/>
        <w:t>PRELIMINARY REPORT / PROGRESS REPORT</w:t>
      </w:r>
    </w:p>
    <w:p w:rsidR="001E1CE6" w:rsidRDefault="001E1CE6" w:rsidP="001E1CE6">
      <w:pPr>
        <w:contextualSpacing/>
        <w:jc w:val="center"/>
        <w:rPr>
          <w:b/>
        </w:rPr>
      </w:pPr>
    </w:p>
    <w:p w:rsidR="001E1CE6" w:rsidRDefault="001E1CE6" w:rsidP="001E1CE6">
      <w:pPr>
        <w:contextualSpacing/>
        <w:jc w:val="center"/>
        <w:rPr>
          <w:b/>
        </w:rPr>
      </w:pPr>
    </w:p>
    <w:p w:rsidR="00705EFB" w:rsidRDefault="002669E5" w:rsidP="00DA2FF2">
      <w:pPr>
        <w:spacing w:line="480" w:lineRule="auto"/>
        <w:contextualSpacing/>
        <w:jc w:val="both"/>
      </w:pPr>
      <w:r>
        <w:tab/>
      </w:r>
      <w:r w:rsidR="00AD7078">
        <w:t>T</w:t>
      </w:r>
      <w:r w:rsidR="001252AA">
        <w:t xml:space="preserve">here </w:t>
      </w:r>
      <w:r w:rsidR="00AD7078">
        <w:t xml:space="preserve">is currently </w:t>
      </w:r>
      <w:r w:rsidR="007F6425">
        <w:t>an increased interest in understanding the relationship</w:t>
      </w:r>
      <w:r w:rsidR="00AD7078">
        <w:t xml:space="preserve"> between telomere repeat length and exercise. </w:t>
      </w:r>
      <w:r w:rsidR="00AD7078" w:rsidRPr="002F65C4">
        <w:t>Current data shows that telomeres shorten at a much slower rate in athletes and in people who incorporate exercise as part of their lifestyle</w:t>
      </w:r>
      <w:r w:rsidR="00E347BF" w:rsidRPr="002F65C4">
        <w:fldChar w:fldCharType="begin"/>
      </w:r>
      <w:r w:rsidR="00D5744F">
        <w:instrText xml:space="preserve"> ADDIN ZOTERO_ITEM CSL_CITATION {"citationID":"E9b3otUa","properties":{"formattedCitation":"(\\uc0\\u216{}sthus et al. 2012)","plainCitation":"(Østhus et al. 2012)","noteIndex":0},"citationItems":[{"id":187,"uris":["http://zotero.org/users/4515386/items/2VW73VYD"],"uri":["http://zotero.org/users/4515386/items/2VW73VYD"],"itemData":{"id":187,"type":"article-journal","title":"Telomere Length and Long-Term Endurance Exercise: Does Exercise Training Affect Biological Age? A Pilot Study","container-title":"PLoS ONE","volume":"7","issue":"12","source":"PubMed Central","abstract":"Background\nTelomeres are potential markers of mitotic cellular age and are associated with physical ageing process. Long-term endurance training and higher aerobic exercise capacity (VO2max) are associated with improved survival, and dynamic effects of exercise are evident with ageing. However, the association of telomere length with exercise training and VO2max has so far been inconsistent. Our aim was to assess whether muscle telomere length is associated with endurance exercise training and VO2max in younger and older people.\n\nMethods\nTwenty men; 10 young (22–27 years) and 10 old (66–77 years), were studied in this cross-sectional study. Five out of 10 young adults and 5 out of 10 older were endurance athletes, while other halves were exercising at a medium level of activity. Mean telomere length was measured as telomere/single copy gene-ratio (T/S-ratio) using quantitative real time polymerase chain reaction. VO2max was measured directly running on a treadmill.\n\nResults\nOlder endurance trained athletes had longer telomere length compared with older people with medium activity levels (T/S ratio 1.12±0.1 vs. 0.92±0.2, p = 0.04). Telomere length of young endurance trained athletes was not different than young non-athletes (1.47±0.2 vs. 1.33±0.1, p = 0.12). Overall, there was a positive association between T/S ratio and VO2max (r = 0.70, p = 0.001). Among endurance trained athletes, we found a strong correlation between VO2max and T/S ratio (r = 0.78, p = 0.02). However, corresponding association among non-athlete participants was relatively weak (r = 0.58, p = 0.09).\n\nConclusion\nOur data suggest that VO2max is positively associated with telomere length, and we found that long-term endurance exercise training may provide a protective effect on muscle telomere length in older people.","URL":"https://www.ncbi.nlm.nih.gov/pmc/articles/PMC3530492/","DOI":"10.1371/journal.pone.0052769","ISSN":"1932-6203","note":"PMID: 23300766\nPMCID: PMC3530492","shortTitle":"Telomere Length and Long-Term Endurance Exercise","journalAbbreviation":"PLoS One","author":[{"family":"Østhus","given":"Ida Beate Ø."},{"family":"Sgura","given":"Antonella"},{"family":"Berardinelli","given":"Francesco"},{"family":"Alsnes","given":"Ingvild Vatten"},{"family":"Brønstad","given":"Eivind"},{"family":"Rehn","given":"Tommy"},{"family":"Støbakk","given":"Per Kristian"},{"family":"Hatle","given":"Håvard"},{"family":"Wisløff","given":"Ulrik"},{"family":"Nauman","given":"Javaid"}],"issued":{"date-parts":[["2012",12,26]]},"accessed":{"date-parts":[["2018",7,31]]}}}],"schema":"https://github.com/citation-style-language/schema/raw/master/csl-citation.json"} </w:instrText>
      </w:r>
      <w:r w:rsidR="00E347BF" w:rsidRPr="002F65C4">
        <w:fldChar w:fldCharType="separate"/>
      </w:r>
      <w:r w:rsidR="00D5744F" w:rsidRPr="00D5744F">
        <w:t>(Østhus et al. 2012)</w:t>
      </w:r>
      <w:r w:rsidR="00E347BF" w:rsidRPr="002F65C4">
        <w:fldChar w:fldCharType="end"/>
      </w:r>
      <w:r w:rsidR="00AD7078" w:rsidRPr="002F65C4">
        <w:t>.</w:t>
      </w:r>
      <w:r w:rsidR="007F6425">
        <w:t xml:space="preserve">In addition, recent work indicates a lack of </w:t>
      </w:r>
      <w:r>
        <w:t>i</w:t>
      </w:r>
      <w:r w:rsidR="001252AA">
        <w:t>n-</w:t>
      </w:r>
      <w:r>
        <w:t>dept</w:t>
      </w:r>
      <w:r w:rsidR="001252AA">
        <w:t>h</w:t>
      </w:r>
      <w:r>
        <w:t xml:space="preserve"> understanding of the role exercise plays </w:t>
      </w:r>
      <w:r w:rsidR="001252AA">
        <w:t>regarding</w:t>
      </w:r>
      <w:r>
        <w:t xml:space="preserve"> telomere lengths</w:t>
      </w:r>
      <w:r w:rsidR="00E347BF" w:rsidRPr="00F75A46">
        <w:fldChar w:fldCharType="begin"/>
      </w:r>
      <w:r w:rsidR="00974631">
        <w:instrText xml:space="preserve"> ADDIN ZOTERO_ITEM CSL_CITATION {"citationID":"a19hlms676g","properties":{"formattedCitation":"(Chilton et al. 2017)","plainCitation":"(Chilton et al. 2017)","noteIndex":0},"citationItems":[{"id":62,"uris":["http://zotero.org/users/4515386/items/WITKR3XW"],"uri":["http://zotero.org/users/4515386/items/WITKR3XW"],"itemData":{"id":62,"type":"article-journal","title":"Telomeres, Aging and Exercise: Guilty by Association?","container-title":"International Journal of Molecular Sciences","volume":"18","issue":"12","source":"PubMed Central","abstract":"Telomeres are repetitive tandem DNA sequences that cap chromosomal ends protecting genomic DNA from enzymatic degradation. Telomeres progressively shorten with cellular replication and are therefore assumed to correlate with biological and chronological age. An expanding body of evidence suggests (i) a predictable inverse association between telomere length, aging and age-related diseases and (ii) a positive association between physical activity and telomere length. Both hypotheses have garnered tremendous research attention and broad consensus; however, the evidence for each proposition is inconsistent and equivocal at best. Telomere length does not meet the basic criteria for an aging biomarker and at least 50% of key studies fail to find associations with physical activity. In this review, we address the evidence in support and refutation of the putative associations between telomere length, aging and physical activity. We finish with a brief review of plausible mechanisms and potential future research directions.","URL":"https://www.ncbi.nlm.nih.gov/pmc/articles/PMC5751176/","DOI":"10.3390/ijms18122573","ISSN":"1422-0067","note":"PMID: 29186077\nPMCID: PMC5751176","shortTitle":"Telomeres, Aging and Exercise","journalAbbreviation":"Int J Mol Sci","author":[{"family":"Chilton","given":"Warrick"},{"family":"O’Brien","given":"Brendan"},{"family":"Charchar","given":"Fadi"}],"issued":{"date-parts":[["2017",11,29]]},"accessed":{"date-parts":[["2018",2,9]]}}}],"schema":"https://github.com/citation-style-language/schema/raw/master/csl-citation.json"} </w:instrText>
      </w:r>
      <w:r w:rsidR="00E347BF" w:rsidRPr="00F75A46">
        <w:fldChar w:fldCharType="separate"/>
      </w:r>
      <w:r w:rsidR="000A43EF" w:rsidRPr="000A43EF">
        <w:t>(Chilton et al. 2017)</w:t>
      </w:r>
      <w:r w:rsidR="00E347BF" w:rsidRPr="00F75A46">
        <w:fldChar w:fldCharType="end"/>
      </w:r>
      <w:r w:rsidRPr="00F75A46">
        <w:t>.</w:t>
      </w:r>
      <w:r w:rsidR="009C4A37">
        <w:t xml:space="preserve">Most research is </w:t>
      </w:r>
      <w:r w:rsidR="007F6425">
        <w:t>conducted using</w:t>
      </w:r>
      <w:r w:rsidR="009C4A37">
        <w:t xml:space="preserve"> clinical studies where </w:t>
      </w:r>
      <w:r w:rsidR="00705EFB">
        <w:t xml:space="preserve">telomere lengths are </w:t>
      </w:r>
      <w:r w:rsidR="009C4A37">
        <w:t>compar</w:t>
      </w:r>
      <w:r w:rsidR="00705EFB">
        <w:t>ed</w:t>
      </w:r>
      <w:r w:rsidR="009C4A37">
        <w:t xml:space="preserve"> of athletes to sedentary individuals. </w:t>
      </w:r>
      <w:r w:rsidR="009C4A37" w:rsidRPr="002F65C4">
        <w:t xml:space="preserve">In other studies, microarray analysis is done to understand genes that are upregulated but </w:t>
      </w:r>
      <w:r w:rsidR="00EF7AB7" w:rsidRPr="002F65C4">
        <w:t>do not correlate to how exercise upregulates these genes</w:t>
      </w:r>
      <w:r w:rsidR="00E347BF" w:rsidRPr="002F65C4">
        <w:fldChar w:fldCharType="begin"/>
      </w:r>
      <w:r w:rsidR="00D5744F">
        <w:instrText xml:space="preserve"> ADDIN ZOTERO_ITEM CSL_CITATION {"citationID":"1zGd7Dqk","properties":{"formattedCitation":"(Chilton et al. 2014)","plainCitation":"(Chilton et al. 2014)","noteIndex":0},"citationItems":[{"id":98,"uris":["http://zotero.org/users/4515386/items/76W4C82N"],"uri":["http://zotero.org/users/4515386/items/76W4C82N"],"itemData":{"id":98,"type":"article-journal","title":"Acute Exercise Leads to Regulation of Telomere-Associated Genes and MicroRNA Expression in Immune Cells","container-title":"PLoS ONE","volume":"9","issue":"4","source":"PubMed Central","abstract":"Telomeres are specialized nucleoprotein structures that protect chromosomal ends from degradation. These structures progressively shorten during cellular division and can signal replicative senescence below a critical length. Telomere length is predominantly maintained by the enzyme telomerase. Significant decreases in telomere length and telomerase activity are associated with a host of chronic diseases; conversely their maintenance underpins the optimal function of the adaptive immune system. Habitual physical activity is associated with longer leukocyte telomere length; however, the precise mechanisms are unclear. Potential hypotheses include regulation of telomeric gene transcription and/or microRNAs (miRNAs). We investigated the acute exercise-induced response of telomeric genes and miRNAs in twenty-two healthy males (mean age = 24.1±1.55 years). Participants undertook 30 minutes of treadmill running at 80% of peak oxygen uptake. Blood samples were taken before exercise, immediately post-exercise and 60 minutes post-exercise. Total RNA from white blood cells was submitted to miRNA arrays and telomere extension mRNA array. Results were individually validated in white blood cells and sorted T cell lymphocyte subsets using quantitative real-time PCR (qPCR). Telomerase reverse transcriptase (TERT) mRNA (P = 0.001) and sirtuin-6 (SIRT6) (P&lt;0.05) mRNA expression were upregulated in white blood cells after exercise. Fifty-six miRNAs were also differentially regulated post-exercise (FDR &lt;0.05). In silico analysis identified four miRNAs (miR-186, miR-181, miR-15a and miR-96) that potentially targeted telomeric gene mRNA. The four miRNAs exhibited significant upregulation 60 minutes post-exercise (P&lt;0.001). Telomeric repeat binding factor 2, interacting protein (TERF2IP) was identified as a potential binding target for miR-186 and miR-96 and demonstrated concomitant downregulation (P&lt;0.01) at the corresponding time point. Intense cardiorespiratory exercise was sufficient to differentially regulate key telomeric genes and miRNAs in white blood cells. These results may provide a mechanistic insight into telomere homeostasis and improved immune function and physical health.","URL":"https://www.ncbi.nlm.nih.gov/pmc/articles/PMC3994003/","DOI":"10.1371/journal.pone.0092088","ISSN":"1932-6203","note":"PMID: 24752326\nPMCID: PMC3994003","journalAbbreviation":"PLoS One","author":[{"family":"Chilton","given":"Warrick L."},{"family":"Marques","given":"Francine Z."},{"family":"West","given":"Jenny"},{"family":"Kannourakis","given":"George"},{"family":"Berzins","given":"Stuart P."},{"family":"O’Brien","given":"Brendan J."},{"family":"Charchar","given":"Fadi J."}],"issued":{"date-parts":[["2014",4,21]]},"accessed":{"date-parts":[["2018",4,1]]}}}],"schema":"https://github.com/citation-style-language/schema/raw/master/csl-citation.json"} </w:instrText>
      </w:r>
      <w:r w:rsidR="00E347BF" w:rsidRPr="002F65C4">
        <w:fldChar w:fldCharType="separate"/>
      </w:r>
      <w:r w:rsidR="00D5744F" w:rsidRPr="00D5744F">
        <w:t>(Chilton et al. 2014)</w:t>
      </w:r>
      <w:r w:rsidR="00E347BF" w:rsidRPr="002F65C4">
        <w:fldChar w:fldCharType="end"/>
      </w:r>
      <w:r w:rsidR="009C4A37" w:rsidRPr="002F65C4">
        <w:t>.</w:t>
      </w:r>
    </w:p>
    <w:p w:rsidR="00F75A46" w:rsidRDefault="00F75A46" w:rsidP="00DA2FF2">
      <w:pPr>
        <w:spacing w:line="480" w:lineRule="auto"/>
        <w:contextualSpacing/>
        <w:jc w:val="both"/>
      </w:pPr>
      <w:r>
        <w:rPr>
          <w:b/>
        </w:rPr>
        <w:tab/>
      </w:r>
      <w:r>
        <w:t>A 2016 study conducted by the National Health and Nutrition Examination Survey (NHANES) complied 5823 self-reported males and female for physical activity</w:t>
      </w:r>
      <w:r w:rsidR="00B3037C">
        <w:t xml:space="preserve">. The survey showed that </w:t>
      </w:r>
      <w:r>
        <w:t xml:space="preserve">longer telomere lengths </w:t>
      </w:r>
      <w:r w:rsidR="00B3037C">
        <w:t>were</w:t>
      </w:r>
      <w:r w:rsidR="003E45FB">
        <w:t>present</w:t>
      </w:r>
      <w:r w:rsidR="00B3037C">
        <w:t xml:space="preserve"> for people who claimed to be physically active</w:t>
      </w:r>
      <w:r w:rsidR="00E347BF" w:rsidRPr="00F75A46">
        <w:fldChar w:fldCharType="begin"/>
      </w:r>
      <w:r w:rsidR="00974631">
        <w:instrText xml:space="preserve"> ADDIN ZOTERO_ITEM CSL_CITATION {"citationID":"a20kqtivsue","properties":{"formattedCitation":"(Chilton et al. 2017)","plainCitation":"(Chilton et al. 2017)","noteIndex":0},"citationItems":[{"id":62,"uris":["http://zotero.org/users/4515386/items/WITKR3XW"],"uri":["http://zotero.org/users/4515386/items/WITKR3XW"],"itemData":{"id":62,"type":"article-journal","title":"Telomeres, Aging and Exercise: Guilty by Association?","container-title":"International Journal of Molecular Sciences","volume":"18","issue":"12","source":"PubMed Central","abstract":"Telomeres are repetitive tandem DNA sequences that cap chromosomal ends protecting genomic DNA from enzymatic degradation. Telomeres progressively shorten with cellular replication and are therefore assumed to correlate with biological and chronological age. An expanding body of evidence suggests (i) a predictable inverse association between telomere length, aging and age-related diseases and (ii) a positive association between physical activity and telomere length. Both hypotheses have garnered tremendous research attention and broad consensus; however, the evidence for each proposition is inconsistent and equivocal at best. Telomere length does not meet the basic criteria for an aging biomarker and at least 50% of key studies fail to find associations with physical activity. In this review, we address the evidence in support and refutation of the putative associations between telomere length, aging and physical activity. We finish with a brief review of plausible mechanisms and potential future research directions.","URL":"https://www.ncbi.nlm.nih.gov/pmc/articles/PMC5751176/","DOI":"10.3390/ijms18122573","ISSN":"1422-0067","note":"PMID: 29186077\nPMCID: PMC5751176","shortTitle":"Telomeres, Aging and Exercise","journalAbbreviation":"Int J Mol Sci","author":[{"family":"Chilton","given":"Warrick"},{"family":"O’Brien","given":"Brendan"},{"family":"Charchar","given":"Fadi"}],"issued":{"date-parts":[["2017",11,29]]},"accessed":{"date-parts":[["2018",2,9]]}}}],"schema":"https://github.com/citation-style-language/schema/raw/master/csl-citation.json"} </w:instrText>
      </w:r>
      <w:r w:rsidR="00E347BF" w:rsidRPr="00F75A46">
        <w:fldChar w:fldCharType="separate"/>
      </w:r>
      <w:r w:rsidR="000A43EF" w:rsidRPr="000A43EF">
        <w:t>(Chilton et al. 2017)</w:t>
      </w:r>
      <w:r w:rsidR="00E347BF" w:rsidRPr="00F75A46">
        <w:fldChar w:fldCharType="end"/>
      </w:r>
      <w:r w:rsidRPr="00F75A46">
        <w:t>.</w:t>
      </w:r>
      <w:r w:rsidR="00D52398">
        <w:t xml:space="preserve">The results showed that active subjects had telomeres with an additional 200 nucleotides when compared to those who were least active. This measurement was done by the use of RT qPCR along with comparing their telomere lengths to their DNA to create a </w:t>
      </w:r>
      <w:r w:rsidR="00D621B8">
        <w:t>relative telomere to single copy gene (</w:t>
      </w:r>
      <w:r w:rsidR="00D52398">
        <w:t>T/S</w:t>
      </w:r>
      <w:r w:rsidR="00D621B8">
        <w:t>)</w:t>
      </w:r>
      <w:r w:rsidR="00D52398">
        <w:t xml:space="preserve"> ratio. When comparing the T/S ratio of one individual to another, the relative length of their telomere can be determined </w:t>
      </w:r>
      <w:r w:rsidR="00E347BF">
        <w:fldChar w:fldCharType="begin"/>
      </w:r>
      <w:r w:rsidR="00DB5B72">
        <w:instrText xml:space="preserve"> ADDIN ZOTERO_ITEM CSL_CITATION {"citationID":"T1nEzomw","properties":{"formattedCitation":"(Cawthon 2002)","plainCitation":"(Cawthon 2002)","noteIndex":0},"citationItems":[{"id":190,"uris":["http://zotero.org/users/4515386/items/NFXZFKE2"],"uri":["http://zotero.org/users/4515386/items/NFXZFKE2"],"itemData":{"id":190,"type":"article-journal","title":"Telomere measurement by quantitative PCR","container-title":"Nucleic Acids Research","page":"e47","volume":"30","issue":"10","source":"PubMed Central","abstract":"It has long been presumed impossible to measure telomeres in vertebrate DNA by PCR amplification with oligonucleotide primers designed to hybridize to the TTAGGG and CCCTAA repeats, because only primer dimer-derived products are expected. Here we present a primer pair that eliminates this problem, allowing simple and rapid measurement of telomeres in a closed tube, fluorescence-based assay. This assay will facilitate investigations of the biology of telomeres and the roles they play in the molecular pathophysiology of diseases and aging.","ISSN":"0305-1048","note":"PMID: 12000852\nPMCID: PMC115301","journalAbbreviation":"Nucleic Acids Res","author":[{"family":"Cawthon","given":"Richard M."}],"issued":{"date-parts":[["2002",5,15]]}}}],"schema":"https://github.com/citation-style-language/schema/raw/master/csl-citation.json"} </w:instrText>
      </w:r>
      <w:r w:rsidR="00E347BF">
        <w:fldChar w:fldCharType="separate"/>
      </w:r>
      <w:r w:rsidR="00DB5B72" w:rsidRPr="00DB5B72">
        <w:t>(Cawthon 2002)</w:t>
      </w:r>
      <w:r w:rsidR="00E347BF">
        <w:fldChar w:fldCharType="end"/>
      </w:r>
      <w:r w:rsidR="00D52398">
        <w:t xml:space="preserve">. </w:t>
      </w:r>
    </w:p>
    <w:p w:rsidR="00E7492C" w:rsidRDefault="0061376A" w:rsidP="00917FA3">
      <w:pPr>
        <w:spacing w:line="480" w:lineRule="auto"/>
        <w:contextualSpacing/>
        <w:jc w:val="both"/>
      </w:pPr>
      <w:r>
        <w:tab/>
        <w:t xml:space="preserve">In another study, </w:t>
      </w:r>
      <w:r w:rsidR="007F6425">
        <w:t>22</w:t>
      </w:r>
      <w:r>
        <w:t xml:space="preserve"> healthy non-smoking </w:t>
      </w:r>
      <w:r w:rsidR="007B0247">
        <w:t>males</w:t>
      </w:r>
      <w:r>
        <w:t xml:space="preserve"> with the average age of 24.1 with a standard deviation of 1.5 years endured a treadmill-based peak oxygen uptake test</w:t>
      </w:r>
      <w:r w:rsidR="007F6425">
        <w:t>.T</w:t>
      </w:r>
      <w:r>
        <w:t xml:space="preserve">he subjects ran at 10 km/h which </w:t>
      </w:r>
      <w:r w:rsidR="00CD7D56">
        <w:t xml:space="preserve">was </w:t>
      </w:r>
      <w:r>
        <w:t xml:space="preserve">increased in speed by 1km/h every minute. The </w:t>
      </w:r>
      <w:r>
        <w:lastRenderedPageBreak/>
        <w:t xml:space="preserve">subjects ran until volitional failure was evident and monitored oxygen dynamics showed levelling-off despite increased work rates. </w:t>
      </w:r>
      <w:r w:rsidR="009F17B8">
        <w:t xml:space="preserve">Participants refrained from </w:t>
      </w:r>
      <w:r w:rsidR="00912CFE">
        <w:t>vigorous</w:t>
      </w:r>
      <w:r w:rsidR="009F17B8">
        <w:t xml:space="preserve"> physical exercise for the following 48 hours</w:t>
      </w:r>
      <w:r w:rsidR="007E5C0A">
        <w:t xml:space="preserve">, </w:t>
      </w:r>
      <w:r w:rsidR="009F17B8">
        <w:t xml:space="preserve">a blood test was taken and the results showed that there was an upregulation in </w:t>
      </w:r>
      <w:r w:rsidR="009F17B8" w:rsidRPr="00FD3584">
        <w:rPr>
          <w:i/>
        </w:rPr>
        <w:t>TERT</w:t>
      </w:r>
      <w:r w:rsidR="009F17B8">
        <w:t xml:space="preserve"> mRNA</w:t>
      </w:r>
      <w:r w:rsidR="00990DC3">
        <w:t xml:space="preserve"> in white blood cells</w:t>
      </w:r>
      <w:r w:rsidR="009F17B8">
        <w:t xml:space="preserve"> which is known to play a role in telomere maintenance. </w:t>
      </w:r>
      <w:r w:rsidR="007B0247">
        <w:t xml:space="preserve">An exercise-induced regulation of telomeric genes and miRNA was found to be a factor in linking physical activity and telomeres </w:t>
      </w:r>
      <w:r w:rsidR="00E347BF" w:rsidRPr="007B0247">
        <w:fldChar w:fldCharType="begin"/>
      </w:r>
      <w:r w:rsidR="00974631">
        <w:instrText xml:space="preserve"> ADDIN ZOTERO_ITEM CSL_CITATION {"citationID":"a1hhb034crd","properties":{"formattedCitation":"(Ludlow et al. 2017)","plainCitation":"(Ludlow et al. 2017)","noteIndex":0},"citationItems":[{"id":5,"uris":["http://zotero.org/users/4515386/items/6HZM5VSS"],"uri":["http://zotero.org/users/4515386/items/6HZM5VSS"],"itemData":{"id":5,"type":"article-journal","title":"Acute exercise activates p38 MAPK and increases the expression of telomere-protective genes in cardiac muscle","container-title":"Experimental Physiology","page":"397-410","volume":"102","issue":"4","source":"PubMed","abstract":"NEW FINDINGS: What is the central question of this study? A positive association between telomere length and exercise training has been shown in cardiac tissue of mice. It is currently unknown how each bout of exercise influences telomere-length-regulating proteins. We sought to determine how a bout of exercise altered the expression of telomere-length-regulating genes and a related signalling pathway in cardiac tissue of mice. What is the main finding and its importance? Acute exercise altered the expression of telomere-length-regulating genes in cardiac tissue and might be related to altered mitogen-activated protein kinase signalling. These findings are important in understanding how exercise provides a cardioprotective phenotype with ageing. Age is the greatest risk factor for cardiovascular disease. Telomere length is shorter in the hearts of aged mice compared with young mice, and short telomere length has been associated with an increased risk of cardiovascular disease. One year of voluntary wheel-running exercise attenuates the age-associated loss of telomere length and results in altered gene expression of telomere-length-maintaining and genome-stabilizing proteins in heart tissue of mice. Understanding the early adaptive response of the heart to an endurance exercise bout is paramount to understanding the impact of endurance exercise on heart tissue and cells. To this end, we studied mice before (BL), immediately after (TP1) and 1 h after a treadmill running bout (TP2). We measured the changes in expression of telomere-related genes (shelterin components), DNA-damage-sensing (p53 and Chk2) and DNA-repair genes (Ku70 and Ku80) and mitogen-activated protein kinase (MAPK) signalling. The TP1 animals had increased TRF1 and TRF2 protein and mRNA levels, greater expression of DNA-repair and -response genes (Chk2 and Ku80) and greater protein content of phosphorylated p38 MAPK compared with both BL and TP2 animals. These data provide insights into how physiological stressors remodel the heart tissue and how an early adaptive response mediated by exercise may be maintaining telomere length and/or stabilizing the heart genome through the upregulation of telomere-protective genes.","DOI":"10.1113/EP086189","ISSN":"1469-445X","note":"PMID: 28166612\nPMCID: PMC5378631","journalAbbreviation":"Exp. Physiol.","language":"eng","author":[{"family":"Ludlow","given":"Andrew T."},{"family":"Gratidão","given":"Laila"},{"family":"Ludlow","given":"Lindsay W."},{"family":"Spangenburg","given":"Espen E."},{"family":"Roth","given":"Stephen M."}],"issued":{"date-parts":[["2017",4,1]]}}}],"schema":"https://github.com/citation-style-language/schema/raw/master/csl-citation.json"} </w:instrText>
      </w:r>
      <w:r w:rsidR="00E347BF" w:rsidRPr="007B0247">
        <w:fldChar w:fldCharType="separate"/>
      </w:r>
      <w:r w:rsidR="000A43EF" w:rsidRPr="000A43EF">
        <w:t>(Ludlow et al. 2017)</w:t>
      </w:r>
      <w:r w:rsidR="00E347BF" w:rsidRPr="007B0247">
        <w:fldChar w:fldCharType="end"/>
      </w:r>
      <w:r w:rsidR="007B0247" w:rsidRPr="007B0247">
        <w:t>.</w:t>
      </w:r>
      <w:r w:rsidR="00DA609C">
        <w:t xml:space="preserve">This study claims to be the first to report an upregulation of </w:t>
      </w:r>
      <w:r w:rsidR="00DA609C" w:rsidRPr="00DA609C">
        <w:rPr>
          <w:i/>
        </w:rPr>
        <w:t>TERT</w:t>
      </w:r>
      <w:r w:rsidR="00DA609C">
        <w:t xml:space="preserve"> mRNA after acute aerobic exercise</w:t>
      </w:r>
      <w:r w:rsidR="00705EFB">
        <w:t>.</w:t>
      </w:r>
    </w:p>
    <w:p w:rsidR="007A5EC6" w:rsidRDefault="00751AB6" w:rsidP="00917FA3">
      <w:pPr>
        <w:spacing w:line="480" w:lineRule="auto"/>
        <w:contextualSpacing/>
        <w:jc w:val="both"/>
      </w:pPr>
      <w:r>
        <w:tab/>
        <w:t xml:space="preserve">Another study done </w:t>
      </w:r>
      <w:r w:rsidR="00852C3D">
        <w:t>using</w:t>
      </w:r>
      <w:r>
        <w:t xml:space="preserve"> 20 men was performed by measuring their VO2</w:t>
      </w:r>
      <w:r w:rsidRPr="00852C3D">
        <w:rPr>
          <w:vertAlign w:val="subscript"/>
        </w:rPr>
        <w:t xml:space="preserve">max </w:t>
      </w:r>
      <w:r>
        <w:t xml:space="preserve">which measures the maximum amount of oxygen an individual utilizes during intense exercise per minute per kilogram body weight. The study measured their telomere length by the use of RT qPCR, the mean telomere length was calculated (telomere/ single copy gene-ratio). The results </w:t>
      </w:r>
      <w:r w:rsidR="00852C3D">
        <w:t xml:space="preserve">as presented in Fig. 2 </w:t>
      </w:r>
      <w:r>
        <w:t xml:space="preserve">show the mean telomere length was longer in athletes of all ages when compared to their counterparts </w:t>
      </w:r>
      <w:r w:rsidR="00E347BF">
        <w:fldChar w:fldCharType="begin"/>
      </w:r>
      <w:r w:rsidR="00DB5B72">
        <w:instrText xml:space="preserve"> ADDIN ZOTERO_ITEM CSL_CITATION {"citationID":"TVntINSa","properties":{"formattedCitation":"(\\uc0\\u216{}sthus et al. 2012)","plainCitation":"(Østhus et al. 2012)","noteIndex":0},"citationItems":[{"id":187,"uris":["http://zotero.org/users/4515386/items/2VW73VYD"],"uri":["http://zotero.org/users/4515386/items/2VW73VYD"],"itemData":{"id":187,"type":"article-journal","title":"Telomere Length and Long-Term Endurance Exercise: Does Exercise Training Affect Biological Age? A Pilot Study","container-title":"PLoS ONE","volume":"7","issue":"12","source":"PubMed Central","abstract":"Background\nTelomeres are potential markers of mitotic cellular age and are associated with physical ageing process. Long-term endurance training and higher aerobic exercise capacity (VO2max) are associated with improved survival, and dynamic effects of exercise are evident with ageing. However, the association of telomere length with exercise training and VO2max has so far been inconsistent. Our aim was to assess whether muscle telomere length is associated with endurance exercise training and VO2max in younger and older people.\n\nMethods\nTwenty men; 10 young (22–27 years) and 10 old (66–77 years), were studied in this cross-sectional study. Five out of 10 young adults and 5 out of 10 older were endurance athletes, while other halves were exercising at a medium level of activity. Mean telomere length was measured as telomere/single copy gene-ratio (T/S-ratio) using quantitative real time polymerase chain reaction. VO2max was measured directly running on a treadmill.\n\nResults\nOlder endurance trained athletes had longer telomere length compared with older people with medium activity levels (T/S ratio 1.12±0.1 vs. 0.92±0.2, p = 0.04). Telomere length of young endurance trained athletes was not different than young non-athletes (1.47±0.2 vs. 1.33±0.1, p = 0.12). Overall, there was a positive association between T/S ratio and VO2max (r = 0.70, p = 0.001). Among endurance trained athletes, we found a strong correlation between VO2max and T/S ratio (r = 0.78, p = 0.02). However, corresponding association among non-athlete participants was relatively weak (r = 0.58, p = 0.09).\n\nConclusion\nOur data suggest that VO2max is positively associated with telomere length, and we found that long-term endurance exercise training may provide a protective effect on muscle telomere length in older people.","URL":"https://www.ncbi.nlm.nih.gov/pmc/articles/PMC3530492/","DOI":"10.1371/journal.pone.0052769","ISSN":"1932-6203","note":"PMID: 23300766\nPMCID: PMC3530492","shortTitle":"Telomere Length and Long-Term Endurance Exercise","journalAbbreviation":"PLoS One","author":[{"family":"Østhus","given":"Ida Beate Ø."},{"family":"Sgura","given":"Antonella"},{"family":"Berardinelli","given":"Francesco"},{"family":"Alsnes","given":"Ingvild Vatten"},{"family":"Brønstad","given":"Eivind"},{"family":"Rehn","given":"Tommy"},{"family":"Støbakk","given":"Per Kristian"},{"family":"Hatle","given":"Håvard"},{"family":"Wisløff","given":"Ulrik"},{"family":"Nauman","given":"Javaid"}],"issued":{"date-parts":[["2012",12,26]]},"accessed":{"date-parts":[["2018",7,31]]}}}],"schema":"https://github.com/citation-style-language/schema/raw/master/csl-citation.json"} </w:instrText>
      </w:r>
      <w:r w:rsidR="00E347BF">
        <w:fldChar w:fldCharType="separate"/>
      </w:r>
      <w:r w:rsidR="00DB5B72" w:rsidRPr="00DB5B72">
        <w:t>(Østhus et al. 2012)</w:t>
      </w:r>
      <w:r w:rsidR="00E347BF">
        <w:fldChar w:fldCharType="end"/>
      </w:r>
      <w:r>
        <w:t xml:space="preserve">. </w:t>
      </w:r>
    </w:p>
    <w:p w:rsidR="00385284" w:rsidRDefault="00385284" w:rsidP="00917FA3">
      <w:pPr>
        <w:spacing w:line="480" w:lineRule="auto"/>
        <w:contextualSpacing/>
        <w:jc w:val="both"/>
      </w:pPr>
      <w:r w:rsidRPr="00385284">
        <w:rPr>
          <w:noProof/>
        </w:rPr>
        <w:lastRenderedPageBreak/>
        <w:drawing>
          <wp:inline distT="0" distB="0" distL="0" distR="0">
            <wp:extent cx="5533390" cy="4514850"/>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33390" cy="4514850"/>
                    </a:xfrm>
                    <a:prstGeom prst="rect">
                      <a:avLst/>
                    </a:prstGeom>
                  </pic:spPr>
                </pic:pic>
              </a:graphicData>
            </a:graphic>
          </wp:inline>
        </w:drawing>
      </w:r>
    </w:p>
    <w:p w:rsidR="00385284" w:rsidRDefault="00385284" w:rsidP="00D52398">
      <w:pPr>
        <w:jc w:val="both"/>
      </w:pPr>
      <w:r>
        <w:t xml:space="preserve">Figure </w:t>
      </w:r>
      <w:r w:rsidR="00277D7C">
        <w:t>2</w:t>
      </w:r>
      <w:r>
        <w:t xml:space="preserve">.  Telomere length </w:t>
      </w:r>
      <w:r w:rsidR="00D52398">
        <w:t xml:space="preserve">expressed as T/S ratio shows the comparison between athletes and non-athletes by age groups. </w:t>
      </w:r>
      <w:r w:rsidR="00E347BF">
        <w:fldChar w:fldCharType="begin"/>
      </w:r>
      <w:r w:rsidR="00D5744F">
        <w:instrText xml:space="preserve"> ADDIN ZOTERO_ITEM CSL_CITATION {"citationID":"hrbvKuT1","properties":{"formattedCitation":"(\\uc0\\u216{}sthus et al. 2012)","plainCitation":"(Østhus et al. 2012)","noteIndex":0},"citationItems":[{"id":187,"uris":["http://zotero.org/users/4515386/items/2VW73VYD"],"uri":["http://zotero.org/users/4515386/items/2VW73VYD"],"itemData":{"id":187,"type":"article-journal","title":"Telomere Length and Long-Term Endurance Exercise: Does Exercise Training Affect Biological Age? A Pilot Study","container-title":"PLoS ONE","volume":"7","issue":"12","source":"PubMed Central","abstract":"Background\nTelomeres are potential markers of mitotic cellular age and are associated with physical ageing process. Long-term endurance training and higher aerobic exercise capacity (VO2max) are associated with improved survival, and dynamic effects of exercise are evident with ageing. However, the association of telomere length with exercise training and VO2max has so far been inconsistent. Our aim was to assess whether muscle telomere length is associated with endurance exercise training and VO2max in younger and older people.\n\nMethods\nTwenty men; 10 young (22–27 years) and 10 old (66–77 years), were studied in this cross-sectional study. Five out of 10 young adults and 5 out of 10 older were endurance athletes, while other halves were exercising at a medium level of activity. Mean telomere length was measured as telomere/single copy gene-ratio (T/S-ratio) using quantitative real time polymerase chain reaction. VO2max was measured directly running on a treadmill.\n\nResults\nOlder endurance trained athletes had longer telomere length compared with older people with medium activity levels (T/S ratio 1.12±0.1 vs. 0.92±0.2, p = 0.04). Telomere length of young endurance trained athletes was not different than young non-athletes (1.47±0.2 vs. 1.33±0.1, p = 0.12). Overall, there was a positive association between T/S ratio and VO2max (r = 0.70, p = 0.001). Among endurance trained athletes, we found a strong correlation between VO2max and T/S ratio (r = 0.78, p = 0.02). However, corresponding association among non-athlete participants was relatively weak (r = 0.58, p = 0.09).\n\nConclusion\nOur data suggest that VO2max is positively associated with telomere length, and we found that long-term endurance exercise training may provide a protective effect on muscle telomere length in older people.","URL":"https://www.ncbi.nlm.nih.gov/pmc/articles/PMC3530492/","DOI":"10.1371/journal.pone.0052769","ISSN":"1932-6203","note":"PMID: 23300766\nPMCID: PMC3530492","shortTitle":"Telomere Length and Long-Term Endurance Exercise","journalAbbreviation":"PLoS One","author":[{"family":"Østhus","given":"Ida Beate Ø."},{"family":"Sgura","given":"Antonella"},{"family":"Berardinelli","given":"Francesco"},{"family":"Alsnes","given":"Ingvild Vatten"},{"family":"Brønstad","given":"Eivind"},{"family":"Rehn","given":"Tommy"},{"family":"Støbakk","given":"Per Kristian"},{"family":"Hatle","given":"Håvard"},{"family":"Wisløff","given":"Ulrik"},{"family":"Nauman","given":"Javaid"}],"issued":{"date-parts":[["2012",12,26]]},"accessed":{"date-parts":[["2018",7,31]]}}}],"schema":"https://github.com/citation-style-language/schema/raw/master/csl-citation.json"} </w:instrText>
      </w:r>
      <w:r w:rsidR="00E347BF">
        <w:fldChar w:fldCharType="separate"/>
      </w:r>
      <w:r w:rsidR="00D5744F" w:rsidRPr="00D5744F">
        <w:t>(Østhus et al. 2012)</w:t>
      </w:r>
      <w:r w:rsidR="00E347BF">
        <w:fldChar w:fldCharType="end"/>
      </w:r>
    </w:p>
    <w:p w:rsidR="00385284" w:rsidRDefault="00385284" w:rsidP="00917FA3">
      <w:pPr>
        <w:spacing w:line="480" w:lineRule="auto"/>
        <w:contextualSpacing/>
        <w:jc w:val="both"/>
      </w:pPr>
    </w:p>
    <w:p w:rsidR="00C67326" w:rsidRDefault="0062272C" w:rsidP="00917FA3">
      <w:pPr>
        <w:spacing w:line="480" w:lineRule="auto"/>
        <w:contextualSpacing/>
        <w:jc w:val="both"/>
      </w:pPr>
      <w:r>
        <w:tab/>
        <w:t xml:space="preserve">HSkMC have been used in multiple studies pertaining to signaling pathways related to insulin use </w:t>
      </w:r>
      <w:r w:rsidR="00E347BF">
        <w:fldChar w:fldCharType="begin"/>
      </w:r>
      <w:r w:rsidR="00443527">
        <w:instrText xml:space="preserve"> ADDIN ZOTERO_ITEM CSL_CITATION {"citationID":"uvTKPpFD","properties":{"formattedCitation":"(Lambernd et al. 2012)","plainCitation":"(Lambernd et al. 2012)","noteIndex":0},"citationItems":[{"id":172,"uris":["http://zotero.org/users/4515386/items/75U6XCD4"],"uri":["http://zotero.org/users/4515386/items/75U6XCD4"],"itemData":{"id":172,"type":"article-journal","title":"Contractile activity of human skeletal muscle cells prevents insulin resistance by inhibiting pro-inflammatory signalling pathways","container-title":"Diabetologia","page":"1128-39","volume":"55","source":"ResearchGate","abstract":"Obesity is closely associated with muscle insulin resistance and is a major risk factor for the pathogenesis of type 2 diabetes. Regular physical activity not only prevents obesity, but also considerably improves insulin sensitivity and skeletal muscle metabolism. We sought to establish and characterise an in vitro model of human skeletal muscle contraction, with a view to directly studying the signalling pathways and mechanisms that are involved in the beneficial effects of muscle activity.\nContracting human skeletal muscle cell cultures were established by applying electrical pulse stimulation. To induce insulin resistance, skeletal muscle cells were incubated with human adipocyte-derived conditioned medium, monocyte chemotactic protein (MCP)-1 and chemerin.\nSimilarly to in exercising skeletal muscle in vivo, electrical pulse stimulation induced contractile activity in human skeletal muscle cells, combined with the formation of sarcomeres, activation of AMP-activated protein kinase (AMPK) and increased IL-6 secretion. Insulin-stimulated glucose uptake was substantially elevated in contracting cells compared with control. The incubation of skeletal muscle cells with adipocyte-conditioned media, chemerin and MCP-1 significantly reduced the insulin-stimulated phosphorylation of Akt. This effect was abrogated by concomitant pulse stimulation of the cells. Additionally, pro-inflammatory signalling by adipocyte-derived factors was completely prevented by electrical pulse stimulation of the myotubes.\nWe showed that the effects of electrical pulse stimulation on skeletal muscle cells were similar to the effect of exercise on skeletal muscle in vivo in terms of enhanced AMPK activation and IL-6 secretion. In our model, muscle contractile activity eliminates insulin resistance by blocking pro-inflammatory signalling pathways. This novel model therefore provides a unique tool for investigating the molecular mechanisms that mediate the beneficial effects of muscle contraction.","DOI":"10.1007/s00125-012-2454-z","author":[{"family":"Lambernd","given":"S"},{"family":"Taube","given":"A"},{"family":"Schober","given":"A"},{"family":"Platzbecker","given":"B"},{"family":"Görgens","given":"Sven"},{"family":"Schlich","given":"R"},{"family":"Jeruschke","given":"Kay"},{"family":"Weiss","given":"Jürgen"},{"family":"Eckardt","given":"Kristin"},{"family":"Eckel","given":"J"}],"issued":{"date-parts":[["2012",4,1]]}}}],"schema":"https://github.com/citation-style-language/schema/raw/master/csl-citation.json"} </w:instrText>
      </w:r>
      <w:r w:rsidR="00E347BF">
        <w:fldChar w:fldCharType="separate"/>
      </w:r>
      <w:r w:rsidR="00443527" w:rsidRPr="00443527">
        <w:t>(Lambernd et al. 2012)</w:t>
      </w:r>
      <w:r w:rsidR="00E347BF">
        <w:fldChar w:fldCharType="end"/>
      </w:r>
      <w:r>
        <w:t xml:space="preserve"> and the use of different metabolic pathways during exercise </w:t>
      </w:r>
      <w:r w:rsidR="00E347BF">
        <w:fldChar w:fldCharType="begin"/>
      </w:r>
      <w:r w:rsidR="00443527">
        <w:instrText xml:space="preserve"> ADDIN ZOTERO_ITEM CSL_CITATION {"citationID":"WtBCViDz","properties":{"formattedCitation":"(Boyle et al. 2017)","plainCitation":"(Boyle et al. 2017)","noteIndex":0},"citationItems":[{"id":175,"uris":["http://zotero.org/users/4515386/items/2VFDMCCN"],"uri":["http://zotero.org/users/4515386/items/2VFDMCCN"],"itemData":{"id":175,"type":"article-journal","title":"Metabolic Inflexibility with Obesity and the Effects of Fenofibrate on Skeletal Muscle Fatty Acid Oxidation","container-title":"Hormone and Metabolic Research","page":"50-57","volume":"49","issue":"1","source":"www.thieme-connect.com","abstract":"This study was designed to investigate mechanisms of lipid metabolic inflexibility in human obesity and the ability of fenofibrate (FENO) to increase skeletal muscle fatty acid oxidation (FAO) in primary human skeletal muscle cell cultures (HSkMC) exhibiting metabolic inflexibility. HSkMC from 10 lean and 10 obese, insulin resistant subjects were treated with excess fatty acid for 24 h (24hFA) to gauge lipid-related metabolic flexibility. Metabolically inflexible HSkMC from obese individuals were then treated with 24hFA in combination with FENO to determine effectiveness for increasing FAO. Mitochondrial enzyme activity and FAO were measured in skeletal muscle from subjects with prediabetes (n=11) before and after 10 weeks of fenofibrate in vivo. 24hFA increased FAO to a greater extent in HSkMC from lean versus obese subjects (+49% vs. +9%, for lean vs. obese, respectively; p&lt;0.05) indicating metabolic inflexibility with obesity. Metabolic inflexibility was not observed for measures of cellular respiration in permeabilized cells using carbohydrate substrate. Fenofibrate co-incubation with 24hFA, increased FAO in a subset of HSkMC from metabolically inflexible, obese subjects (p&lt;0.05), which was eliminated by PPARα antagonist. In vivo, fenofibrate treatment increased skeletal muscle FAO in a subset of subjects with prediabetes but did not affect gene transcription or mitochondrial enzyme activity. Lipid metabolic inflexibility observed in HSkMC from obese subjects is not due to differences in electron transport flux, but rather upstream decrements in lipid metabolism. Fenofibrate increases the capacity for FAO in human skeletal muscle cells, though its role in skeletal muscle metabolism in vivo remains unclear.","DOI":"10.1055/s-0042-111517","ISSN":"0018-5043, 1439-4286","journalAbbreviation":"Horm Metab Res","language":"en","author":[{"family":"Boyle","given":"Kristen E."},{"family":"Friedman","given":"Jacob E."},{"family":"Janssen","given":"Rachel C."},{"family":"Underkofler","given":"Chantal"},{"family":"Houmard","given":"Joseph A."},{"family":"Rasouli","given":"Neda"}],"issued":{"date-parts":[["2017",1]]}}}],"schema":"https://github.com/citation-style-language/schema/raw/master/csl-citation.json"} </w:instrText>
      </w:r>
      <w:r w:rsidR="00E347BF">
        <w:fldChar w:fldCharType="separate"/>
      </w:r>
      <w:r w:rsidR="00443527" w:rsidRPr="00443527">
        <w:t>(Boyle et al. 2017)</w:t>
      </w:r>
      <w:r w:rsidR="00E347BF">
        <w:fldChar w:fldCharType="end"/>
      </w:r>
      <w:r>
        <w:t xml:space="preserve">. </w:t>
      </w:r>
      <w:r w:rsidR="001562CF">
        <w:t xml:space="preserve">HSkMC is </w:t>
      </w:r>
      <w:r w:rsidR="00C67326">
        <w:t xml:space="preserve">isolated from skeletal muscles from the limbs of adult donors and can undergo differentiation to </w:t>
      </w:r>
      <w:r w:rsidR="00705EFB">
        <w:t>form</w:t>
      </w:r>
      <w:r w:rsidR="00C67326">
        <w:t xml:space="preserve"> actin and myosin myofilaments. HSkMC was used in a EPS model </w:t>
      </w:r>
      <w:r w:rsidR="00E347BF">
        <w:fldChar w:fldCharType="begin"/>
      </w:r>
      <w:r w:rsidR="00DB5B72">
        <w:instrText xml:space="preserve"> ADDIN ZOTERO_ITEM CSL_CITATION {"citationID":"V6j8tZD8","properties":{"formattedCitation":"(Nikoli\\uc0\\u263{} et al. 2012)","plainCitation":"(Nikolić et al. 2012)","noteIndex":0},"citationItems":[{"id":183,"uris":["http://zotero.org/users/4515386/items/BVK5CAJX"],"uri":["http://zotero.org/users/4515386/items/BVK5CAJX"],"itemData":{"id":183,"type":"article-journal","title":"Electrical Pulse Stimulation of Cultured Human Skeletal Muscle Cells as an In Vitro Model of Exercise","container-title":"PLoS ONE","volume":"7","issue":"3","source":"PubMed Central","abstract":"Background and Aims\nPhysical exercise leads to substantial adaptive responses in skeletal muscles and plays a central role in a healthy life style. Since exercise induces major systemic responses, underlying cellular mechanisms are difficult to study in vivo. It was therefore desirable to develop an in vitro model that would resemble training in cultured human myotubes.\n\nMethods\nElectrical pulse stimulation (EPS) was applied to adherent human myotubes. Cellular contents of ATP, phosphocreatine (PCr) and lactate were determined. Glucose and oleic acid metabolism were studied using radio-labeled substrates, and gene expression was analyzed using real-time RT-PCR. Mitochondrial content and function were measured by live imaging and determination of citrate synthase activity, respectively. Protein expression was assessed by electrophoresis and immunoblotting.\n\nResults\nHigh-frequency, acute EPS increased deoxyglucose uptake and lactate production, while cell contents of both ATP and PCr decreased. Chronic, low-frequency EPS increased oxidative capacity of cultured myotubes by increasing glucose metabolism (uptake and oxidation) and complete fatty acid oxidation. mRNA expression level of pyruvate dehydrogenase complex 4 (PDK4) was significantly increased in EPS-treated cells, while mRNA expressions of interleukin 6 (IL-6), cytochrome C and carnitin palmitoyl transferase b (CPT1b) also tended to increase. Intensity of MitoTracker®Red FM was doubled after 48 h of chronic, low-frequency EPS. Protein expression of a slow fiber type marker (MHCI) was increased in EPS-treated cells.\n\nConclusions\nOur results imply that in vitro EPS (acute, high-frequent as well as chronic, low-frequent) of human myotubes may be used to study effects of exercise.","URL":"https://www.ncbi.nlm.nih.gov/pmc/articles/PMC3310863/","DOI":"10.1371/journal.pone.0033203","ISSN":"1932-6203","note":"PMID: 22457744\nPMCID: PMC3310863","journalAbbreviation":"PLoS One","author":[{"family":"Nikolić","given":"Nataša"},{"family":"Skaret Bakke","given":"Siril"},{"family":"Tranheim Kase","given":"Eili"},{"family":"Rudberg","given":"Ida"},{"family":"Flo Halle","given":"Ingeborg"},{"family":"Rustan","given":"Arild C."},{"family":"Thoresen","given":"G. Hege"},{"family":"Aas","given":"Vigdis"}],"issued":{"date-parts":[["2012",3,22]]},"accessed":{"date-parts":[["2018",7,20]]}}}],"schema":"https://github.com/citation-style-language/schema/raw/master/csl-citation.json"} </w:instrText>
      </w:r>
      <w:r w:rsidR="00E347BF">
        <w:fldChar w:fldCharType="separate"/>
      </w:r>
      <w:r w:rsidR="00DB5B72" w:rsidRPr="00DB5B72">
        <w:t>(Nikolić et al. 2012)</w:t>
      </w:r>
      <w:r w:rsidR="00E347BF">
        <w:fldChar w:fldCharType="end"/>
      </w:r>
      <w:r w:rsidR="00C67326">
        <w:t xml:space="preserve"> to invent a way of testing exercise models in an in vitro setting. Due to many other factors influencing </w:t>
      </w:r>
      <w:r w:rsidR="00705EFB">
        <w:t>the cell in an in vivo setting</w:t>
      </w:r>
      <w:r w:rsidR="00C67326">
        <w:t xml:space="preserve">, EPS caused a rise in exercise byproduct in vitro. Glucose metabolism increased post EPS where ATP, phosphocreatine and lactate were measured. </w:t>
      </w:r>
      <w:r w:rsidR="00843220">
        <w:lastRenderedPageBreak/>
        <w:t xml:space="preserve">EPS was also determined to not have any toxic effects on the cultured myotubes </w:t>
      </w:r>
      <w:r w:rsidR="00E347BF">
        <w:fldChar w:fldCharType="begin"/>
      </w:r>
      <w:r w:rsidR="00DB5B72">
        <w:instrText xml:space="preserve"> ADDIN ZOTERO_ITEM CSL_CITATION {"citationID":"EbrDTM9P","properties":{"formattedCitation":"(Nikoli\\uc0\\u263{} et al. 2012)","plainCitation":"(Nikolić et al. 2012)","noteIndex":0},"citationItems":[{"id":183,"uris":["http://zotero.org/users/4515386/items/BVK5CAJX"],"uri":["http://zotero.org/users/4515386/items/BVK5CAJX"],"itemData":{"id":183,"type":"article-journal","title":"Electrical Pulse Stimulation of Cultured Human Skeletal Muscle Cells as an In Vitro Model of Exercise","container-title":"PLoS ONE","volume":"7","issue":"3","source":"PubMed Central","abstract":"Background and Aims\nPhysical exercise leads to substantial adaptive responses in skeletal muscles and plays a central role in a healthy life style. Since exercise induces major systemic responses, underlying cellular mechanisms are difficult to study in vivo. It was therefore desirable to develop an in vitro model that would resemble training in cultured human myotubes.\n\nMethods\nElectrical pulse stimulation (EPS) was applied to adherent human myotubes. Cellular contents of ATP, phosphocreatine (PCr) and lactate were determined. Glucose and oleic acid metabolism were studied using radio-labeled substrates, and gene expression was analyzed using real-time RT-PCR. Mitochondrial content and function were measured by live imaging and determination of citrate synthase activity, respectively. Protein expression was assessed by electrophoresis and immunoblotting.\n\nResults\nHigh-frequency, acute EPS increased deoxyglucose uptake and lactate production, while cell contents of both ATP and PCr decreased. Chronic, low-frequency EPS increased oxidative capacity of cultured myotubes by increasing glucose metabolism (uptake and oxidation) and complete fatty acid oxidation. mRNA expression level of pyruvate dehydrogenase complex 4 (PDK4) was significantly increased in EPS-treated cells, while mRNA expressions of interleukin 6 (IL-6), cytochrome C and carnitin palmitoyl transferase b (CPT1b) also tended to increase. Intensity of MitoTracker®Red FM was doubled after 48 h of chronic, low-frequency EPS. Protein expression of a slow fiber type marker (MHCI) was increased in EPS-treated cells.\n\nConclusions\nOur results imply that in vitro EPS (acute, high-frequent as well as chronic, low-frequent) of human myotubes may be used to study effects of exercise.","URL":"https://www.ncbi.nlm.nih.gov/pmc/articles/PMC3310863/","DOI":"10.1371/journal.pone.0033203","ISSN":"1932-6203","note":"PMID: 22457744\nPMCID: PMC3310863","journalAbbreviation":"PLoS One","author":[{"family":"Nikolić","given":"Nataša"},{"family":"Skaret Bakke","given":"Siril"},{"family":"Tranheim Kase","given":"Eili"},{"family":"Rudberg","given":"Ida"},{"family":"Flo Halle","given":"Ingeborg"},{"family":"Rustan","given":"Arild C."},{"family":"Thoresen","given":"G. Hege"},{"family":"Aas","given":"Vigdis"}],"issued":{"date-parts":[["2012",3,22]]},"accessed":{"date-parts":[["2018",7,20]]}}}],"schema":"https://github.com/citation-style-language/schema/raw/master/csl-citation.json"} </w:instrText>
      </w:r>
      <w:r w:rsidR="00E347BF">
        <w:fldChar w:fldCharType="separate"/>
      </w:r>
      <w:r w:rsidR="00DB5B72" w:rsidRPr="00DB5B72">
        <w:t>(Nikolić et al. 2012)</w:t>
      </w:r>
      <w:r w:rsidR="00E347BF">
        <w:fldChar w:fldCharType="end"/>
      </w:r>
      <w:r w:rsidR="00843220">
        <w:t>.</w:t>
      </w:r>
    </w:p>
    <w:p w:rsidR="002827BB" w:rsidRDefault="0062272C" w:rsidP="00843220">
      <w:pPr>
        <w:spacing w:line="480" w:lineRule="auto"/>
        <w:ind w:firstLine="720"/>
        <w:contextualSpacing/>
        <w:jc w:val="both"/>
      </w:pPr>
      <w:r>
        <w:t>Due to</w:t>
      </w:r>
      <w:r w:rsidR="00705EFB">
        <w:t xml:space="preserve"> the new techniques to study the link </w:t>
      </w:r>
      <w:r>
        <w:t>between exercise and telomeres</w:t>
      </w:r>
      <w:r w:rsidR="00705EFB">
        <w:t xml:space="preserve">, literature using HSkMC and EPS </w:t>
      </w:r>
      <w:r w:rsidR="00926509">
        <w:t>as a telomere model is unavailable</w:t>
      </w:r>
      <w:r>
        <w:t xml:space="preserve">. HSkMC have been a model used for premature ageing in chronic obstructive pulmonary disease (COPD) by the use of measuring telomeres </w:t>
      </w:r>
      <w:r w:rsidR="00443527">
        <w:t xml:space="preserve">by qPCR to determine the accelerated ageing of skeletal muscle </w:t>
      </w:r>
      <w:r w:rsidR="00E347BF">
        <w:fldChar w:fldCharType="begin"/>
      </w:r>
      <w:r w:rsidR="00443527">
        <w:instrText xml:space="preserve"> ADDIN ZOTERO_ITEM CSL_CITATION {"citationID":"toYzRyIC","properties":{"formattedCitation":"(Lahkdar et al. 2014)","plainCitation":"(Lahkdar et al. 2014)","noteIndex":0},"citationItems":[{"id":177,"uris":["http://zotero.org/users/4515386/items/UWDDCKZQ"],"uri":["http://zotero.org/users/4515386/items/UWDDCKZQ"],"itemData":{"id":177,"type":"article-journal","title":"S143 Premature Ageing And Skeletal Muscle Dysfunction In Copd Patients: Development Of A Cell Culture Model","container-title":"Thorax","page":"A76-A76","volume":"69","issue":"Suppl 2","source":"thorax.bmj.com","abstract":"Introduction COPD is a disease of accelerated ageing, as increased cellular-ageing (senescence) occurs in the lungs of these patients. We aim at developing a primary skeletal muscle cell culture (Human skeletal muscle satellite cells [HSKMC]) model of muscle ageing to study the cascade of events that occur in muscle senescence in vitro and to explore the effect of inflammation (TNF alpha) and oxidative stress (H2O2), two of the putative mechanisms related to muscle dysfunction and/wasting, on muscle differentiation and on protein loss in differentiated cells.\nMethods and results HSKMC were cultured to senescence when the cells stopped replicating. DNA was isolated from cells in serial passages of culture. Telomere length, a marker of biological ageing, was measured by qPCR and expressed as the ratio of telomere repeat copy number to single gene copy number in the experimental sample relative to a control sample (relative T/S ratio) (n = 3). Preliminary results show a progressive shortening of telomere length with cellular ageing when comparing early (passage 2, 1.433 ± 0.05 relative T/S ratio) with a later passage (passage 15, 0.340 ± 0.2 relative T/S ratio) (Fig 1).\nConclusion We have developed a novel in vitro model of ageing skeletal muscle cells, which will help us to assess the role of accelerated ageing in muscle dysfunction and/wasting in COPD patients. Dr Lakhdar was funded by an LTERS fellowship grant. &lt;img class=\"highwire-fragment fragment-image\" alt=\"Abstract S143 Figure 1\" src=\"https://thorax.bmj.com/content/thoraxjnl/69/Suppl_2/A76.1/F1.medium.gif\" width=\"440\" height=\"287\"/&gt;Download figure Open in new tab Download powerpoint Abstract S143 Figure 1 Telomere Length analysis in HSKMC","DOI":"10.1136/thoraxjnl-2014-206260.149","ISSN":"0040-6376, 1468-3296","shortTitle":"S143 Premature Ageing And Skeletal Muscle Dysfunction In Copd Patients","language":"en","author":[{"family":"Lahkdar","given":"R."},{"family":"Choudhury","given":"G."},{"family":"McLeish","given":"J."},{"family":"Drost","given":"E. M."},{"family":"McGlynn","given":"L."},{"family":"Shiels","given":"P. G."},{"family":"MacNee","given":"W."},{"family":"Rabinovich","given":"R. A."}],"issued":{"date-parts":[["2014",12,1]]}}}],"schema":"https://github.com/citation-style-language/schema/raw/master/csl-citation.json"} </w:instrText>
      </w:r>
      <w:r w:rsidR="00E347BF">
        <w:fldChar w:fldCharType="separate"/>
      </w:r>
      <w:r w:rsidR="00443527" w:rsidRPr="00443527">
        <w:t>(Lahkdar et al. 2014)</w:t>
      </w:r>
      <w:r w:rsidR="00E347BF">
        <w:fldChar w:fldCharType="end"/>
      </w:r>
      <w:r w:rsidR="00443527">
        <w:t xml:space="preserve">. EPS has also been used alongside HSkMC in a study to determine the effects of exercise and its relation to insulin resistance </w:t>
      </w:r>
      <w:r w:rsidR="00E347BF">
        <w:fldChar w:fldCharType="begin"/>
      </w:r>
      <w:r w:rsidR="00443527">
        <w:instrText xml:space="preserve"> ADDIN ZOTERO_ITEM CSL_CITATION {"citationID":"Lu18z2GH","properties":{"formattedCitation":"(Lambernd et al. 2012)","plainCitation":"(Lambernd et al. 2012)","noteIndex":0},"citationItems":[{"id":172,"uris":["http://zotero.org/users/4515386/items/75U6XCD4"],"uri":["http://zotero.org/users/4515386/items/75U6XCD4"],"itemData":{"id":172,"type":"article-journal","title":"Contractile activity of human skeletal muscle cells prevents insulin resistance by inhibiting pro-inflammatory signalling pathways","container-title":"Diabetologia","page":"1128-39","volume":"55","source":"ResearchGate","abstract":"Obesity is closely associated with muscle insulin resistance and is a major risk factor for the pathogenesis of type 2 diabetes. Regular physical activity not only prevents obesity, but also considerably improves insulin sensitivity and skeletal muscle metabolism. We sought to establish and characterise an in vitro model of human skeletal muscle contraction, with a view to directly studying the signalling pathways and mechanisms that are involved in the beneficial effects of muscle activity.\nContracting human skeletal muscle cell cultures were established by applying electrical pulse stimulation. To induce insulin resistance, skeletal muscle cells were incubated with human adipocyte-derived conditioned medium, monocyte chemotactic protein (MCP)-1 and chemerin.\nSimilarly to in exercising skeletal muscle in vivo, electrical pulse stimulation induced contractile activity in human skeletal muscle cells, combined with the formation of sarcomeres, activation of AMP-activated protein kinase (AMPK) and increased IL-6 secretion. Insulin-stimulated glucose uptake was substantially elevated in contracting cells compared with control. The incubation of skeletal muscle cells with adipocyte-conditioned media, chemerin and MCP-1 significantly reduced the insulin-stimulated phosphorylation of Akt. This effect was abrogated by concomitant pulse stimulation of the cells. Additionally, pro-inflammatory signalling by adipocyte-derived factors was completely prevented by electrical pulse stimulation of the myotubes.\nWe showed that the effects of electrical pulse stimulation on skeletal muscle cells were similar to the effect of exercise on skeletal muscle in vivo in terms of enhanced AMPK activation and IL-6 secretion. In our model, muscle contractile activity eliminates insulin resistance by blocking pro-inflammatory signalling pathways. This novel model therefore provides a unique tool for investigating the molecular mechanisms that mediate the beneficial effects of muscle contraction.","DOI":"10.1007/s00125-012-2454-z","author":[{"family":"Lambernd","given":"S"},{"family":"Taube","given":"A"},{"family":"Schober","given":"A"},{"family":"Platzbecker","given":"B"},{"family":"Görgens","given":"Sven"},{"family":"Schlich","given":"R"},{"family":"Jeruschke","given":"Kay"},{"family":"Weiss","given":"Jürgen"},{"family":"Eckardt","given":"Kristin"},{"family":"Eckel","given":"J"}],"issued":{"date-parts":[["2012",4,1]]}}}],"schema":"https://github.com/citation-style-language/schema/raw/master/csl-citation.json"} </w:instrText>
      </w:r>
      <w:r w:rsidR="00E347BF">
        <w:fldChar w:fldCharType="separate"/>
      </w:r>
      <w:r w:rsidR="00443527" w:rsidRPr="00443527">
        <w:t>(Lambernd et al. 2012)</w:t>
      </w:r>
      <w:r w:rsidR="00E347BF">
        <w:fldChar w:fldCharType="end"/>
      </w:r>
      <w:r w:rsidR="00843220">
        <w:t>.</w:t>
      </w:r>
      <w:r w:rsidR="00727ED9">
        <w:t xml:space="preserve"> It is understood that the results of this in vitro experiment will not coincide with that of an in vivo experiment but is </w:t>
      </w:r>
      <w:r w:rsidR="00926509">
        <w:t>essential for understanding their effects on HSkMC by elimination of other bodily systems</w:t>
      </w:r>
      <w:r w:rsidR="00727ED9">
        <w:t xml:space="preserve">.  </w:t>
      </w:r>
    </w:p>
    <w:p w:rsidR="0062272C" w:rsidRDefault="00A219EF" w:rsidP="00843220">
      <w:pPr>
        <w:spacing w:line="480" w:lineRule="auto"/>
        <w:ind w:firstLine="720"/>
        <w:contextualSpacing/>
        <w:jc w:val="both"/>
      </w:pPr>
      <w:r w:rsidRPr="002F65C4">
        <w:t>The</w:t>
      </w:r>
      <w:r w:rsidR="002F65C4" w:rsidRPr="002F65C4">
        <w:t>hypothesized outcomes for the planned experiments are</w:t>
      </w:r>
      <w:r w:rsidRPr="002F65C4">
        <w:t xml:space="preserve"> summarized</w:t>
      </w:r>
      <w:r w:rsidR="00926509">
        <w:t>on the following page</w:t>
      </w:r>
      <w:r w:rsidRPr="002F65C4">
        <w:t>.  Overall, it is hypothesized</w:t>
      </w:r>
      <w:r w:rsidR="00727ED9" w:rsidRPr="002F65C4">
        <w:t xml:space="preserve"> that longer telomeres will be </w:t>
      </w:r>
      <w:r w:rsidR="00B40A54">
        <w:t xml:space="preserve">found </w:t>
      </w:r>
      <w:r w:rsidR="00727ED9" w:rsidRPr="002F65C4">
        <w:t xml:space="preserve">when </w:t>
      </w:r>
      <w:r w:rsidR="00B40A54">
        <w:t xml:space="preserve">HSkMC are exposed to </w:t>
      </w:r>
      <w:r w:rsidR="00727ED9" w:rsidRPr="002F65C4">
        <w:t xml:space="preserve">exercise related </w:t>
      </w:r>
      <w:r w:rsidR="002F65C4" w:rsidRPr="002F65C4">
        <w:t>condition</w:t>
      </w:r>
      <w:r w:rsidR="00B40A54">
        <w:t>s</w:t>
      </w:r>
      <w:r w:rsidR="00727ED9" w:rsidRPr="002F65C4">
        <w:t>.</w:t>
      </w:r>
      <w:r w:rsidR="00727ED9">
        <w:t xml:space="preserve"> I also </w:t>
      </w:r>
      <w:r>
        <w:t>hypothesize</w:t>
      </w:r>
      <w:r w:rsidR="00727ED9">
        <w:t xml:space="preserve"> that EPS</w:t>
      </w:r>
      <w:r>
        <w:t xml:space="preserve"> treatment</w:t>
      </w:r>
      <w:r w:rsidR="00727ED9">
        <w:t xml:space="preserve"> will </w:t>
      </w:r>
      <w:r>
        <w:t>result in</w:t>
      </w:r>
      <w:r w:rsidR="00727ED9">
        <w:t xml:space="preserve"> longer telomeres when compared to the control.</w:t>
      </w:r>
      <w:r w:rsidR="002827BB">
        <w:t xml:space="preserve">Between the different pathways of metabolism, I believe that lipid metabolism will have the biggest impact on decreasing the rate at which telomere repeats decline. This is due to the normal increase of lipid metabolism during routine exercise when carbohydrate stores are depleted.  For the case of ROS, I believe that increased mitochondrial activity will yield more ROS which will cause the cell to increase cellular protection leading to a decrease in telomere attrition. </w:t>
      </w:r>
    </w:p>
    <w:p w:rsidR="00385284" w:rsidRDefault="00385284" w:rsidP="00917FA3">
      <w:pPr>
        <w:spacing w:line="480" w:lineRule="auto"/>
        <w:contextualSpacing/>
        <w:jc w:val="both"/>
      </w:pPr>
      <w:r>
        <w:tab/>
      </w:r>
    </w:p>
    <w:p w:rsidR="00673D17" w:rsidRDefault="00673D17" w:rsidP="00727ED9">
      <w:pPr>
        <w:rPr>
          <w:b/>
        </w:rPr>
      </w:pPr>
    </w:p>
    <w:p w:rsidR="000A2C1D" w:rsidRDefault="000A2C1D" w:rsidP="000A2C1D">
      <w:pPr>
        <w:jc w:val="center"/>
        <w:rPr>
          <w:b/>
        </w:rPr>
      </w:pPr>
      <w:r>
        <w:rPr>
          <w:b/>
        </w:rPr>
        <w:lastRenderedPageBreak/>
        <w:t>RESEACH DESIGN / METHODS</w:t>
      </w:r>
    </w:p>
    <w:p w:rsidR="00E7492C" w:rsidRDefault="00E7492C" w:rsidP="000A2C1D">
      <w:pPr>
        <w:jc w:val="center"/>
        <w:rPr>
          <w:b/>
        </w:rPr>
      </w:pPr>
    </w:p>
    <w:p w:rsidR="009709E0" w:rsidRDefault="009709E0" w:rsidP="009709E0">
      <w:pPr>
        <w:rPr>
          <w:b/>
        </w:rPr>
      </w:pPr>
      <w:r w:rsidRPr="00D11965">
        <w:rPr>
          <w:b/>
        </w:rPr>
        <w:t>Aim 1</w:t>
      </w:r>
      <w:r>
        <w:rPr>
          <w:b/>
        </w:rPr>
        <w:t>: Culture Human Skeletal Muscle Cells with Electric Pulse Stimulation and   Document Length using TeloTAGGG</w:t>
      </w:r>
      <w:r w:rsidR="00F83B04" w:rsidRPr="00F83B04">
        <w:rPr>
          <w:b/>
          <w:vertAlign w:val="superscript"/>
        </w:rPr>
        <w:t>TM</w:t>
      </w:r>
    </w:p>
    <w:p w:rsidR="00010CA2" w:rsidRDefault="00010CA2" w:rsidP="00E7492C">
      <w:pPr>
        <w:rPr>
          <w:b/>
        </w:rPr>
      </w:pPr>
    </w:p>
    <w:p w:rsidR="00010CA2" w:rsidRPr="00010CA2" w:rsidRDefault="00010CA2" w:rsidP="00010CA2">
      <w:pPr>
        <w:spacing w:line="480" w:lineRule="auto"/>
        <w:ind w:firstLine="720"/>
        <w:jc w:val="both"/>
        <w:rPr>
          <w:b/>
        </w:rPr>
      </w:pPr>
      <w:r w:rsidRPr="005B7C6B">
        <w:t xml:space="preserve">Culturing human skeletal muscle cells </w:t>
      </w:r>
      <w:r>
        <w:t>is of</w:t>
      </w:r>
      <w:r w:rsidRPr="005B7C6B">
        <w:t xml:space="preserve"> high importance as they will be used as the </w:t>
      </w:r>
      <w:r>
        <w:t xml:space="preserve">basis for </w:t>
      </w:r>
      <w:r w:rsidRPr="005B7C6B">
        <w:t xml:space="preserve">this research project.  </w:t>
      </w:r>
      <w:r w:rsidR="00926509">
        <w:t>Using</w:t>
      </w:r>
      <w:r w:rsidRPr="005B7C6B">
        <w:t xml:space="preserve"> Millipore-Sigma</w:t>
      </w:r>
      <w:r w:rsidR="00926509">
        <w:t xml:space="preserve"> protocol</w:t>
      </w:r>
      <w:r w:rsidRPr="005B7C6B">
        <w:t xml:space="preserve">, the human skeletal muscle cells (HSkMC) </w:t>
      </w:r>
      <w:r w:rsidR="00D82C96">
        <w:t>will be cultured</w:t>
      </w:r>
      <w:r w:rsidRPr="005B7C6B">
        <w:t xml:space="preserve">.  </w:t>
      </w:r>
      <w:r w:rsidR="009709E0">
        <w:t>T</w:t>
      </w:r>
      <w:r w:rsidRPr="005B7C6B">
        <w:t xml:space="preserve">he cells will </w:t>
      </w:r>
      <w:r w:rsidR="00E26FDB">
        <w:t>then be</w:t>
      </w:r>
      <w:r w:rsidRPr="005B7C6B">
        <w:t xml:space="preserve"> transferred and cultured onto </w:t>
      </w:r>
      <w:r w:rsidR="00926509">
        <w:t xml:space="preserve">separate </w:t>
      </w:r>
      <w:r w:rsidR="00926509" w:rsidRPr="005B7C6B">
        <w:t>8</w:t>
      </w:r>
      <w:r w:rsidR="00926509">
        <w:t>-well plates</w:t>
      </w:r>
      <w:r w:rsidRPr="005B7C6B">
        <w:t xml:space="preserve"> which will be used in later portions of the project</w:t>
      </w:r>
      <w:r w:rsidR="00E26FDB">
        <w:t xml:space="preserve"> as shown in Table 1.</w:t>
      </w:r>
      <w:r w:rsidRPr="005B7C6B">
        <w:t xml:space="preserve"> It is important that </w:t>
      </w:r>
      <w:r>
        <w:t>thevials acquired</w:t>
      </w:r>
      <w:r w:rsidRPr="005B7C6B">
        <w:t xml:space="preserve"> from Millipore-Sigma are from the same batch to promote consistency in the telomere length and to limit possible cell variation. </w:t>
      </w:r>
      <w:r w:rsidR="00A219EF">
        <w:t xml:space="preserve">The </w:t>
      </w:r>
      <w:r w:rsidR="00FC37ED">
        <w:t>TeloTAGGG</w:t>
      </w:r>
      <w:r w:rsidR="00F83B04" w:rsidRPr="00F83B04">
        <w:rPr>
          <w:vertAlign w:val="superscript"/>
        </w:rPr>
        <w:t>TM</w:t>
      </w:r>
      <w:r w:rsidR="00FC37ED">
        <w:t xml:space="preserve"> assay will be </w:t>
      </w:r>
      <w:r w:rsidR="009709E0">
        <w:t>done on each group as a precaution to ensure a proper baseline is developed</w:t>
      </w:r>
      <w:r w:rsidR="00FC37ED">
        <w:t xml:space="preserve">. </w:t>
      </w:r>
      <w:r w:rsidRPr="005B7C6B">
        <w:t xml:space="preserve"> HSkMC will be under a Class II Biological Safety Cabinet using HEPA filtered laminar airflow as a way to decrease possibilities in contamination. </w:t>
      </w:r>
    </w:p>
    <w:p w:rsidR="005A38E9" w:rsidRDefault="00010CA2" w:rsidP="00010CA2">
      <w:pPr>
        <w:spacing w:line="480" w:lineRule="auto"/>
        <w:jc w:val="both"/>
      </w:pPr>
      <w:r w:rsidRPr="005B7C6B">
        <w:tab/>
        <w:t>The HSkMC will be plated on T-75 flasks containing 15-mL Skeletal Muscle Cell Growth Medium (151-500)</w:t>
      </w:r>
      <w:r>
        <w:t xml:space="preserve"> which contains fetal calf serum, fetuin, Epidermal Growth Factor, Fibroblast Growth Factor, insulin and Dexamethasone</w:t>
      </w:r>
      <w:r w:rsidRPr="005B7C6B">
        <w:t xml:space="preserve">. </w:t>
      </w:r>
      <w:r w:rsidR="00D82C96">
        <w:t xml:space="preserve">By following the protocol provided by </w:t>
      </w:r>
      <w:r w:rsidR="00D82C96" w:rsidRPr="005B7C6B">
        <w:t>Millipore-Sigma</w:t>
      </w:r>
      <w:r w:rsidR="00D82C96">
        <w:t xml:space="preserve">, the cells will be thawed and transferred </w:t>
      </w:r>
      <w:r w:rsidRPr="005B7C6B">
        <w:t>to the T-75 flask containing 15-mL Skeletal Muscle Cell Growth Medium</w:t>
      </w:r>
      <w:r w:rsidR="00D82C96">
        <w:t>. T</w:t>
      </w:r>
      <w:r w:rsidRPr="005B7C6B">
        <w:t xml:space="preserve">he flasks </w:t>
      </w:r>
      <w:r>
        <w:t xml:space="preserve">containing HSkMC </w:t>
      </w:r>
      <w:r w:rsidRPr="005B7C6B">
        <w:t xml:space="preserve">will then be </w:t>
      </w:r>
      <w:r>
        <w:t>incubated</w:t>
      </w:r>
      <w:r w:rsidRPr="005B7C6B">
        <w:t xml:space="preserve"> for 24 hours at 37</w:t>
      </w:r>
      <w:r w:rsidRPr="005B7C6B">
        <w:rPr>
          <w:vertAlign w:val="superscript"/>
        </w:rPr>
        <w:t>o</w:t>
      </w:r>
      <w:r w:rsidRPr="005B7C6B">
        <w:t>C in a 5% CO</w:t>
      </w:r>
      <w:r w:rsidRPr="005B7C6B">
        <w:rPr>
          <w:vertAlign w:val="subscript"/>
        </w:rPr>
        <w:t>2</w:t>
      </w:r>
      <w:r w:rsidRPr="005B7C6B">
        <w:t xml:space="preserve"> humidified incubator.  The growth medium will be replaced </w:t>
      </w:r>
      <w:r w:rsidR="00D82C96">
        <w:t>after every doubling cycle which will be determined by establishing a growth curve</w:t>
      </w:r>
      <w:r w:rsidR="005B7489">
        <w:t xml:space="preserve">. </w:t>
      </w:r>
      <w:r w:rsidR="005A38E9">
        <w:t xml:space="preserve">The doubling time will be determined by taking the length of time during the exponential phase of </w:t>
      </w:r>
      <w:r w:rsidR="00B700A3">
        <w:t xml:space="preserve">the </w:t>
      </w:r>
      <w:r w:rsidR="005A38E9">
        <w:t xml:space="preserve">growth curve where the cells double in quantity. The time that it takes for this doubling cycle to take place will be the rate at which the </w:t>
      </w:r>
      <w:r w:rsidR="005A38E9">
        <w:lastRenderedPageBreak/>
        <w:t>cell medium will be changed along with the time that the telomere repeat lengths will be quantified</w:t>
      </w:r>
      <w:r w:rsidR="00B700A3">
        <w:t xml:space="preserve"> by TELOTAGGG</w:t>
      </w:r>
      <w:r w:rsidR="00B700A3" w:rsidRPr="00C379EA">
        <w:rPr>
          <w:vertAlign w:val="superscript"/>
        </w:rPr>
        <w:t>TM</w:t>
      </w:r>
      <w:r w:rsidR="00B700A3">
        <w:t>.</w:t>
      </w:r>
    </w:p>
    <w:p w:rsidR="00010CA2" w:rsidRDefault="005B7489" w:rsidP="005A38E9">
      <w:pPr>
        <w:spacing w:line="480" w:lineRule="auto"/>
        <w:ind w:firstLine="720"/>
        <w:jc w:val="both"/>
      </w:pPr>
      <w:r>
        <w:t>Cells will be grown in the T-75 flask</w:t>
      </w:r>
      <w:r w:rsidR="00010CA2" w:rsidRPr="005B7C6B">
        <w:t xml:space="preserve"> until the cells reach 60% confluency</w:t>
      </w:r>
      <w:r>
        <w:t xml:space="preserve"> where the</w:t>
      </w:r>
      <w:r w:rsidR="00010CA2" w:rsidRPr="005B7C6B">
        <w:t xml:space="preserve"> growth medium will be increased to a total volume of 30-mL. </w:t>
      </w:r>
      <w:r w:rsidR="00324EE2">
        <w:t xml:space="preserve">Subculturing the </w:t>
      </w:r>
      <w:r w:rsidR="00FC37ED">
        <w:t xml:space="preserve">cells will occur when 100% confluency is visible by use of a binocular microscope. </w:t>
      </w:r>
      <w:r w:rsidR="0010765C">
        <w:t>The HSkMC will be allowed about 10 days for full differentiation into myotubes to take place. The cells will be monitored to ensure that myotubes are formed before exposure to EPS and time required for the cells to fully differentiate. The differentiation period is required for the use of low-frequency EPS. TeloTAGGG</w:t>
      </w:r>
      <w:r w:rsidR="00B700A3" w:rsidRPr="00C379EA">
        <w:rPr>
          <w:vertAlign w:val="superscript"/>
        </w:rPr>
        <w:t>TM</w:t>
      </w:r>
      <w:r w:rsidR="0010765C">
        <w:t xml:space="preserve"> will be used after every </w:t>
      </w:r>
      <w:r w:rsidR="00282533">
        <w:t xml:space="preserve">third </w:t>
      </w:r>
      <w:r w:rsidR="0010765C">
        <w:t xml:space="preserve">doubling after the initial plating of the cells to ensure that the data is recorded at a high resolution. </w:t>
      </w:r>
    </w:p>
    <w:p w:rsidR="005B7489" w:rsidRDefault="00C379EA" w:rsidP="005B7489">
      <w:pPr>
        <w:spacing w:line="480" w:lineRule="auto"/>
        <w:jc w:val="both"/>
      </w:pPr>
      <w:r>
        <w:tab/>
        <w:t>Measuring telomere lengths will be done using a TeloTAGGG</w:t>
      </w:r>
      <w:r w:rsidRPr="00C379EA">
        <w:rPr>
          <w:vertAlign w:val="superscript"/>
        </w:rPr>
        <w:t>TM</w:t>
      </w:r>
      <w:r>
        <w:t xml:space="preserve"> Telomere Length Assay by SIGMA-ALDRICH</w:t>
      </w:r>
      <w:r w:rsidR="005B7489">
        <w:t xml:space="preserve"> and following the protocol provided</w:t>
      </w:r>
      <w:r>
        <w:t>.  The test requires isolation of genomic DNA followed by digestion with Hinf I/Rsa I restriction enzymes.  These restriction enzymes ensure that telomeric and sub-telomeric DNA will not be cut but non-telomeric-DNA will be cut into low molecular weight fragments</w:t>
      </w:r>
      <w:r w:rsidR="005B7489">
        <w:t xml:space="preserve">. </w:t>
      </w:r>
      <w:r>
        <w:t xml:space="preserve"> The DNA fragments </w:t>
      </w:r>
      <w:r w:rsidR="00A219EF">
        <w:t>will be</w:t>
      </w:r>
      <w:r>
        <w:t xml:space="preserve">separated </w:t>
      </w:r>
      <w:r w:rsidR="00A219EF">
        <w:t>by agarose</w:t>
      </w:r>
      <w:r>
        <w:t xml:space="preserve"> gel electrophoresis </w:t>
      </w:r>
      <w:r w:rsidR="00A219EF">
        <w:t xml:space="preserve">using </w:t>
      </w:r>
      <w:r>
        <w:t xml:space="preserve">TAE buffer. </w:t>
      </w:r>
      <w:r w:rsidR="00A219EF">
        <w:t>Following electrophoresis, the</w:t>
      </w:r>
      <w:r>
        <w:t xml:space="preserve"> gel will </w:t>
      </w:r>
      <w:r w:rsidR="00A219EF">
        <w:t xml:space="preserve">be transferred to a nitrocellulose membrane, </w:t>
      </w:r>
      <w:r>
        <w:t xml:space="preserve">allowed to air </w:t>
      </w:r>
      <w:r w:rsidR="00A219EF">
        <w:t>dry, followed</w:t>
      </w:r>
      <w:r>
        <w:t xml:space="preserve"> by hybridization and chemiluminescence detection.  The membrane </w:t>
      </w:r>
      <w:r w:rsidR="00A219EF">
        <w:t>will be</w:t>
      </w:r>
      <w:r>
        <w:t xml:space="preserve"> incubated for 5min at 20</w:t>
      </w:r>
      <w:r w:rsidRPr="00C379EA">
        <w:rPr>
          <w:vertAlign w:val="superscript"/>
        </w:rPr>
        <w:t>o</w:t>
      </w:r>
      <w:r>
        <w:t>C and exposed to X-ray film for 20min at 20</w:t>
      </w:r>
      <w:r w:rsidRPr="00C379EA">
        <w:rPr>
          <w:vertAlign w:val="superscript"/>
        </w:rPr>
        <w:t>o</w:t>
      </w:r>
      <w:r>
        <w:t xml:space="preserve">C. By the use of a densitometer, X-ray film will be scanned and overlaid with a grid to help determine TRF length. The mean will be taken for each lane and determined to be the TRF length for the sample (Lui, 2009). </w:t>
      </w:r>
    </w:p>
    <w:p w:rsidR="00C379EA" w:rsidRDefault="000627FE" w:rsidP="000627FE">
      <w:pPr>
        <w:spacing w:line="480" w:lineRule="auto"/>
        <w:jc w:val="center"/>
      </w:pPr>
      <w:r>
        <w:rPr>
          <w:noProof/>
        </w:rPr>
        <w:lastRenderedPageBreak/>
        <w:drawing>
          <wp:inline distT="0" distB="0" distL="0" distR="0">
            <wp:extent cx="1859280" cy="2810510"/>
            <wp:effectExtent l="0" t="0" r="762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859280" cy="2810510"/>
                    </a:xfrm>
                    <a:prstGeom prst="rect">
                      <a:avLst/>
                    </a:prstGeom>
                    <a:noFill/>
                  </pic:spPr>
                </pic:pic>
              </a:graphicData>
            </a:graphic>
          </wp:inline>
        </w:drawing>
      </w:r>
    </w:p>
    <w:p w:rsidR="009709E0" w:rsidRDefault="00C379EA" w:rsidP="00F739D1">
      <w:pPr>
        <w:jc w:val="both"/>
      </w:pPr>
      <w:r>
        <w:t xml:space="preserve">Figure </w:t>
      </w:r>
      <w:r w:rsidR="00647DAC">
        <w:t>3</w:t>
      </w:r>
      <w:r>
        <w:t xml:space="preserve">.  Chemiluminescent detection of </w:t>
      </w:r>
      <w:r w:rsidR="00F739D1">
        <w:t>telomere repeat factors</w:t>
      </w:r>
      <w:r>
        <w:t>. Sample cell lines 1-4 were used in a TeloTAGGG</w:t>
      </w:r>
      <w:r w:rsidR="00F83B04" w:rsidRPr="00F83B04">
        <w:rPr>
          <w:vertAlign w:val="superscript"/>
        </w:rPr>
        <w:t>TM</w:t>
      </w:r>
      <w:r>
        <w:t xml:space="preserve"> Telomere Length Assay to determine the TRF length.</w:t>
      </w:r>
    </w:p>
    <w:p w:rsidR="00B6560F" w:rsidRDefault="00B6560F" w:rsidP="00C379EA">
      <w:pPr>
        <w:spacing w:line="480" w:lineRule="auto"/>
        <w:jc w:val="both"/>
      </w:pPr>
    </w:p>
    <w:p w:rsidR="0010765C" w:rsidRDefault="00D80D55" w:rsidP="00C379EA">
      <w:pPr>
        <w:spacing w:line="480" w:lineRule="auto"/>
        <w:jc w:val="both"/>
      </w:pPr>
      <w:r>
        <w:tab/>
        <w:t>EPS is applied to cell cultures to add the effect of contractions to the muscle cells by using a C-Pace 100</w:t>
      </w:r>
      <w:r w:rsidR="00E347BF">
        <w:fldChar w:fldCharType="begin"/>
      </w:r>
      <w:r w:rsidR="00040637">
        <w:instrText xml:space="preserve"> ADDIN ZOTERO_ITEM CSL_CITATION {"citationID":"rLOcekyv","properties":{"formattedCitation":"(Lambernd et al. 2012)","plainCitation":"(Lambernd et al. 2012)","noteIndex":0},"citationItems":[{"id":172,"uris":["http://zotero.org/users/4515386/items/75U6XCD4"],"uri":["http://zotero.org/users/4515386/items/75U6XCD4"],"itemData":{"id":172,"type":"article-journal","title":"Contractile activity of human skeletal muscle cells prevents insulin resistance by inhibiting pro-inflammatory signalling pathways","container-title":"Diabetologia","page":"1128-39","volume":"55","source":"ResearchGate","abstract":"Obesity is closely associated with muscle insulin resistance and is a major risk factor for the pathogenesis of type 2 diabetes. Regular physical activity not only prevents obesity, but also considerably improves insulin sensitivity and skeletal muscle metabolism. We sought to establish and characterise an in vitro model of human skeletal muscle contraction, with a view to directly studying the signalling pathways and mechanisms that are involved in the beneficial effects of muscle activity.\nContracting human skeletal muscle cell cultures were established by applying electrical pulse stimulation. To induce insulin resistance, skeletal muscle cells were incubated with human adipocyte-derived conditioned medium, monocyte chemotactic protein (MCP)-1 and chemerin.\nSimilarly to in exercising skeletal muscle in vivo, electrical pulse stimulation induced contractile activity in human skeletal muscle cells, combined with the formation of sarcomeres, activation of AMP-activated protein kinase (AMPK) and increased IL-6 secretion. Insulin-stimulated glucose uptake was substantially elevated in contracting cells compared with control. The incubation of skeletal muscle cells with adipocyte-conditioned media, chemerin and MCP-1 significantly reduced the insulin-stimulated phosphorylation of Akt. This effect was abrogated by concomitant pulse stimulation of the cells. Additionally, pro-inflammatory signalling by adipocyte-derived factors was completely prevented by electrical pulse stimulation of the myotubes.\nWe showed that the effects of electrical pulse stimulation on skeletal muscle cells were similar to the effect of exercise on skeletal muscle in vivo in terms of enhanced AMPK activation and IL-6 secretion. In our model, muscle contractile activity eliminates insulin resistance by blocking pro-inflammatory signalling pathways. This novel model therefore provides a unique tool for investigating the molecular mechanisms that mediate the beneficial effects of muscle contraction.","DOI":"10.1007/s00125-012-2454-z","author":[{"family":"Lambernd","given":"S"},{"family":"Taube","given":"A"},{"family":"Schober","given":"A"},{"family":"Platzbecker","given":"B"},{"family":"Görgens","given":"Sven"},{"family":"Schlich","given":"R"},{"family":"Jeruschke","given":"Kay"},{"family":"Weiss","given":"Jürgen"},{"family":"Eckardt","given":"Kristin"},{"family":"Eckel","given":"J"}],"issued":{"date-parts":[["2012",4,1]]}}}],"schema":"https://github.com/citation-style-language/schema/raw/master/csl-citation.json"} </w:instrText>
      </w:r>
      <w:r w:rsidR="00E347BF">
        <w:fldChar w:fldCharType="separate"/>
      </w:r>
      <w:r w:rsidR="00040637" w:rsidRPr="0056601B">
        <w:t>(Lambernd et al. 2012)</w:t>
      </w:r>
      <w:r w:rsidR="00E347BF">
        <w:fldChar w:fldCharType="end"/>
      </w:r>
      <w:r w:rsidR="00040637">
        <w:t xml:space="preserve">. </w:t>
      </w:r>
      <w:r>
        <w:t>This device</w:t>
      </w:r>
      <w:r w:rsidR="0010765C">
        <w:t xml:space="preserve"> will stimulate the cells by using high-frequency EPS or low-frequency EPS. High-frequency EPS involves the use of bipolar pulses at 100</w:t>
      </w:r>
      <w:r w:rsidR="00BB7180">
        <w:t>-</w:t>
      </w:r>
      <w:r w:rsidR="0010765C">
        <w:t>Hz for 200</w:t>
      </w:r>
      <w:r w:rsidR="00BB7180">
        <w:t>-</w:t>
      </w:r>
      <w:r w:rsidR="0010765C">
        <w:t xml:space="preserve">ms every 5 seconds for </w:t>
      </w:r>
      <w:r w:rsidR="00656276">
        <w:t>1 hour</w:t>
      </w:r>
      <w:r w:rsidR="0010765C">
        <w:t>. Low-frequency EPS is a single, bipolar pulse of 2</w:t>
      </w:r>
      <w:r w:rsidR="00BB7180">
        <w:t>-</w:t>
      </w:r>
      <w:r w:rsidR="0010765C">
        <w:t>ms at 30</w:t>
      </w:r>
      <w:r w:rsidR="00BB7180">
        <w:t>-</w:t>
      </w:r>
      <w:r w:rsidR="0010765C">
        <w:t>V and 1 Hz continuously for the last 48</w:t>
      </w:r>
      <w:r w:rsidR="00BB7180">
        <w:t>-</w:t>
      </w:r>
      <w:r w:rsidR="0010765C">
        <w:t xml:space="preserve">hours of the differentiation period </w:t>
      </w:r>
      <w:r w:rsidR="00E347BF">
        <w:fldChar w:fldCharType="begin"/>
      </w:r>
      <w:r w:rsidR="005E2B1A">
        <w:instrText xml:space="preserve"> ADDIN ZOTERO_ITEM CSL_CITATION {"citationID":"7nQL7REg","properties":{"formattedCitation":"(Nikoli\\uc0\\u263{} et al. 2012)","plainCitation":"(Nikolić et al. 2012)","noteIndex":0},"citationItems":[{"id":183,"uris":["http://zotero.org/users/4515386/items/BVK5CAJX"],"uri":["http://zotero.org/users/4515386/items/BVK5CAJX"],"itemData":{"id":183,"type":"article-journal","title":"Electrical Pulse Stimulation of Cultured Human Skeletal Muscle Cells as an In Vitro Model of Exercise","container-title":"PLoS ONE","volume":"7","issue":"3","source":"PubMed Central","abstract":"Background and Aims\nPhysical exercise leads to substantial adaptive responses in skeletal muscles and plays a central role in a healthy life style. Since exercise induces major systemic responses, underlying cellular mechanisms are difficult to study in vivo. It was therefore desirable to develop an in vitro model that would resemble training in cultured human myotubes.\n\nMethods\nElectrical pulse stimulation (EPS) was applied to adherent human myotubes. Cellular contents of ATP, phosphocreatine (PCr) and lactate were determined. Glucose and oleic acid metabolism were studied using radio-labeled substrates, and gene expression was analyzed using real-time RT-PCR. Mitochondrial content and function were measured by live imaging and determination of citrate synthase activity, respectively. Protein expression was assessed by electrophoresis and immunoblotting.\n\nResults\nHigh-frequency, acute EPS increased deoxyglucose uptake and lactate production, while cell contents of both ATP and PCr decreased. Chronic, low-frequency EPS increased oxidative capacity of cultured myotubes by increasing glucose metabolism (uptake and oxidation) and complete fatty acid oxidation. mRNA expression level of pyruvate dehydrogenase complex 4 (PDK4) was significantly increased in EPS-treated cells, while mRNA expressions of interleukin 6 (IL-6), cytochrome C and carnitin palmitoyl transferase b (CPT1b) also tended to increase. Intensity of MitoTracker®Red FM was doubled after 48 h of chronic, low-frequency EPS. Protein expression of a slow fiber type marker (MHCI) was increased in EPS-treated cells.\n\nConclusions\nOur results imply that in vitro EPS (acute, high-frequent as well as chronic, low-frequent) of human myotubes may be used to study effects of exercise.","URL":"https://www.ncbi.nlm.nih.gov/pmc/articles/PMC3310863/","DOI":"10.1371/journal.pone.0033203","ISSN":"1932-6203","note":"PMID: 22457744\nPMCID: PMC3310863","journalAbbreviation":"PLoS One","author":[{"family":"Nikolić","given":"Nataša"},{"family":"Skaret Bakke","given":"Siril"},{"family":"Tranheim Kase","given":"Eili"},{"family":"Rudberg","given":"Ida"},{"family":"Flo Halle","given":"Ingeborg"},{"family":"Rustan","given":"Arild C."},{"family":"Thoresen","given":"G. Hege"},{"family":"Aas","given":"Vigdis"}],"issued":{"date-parts":[["2012",3,22]]},"accessed":{"date-parts":[["2018",7,20]]}}}],"schema":"https://github.com/citation-style-language/schema/raw/master/csl-citation.json"} </w:instrText>
      </w:r>
      <w:r w:rsidR="00E347BF">
        <w:fldChar w:fldCharType="separate"/>
      </w:r>
      <w:r w:rsidR="005E2B1A" w:rsidRPr="005E2B1A">
        <w:t>(Nikolić et al. 2012)</w:t>
      </w:r>
      <w:r w:rsidR="00E347BF">
        <w:fldChar w:fldCharType="end"/>
      </w:r>
      <w:r w:rsidR="00FE1346">
        <w:t>.</w:t>
      </w:r>
      <w:r w:rsidR="006E29D7">
        <w:t xml:space="preserve">As presented in Fig. 4, by the use of a pulse generator, </w:t>
      </w:r>
      <w:r w:rsidR="001810CB">
        <w:t>electrical pulses will be transferred through carbon electrodes that will be connected to plates containing HSkMC.</w:t>
      </w:r>
      <w:r w:rsidR="00282533">
        <w:t xml:space="preserve">EPS did not have any cytotoxic effects on cultured HSkMC during high and low frequency EPS </w:t>
      </w:r>
      <w:r w:rsidR="00E347BF">
        <w:fldChar w:fldCharType="begin"/>
      </w:r>
      <w:r w:rsidR="00CB6061">
        <w:instrText xml:space="preserve"> ADDIN ZOTERO_ITEM CSL_CITATION {"citationID":"W2rtJFse","properties":{"formattedCitation":"(Nikoli\\uc0\\u263{} et al. 2012)","plainCitation":"(Nikolić et al. 2012)","noteIndex":0},"citationItems":[{"id":183,"uris":["http://zotero.org/users/4515386/items/BVK5CAJX"],"uri":["http://zotero.org/users/4515386/items/BVK5CAJX"],"itemData":{"id":183,"type":"article-journal","title":"Electrical Pulse Stimulation of Cultured Human Skeletal Muscle Cells as an In Vitro Model of Exercise","container-title":"PLoS ONE","volume":"7","issue":"3","source":"PubMed Central","abstract":"Background and Aims\nPhysical exercise leads to substantial adaptive responses in skeletal muscles and plays a central role in a healthy life style. Since exercise induces major systemic responses, underlying cellular mechanisms are difficult to study in vivo. It was therefore desirable to develop an in vitro model that would resemble training in cultured human myotubes.\n\nMethods\nElectrical pulse stimulation (EPS) was applied to adherent human myotubes. Cellular contents of ATP, phosphocreatine (PCr) and lactate were determined. Glucose and oleic acid metabolism were studied using radio-labeled substrates, and gene expression was analyzed using real-time RT-PCR. Mitochondrial content and function were measured by live imaging and determination of citrate synthase activity, respectively. Protein expression was assessed by electrophoresis and immunoblotting.\n\nResults\nHigh-frequency, acute EPS increased deoxyglucose uptake and lactate production, while cell contents of both ATP and PCr decreased. Chronic, low-frequency EPS increased oxidative capacity of cultured myotubes by increasing glucose metabolism (uptake and oxidation) and complete fatty acid oxidation. mRNA expression level of pyruvate dehydrogenase complex 4 (PDK4) was significantly increased in EPS-treated cells, while mRNA expressions of interleukin 6 (IL-6), cytochrome C and carnitin palmitoyl transferase b (CPT1b) also tended to increase. Intensity of MitoTracker®Red FM was doubled after 48 h of chronic, low-frequency EPS. Protein expression of a slow fiber type marker (MHCI) was increased in EPS-treated cells.\n\nConclusions\nOur results imply that in vitro EPS (acute, high-frequent as well as chronic, low-frequent) of human myotubes may be used to study effects of exercise.","URL":"https://www.ncbi.nlm.nih.gov/pmc/articles/PMC3310863/","DOI":"10.1371/journal.pone.0033203","ISSN":"1932-6203","note":"PMID: 22457744\nPMCID: PMC3310863","journalAbbreviation":"PLoS One","author":[{"family":"Nikolić","given":"Nataša"},{"family":"Skaret Bakke","given":"Siril"},{"family":"Tranheim Kase","given":"Eili"},{"family":"Rudberg","given":"Ida"},{"family":"Flo Halle","given":"Ingeborg"},{"family":"Rustan","given":"Arild C."},{"family":"Thoresen","given":"G. Hege"},{"family":"Aas","given":"Vigdis"}],"issued":{"date-parts":[["2012",3,22]]},"accessed":{"date-parts":[["2018",7,20]]}}}],"schema":"https://github.com/citation-style-language/schema/raw/master/csl-citation.json"} </w:instrText>
      </w:r>
      <w:r w:rsidR="00E347BF">
        <w:fldChar w:fldCharType="separate"/>
      </w:r>
      <w:r w:rsidR="00CB6061" w:rsidRPr="00CB6061">
        <w:t>(Nikolić et al. 2012)</w:t>
      </w:r>
      <w:r w:rsidR="00E347BF">
        <w:fldChar w:fldCharType="end"/>
      </w:r>
      <w:r w:rsidR="00282533">
        <w:t xml:space="preserve">. </w:t>
      </w:r>
      <w:r w:rsidR="0010765C">
        <w:t xml:space="preserve">A test between two cultures will be done to determine which method decreases telomere shortening the most. I predict that low-frequency will provide the best results as </w:t>
      </w:r>
      <w:r w:rsidR="00656276">
        <w:t>it simulates a long period of exercise.</w:t>
      </w:r>
    </w:p>
    <w:p w:rsidR="002123BB" w:rsidRDefault="002123BB" w:rsidP="00C379EA">
      <w:pPr>
        <w:spacing w:line="480" w:lineRule="auto"/>
        <w:jc w:val="both"/>
      </w:pPr>
      <w:r w:rsidRPr="002123BB">
        <w:rPr>
          <w:noProof/>
        </w:rPr>
        <w:lastRenderedPageBreak/>
        <w:drawing>
          <wp:inline distT="0" distB="0" distL="0" distR="0">
            <wp:extent cx="4333049" cy="2697102"/>
            <wp:effectExtent l="0" t="0" r="0" b="8255"/>
            <wp:docPr id="5" name="Picture 4">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CEE0C13-8CA8-4B76-BA54-868981155F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4CEE0C13-8CA8-4B76-BA54-868981155F57}"/>
                        </a:ext>
                      </a:extLst>
                    </pic:cNvPr>
                    <pic:cNvPicPr>
                      <a:picLocks noChangeAspect="1"/>
                    </pic:cNvPicPr>
                  </pic:nvPicPr>
                  <pic:blipFill>
                    <a:blip r:embed="rId23"/>
                    <a:stretch>
                      <a:fillRect/>
                    </a:stretch>
                  </pic:blipFill>
                  <pic:spPr>
                    <a:xfrm>
                      <a:off x="0" y="0"/>
                      <a:ext cx="4333049" cy="2697102"/>
                    </a:xfrm>
                    <a:prstGeom prst="rect">
                      <a:avLst/>
                    </a:prstGeom>
                  </pic:spPr>
                </pic:pic>
              </a:graphicData>
            </a:graphic>
          </wp:inline>
        </w:drawing>
      </w:r>
    </w:p>
    <w:p w:rsidR="002123BB" w:rsidRDefault="002123BB" w:rsidP="003611A0">
      <w:pPr>
        <w:spacing w:line="276" w:lineRule="auto"/>
        <w:jc w:val="both"/>
      </w:pPr>
      <w:r>
        <w:t xml:space="preserve">Figure 4. The setup for the </w:t>
      </w:r>
      <w:r w:rsidR="003611A0">
        <w:t>electric pulse stimulation will be similar to the figure shown above. A pulse generator will be connected to a controller that will emit electrical impulses through carbon electrodes into the cell growth medium</w:t>
      </w:r>
      <w:r w:rsidR="00E347BF">
        <w:fldChar w:fldCharType="begin"/>
      </w:r>
      <w:r w:rsidR="00D5744F">
        <w:instrText xml:space="preserve"> ADDIN ZOTERO_ITEM CSL_CITATION {"citationID":"kiud9Zf6","properties":{"formattedCitation":"(Manabe et al. 2012)","plainCitation":"(Manabe et al. 2012)","noteIndex":0},"citationItems":[{"id":196,"uris":["http://zotero.org/users/4515386/items/522AG7KG"],"uri":["http://zotero.org/users/4515386/items/522AG7KG"],"itemData":{"id":196,"type":"article-journal","title":"Characterization of an Acute Muscle Contraction Model Using Cultured C2C12 Myotubes","container-title":"PloS one","page":"e52592","volume":"7","source":"ResearchGate","abstract":"A cultured C2C12 myotube contraction system was examined for application as a model for acute contraction-induced phenotypes of skeletal muscle. C2C12 myotubes seeded into 4-well rectangular plates were placed in a contraction system equipped with a carbon electrode at each end. The myotubes were stimulated with electric pulses of 50 V at 1 Hz for 3 ms at 997-ms intervals. Approximately 80% of the myotubes were observed to contract microscopically, and the contractions lasted for at least 3 h with electrical stimulation. Calcium ion (Ca2+) transient evoked by the electric pulses was detected fluorescently with Fluo-8. Phosphorylation of protein kinase B/Akt (Akt), 5′ AMP-activated protein kinase (AMPK), p38 mitogen-activated protein kinase (p38), and c-Jun NH2-terminal kinase (JNK)1/2, which are intracellular signaling proteins typically activated in exercised/contracted skeletal muscle, was observed in the electrically stimulated C2C12 myotubes. The contractions induced by the electric pulses increased glucose uptake and depleted glycogen in the C2C12 myotubes. C2C12 myotubes that differentiated after exogenous gene transfection by a lipofection or an electroporation method retained their normal contractile ability by electrical stimulation. These findings show that our C2C12 cell contraction system reproduces the muscle phenotypes that arise in\nvivo (exercise), in situ (hindlimb muscles in an anesthetized animal), and in\nvitro (dissected muscle tissues in incubation buffer) by acute muscle contraction, demonstrating that the system is applicable for the analysis of intracellular events evoked by acute muscle contraction.","DOI":"10.1371/journal.pone.0052592","author":[{"family":"Manabe","given":"Yasuko"},{"family":"Miyatake","given":"Shouta"},{"family":"Takagi","given":"Mayumi"},{"family":"Nakamura","given":"Mio"},{"family":"Okeda","given":"Ai"},{"family":"Nakano","given":"Taemi"},{"family":"F Hirshman","given":"Michael"},{"family":"Goodyear","given":"Laurie"},{"family":"L Fujii","given":"Nobuharu"}],"issued":{"date-parts":[["2012",12,31]]}}}],"schema":"https://github.com/citation-style-language/schema/raw/master/csl-citation.json"} </w:instrText>
      </w:r>
      <w:r w:rsidR="00E347BF">
        <w:fldChar w:fldCharType="separate"/>
      </w:r>
      <w:r w:rsidR="00D5744F" w:rsidRPr="00D5744F">
        <w:t>(Manabe et al. 2012)</w:t>
      </w:r>
      <w:r w:rsidR="00E347BF">
        <w:fldChar w:fldCharType="end"/>
      </w:r>
    </w:p>
    <w:p w:rsidR="009709E0" w:rsidRDefault="009709E0" w:rsidP="00010CA2">
      <w:pPr>
        <w:spacing w:line="480" w:lineRule="auto"/>
        <w:jc w:val="both"/>
      </w:pPr>
    </w:p>
    <w:p w:rsidR="00AC3151" w:rsidRDefault="00AC3151"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3611A0" w:rsidRDefault="003611A0" w:rsidP="00010CA2">
      <w:pPr>
        <w:spacing w:line="480" w:lineRule="auto"/>
        <w:jc w:val="both"/>
      </w:pPr>
    </w:p>
    <w:p w:rsidR="005E0490" w:rsidRDefault="005E0490" w:rsidP="005E0490">
      <w:pPr>
        <w:spacing w:line="480" w:lineRule="auto"/>
        <w:jc w:val="both"/>
        <w:rPr>
          <w:b/>
        </w:rPr>
      </w:pPr>
      <w:r w:rsidRPr="004F0C23">
        <w:rPr>
          <w:b/>
        </w:rPr>
        <w:lastRenderedPageBreak/>
        <w:t xml:space="preserve">Aim </w:t>
      </w:r>
      <w:r>
        <w:rPr>
          <w:b/>
        </w:rPr>
        <w:t>2</w:t>
      </w:r>
      <w:r w:rsidRPr="004F0C23">
        <w:rPr>
          <w:b/>
        </w:rPr>
        <w:t xml:space="preserve">: </w:t>
      </w:r>
      <w:r>
        <w:rPr>
          <w:b/>
        </w:rPr>
        <w:t>Identify if changes in metabolism affect telomere repeat length</w:t>
      </w:r>
    </w:p>
    <w:p w:rsidR="00804EBF" w:rsidRDefault="00C77C11" w:rsidP="00804EBF">
      <w:pPr>
        <w:spacing w:line="480" w:lineRule="auto"/>
        <w:jc w:val="both"/>
      </w:pPr>
      <w:r w:rsidRPr="005B7C6B">
        <w:tab/>
      </w:r>
      <w:r w:rsidR="004810E7">
        <w:t xml:space="preserve">Due to metabolic pathways changing during strenuous exercise, different cultures will be provided media that are enhanced with protein, carbohydrates </w:t>
      </w:r>
      <w:r w:rsidR="00E017E5">
        <w:t>or</w:t>
      </w:r>
      <w:r w:rsidR="004810E7">
        <w:t xml:space="preserve"> lipids respectively.</w:t>
      </w:r>
      <w:r w:rsidR="00DF0F23">
        <w:t xml:space="preserve"> This will force HSkMC to undergo protein metabolism or lipid metabolism when available glucose becomes depleted.</w:t>
      </w:r>
      <w:r w:rsidR="00804EBF">
        <w:t xml:space="preserve"> Lipids will be enhanced </w:t>
      </w:r>
      <w:r w:rsidR="000F3265">
        <w:t xml:space="preserve">by increasing the amount of available fatty acids and glycerol in the </w:t>
      </w:r>
      <w:r w:rsidR="0012187A" w:rsidRPr="005B7C6B">
        <w:t>Skeletal Muscle Cell Growth Medium</w:t>
      </w:r>
      <w:r w:rsidR="000F3265">
        <w:t xml:space="preserve">. This will cause lipolysis to occur which will lead to beta-oxidation resulting into acetyl CoA. </w:t>
      </w:r>
    </w:p>
    <w:p w:rsidR="0012187A" w:rsidRDefault="000F3265" w:rsidP="00804EBF">
      <w:pPr>
        <w:spacing w:line="480" w:lineRule="auto"/>
        <w:jc w:val="both"/>
      </w:pPr>
      <w:r>
        <w:tab/>
        <w:t xml:space="preserve">Increasing the available protein will be done by providing the medium with additional amino acids provided in the amino acid solution by ThermoFisher. This solution is prepared in distilled water and will be added to the </w:t>
      </w:r>
      <w:r w:rsidR="0012187A" w:rsidRPr="005B7C6B">
        <w:t>Skeletal Muscle Cell Growth Medium</w:t>
      </w:r>
      <w:r w:rsidR="0012187A">
        <w:t xml:space="preserve">. By enhancing the protein available, we hope to change the pathway of metabolism by influencing the urea pathway. </w:t>
      </w:r>
    </w:p>
    <w:p w:rsidR="005B6764" w:rsidRDefault="0012187A" w:rsidP="0029338A">
      <w:pPr>
        <w:spacing w:line="480" w:lineRule="auto"/>
        <w:jc w:val="both"/>
      </w:pPr>
      <w:r>
        <w:tab/>
        <w:t xml:space="preserve">Lastly, we will increase the available glucose in the </w:t>
      </w:r>
      <w:r w:rsidRPr="005B7C6B">
        <w:t>Skeletal Muscle Cell Growth Medium</w:t>
      </w:r>
      <w:r>
        <w:t xml:space="preserve"> by adding a glucose, fructose, galactose mixture. This </w:t>
      </w:r>
      <w:r w:rsidR="000F3FD9">
        <w:t>help stabilizes the HSkMC due to this pathway being the default metabolic pathway. I predict that the enhanced carbohydrate metabolic pathway to cause the least influence to telomere length resulting in shorter telomeres. Between the enriched fatty-acid and amino acid mediums, I predict that the fatty acid metabolic pathway to yield the longest telomeres due to fatty acid metabolism being used during periods of strenuous exercise. I believe that fatty acid metabolism to yield these results due to cells defaulting to carbohydrate metabolism. All three pathways will have their telomeres lengths quantified to determine which set of cells has the shortest to longest telomeres.</w:t>
      </w:r>
    </w:p>
    <w:p w:rsidR="006D5479" w:rsidRPr="0029338A" w:rsidRDefault="000F3FD9" w:rsidP="000F3FD9">
      <w:pPr>
        <w:spacing w:line="480" w:lineRule="auto"/>
        <w:jc w:val="both"/>
        <w:rPr>
          <w:b/>
        </w:rPr>
      </w:pPr>
      <w:r w:rsidRPr="004F0C23">
        <w:rPr>
          <w:b/>
        </w:rPr>
        <w:lastRenderedPageBreak/>
        <w:t>Aim</w:t>
      </w:r>
      <w:r>
        <w:rPr>
          <w:b/>
        </w:rPr>
        <w:t xml:space="preserve"> 3</w:t>
      </w:r>
      <w:r w:rsidRPr="004F0C23">
        <w:rPr>
          <w:b/>
        </w:rPr>
        <w:t xml:space="preserve">: </w:t>
      </w:r>
      <w:r>
        <w:rPr>
          <w:b/>
        </w:rPr>
        <w:t>Identify if changes in reactive oxygen species affect telomere repeat length</w:t>
      </w:r>
    </w:p>
    <w:p w:rsidR="006D5479" w:rsidRDefault="005E0490" w:rsidP="00271E4B">
      <w:pPr>
        <w:spacing w:line="480" w:lineRule="auto"/>
        <w:ind w:firstLine="720"/>
        <w:jc w:val="both"/>
      </w:pPr>
      <w:r w:rsidRPr="005E0490">
        <w:t>Free radical testing will be done by increasing the activity of mitochondria with the use of lipophilic weak acid, mitochondrial uncouplers</w:t>
      </w:r>
      <w:r w:rsidR="0078269D">
        <w:t xml:space="preserve">. </w:t>
      </w:r>
      <w:r w:rsidR="0005583A">
        <w:t xml:space="preserve"> Mitochondrial uncoupling is the process where the electron transport chain is not utilized to drive ATP synthesis by allowing protons to bypass ATP synthase and enter the matrix</w:t>
      </w:r>
      <w:r w:rsidR="00C651DB">
        <w:t>, the protons energy is given off as heat rather than production of ATP</w:t>
      </w:r>
      <w:r w:rsidR="00E347BF">
        <w:fldChar w:fldCharType="begin"/>
      </w:r>
      <w:r w:rsidR="00CB6061">
        <w:instrText xml:space="preserve"> ADDIN ZOTERO_ITEM CSL_CITATION {"citationID":"QAWyrjpf","properties":{"formattedCitation":"(Mookerjee et al. 2010)","plainCitation":"(Mookerjee et al. 2010)","noteIndex":0},"citationItems":[{"id":203,"uris":["http://zotero.org/users/4515386/items/PKUPDIAP"],"uri":["http://zotero.org/users/4515386/items/PKUPDIAP"],"itemData":{"id":203,"type":"article-journal","title":"Mitochondrial uncoupling and lifespan","container-title":"Mechanisms of ageing and development","page":"463-472","volume":"131","issue":"7-8","source":"PubMed Central","abstract":"The quest to understand why we age has given rise to numerous lines of investigation that have gradually converged to include metabolic control by mitochondrial activity as a major player. That is, the ideal balance between nutrient uptake, its transduction into usable energy, and the mitigation of damaging byproducts can be regulated by mitochondrial respiration and output (ATP, reactive oxygen species (ROS), and heat). Mitochondrial inefficiency through proton leak, which uncouples substrate oxidation from ADP phosphorylation, can comprise as much as 30% of the basal metabolic rate. This uncoupling is hypothesized to protect cells from conditions that favor ROS production. Uncoupling can also occur through pharmacological induction of proton leak and activity of the uncoupling proteins. Mitochondrial uncoupling is implicated in lifespan extension through its effects on metabolic rate and ROS production. However, evidence to date does not suggest a consistent role for uncoupling in lifespan. The purpose of this review is to discuss recent work examining how mitochondrial uncoupling impacts lifespan.","DOI":"10.1016/j.mad.2010.03.010","ISSN":"0047-6374","note":"PMID: 20363244\nPMCID: PMC2924931","journalAbbreviation":"Mech Ageing Dev","author":[{"family":"Mookerjee","given":"Shona A."},{"family":"Divakaruni","given":"Ajit S."},{"family":"Jastroch","given":"Martin"},{"family":"Brand","given":"Martin D."}],"issued":{"date-parts":[["2010"]]}}}],"schema":"https://github.com/citation-style-language/schema/raw/master/csl-citation.json"} </w:instrText>
      </w:r>
      <w:r w:rsidR="00E347BF">
        <w:fldChar w:fldCharType="separate"/>
      </w:r>
      <w:r w:rsidR="00CB6061" w:rsidRPr="00CB6061">
        <w:t>(Mookerjee et al. 2010)</w:t>
      </w:r>
      <w:r w:rsidR="00E347BF">
        <w:fldChar w:fldCharType="end"/>
      </w:r>
      <w:r w:rsidR="00C651DB">
        <w:t xml:space="preserve">. </w:t>
      </w:r>
      <w:r w:rsidR="0078269D">
        <w:t xml:space="preserve">Mitochondrial uncouplers that will be used </w:t>
      </w:r>
      <w:r w:rsidR="003738FA">
        <w:t xml:space="preserve">in this project </w:t>
      </w:r>
      <w:r w:rsidR="0078269D">
        <w:t>are</w:t>
      </w:r>
      <w:r w:rsidRPr="005E0490">
        <w:t xml:space="preserve"> 2,4-</w:t>
      </w:r>
      <w:r w:rsidR="0078269D" w:rsidRPr="005E0490">
        <w:t xml:space="preserve">Dinitrophenol, </w:t>
      </w:r>
      <w:r w:rsidR="0078269D">
        <w:t>carbonyl</w:t>
      </w:r>
      <w:r w:rsidRPr="005E0490">
        <w:t xml:space="preserve"> cyanidep-trifluromethoxyphenylhydrazone and carbonyl cyanide m-chlorophenylhydrazone (Kouji et al. 2009). The cell cultures </w:t>
      </w:r>
      <w:r w:rsidR="002D4219">
        <w:t>set up in</w:t>
      </w:r>
      <w:r w:rsidRPr="005E0490">
        <w:t xml:space="preserve"> replicas of three where each </w:t>
      </w:r>
      <w:r w:rsidR="002D4219">
        <w:t>set</w:t>
      </w:r>
      <w:r w:rsidRPr="005E0490">
        <w:t xml:space="preserve"> of the mitochondrial uncoupler is </w:t>
      </w:r>
      <w:r w:rsidR="002D4219">
        <w:t>tested</w:t>
      </w:r>
      <w:r w:rsidRPr="005E0490">
        <w:t xml:space="preserve"> separately. Producers of ROS in mitochondria are NADPH oxidases, phospholipase A2 (PLA2) xanthine oxidase (XO) and lipoxygenases (Steinbacher and Eckl 2015). By increasing mitochondria activity, we can force the cell to produce more ROS as a byproduct of the electron transport chain.  By plating HSkMC with and without a mitochondrial uncoupler, we will see if an increase in ROS will cause a change in telomere length to be affected over </w:t>
      </w:r>
      <w:r w:rsidR="0029338A">
        <w:t>the lifetime of the HSkMC</w:t>
      </w:r>
      <w:r w:rsidRPr="005E0490">
        <w:t xml:space="preserve"> where telomere lengths will be </w:t>
      </w:r>
      <w:r w:rsidR="0029338A">
        <w:t>measured after every doubling</w:t>
      </w:r>
      <w:r w:rsidRPr="005E0490">
        <w:t>.</w:t>
      </w:r>
    </w:p>
    <w:p w:rsidR="006D5479" w:rsidRDefault="006D5479" w:rsidP="000F3FD9">
      <w:pPr>
        <w:spacing w:line="480" w:lineRule="auto"/>
        <w:jc w:val="both"/>
      </w:pPr>
    </w:p>
    <w:p w:rsidR="006D5479" w:rsidRDefault="006D5479" w:rsidP="00805802">
      <w:pPr>
        <w:jc w:val="both"/>
      </w:pPr>
    </w:p>
    <w:p w:rsidR="006D5479" w:rsidRDefault="006D5479" w:rsidP="00805802">
      <w:pPr>
        <w:jc w:val="both"/>
      </w:pPr>
    </w:p>
    <w:p w:rsidR="0029338A" w:rsidRDefault="0029338A" w:rsidP="00805802">
      <w:pPr>
        <w:jc w:val="both"/>
      </w:pPr>
    </w:p>
    <w:p w:rsidR="0029338A" w:rsidRDefault="0029338A" w:rsidP="00805802">
      <w:pPr>
        <w:jc w:val="both"/>
      </w:pPr>
    </w:p>
    <w:p w:rsidR="0029338A" w:rsidRDefault="0029338A" w:rsidP="00805802">
      <w:pPr>
        <w:jc w:val="both"/>
      </w:pPr>
    </w:p>
    <w:p w:rsidR="0029338A" w:rsidRDefault="0029338A" w:rsidP="00805802">
      <w:pPr>
        <w:jc w:val="both"/>
      </w:pPr>
    </w:p>
    <w:p w:rsidR="0029338A" w:rsidRDefault="0029338A" w:rsidP="00805802">
      <w:pPr>
        <w:jc w:val="both"/>
      </w:pPr>
    </w:p>
    <w:p w:rsidR="0029338A" w:rsidRDefault="0029338A" w:rsidP="00805802">
      <w:pPr>
        <w:jc w:val="both"/>
      </w:pPr>
    </w:p>
    <w:p w:rsidR="0029338A" w:rsidRDefault="0029338A" w:rsidP="00805802">
      <w:pPr>
        <w:jc w:val="both"/>
      </w:pPr>
    </w:p>
    <w:p w:rsidR="00727ED9" w:rsidRDefault="00727ED9" w:rsidP="00805802">
      <w:pPr>
        <w:jc w:val="both"/>
      </w:pPr>
    </w:p>
    <w:p w:rsidR="00B40461" w:rsidRDefault="00B40461" w:rsidP="00C77C11">
      <w:pPr>
        <w:jc w:val="both"/>
      </w:pPr>
    </w:p>
    <w:p w:rsidR="00647DAC" w:rsidRDefault="00647DAC" w:rsidP="00C77C11">
      <w:pPr>
        <w:jc w:val="both"/>
      </w:pPr>
      <w:r>
        <w:lastRenderedPageBreak/>
        <w:t xml:space="preserve">Table 1. Summary of predicted outcomes for the experiments performed. Telomere change for each group is relative to the control </w:t>
      </w:r>
      <w:r w:rsidR="00BA4496">
        <w:t>where</w:t>
      </w:r>
      <w:r w:rsidR="00F739D1">
        <w:t>growth of</w:t>
      </w:r>
      <w:r>
        <w:t xml:space="preserve"> HSkMC</w:t>
      </w:r>
      <w:r w:rsidR="00BA4496">
        <w:t xml:space="preserve">will be </w:t>
      </w:r>
      <w:r w:rsidR="00F739D1">
        <w:t>under standard conditions</w:t>
      </w:r>
      <w:r>
        <w:t>.</w:t>
      </w:r>
    </w:p>
    <w:p w:rsidR="00647DAC" w:rsidRDefault="00647DAC" w:rsidP="00C77C11">
      <w:pPr>
        <w:jc w:val="both"/>
      </w:pPr>
    </w:p>
    <w:tbl>
      <w:tblPr>
        <w:tblStyle w:val="TableGrid"/>
        <w:tblW w:w="0" w:type="auto"/>
        <w:tblLook w:val="04A0"/>
      </w:tblPr>
      <w:tblGrid>
        <w:gridCol w:w="2876"/>
        <w:gridCol w:w="2877"/>
        <w:gridCol w:w="2877"/>
      </w:tblGrid>
      <w:tr w:rsidR="00727ED9" w:rsidTr="0078741B">
        <w:tc>
          <w:tcPr>
            <w:tcW w:w="8630" w:type="dxa"/>
            <w:gridSpan w:val="3"/>
          </w:tcPr>
          <w:p w:rsidR="00727ED9" w:rsidRPr="00F739D1" w:rsidRDefault="00727ED9" w:rsidP="00647DAC">
            <w:pPr>
              <w:jc w:val="center"/>
              <w:rPr>
                <w:b/>
              </w:rPr>
            </w:pPr>
            <w:r w:rsidRPr="00F739D1">
              <w:rPr>
                <w:b/>
              </w:rPr>
              <w:t>Control</w:t>
            </w:r>
          </w:p>
        </w:tc>
      </w:tr>
      <w:tr w:rsidR="00727ED9" w:rsidTr="001F1AB2">
        <w:tc>
          <w:tcPr>
            <w:tcW w:w="5753" w:type="dxa"/>
            <w:gridSpan w:val="2"/>
          </w:tcPr>
          <w:p w:rsidR="00727ED9" w:rsidRPr="00F739D1" w:rsidRDefault="00727ED9" w:rsidP="00727ED9">
            <w:r w:rsidRPr="00F739D1">
              <w:t>Without EPS</w:t>
            </w:r>
          </w:p>
        </w:tc>
        <w:tc>
          <w:tcPr>
            <w:tcW w:w="2877" w:type="dxa"/>
          </w:tcPr>
          <w:p w:rsidR="00727ED9" w:rsidRPr="00F739D1" w:rsidRDefault="001F1AB2" w:rsidP="001F1AB2">
            <w:r w:rsidRPr="00F739D1">
              <w:t>Shorter Telomere</w:t>
            </w:r>
          </w:p>
        </w:tc>
      </w:tr>
      <w:tr w:rsidR="00727ED9" w:rsidTr="001F1AB2">
        <w:tc>
          <w:tcPr>
            <w:tcW w:w="5753" w:type="dxa"/>
            <w:gridSpan w:val="2"/>
          </w:tcPr>
          <w:p w:rsidR="00727ED9" w:rsidRPr="00F739D1" w:rsidRDefault="00727ED9" w:rsidP="00727ED9">
            <w:r w:rsidRPr="00F739D1">
              <w:t>With EPS</w:t>
            </w:r>
          </w:p>
        </w:tc>
        <w:tc>
          <w:tcPr>
            <w:tcW w:w="2877" w:type="dxa"/>
          </w:tcPr>
          <w:p w:rsidR="00727ED9" w:rsidRPr="00F739D1" w:rsidRDefault="001F1AB2" w:rsidP="001F1AB2">
            <w:r w:rsidRPr="00F739D1">
              <w:t>Longer Telomere</w:t>
            </w:r>
          </w:p>
        </w:tc>
      </w:tr>
      <w:tr w:rsidR="00647DAC" w:rsidTr="0078741B">
        <w:tc>
          <w:tcPr>
            <w:tcW w:w="8630" w:type="dxa"/>
            <w:gridSpan w:val="3"/>
          </w:tcPr>
          <w:p w:rsidR="00647DAC" w:rsidRPr="00F739D1" w:rsidRDefault="00647DAC" w:rsidP="00647DAC">
            <w:pPr>
              <w:jc w:val="center"/>
              <w:rPr>
                <w:b/>
              </w:rPr>
            </w:pPr>
            <w:r w:rsidRPr="00F739D1">
              <w:rPr>
                <w:b/>
              </w:rPr>
              <w:t>Metabolism</w:t>
            </w:r>
          </w:p>
        </w:tc>
      </w:tr>
      <w:tr w:rsidR="00647DAC" w:rsidTr="00647DAC">
        <w:tc>
          <w:tcPr>
            <w:tcW w:w="2876" w:type="dxa"/>
            <w:vMerge w:val="restart"/>
          </w:tcPr>
          <w:p w:rsidR="00647DAC" w:rsidRPr="00F739D1" w:rsidRDefault="00647DAC" w:rsidP="00C77C11">
            <w:pPr>
              <w:jc w:val="both"/>
            </w:pPr>
            <w:r w:rsidRPr="00F739D1">
              <w:t>High Protein</w:t>
            </w:r>
          </w:p>
        </w:tc>
        <w:tc>
          <w:tcPr>
            <w:tcW w:w="2877" w:type="dxa"/>
          </w:tcPr>
          <w:p w:rsidR="00647DAC" w:rsidRPr="00F739D1" w:rsidRDefault="00647DAC" w:rsidP="00C77C11">
            <w:pPr>
              <w:jc w:val="both"/>
            </w:pPr>
            <w:r w:rsidRPr="00F739D1">
              <w:t>With EPS</w:t>
            </w:r>
          </w:p>
        </w:tc>
        <w:tc>
          <w:tcPr>
            <w:tcW w:w="2877" w:type="dxa"/>
          </w:tcPr>
          <w:p w:rsidR="00647DAC" w:rsidRPr="00F739D1" w:rsidRDefault="00647DAC" w:rsidP="00C77C11">
            <w:pPr>
              <w:jc w:val="both"/>
            </w:pPr>
            <w:r w:rsidRPr="00F739D1">
              <w:t>Longer Telomere</w:t>
            </w:r>
          </w:p>
        </w:tc>
      </w:tr>
      <w:tr w:rsidR="00647DAC" w:rsidTr="00647DAC">
        <w:tc>
          <w:tcPr>
            <w:tcW w:w="2876" w:type="dxa"/>
            <w:vMerge/>
          </w:tcPr>
          <w:p w:rsidR="00647DAC" w:rsidRPr="00F739D1" w:rsidRDefault="00647DAC" w:rsidP="00C77C11">
            <w:pPr>
              <w:jc w:val="both"/>
            </w:pPr>
          </w:p>
        </w:tc>
        <w:tc>
          <w:tcPr>
            <w:tcW w:w="2877" w:type="dxa"/>
          </w:tcPr>
          <w:p w:rsidR="00647DAC" w:rsidRPr="00F739D1" w:rsidRDefault="00647DAC" w:rsidP="00C77C11">
            <w:pPr>
              <w:jc w:val="both"/>
            </w:pPr>
            <w:r w:rsidRPr="00F739D1">
              <w:t>Without EPS</w:t>
            </w:r>
          </w:p>
        </w:tc>
        <w:tc>
          <w:tcPr>
            <w:tcW w:w="2877" w:type="dxa"/>
          </w:tcPr>
          <w:p w:rsidR="00647DAC" w:rsidRPr="00F739D1" w:rsidRDefault="00647DAC" w:rsidP="00C77C11">
            <w:pPr>
              <w:jc w:val="both"/>
            </w:pPr>
            <w:r w:rsidRPr="00F739D1">
              <w:t>Shorter Telomere</w:t>
            </w:r>
          </w:p>
        </w:tc>
      </w:tr>
      <w:tr w:rsidR="00647DAC" w:rsidTr="00647DAC">
        <w:tc>
          <w:tcPr>
            <w:tcW w:w="2876" w:type="dxa"/>
            <w:vMerge w:val="restart"/>
          </w:tcPr>
          <w:p w:rsidR="00647DAC" w:rsidRPr="00F739D1" w:rsidRDefault="00647DAC" w:rsidP="00647DAC">
            <w:pPr>
              <w:jc w:val="both"/>
            </w:pPr>
            <w:r w:rsidRPr="00F739D1">
              <w:t>High Carbohydrate</w:t>
            </w:r>
          </w:p>
        </w:tc>
        <w:tc>
          <w:tcPr>
            <w:tcW w:w="2877" w:type="dxa"/>
          </w:tcPr>
          <w:p w:rsidR="00647DAC" w:rsidRPr="00F739D1" w:rsidRDefault="00647DAC" w:rsidP="00647DAC">
            <w:pPr>
              <w:jc w:val="both"/>
            </w:pPr>
            <w:r w:rsidRPr="00F739D1">
              <w:t>With EPS</w:t>
            </w:r>
          </w:p>
        </w:tc>
        <w:tc>
          <w:tcPr>
            <w:tcW w:w="2877" w:type="dxa"/>
          </w:tcPr>
          <w:p w:rsidR="00647DAC" w:rsidRPr="00F739D1" w:rsidRDefault="00647DAC" w:rsidP="00647DAC">
            <w:pPr>
              <w:jc w:val="both"/>
            </w:pPr>
            <w:r w:rsidRPr="00F739D1">
              <w:t>No Change</w:t>
            </w:r>
          </w:p>
        </w:tc>
      </w:tr>
      <w:tr w:rsidR="00647DAC" w:rsidTr="00647DAC">
        <w:tc>
          <w:tcPr>
            <w:tcW w:w="2876" w:type="dxa"/>
            <w:vMerge/>
          </w:tcPr>
          <w:p w:rsidR="00647DAC" w:rsidRPr="00F739D1" w:rsidRDefault="00647DAC" w:rsidP="00647DAC">
            <w:pPr>
              <w:jc w:val="both"/>
            </w:pPr>
          </w:p>
        </w:tc>
        <w:tc>
          <w:tcPr>
            <w:tcW w:w="2877" w:type="dxa"/>
          </w:tcPr>
          <w:p w:rsidR="00647DAC" w:rsidRPr="00F739D1" w:rsidRDefault="00647DAC" w:rsidP="00647DAC">
            <w:pPr>
              <w:jc w:val="both"/>
            </w:pPr>
            <w:r w:rsidRPr="00F739D1">
              <w:t>Without EPS</w:t>
            </w:r>
          </w:p>
        </w:tc>
        <w:tc>
          <w:tcPr>
            <w:tcW w:w="2877" w:type="dxa"/>
          </w:tcPr>
          <w:p w:rsidR="00647DAC" w:rsidRPr="00F739D1" w:rsidRDefault="00647DAC" w:rsidP="00647DAC">
            <w:pPr>
              <w:jc w:val="both"/>
            </w:pPr>
            <w:r w:rsidRPr="00F739D1">
              <w:t>No Change</w:t>
            </w:r>
          </w:p>
        </w:tc>
      </w:tr>
      <w:tr w:rsidR="00647DAC" w:rsidTr="00647DAC">
        <w:tc>
          <w:tcPr>
            <w:tcW w:w="2876" w:type="dxa"/>
            <w:vMerge w:val="restart"/>
          </w:tcPr>
          <w:p w:rsidR="00647DAC" w:rsidRPr="00F739D1" w:rsidRDefault="00647DAC" w:rsidP="00647DAC">
            <w:pPr>
              <w:jc w:val="both"/>
            </w:pPr>
            <w:r w:rsidRPr="00F739D1">
              <w:t>High Lipid</w:t>
            </w:r>
          </w:p>
        </w:tc>
        <w:tc>
          <w:tcPr>
            <w:tcW w:w="2877" w:type="dxa"/>
          </w:tcPr>
          <w:p w:rsidR="00647DAC" w:rsidRPr="00F739D1" w:rsidRDefault="00647DAC" w:rsidP="00647DAC">
            <w:pPr>
              <w:jc w:val="both"/>
            </w:pPr>
            <w:r w:rsidRPr="00F739D1">
              <w:t>With EPS</w:t>
            </w:r>
          </w:p>
        </w:tc>
        <w:tc>
          <w:tcPr>
            <w:tcW w:w="2877" w:type="dxa"/>
          </w:tcPr>
          <w:p w:rsidR="00647DAC" w:rsidRPr="00F739D1" w:rsidRDefault="00647DAC" w:rsidP="00647DAC">
            <w:pPr>
              <w:jc w:val="both"/>
            </w:pPr>
            <w:r w:rsidRPr="00F739D1">
              <w:t>Longer Telomere</w:t>
            </w:r>
          </w:p>
        </w:tc>
      </w:tr>
      <w:tr w:rsidR="00647DAC" w:rsidTr="00647DAC">
        <w:tc>
          <w:tcPr>
            <w:tcW w:w="2876" w:type="dxa"/>
            <w:vMerge/>
          </w:tcPr>
          <w:p w:rsidR="00647DAC" w:rsidRPr="00F739D1" w:rsidRDefault="00647DAC" w:rsidP="00647DAC">
            <w:pPr>
              <w:jc w:val="both"/>
            </w:pPr>
          </w:p>
        </w:tc>
        <w:tc>
          <w:tcPr>
            <w:tcW w:w="2877" w:type="dxa"/>
          </w:tcPr>
          <w:p w:rsidR="00647DAC" w:rsidRPr="00F739D1" w:rsidRDefault="00647DAC" w:rsidP="00647DAC">
            <w:pPr>
              <w:jc w:val="both"/>
            </w:pPr>
            <w:r w:rsidRPr="00F739D1">
              <w:t>Without EPS</w:t>
            </w:r>
          </w:p>
        </w:tc>
        <w:tc>
          <w:tcPr>
            <w:tcW w:w="2877" w:type="dxa"/>
          </w:tcPr>
          <w:p w:rsidR="00647DAC" w:rsidRPr="00F739D1" w:rsidRDefault="00647DAC" w:rsidP="00647DAC">
            <w:pPr>
              <w:jc w:val="both"/>
            </w:pPr>
            <w:r w:rsidRPr="00F739D1">
              <w:t>Longer Telomere</w:t>
            </w:r>
          </w:p>
        </w:tc>
      </w:tr>
      <w:tr w:rsidR="00647DAC" w:rsidTr="0078741B">
        <w:tc>
          <w:tcPr>
            <w:tcW w:w="8630" w:type="dxa"/>
            <w:gridSpan w:val="3"/>
          </w:tcPr>
          <w:p w:rsidR="00647DAC" w:rsidRPr="00F739D1" w:rsidRDefault="00647DAC" w:rsidP="00647DAC">
            <w:pPr>
              <w:jc w:val="center"/>
              <w:rPr>
                <w:b/>
              </w:rPr>
            </w:pPr>
            <w:r w:rsidRPr="00F739D1">
              <w:rPr>
                <w:b/>
              </w:rPr>
              <w:t>Reactive Oxygen Species</w:t>
            </w:r>
          </w:p>
        </w:tc>
      </w:tr>
      <w:tr w:rsidR="00647DAC" w:rsidTr="00647DAC">
        <w:tc>
          <w:tcPr>
            <w:tcW w:w="2876" w:type="dxa"/>
          </w:tcPr>
          <w:p w:rsidR="00647DAC" w:rsidRPr="00F739D1" w:rsidRDefault="00647DAC" w:rsidP="00647DAC">
            <w:pPr>
              <w:jc w:val="both"/>
            </w:pPr>
            <w:r w:rsidRPr="00F739D1">
              <w:t>Mitochondrial Uncouplers</w:t>
            </w:r>
          </w:p>
        </w:tc>
        <w:tc>
          <w:tcPr>
            <w:tcW w:w="2877" w:type="dxa"/>
          </w:tcPr>
          <w:p w:rsidR="00647DAC" w:rsidRPr="00F739D1" w:rsidRDefault="00647DAC" w:rsidP="00647DAC">
            <w:pPr>
              <w:jc w:val="both"/>
            </w:pPr>
            <w:r w:rsidRPr="00F739D1">
              <w:t>With EPS</w:t>
            </w:r>
          </w:p>
        </w:tc>
        <w:tc>
          <w:tcPr>
            <w:tcW w:w="2877" w:type="dxa"/>
          </w:tcPr>
          <w:p w:rsidR="00647DAC" w:rsidRPr="00F739D1" w:rsidRDefault="00647DAC" w:rsidP="00647DAC">
            <w:pPr>
              <w:jc w:val="both"/>
            </w:pPr>
            <w:r w:rsidRPr="00F739D1">
              <w:t>Longer Telomere</w:t>
            </w:r>
          </w:p>
        </w:tc>
      </w:tr>
      <w:tr w:rsidR="00647DAC" w:rsidTr="00647DAC">
        <w:trPr>
          <w:trHeight w:val="269"/>
        </w:trPr>
        <w:tc>
          <w:tcPr>
            <w:tcW w:w="2876" w:type="dxa"/>
          </w:tcPr>
          <w:p w:rsidR="00647DAC" w:rsidRPr="00F739D1" w:rsidRDefault="00647DAC" w:rsidP="00647DAC">
            <w:pPr>
              <w:jc w:val="both"/>
            </w:pPr>
          </w:p>
        </w:tc>
        <w:tc>
          <w:tcPr>
            <w:tcW w:w="2877" w:type="dxa"/>
          </w:tcPr>
          <w:p w:rsidR="00647DAC" w:rsidRPr="00F739D1" w:rsidRDefault="00647DAC" w:rsidP="00647DAC">
            <w:pPr>
              <w:jc w:val="both"/>
            </w:pPr>
            <w:r w:rsidRPr="00F739D1">
              <w:t>Without EPS</w:t>
            </w:r>
          </w:p>
        </w:tc>
        <w:tc>
          <w:tcPr>
            <w:tcW w:w="2877" w:type="dxa"/>
          </w:tcPr>
          <w:p w:rsidR="00647DAC" w:rsidRPr="00F739D1" w:rsidRDefault="00647DAC" w:rsidP="00647DAC">
            <w:pPr>
              <w:jc w:val="both"/>
            </w:pPr>
            <w:r w:rsidRPr="00F739D1">
              <w:t>Shorter Telomere</w:t>
            </w:r>
          </w:p>
        </w:tc>
      </w:tr>
    </w:tbl>
    <w:p w:rsidR="00647DAC" w:rsidRDefault="00647DAC" w:rsidP="00C77C11">
      <w:pPr>
        <w:jc w:val="both"/>
      </w:pPr>
    </w:p>
    <w:p w:rsidR="006B1A57" w:rsidRDefault="006B1A57" w:rsidP="006B1A57">
      <w:pPr>
        <w:jc w:val="center"/>
        <w:rPr>
          <w:b/>
        </w:rPr>
      </w:pPr>
    </w:p>
    <w:p w:rsidR="006B1A57" w:rsidRDefault="006B1A57" w:rsidP="006B1A57">
      <w:pPr>
        <w:jc w:val="center"/>
        <w:rPr>
          <w:b/>
        </w:rPr>
      </w:pPr>
    </w:p>
    <w:p w:rsidR="006B1A57" w:rsidRDefault="006B1A57" w:rsidP="006B1A57">
      <w:pPr>
        <w:jc w:val="center"/>
        <w:rPr>
          <w:b/>
        </w:rPr>
      </w:pPr>
    </w:p>
    <w:p w:rsidR="006B1A57" w:rsidRDefault="006B1A57" w:rsidP="006B1A57">
      <w:pPr>
        <w:jc w:val="center"/>
        <w:rPr>
          <w:b/>
        </w:rPr>
      </w:pPr>
    </w:p>
    <w:p w:rsidR="006B1A57" w:rsidRDefault="006B1A57" w:rsidP="006B1A57">
      <w:pPr>
        <w:jc w:val="center"/>
        <w:rPr>
          <w:b/>
        </w:rPr>
      </w:pPr>
    </w:p>
    <w:p w:rsidR="006B1A57" w:rsidRDefault="006B1A57"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7739A6" w:rsidRDefault="007739A6" w:rsidP="006B1A57">
      <w:pPr>
        <w:jc w:val="center"/>
        <w:rPr>
          <w:b/>
        </w:rPr>
      </w:pPr>
    </w:p>
    <w:p w:rsidR="00647DAC" w:rsidRDefault="00647DAC" w:rsidP="006B1A57">
      <w:pPr>
        <w:jc w:val="center"/>
        <w:rPr>
          <w:b/>
        </w:rPr>
      </w:pPr>
    </w:p>
    <w:p w:rsidR="00647DAC" w:rsidRDefault="00647DAC" w:rsidP="006B1A57">
      <w:pPr>
        <w:jc w:val="center"/>
        <w:rPr>
          <w:b/>
        </w:rPr>
      </w:pPr>
    </w:p>
    <w:p w:rsidR="00647DAC" w:rsidRDefault="00647DAC" w:rsidP="006B1A57">
      <w:pPr>
        <w:jc w:val="center"/>
        <w:rPr>
          <w:b/>
        </w:rPr>
      </w:pPr>
    </w:p>
    <w:p w:rsidR="003C3641" w:rsidRDefault="003C3641" w:rsidP="006B1A57">
      <w:pPr>
        <w:jc w:val="center"/>
        <w:rPr>
          <w:b/>
        </w:rPr>
      </w:pPr>
    </w:p>
    <w:p w:rsidR="005345C0" w:rsidRDefault="005345C0" w:rsidP="006B1A57">
      <w:pPr>
        <w:jc w:val="center"/>
        <w:rPr>
          <w:b/>
        </w:rPr>
      </w:pPr>
    </w:p>
    <w:p w:rsidR="005345C0" w:rsidRDefault="005345C0" w:rsidP="006B1A57">
      <w:pPr>
        <w:jc w:val="center"/>
        <w:rPr>
          <w:b/>
        </w:rPr>
      </w:pPr>
    </w:p>
    <w:p w:rsidR="005345C0" w:rsidRDefault="005345C0" w:rsidP="006B1A57">
      <w:pPr>
        <w:jc w:val="center"/>
        <w:rPr>
          <w:b/>
        </w:rPr>
      </w:pPr>
    </w:p>
    <w:p w:rsidR="006B1A57" w:rsidRPr="006B1A57" w:rsidRDefault="006B1A57" w:rsidP="006B1A57">
      <w:pPr>
        <w:jc w:val="center"/>
        <w:rPr>
          <w:b/>
        </w:rPr>
      </w:pPr>
    </w:p>
    <w:p w:rsidR="00974631" w:rsidRDefault="00366FAA" w:rsidP="00366FAA">
      <w:pPr>
        <w:spacing w:line="480" w:lineRule="auto"/>
        <w:jc w:val="center"/>
        <w:rPr>
          <w:rFonts w:cstheme="minorHAnsi"/>
          <w:b/>
        </w:rPr>
      </w:pPr>
      <w:r w:rsidRPr="00366FAA">
        <w:rPr>
          <w:rFonts w:cstheme="minorHAnsi"/>
          <w:b/>
        </w:rPr>
        <w:lastRenderedPageBreak/>
        <w:t>TENTATIVE TIMELINE</w:t>
      </w:r>
    </w:p>
    <w:tbl>
      <w:tblPr>
        <w:tblStyle w:val="TableGrid"/>
        <w:tblW w:w="0" w:type="auto"/>
        <w:tblLook w:val="04A0"/>
      </w:tblPr>
      <w:tblGrid>
        <w:gridCol w:w="4675"/>
        <w:gridCol w:w="3955"/>
      </w:tblGrid>
      <w:tr w:rsidR="00366FAA" w:rsidTr="0068140E">
        <w:tc>
          <w:tcPr>
            <w:tcW w:w="4675" w:type="dxa"/>
          </w:tcPr>
          <w:p w:rsidR="00366FAA" w:rsidRDefault="00366FAA" w:rsidP="00366FAA">
            <w:pPr>
              <w:jc w:val="center"/>
              <w:rPr>
                <w:rFonts w:cstheme="minorHAnsi"/>
                <w:b/>
              </w:rPr>
            </w:pPr>
            <w:r>
              <w:rPr>
                <w:rFonts w:cstheme="minorHAnsi"/>
                <w:b/>
              </w:rPr>
              <w:t>Task</w:t>
            </w:r>
          </w:p>
        </w:tc>
        <w:tc>
          <w:tcPr>
            <w:tcW w:w="3955" w:type="dxa"/>
          </w:tcPr>
          <w:p w:rsidR="00366FAA" w:rsidRDefault="00366FAA" w:rsidP="00366FAA">
            <w:pPr>
              <w:jc w:val="center"/>
              <w:rPr>
                <w:rFonts w:cstheme="minorHAnsi"/>
                <w:b/>
              </w:rPr>
            </w:pPr>
            <w:r>
              <w:rPr>
                <w:rFonts w:cstheme="minorHAnsi"/>
                <w:b/>
              </w:rPr>
              <w:t>Time Frame</w:t>
            </w:r>
          </w:p>
        </w:tc>
      </w:tr>
      <w:tr w:rsidR="00366FAA" w:rsidTr="0068140E">
        <w:tc>
          <w:tcPr>
            <w:tcW w:w="4675" w:type="dxa"/>
          </w:tcPr>
          <w:p w:rsidR="00366FAA" w:rsidRPr="00366FAA" w:rsidRDefault="00366FAA" w:rsidP="00366FAA">
            <w:pPr>
              <w:jc w:val="center"/>
              <w:rPr>
                <w:rFonts w:cstheme="minorHAnsi"/>
              </w:rPr>
            </w:pPr>
            <w:r w:rsidRPr="00366FAA">
              <w:rPr>
                <w:rFonts w:cstheme="minorHAnsi"/>
              </w:rPr>
              <w:t xml:space="preserve">Cell </w:t>
            </w:r>
            <w:r>
              <w:rPr>
                <w:rFonts w:cstheme="minorHAnsi"/>
              </w:rPr>
              <w:t>culture protocol optimization</w:t>
            </w:r>
          </w:p>
        </w:tc>
        <w:tc>
          <w:tcPr>
            <w:tcW w:w="3955" w:type="dxa"/>
          </w:tcPr>
          <w:p w:rsidR="00366FAA" w:rsidRPr="00366FAA" w:rsidRDefault="00366FAA" w:rsidP="00366FAA">
            <w:pPr>
              <w:jc w:val="center"/>
              <w:rPr>
                <w:rFonts w:cstheme="minorHAnsi"/>
              </w:rPr>
            </w:pPr>
            <w:r>
              <w:rPr>
                <w:rFonts w:cstheme="minorHAnsi"/>
              </w:rPr>
              <w:t>Months 1 - 2</w:t>
            </w:r>
          </w:p>
        </w:tc>
      </w:tr>
      <w:tr w:rsidR="00366FAA" w:rsidTr="0068140E">
        <w:tc>
          <w:tcPr>
            <w:tcW w:w="4675" w:type="dxa"/>
          </w:tcPr>
          <w:p w:rsidR="00366FAA" w:rsidRPr="00366FAA" w:rsidRDefault="00366FAA" w:rsidP="00366FAA">
            <w:pPr>
              <w:jc w:val="center"/>
              <w:rPr>
                <w:rFonts w:cstheme="minorHAnsi"/>
              </w:rPr>
            </w:pPr>
            <w:r>
              <w:rPr>
                <w:rFonts w:cstheme="minorHAnsi"/>
              </w:rPr>
              <w:t>TeloTAGGG</w:t>
            </w:r>
            <w:r w:rsidR="007A20F2" w:rsidRPr="00F83B04">
              <w:rPr>
                <w:vertAlign w:val="superscript"/>
              </w:rPr>
              <w:t>TM</w:t>
            </w:r>
            <w:r>
              <w:rPr>
                <w:rFonts w:cstheme="minorHAnsi"/>
              </w:rPr>
              <w:t xml:space="preserve"> use optimization</w:t>
            </w:r>
          </w:p>
        </w:tc>
        <w:tc>
          <w:tcPr>
            <w:tcW w:w="3955" w:type="dxa"/>
          </w:tcPr>
          <w:p w:rsidR="00D80D55" w:rsidRPr="00366FAA" w:rsidRDefault="00366FAA" w:rsidP="00D80D55">
            <w:pPr>
              <w:jc w:val="center"/>
              <w:rPr>
                <w:rFonts w:cstheme="minorHAnsi"/>
              </w:rPr>
            </w:pPr>
            <w:r>
              <w:rPr>
                <w:rFonts w:cstheme="minorHAnsi"/>
              </w:rPr>
              <w:t xml:space="preserve">Months 1 </w:t>
            </w:r>
            <w:r w:rsidR="00D80D55">
              <w:rPr>
                <w:rFonts w:cstheme="minorHAnsi"/>
              </w:rPr>
              <w:t>–</w:t>
            </w:r>
            <w:r>
              <w:rPr>
                <w:rFonts w:cstheme="minorHAnsi"/>
              </w:rPr>
              <w:t xml:space="preserve"> 2</w:t>
            </w:r>
          </w:p>
        </w:tc>
      </w:tr>
      <w:tr w:rsidR="00366FAA" w:rsidTr="0068140E">
        <w:tc>
          <w:tcPr>
            <w:tcW w:w="4675" w:type="dxa"/>
          </w:tcPr>
          <w:p w:rsidR="00366FAA" w:rsidRPr="00366FAA" w:rsidRDefault="0068140E" w:rsidP="00366FAA">
            <w:pPr>
              <w:jc w:val="center"/>
              <w:rPr>
                <w:rFonts w:cstheme="minorHAnsi"/>
              </w:rPr>
            </w:pPr>
            <w:r>
              <w:rPr>
                <w:rFonts w:cstheme="minorHAnsi"/>
              </w:rPr>
              <w:t>Setting up Metabolism and ROS experiments</w:t>
            </w:r>
          </w:p>
        </w:tc>
        <w:tc>
          <w:tcPr>
            <w:tcW w:w="3955" w:type="dxa"/>
          </w:tcPr>
          <w:p w:rsidR="00366FAA" w:rsidRPr="00366FAA" w:rsidRDefault="00C43A4B" w:rsidP="00366FAA">
            <w:pPr>
              <w:jc w:val="center"/>
              <w:rPr>
                <w:rFonts w:cstheme="minorHAnsi"/>
              </w:rPr>
            </w:pPr>
            <w:r>
              <w:rPr>
                <w:rFonts w:cstheme="minorHAnsi"/>
              </w:rPr>
              <w:t>Months 3 - 6</w:t>
            </w:r>
          </w:p>
        </w:tc>
      </w:tr>
      <w:tr w:rsidR="00366FAA" w:rsidTr="0068140E">
        <w:tc>
          <w:tcPr>
            <w:tcW w:w="4675" w:type="dxa"/>
          </w:tcPr>
          <w:p w:rsidR="00366FAA" w:rsidRPr="00366FAA" w:rsidRDefault="00C43A4B" w:rsidP="00366FAA">
            <w:pPr>
              <w:jc w:val="center"/>
              <w:rPr>
                <w:rFonts w:cstheme="minorHAnsi"/>
              </w:rPr>
            </w:pPr>
            <w:r>
              <w:rPr>
                <w:rFonts w:cstheme="minorHAnsi"/>
              </w:rPr>
              <w:t>Collecting data by use of TeloTAGGG</w:t>
            </w:r>
            <w:r w:rsidR="007A20F2" w:rsidRPr="00F83B04">
              <w:rPr>
                <w:vertAlign w:val="superscript"/>
              </w:rPr>
              <w:t>TM</w:t>
            </w:r>
          </w:p>
        </w:tc>
        <w:tc>
          <w:tcPr>
            <w:tcW w:w="3955" w:type="dxa"/>
          </w:tcPr>
          <w:p w:rsidR="00366FAA" w:rsidRPr="00366FAA" w:rsidRDefault="00C43A4B" w:rsidP="00366FAA">
            <w:pPr>
              <w:jc w:val="center"/>
              <w:rPr>
                <w:rFonts w:cstheme="minorHAnsi"/>
              </w:rPr>
            </w:pPr>
            <w:r>
              <w:rPr>
                <w:rFonts w:cstheme="minorHAnsi"/>
              </w:rPr>
              <w:t>Months 7 - 14</w:t>
            </w:r>
          </w:p>
        </w:tc>
      </w:tr>
    </w:tbl>
    <w:p w:rsidR="00705EFB" w:rsidRDefault="00705EFB" w:rsidP="00B82165">
      <w:pPr>
        <w:spacing w:line="480" w:lineRule="auto"/>
        <w:rPr>
          <w:rFonts w:cstheme="minorHAnsi"/>
          <w:b/>
        </w:rPr>
      </w:pPr>
    </w:p>
    <w:p w:rsidR="0029338A" w:rsidRDefault="0029338A" w:rsidP="00366FAA">
      <w:pPr>
        <w:spacing w:line="480" w:lineRule="auto"/>
        <w:jc w:val="center"/>
        <w:rPr>
          <w:rFonts w:cstheme="minorHAnsi"/>
          <w:b/>
        </w:rPr>
      </w:pPr>
    </w:p>
    <w:p w:rsidR="00647DAC" w:rsidRDefault="00647DAC" w:rsidP="00366FAA">
      <w:pPr>
        <w:spacing w:line="480" w:lineRule="auto"/>
        <w:jc w:val="center"/>
        <w:rPr>
          <w:rFonts w:cstheme="minorHAnsi"/>
          <w:b/>
        </w:rPr>
      </w:pPr>
    </w:p>
    <w:p w:rsidR="0029338A" w:rsidRDefault="0029338A" w:rsidP="00366FAA">
      <w:pPr>
        <w:spacing w:line="480" w:lineRule="auto"/>
        <w:jc w:val="center"/>
        <w:rPr>
          <w:rFonts w:cstheme="minorHAnsi"/>
          <w:b/>
        </w:rPr>
      </w:pPr>
    </w:p>
    <w:p w:rsidR="0029338A" w:rsidRDefault="0029338A" w:rsidP="00366FAA">
      <w:pPr>
        <w:spacing w:line="480" w:lineRule="auto"/>
        <w:jc w:val="center"/>
        <w:rPr>
          <w:rFonts w:cstheme="minorHAnsi"/>
          <w:b/>
        </w:rPr>
      </w:pPr>
    </w:p>
    <w:p w:rsidR="0069111B" w:rsidRDefault="000A2C1D" w:rsidP="00171986">
      <w:pPr>
        <w:jc w:val="center"/>
        <w:rPr>
          <w:b/>
        </w:rPr>
      </w:pPr>
      <w:r>
        <w:rPr>
          <w:b/>
          <w:szCs w:val="20"/>
        </w:rPr>
        <w:br w:type="page"/>
      </w:r>
      <w:r w:rsidR="0069111B">
        <w:rPr>
          <w:b/>
        </w:rPr>
        <w:lastRenderedPageBreak/>
        <w:t>REFERENCES</w:t>
      </w:r>
    </w:p>
    <w:p w:rsidR="0069111B" w:rsidRDefault="0069111B" w:rsidP="0069111B">
      <w:pPr>
        <w:jc w:val="center"/>
        <w:rPr>
          <w:b/>
        </w:rPr>
      </w:pPr>
    </w:p>
    <w:p w:rsidR="00CB6061" w:rsidRPr="00CB6061" w:rsidRDefault="00E347BF" w:rsidP="00CB6061">
      <w:pPr>
        <w:pStyle w:val="Bibliography"/>
      </w:pPr>
      <w:r w:rsidRPr="005B7C6B">
        <w:fldChar w:fldCharType="begin"/>
      </w:r>
      <w:r w:rsidR="00CB6061">
        <w:instrText xml:space="preserve"> ADDIN ZOTERO_BIBL {"uncited":[],"omitted":[],"custom":[]} CSL_BIBLIOGRAPHY </w:instrText>
      </w:r>
      <w:r w:rsidRPr="005B7C6B">
        <w:fldChar w:fldCharType="separate"/>
      </w:r>
      <w:r w:rsidR="00CB6061" w:rsidRPr="00CB6061">
        <w:t>Arsenis NC, You T, Ogawa EF, Tinsley GM, Zuo L. 2017. Physical activity and telomere length: Impact of aging and potential mechanisms of action. Oncotarget 8(27):45008–45019. doi:10.18632/oncotarget.16726.</w:t>
      </w:r>
    </w:p>
    <w:p w:rsidR="00CB6061" w:rsidRPr="00CB6061" w:rsidRDefault="00CB6061" w:rsidP="00CB6061">
      <w:pPr>
        <w:pStyle w:val="Bibliography"/>
      </w:pPr>
      <w:r w:rsidRPr="00CB6061">
        <w:t>BioTechniques - A quantitative real-time PCR method for absolute telomere length. [accessed 2017 Nov 21]. https://www.biotechniques.com/biotechniques/BiotechniquesJournal/2008/May/A-quantitative-real-time-PCR-method-for-absolute-telomere-length/biotechniques-45204.html.</w:t>
      </w:r>
    </w:p>
    <w:p w:rsidR="00CB6061" w:rsidRPr="00CB6061" w:rsidRDefault="00CB6061" w:rsidP="00CB6061">
      <w:pPr>
        <w:pStyle w:val="Bibliography"/>
      </w:pPr>
      <w:r w:rsidRPr="00CB6061">
        <w:t xml:space="preserve">Boyle KE, Friedman JE, Janssen RC, Underkofler C, Houmard JA, Rasouli N. 2017. Metabolic </w:t>
      </w:r>
      <w:r w:rsidR="0030497A">
        <w:t>i</w:t>
      </w:r>
      <w:r w:rsidRPr="00CB6061">
        <w:t xml:space="preserve">nflexibility with </w:t>
      </w:r>
      <w:r w:rsidR="0030497A">
        <w:t>o</w:t>
      </w:r>
      <w:r w:rsidRPr="00CB6061">
        <w:t xml:space="preserve">besity and the </w:t>
      </w:r>
      <w:r w:rsidR="0030497A">
        <w:t>e</w:t>
      </w:r>
      <w:r w:rsidRPr="00CB6061">
        <w:t xml:space="preserve">ffects of </w:t>
      </w:r>
      <w:r w:rsidR="0030497A">
        <w:t>f</w:t>
      </w:r>
      <w:r w:rsidRPr="00CB6061">
        <w:t xml:space="preserve">enofibrate on </w:t>
      </w:r>
      <w:r w:rsidR="0030497A">
        <w:t>s</w:t>
      </w:r>
      <w:r w:rsidRPr="00CB6061">
        <w:t xml:space="preserve">keletal </w:t>
      </w:r>
      <w:r w:rsidR="0030497A">
        <w:t>m</w:t>
      </w:r>
      <w:r w:rsidRPr="00CB6061">
        <w:t xml:space="preserve">uscle </w:t>
      </w:r>
      <w:r w:rsidR="0030497A">
        <w:t>f</w:t>
      </w:r>
      <w:r w:rsidRPr="00CB6061">
        <w:t xml:space="preserve">atty </w:t>
      </w:r>
      <w:r w:rsidR="0030497A">
        <w:t>a</w:t>
      </w:r>
      <w:r w:rsidRPr="00CB6061">
        <w:t xml:space="preserve">cid </w:t>
      </w:r>
      <w:r w:rsidR="0030497A">
        <w:t>o</w:t>
      </w:r>
      <w:r w:rsidRPr="00CB6061">
        <w:t>xidation. Horm Metab Res 49(1):50–57. doi:10.1055/s-0042-111517.</w:t>
      </w:r>
    </w:p>
    <w:p w:rsidR="00CB6061" w:rsidRPr="00CB6061" w:rsidRDefault="00CB6061" w:rsidP="00CB6061">
      <w:pPr>
        <w:pStyle w:val="Bibliography"/>
      </w:pPr>
      <w:r w:rsidRPr="00CB6061">
        <w:t>Burton DA, Stokes K, Hall GM. 2004. Physiological effects of exercise. Contin Educ Anaesth Crit Care Pain 4(6):185–188. doi:10.1093/bjaceaccp/mkh050.</w:t>
      </w:r>
    </w:p>
    <w:p w:rsidR="00CB6061" w:rsidRPr="00CB6061" w:rsidRDefault="00CB6061" w:rsidP="00CB6061">
      <w:pPr>
        <w:pStyle w:val="Bibliography"/>
      </w:pPr>
      <w:r w:rsidRPr="00CB6061">
        <w:t>Cadenas S. 2018 May 31. Mitochondrial uncoupling, ROS generation and cardioprotection. Biochimica et Biophysica Acta (BBA) - Bioenergetics doi:10.1016/j.bbabio.2018.05.019. [accessed 2018 Jul 31]. http://www.sciencedirect.com/science/article/pii/S000527281830135X.</w:t>
      </w:r>
    </w:p>
    <w:p w:rsidR="00CB6061" w:rsidRPr="00CB6061" w:rsidRDefault="00CB6061" w:rsidP="00CB6061">
      <w:pPr>
        <w:pStyle w:val="Bibliography"/>
      </w:pPr>
      <w:r w:rsidRPr="00CB6061">
        <w:t>Cawthon RM. 2002. Telomere measurement by quantitative PCR. Nucleic Acids Res 30(10):e47.</w:t>
      </w:r>
    </w:p>
    <w:p w:rsidR="00CB6061" w:rsidRPr="00CB6061" w:rsidRDefault="00CB6061" w:rsidP="00CB6061">
      <w:pPr>
        <w:pStyle w:val="Bibliography"/>
      </w:pPr>
      <w:r w:rsidRPr="00CB6061">
        <w:t xml:space="preserve">Chilton W, O’Brien B, Charchar F. 2017. Telomeres, </w:t>
      </w:r>
      <w:r w:rsidR="0030497A">
        <w:t>a</w:t>
      </w:r>
      <w:r w:rsidRPr="00CB6061">
        <w:t xml:space="preserve">ging and </w:t>
      </w:r>
      <w:r w:rsidR="0030497A">
        <w:t>e</w:t>
      </w:r>
      <w:r w:rsidRPr="00CB6061">
        <w:t xml:space="preserve">xercise: Guilty by </w:t>
      </w:r>
      <w:r w:rsidR="0030497A">
        <w:t>a</w:t>
      </w:r>
      <w:r w:rsidRPr="00CB6061">
        <w:t>ssociation? Int J Mol Sci. 18(12) doi:10.3390/ijms18122573. [accessed 2018 Feb 9]. https://www.ncbi.nlm.nih.gov/pmc/articles/PMC5751176/.</w:t>
      </w:r>
    </w:p>
    <w:p w:rsidR="00CB6061" w:rsidRPr="00CB6061" w:rsidRDefault="00CB6061" w:rsidP="00CB6061">
      <w:pPr>
        <w:pStyle w:val="Bibliography"/>
      </w:pPr>
      <w:r w:rsidRPr="00CB6061">
        <w:t xml:space="preserve">Chilton WL, Marques FZ, West J, Kannourakis G, Berzins SP, O’Brien BJ, Charchar FJ. 2014. Acute </w:t>
      </w:r>
      <w:r w:rsidR="0030497A">
        <w:t>e</w:t>
      </w:r>
      <w:r w:rsidRPr="00CB6061">
        <w:t xml:space="preserve">xercise </w:t>
      </w:r>
      <w:r w:rsidR="0030497A">
        <w:t>l</w:t>
      </w:r>
      <w:r w:rsidRPr="00CB6061">
        <w:t xml:space="preserve">eads to </w:t>
      </w:r>
      <w:r w:rsidR="0030497A">
        <w:t>r</w:t>
      </w:r>
      <w:r w:rsidRPr="00CB6061">
        <w:t xml:space="preserve">egulation of </w:t>
      </w:r>
      <w:r w:rsidR="0030497A">
        <w:t>t</w:t>
      </w:r>
      <w:r w:rsidRPr="00CB6061">
        <w:t>elomere-</w:t>
      </w:r>
      <w:r w:rsidR="0030497A">
        <w:t>a</w:t>
      </w:r>
      <w:r w:rsidRPr="00CB6061">
        <w:t xml:space="preserve">ssociated </w:t>
      </w:r>
      <w:r w:rsidR="0030497A">
        <w:t>g</w:t>
      </w:r>
      <w:r w:rsidRPr="00CB6061">
        <w:t xml:space="preserve">enes and </w:t>
      </w:r>
      <w:r w:rsidR="0030497A">
        <w:t>m</w:t>
      </w:r>
      <w:r w:rsidRPr="00CB6061">
        <w:t xml:space="preserve">icroRNA </w:t>
      </w:r>
      <w:r w:rsidR="0030497A">
        <w:t>e</w:t>
      </w:r>
      <w:r w:rsidRPr="00CB6061">
        <w:t xml:space="preserve">xpression in </w:t>
      </w:r>
      <w:r w:rsidR="0030497A">
        <w:t>i</w:t>
      </w:r>
      <w:r w:rsidRPr="00CB6061">
        <w:t xml:space="preserve">mmune </w:t>
      </w:r>
      <w:r w:rsidR="0030497A">
        <w:t>c</w:t>
      </w:r>
      <w:r w:rsidRPr="00CB6061">
        <w:t>ells. PLoS One 9(4). doi:10.1371/journal.pone.0092088. [accessed 2018 Apr 1]. https://www.ncbi.nlm.nih.gov/pmc/articles/PMC3994003/.</w:t>
      </w:r>
    </w:p>
    <w:p w:rsidR="00CB6061" w:rsidRPr="00CB6061" w:rsidRDefault="00CB6061" w:rsidP="00CB6061">
      <w:pPr>
        <w:pStyle w:val="Bibliography"/>
      </w:pPr>
      <w:r w:rsidRPr="00CB6061">
        <w:t xml:space="preserve">Comijn J, Berx G, Vermassen P, Verschueren K, van Grunsven L, Bruyneel E, Mareel M, Huylebroeck D, van Roy F. 2001. The </w:t>
      </w:r>
      <w:r w:rsidR="0030497A">
        <w:t>t</w:t>
      </w:r>
      <w:r w:rsidRPr="00CB6061">
        <w:t>wo-</w:t>
      </w:r>
      <w:r w:rsidR="0030497A">
        <w:t>h</w:t>
      </w:r>
      <w:r w:rsidRPr="00CB6061">
        <w:t xml:space="preserve">anded E </w:t>
      </w:r>
      <w:r w:rsidR="0030497A">
        <w:t>b</w:t>
      </w:r>
      <w:r w:rsidRPr="00CB6061">
        <w:t xml:space="preserve">ox </w:t>
      </w:r>
      <w:r w:rsidR="0030497A">
        <w:t>b</w:t>
      </w:r>
      <w:r w:rsidRPr="00CB6061">
        <w:t xml:space="preserve">inding </w:t>
      </w:r>
      <w:r w:rsidR="0030497A">
        <w:t>z</w:t>
      </w:r>
      <w:r w:rsidRPr="00CB6061">
        <w:t xml:space="preserve">inc </w:t>
      </w:r>
      <w:r w:rsidR="0030497A">
        <w:t>f</w:t>
      </w:r>
      <w:r w:rsidRPr="00CB6061">
        <w:t xml:space="preserve">inger </w:t>
      </w:r>
      <w:r w:rsidR="0030497A">
        <w:t>p</w:t>
      </w:r>
      <w:r w:rsidRPr="00CB6061">
        <w:t xml:space="preserve">rotein SIP1 </w:t>
      </w:r>
      <w:r w:rsidR="0030497A">
        <w:t>d</w:t>
      </w:r>
      <w:r w:rsidRPr="00CB6061">
        <w:t>ownregulates E-</w:t>
      </w:r>
      <w:r w:rsidR="0030497A">
        <w:t>c</w:t>
      </w:r>
      <w:r w:rsidRPr="00CB6061">
        <w:t xml:space="preserve">adherin and </w:t>
      </w:r>
      <w:r w:rsidR="0030497A">
        <w:t>i</w:t>
      </w:r>
      <w:r w:rsidRPr="00CB6061">
        <w:t xml:space="preserve">nduces </w:t>
      </w:r>
      <w:r w:rsidR="0030497A">
        <w:t>i</w:t>
      </w:r>
      <w:r w:rsidRPr="00CB6061">
        <w:t>nvasion. Molecular Cell 7(6):1267–1278. doi:10.1016/S1097-2765(01)00260-X.</w:t>
      </w:r>
    </w:p>
    <w:p w:rsidR="00CB6061" w:rsidRPr="00CB6061" w:rsidRDefault="00CB6061" w:rsidP="00CB6061">
      <w:pPr>
        <w:pStyle w:val="Bibliography"/>
      </w:pPr>
      <w:r w:rsidRPr="00CB6061">
        <w:t>Crichton PG, Lee Y, Kunji ERS. 2017. The molecular features of uncoupling protein 1 support a conventional mitochondrial carrier-like mechanism. Biochimie 134:35–50. doi:10.1016/j.biochi.2016.12.016.</w:t>
      </w:r>
    </w:p>
    <w:p w:rsidR="00CB6061" w:rsidRPr="00CB6061" w:rsidRDefault="00CB6061" w:rsidP="00CB6061">
      <w:pPr>
        <w:pStyle w:val="Bibliography"/>
      </w:pPr>
      <w:r w:rsidRPr="00CB6061">
        <w:t xml:space="preserve">Evers-van Gogh IJA, Alex S, Stienstra R, Brenkman AB, Kersten S, Kalkhoven E. 2015. Electric </w:t>
      </w:r>
      <w:r w:rsidR="0030497A">
        <w:t>p</w:t>
      </w:r>
      <w:r w:rsidRPr="00CB6061">
        <w:t xml:space="preserve">ulse </w:t>
      </w:r>
      <w:r w:rsidR="0030497A">
        <w:t>s</w:t>
      </w:r>
      <w:r w:rsidRPr="00CB6061">
        <w:t xml:space="preserve">timulation of </w:t>
      </w:r>
      <w:r w:rsidR="0030497A">
        <w:t>m</w:t>
      </w:r>
      <w:r w:rsidRPr="00CB6061">
        <w:t xml:space="preserve">yotubes as an In </w:t>
      </w:r>
      <w:r w:rsidR="0030497A">
        <w:t>v</w:t>
      </w:r>
      <w:r w:rsidRPr="00CB6061">
        <w:t xml:space="preserve">itro </w:t>
      </w:r>
      <w:r w:rsidR="0030497A">
        <w:t>e</w:t>
      </w:r>
      <w:r w:rsidRPr="00CB6061">
        <w:t xml:space="preserve">xercise </w:t>
      </w:r>
      <w:r w:rsidR="0030497A">
        <w:t>m</w:t>
      </w:r>
      <w:r w:rsidRPr="00CB6061">
        <w:t xml:space="preserve">odel: </w:t>
      </w:r>
      <w:r w:rsidR="0030497A">
        <w:t>c</w:t>
      </w:r>
      <w:r w:rsidRPr="00CB6061">
        <w:t>ell-</w:t>
      </w:r>
      <w:r w:rsidR="0030497A">
        <w:t>m</w:t>
      </w:r>
      <w:r w:rsidRPr="00CB6061">
        <w:t xml:space="preserve">ediated and </w:t>
      </w:r>
      <w:r w:rsidR="0030497A">
        <w:lastRenderedPageBreak/>
        <w:t>n</w:t>
      </w:r>
      <w:r w:rsidRPr="00CB6061">
        <w:t>on-</w:t>
      </w:r>
      <w:r w:rsidR="0030497A">
        <w:t>c</w:t>
      </w:r>
      <w:r w:rsidRPr="00CB6061">
        <w:t>ell-</w:t>
      </w:r>
      <w:r w:rsidR="0030497A">
        <w:t>m</w:t>
      </w:r>
      <w:r w:rsidRPr="00CB6061">
        <w:t xml:space="preserve">ediated </w:t>
      </w:r>
      <w:r w:rsidR="0030497A">
        <w:t>e</w:t>
      </w:r>
      <w:r w:rsidRPr="00CB6061">
        <w:t>ffects. Sci Rep 5. doi:10.1038/srep10944. [accessed 2018 Jun 30]. https://www.ncbi.nlm.nih.gov/pmc/articles/PMC4473537/.</w:t>
      </w:r>
    </w:p>
    <w:p w:rsidR="00CB6061" w:rsidRPr="00CB6061" w:rsidRDefault="00CB6061" w:rsidP="00CB6061">
      <w:pPr>
        <w:pStyle w:val="Bibliography"/>
      </w:pPr>
      <w:r w:rsidRPr="00CB6061">
        <w:t xml:space="preserve">Giglia-Mari G, Zotter A, Vermeulen W. 2011. DNA </w:t>
      </w:r>
      <w:r w:rsidR="0030497A" w:rsidRPr="00CB6061">
        <w:t>damage response</w:t>
      </w:r>
      <w:r w:rsidRPr="00CB6061">
        <w:t>. Cold Spring Harb Perspect Biol 3(1). doi:10.1101/cshperspect.a000745. [accessed 2017 Nov 20]. https://www.ncbi.nlm.nih.gov/pmc/articles/PMC3003462/.</w:t>
      </w:r>
    </w:p>
    <w:p w:rsidR="00CB6061" w:rsidRPr="00CB6061" w:rsidRDefault="00CB6061" w:rsidP="00CB6061">
      <w:pPr>
        <w:pStyle w:val="Bibliography"/>
      </w:pPr>
      <w:r w:rsidRPr="00CB6061">
        <w:t>Kimura M, Stone RC, Hunt SC, Skurnick J, Lu X, Cao X, Harley CB, Aviv A. 2010. Measurement of telomere length by the Southern blot analysis of terminal restriction fragment lengths. Nat Protoc 5(9):1596–1607. doi:10.1038/nprot.2010.124.</w:t>
      </w:r>
    </w:p>
    <w:p w:rsidR="00CB6061" w:rsidRPr="00CB6061" w:rsidRDefault="00CB6061" w:rsidP="00CB6061">
      <w:pPr>
        <w:pStyle w:val="Bibliography"/>
      </w:pPr>
      <w:r w:rsidRPr="00CB6061">
        <w:t xml:space="preserve">Lahkdar R, Choudhury G, McLeish J, Drost EM, McGlynn L, Shiels PG, MacNee W, Rabinovich RA. 2014. S143 </w:t>
      </w:r>
      <w:r w:rsidR="0030497A">
        <w:t>P</w:t>
      </w:r>
      <w:r w:rsidR="0030497A" w:rsidRPr="00CB6061">
        <w:t xml:space="preserve">remature ageing and skeletal muscle dysfunction in </w:t>
      </w:r>
      <w:r w:rsidR="0030497A">
        <w:t>COPD</w:t>
      </w:r>
      <w:r w:rsidR="0030497A" w:rsidRPr="00CB6061">
        <w:t xml:space="preserve"> patients: development of a cell culture model</w:t>
      </w:r>
      <w:r w:rsidRPr="00CB6061">
        <w:t>. Thorax 69(Suppl 2):A76–A76. doi:10.1136/thoraxjnl-2014-206260.149.</w:t>
      </w:r>
    </w:p>
    <w:p w:rsidR="00CB6061" w:rsidRPr="00CB6061" w:rsidRDefault="00CB6061" w:rsidP="00CB6061">
      <w:pPr>
        <w:pStyle w:val="Bibliography"/>
      </w:pPr>
      <w:r w:rsidRPr="00CB6061">
        <w:t>Lambernd S, Taube A, Schober A, Platzbecker B, Görgens S, Schlich R, Jeruschke K, Weiss J, Eckardt K, Eckel J. 2012. Contractile activity of human skeletal muscle cells prevents insulin resistance by inhibiting pro-inflammatory signalling pathways. Diabetologia 55:1128–39. doi:10.1007/s00125-012-2454-z.</w:t>
      </w:r>
    </w:p>
    <w:p w:rsidR="00CB6061" w:rsidRPr="00CB6061" w:rsidRDefault="00CB6061" w:rsidP="00CB6061">
      <w:pPr>
        <w:pStyle w:val="Bibliography"/>
      </w:pPr>
      <w:r w:rsidRPr="00CB6061">
        <w:t xml:space="preserve">Lieber MR. 2010. The </w:t>
      </w:r>
      <w:r w:rsidR="0030497A" w:rsidRPr="00CB6061">
        <w:t>mechanism of double-strand</w:t>
      </w:r>
      <w:r w:rsidRPr="00CB6061">
        <w:t xml:space="preserve"> DNA </w:t>
      </w:r>
      <w:r w:rsidR="0030497A" w:rsidRPr="00CB6061">
        <w:t>break repair by the nonhomologous DNA end joining pathway</w:t>
      </w:r>
      <w:r w:rsidRPr="00CB6061">
        <w:t>. Annu Rev Biochem 79:181–211. doi:10.1146/annurev.biochem.052308.093131.</w:t>
      </w:r>
    </w:p>
    <w:p w:rsidR="00CB6061" w:rsidRPr="00CB6061" w:rsidRDefault="00CB6061" w:rsidP="00CB6061">
      <w:pPr>
        <w:pStyle w:val="Bibliography"/>
      </w:pPr>
      <w:r w:rsidRPr="00CB6061">
        <w:t>Lin SY, Elledge SJ. 2003. Multiple tumor suppressor pathways negatively regulate telomerase. Cell 113(7):881–889.</w:t>
      </w:r>
    </w:p>
    <w:p w:rsidR="00CB6061" w:rsidRPr="00CB6061" w:rsidRDefault="00CB6061" w:rsidP="00CB6061">
      <w:pPr>
        <w:pStyle w:val="Bibliography"/>
      </w:pPr>
      <w:r w:rsidRPr="00CB6061">
        <w:t xml:space="preserve">Loprinzi PD, Loenneke JP, Blackburn EH. 2015. Movement-based </w:t>
      </w:r>
      <w:r w:rsidR="0030497A" w:rsidRPr="00CB6061">
        <w:t>behaviors and leukocyte telomere length among</w:t>
      </w:r>
      <w:r w:rsidRPr="00CB6061">
        <w:t xml:space="preserve"> U</w:t>
      </w:r>
      <w:r w:rsidR="0030497A">
        <w:t>Sa</w:t>
      </w:r>
      <w:r w:rsidRPr="00CB6061">
        <w:t>dults. Medicine &amp; Science in Sports &amp; Exercise 47(11):2347–2352. doi:10.1249/MSS.0000000000000695.</w:t>
      </w:r>
    </w:p>
    <w:p w:rsidR="00CB6061" w:rsidRPr="00CB6061" w:rsidRDefault="00CB6061" w:rsidP="00CB6061">
      <w:pPr>
        <w:pStyle w:val="Bibliography"/>
      </w:pPr>
      <w:r w:rsidRPr="00CB6061">
        <w:t>Ludlow AT, Gratidão L, Ludlow LW, Spangenburg EE, Roth SM. 2017. Acute exercise activates p38 MAPK and increases the expression of telomere-protective genes in cardiac muscle. Exp Physiol 102(4):397–410. doi:10.1113/EP086189.</w:t>
      </w:r>
    </w:p>
    <w:p w:rsidR="00CB6061" w:rsidRPr="00CB6061" w:rsidRDefault="00CB6061" w:rsidP="00CB6061">
      <w:pPr>
        <w:pStyle w:val="Bibliography"/>
      </w:pPr>
      <w:r w:rsidRPr="00CB6061">
        <w:t>Ludlow AT, Ludlow LW, Roth SM. 2013. Do</w:t>
      </w:r>
      <w:r w:rsidR="0030497A" w:rsidRPr="00CB6061">
        <w:t xml:space="preserve"> telomeres adapt to physiological stress</w:t>
      </w:r>
      <w:r w:rsidRPr="00CB6061">
        <w:t xml:space="preserve">? Exploring the </w:t>
      </w:r>
      <w:r w:rsidR="0030497A" w:rsidRPr="00CB6061">
        <w:t>effect of exercise on telomere length and telomere-related proteins</w:t>
      </w:r>
      <w:r w:rsidRPr="00CB6061">
        <w:t>. Biomed Res Int 2013. doi:10.1155/2013/601368. [accessed 2017 Nov 21]. https://www.ncbi.nlm.nih.gov/pmc/articles/PMC3884693/.</w:t>
      </w:r>
    </w:p>
    <w:p w:rsidR="00CB6061" w:rsidRPr="00CB6061" w:rsidRDefault="00CB6061" w:rsidP="00CB6061">
      <w:pPr>
        <w:pStyle w:val="Bibliography"/>
      </w:pPr>
      <w:r w:rsidRPr="00CB6061">
        <w:t xml:space="preserve">Manabe Y, Miyatake S, Takagi M, Nakamura M, Okeda A, Nakano T, F Hirshman M, Goodyear L, L Fujii N. 2012. Characterization </w:t>
      </w:r>
      <w:r w:rsidR="0030497A" w:rsidRPr="00CB6061">
        <w:t>of an acute muscle contraction model using cultured c2c12 myotubes</w:t>
      </w:r>
      <w:r w:rsidRPr="00CB6061">
        <w:t>. PloS one 7:e52592. doi:10.1371/journal.pone.0052592.</w:t>
      </w:r>
    </w:p>
    <w:p w:rsidR="00CB6061" w:rsidRPr="00CB6061" w:rsidRDefault="00CB6061" w:rsidP="00CB6061">
      <w:pPr>
        <w:pStyle w:val="Bibliography"/>
      </w:pPr>
      <w:r w:rsidRPr="00CB6061">
        <w:t>Mookerjee SA, Divakaruni AS, Jastroch M, Brand MD. 2010. Mitochondrial uncoupling and lifespan. Mech Ageing Dev 131(7–8):463–472. doi:10.1016/j.mad.2010.03.010.</w:t>
      </w:r>
    </w:p>
    <w:p w:rsidR="00CB6061" w:rsidRPr="00CB6061" w:rsidRDefault="00CB6061" w:rsidP="00CB6061">
      <w:pPr>
        <w:pStyle w:val="Bibliography"/>
      </w:pPr>
      <w:r w:rsidRPr="00CB6061">
        <w:lastRenderedPageBreak/>
        <w:t xml:space="preserve">Nikolić N, Skaret Bakke S, Tranheim Kase E, Rudberg I, Flo Halle I, Rustan AC, Thoresen GH, Aas V. 2012. Electrical </w:t>
      </w:r>
      <w:r w:rsidR="0030497A" w:rsidRPr="00CB6061">
        <w:t>pulse stimulation of cultured human skeletal muscle cells as an in vitro model of exercise</w:t>
      </w:r>
      <w:r w:rsidRPr="00CB6061">
        <w:t>. PLoS One 7(3). doi:10.1371/journal.pone.0033203. [accessed 2018 Jul 20]. https://www.ncbi.nlm.nih.gov/pmc/articles/PMC3310863/.</w:t>
      </w:r>
    </w:p>
    <w:p w:rsidR="00CB6061" w:rsidRPr="00CB6061" w:rsidRDefault="00CB6061" w:rsidP="00CB6061">
      <w:pPr>
        <w:pStyle w:val="Bibliography"/>
      </w:pPr>
      <w:r w:rsidRPr="00CB6061">
        <w:t xml:space="preserve">Ocloo A, Dongdem JT. 2011. Mitochondria as </w:t>
      </w:r>
      <w:r w:rsidR="0030497A" w:rsidRPr="00CB6061">
        <w:t xml:space="preserve">pharmacological targets: the discovery of novel anti-obesity mitochondrial uncouplers from </w:t>
      </w:r>
      <w:r w:rsidR="0030497A">
        <w:t>A</w:t>
      </w:r>
      <w:r w:rsidR="0030497A" w:rsidRPr="00CB6061">
        <w:t>frica’s medicinal plant</w:t>
      </w:r>
      <w:r w:rsidRPr="00CB6061">
        <w:t>s. Afr J Tradit Complement Altern Med 9(2):256–259.</w:t>
      </w:r>
    </w:p>
    <w:p w:rsidR="00CB6061" w:rsidRPr="00CB6061" w:rsidRDefault="00CB6061" w:rsidP="00CB6061">
      <w:pPr>
        <w:pStyle w:val="Bibliography"/>
      </w:pPr>
      <w:r w:rsidRPr="00CB6061">
        <w:t>Østhus IBØ, Sgura A, Berardinelli F, Alsnes IV, Brønstad E, Rehn T, Støbakk PK, Hatle H, Wisløff U, Nauman J. 2012. Telomere</w:t>
      </w:r>
      <w:r w:rsidR="0030497A" w:rsidRPr="00CB6061">
        <w:t xml:space="preserve"> length and long-term endurance exercise: </w:t>
      </w:r>
      <w:r w:rsidR="0030497A">
        <w:t>D</w:t>
      </w:r>
      <w:r w:rsidR="0030497A" w:rsidRPr="00CB6061">
        <w:t>oes exercise training affect biological age</w:t>
      </w:r>
      <w:r w:rsidRPr="00CB6061">
        <w:t xml:space="preserve">? A </w:t>
      </w:r>
      <w:r w:rsidR="0030497A" w:rsidRPr="00CB6061">
        <w:t>pilot study</w:t>
      </w:r>
      <w:r w:rsidRPr="00CB6061">
        <w:t>. PLoS One 7(12). doi:10.1371/journal.pone.0052769. [accessed 2018 Jul 31]. https://www.ncbi.nlm.nih.gov/pmc/articles/PMC3530492/.</w:t>
      </w:r>
    </w:p>
    <w:p w:rsidR="00CB6061" w:rsidRPr="00CB6061" w:rsidRDefault="00CB6061" w:rsidP="00CB6061">
      <w:pPr>
        <w:pStyle w:val="Bibliography"/>
      </w:pPr>
      <w:r w:rsidRPr="00CB6061">
        <w:t xml:space="preserve">Sindi S, Ngandu T, Hovatta I, Kåreholt I, Antikainen R, Hänninen T, Levälahti E, Laatikainen T, Lindström J, Paajanen T, et al. 2017. Baseline </w:t>
      </w:r>
      <w:r w:rsidR="0030497A" w:rsidRPr="00CB6061">
        <w:t>telomere length and effects of a multidomain lifestyle intervention on cognition</w:t>
      </w:r>
      <w:r w:rsidRPr="00CB6061">
        <w:t xml:space="preserve">: The FINGER </w:t>
      </w:r>
      <w:r w:rsidR="0030497A" w:rsidRPr="00CB6061">
        <w:t>randomized controlled trial</w:t>
      </w:r>
      <w:r w:rsidRPr="00CB6061">
        <w:t>. J Alzheimers Dis 59(4):1459–1470. doi:10.3233/JAD-170123.</w:t>
      </w:r>
    </w:p>
    <w:p w:rsidR="00CB6061" w:rsidRPr="00CB6061" w:rsidRDefault="00CB6061" w:rsidP="00CB6061">
      <w:pPr>
        <w:pStyle w:val="Bibliography"/>
      </w:pPr>
      <w:r w:rsidRPr="00CB6061">
        <w:t>Webb CJ, Wu Y, Zakian VA. 2013. DNA</w:t>
      </w:r>
      <w:r w:rsidR="0030497A" w:rsidRPr="00CB6061">
        <w:t xml:space="preserve"> repair at telomeres</w:t>
      </w:r>
      <w:r w:rsidRPr="00CB6061">
        <w:t>: Keeping the</w:t>
      </w:r>
      <w:r w:rsidR="0030497A" w:rsidRPr="00CB6061">
        <w:t xml:space="preserve"> ends inta</w:t>
      </w:r>
      <w:r w:rsidRPr="00CB6061">
        <w:t>ct. Cold Spring Harb Perspect Biol 5(6). doi:10.1101/cshperspect.a012666. [accessed 2017 Nov 20]. https://www.ncbi.nlm.nih.gov/pmc/articles/PMC3660827/.</w:t>
      </w:r>
    </w:p>
    <w:p w:rsidR="00CB6061" w:rsidRPr="00CB6061" w:rsidRDefault="00CB6061" w:rsidP="00CB6061">
      <w:pPr>
        <w:pStyle w:val="Bibliography"/>
      </w:pPr>
      <w:r w:rsidRPr="00CB6061">
        <w:t>Zhao W, Zhao S-P. 2015. Different effects of statins on induction of diabetes mellitus: an experimental study. Drug Des Devel Ther 9:6211–6223. doi:10.2147/DDDT.S87979.</w:t>
      </w:r>
    </w:p>
    <w:p w:rsidR="005C18A2" w:rsidRPr="005F678A" w:rsidRDefault="00E347BF" w:rsidP="00D62FDF">
      <w:r w:rsidRPr="005B7C6B">
        <w:fldChar w:fldCharType="end"/>
      </w:r>
    </w:p>
    <w:sectPr w:rsidR="005C18A2" w:rsidRPr="005F678A" w:rsidSect="00C447B5">
      <w:headerReference w:type="default" r:id="rId24"/>
      <w:footerReference w:type="default" r:id="rId25"/>
      <w:pgSz w:w="12240" w:h="15840"/>
      <w:pgMar w:top="1440" w:right="1440" w:bottom="1440" w:left="2160" w:header="720" w:footer="720" w:gutter="0"/>
      <w:pgNumType w:start="5"/>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037F" w:rsidRDefault="001E037F" w:rsidP="00E84BA0">
      <w:r>
        <w:separator/>
      </w:r>
    </w:p>
  </w:endnote>
  <w:endnote w:type="continuationSeparator" w:id="1">
    <w:p w:rsidR="001E037F" w:rsidRDefault="001E037F" w:rsidP="00E84B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0298306"/>
      <w:docPartObj>
        <w:docPartGallery w:val="Page Numbers (Bottom of Page)"/>
        <w:docPartUnique/>
      </w:docPartObj>
    </w:sdtPr>
    <w:sdtContent>
      <w:p w:rsidR="00B87943" w:rsidRDefault="00E347BF" w:rsidP="00A71CC2">
        <w:pPr>
          <w:pStyle w:val="Footer"/>
          <w:ind w:left="720"/>
          <w:jc w:val="center"/>
        </w:pPr>
        <w:r w:rsidRPr="00A71CC2">
          <w:rPr>
            <w:sz w:val="22"/>
            <w:szCs w:val="22"/>
          </w:rPr>
          <w:fldChar w:fldCharType="begin"/>
        </w:r>
        <w:r w:rsidR="00B87943" w:rsidRPr="00A71CC2">
          <w:rPr>
            <w:sz w:val="22"/>
            <w:szCs w:val="22"/>
          </w:rPr>
          <w:instrText xml:space="preserve"> PAGE   \* MERGEFORMAT </w:instrText>
        </w:r>
        <w:r w:rsidRPr="00A71CC2">
          <w:rPr>
            <w:sz w:val="22"/>
            <w:szCs w:val="22"/>
          </w:rPr>
          <w:fldChar w:fldCharType="separate"/>
        </w:r>
        <w:r w:rsidR="00CB5C9F">
          <w:rPr>
            <w:noProof/>
            <w:sz w:val="22"/>
            <w:szCs w:val="22"/>
          </w:rPr>
          <w:t>iv</w:t>
        </w:r>
        <w:r w:rsidRPr="00A71CC2">
          <w:rPr>
            <w:sz w:val="22"/>
            <w:szCs w:val="22"/>
          </w:rPr>
          <w:fldChar w:fldCharType="end"/>
        </w:r>
      </w:p>
    </w:sdtContent>
  </w:sdt>
  <w:p w:rsidR="00B87943" w:rsidRDefault="00B8794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rsidP="00E84BA0">
    <w:pPr>
      <w:pStyle w:val="Footer"/>
      <w:tabs>
        <w:tab w:val="clear" w:pos="9360"/>
        <w:tab w:val="right" w:pos="7470"/>
      </w:tabs>
      <w:ind w:left="-153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E14C15" w:rsidRDefault="00B87943"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sidRPr="00BA798A">
      <w:rPr>
        <w:rStyle w:val="PageNumber"/>
        <w:rFonts w:cs="Arial"/>
        <w:sz w:val="18"/>
        <w:szCs w:val="18"/>
        <w:lang w:val="fr-FR"/>
      </w:rPr>
      <w:t>3</w:t>
    </w:r>
    <w:r w:rsidRPr="00E14C15">
      <w:rPr>
        <w:lang w:val="fr-FR"/>
      </w:rPr>
      <w:tab/>
    </w:r>
    <w:r>
      <w:rPr>
        <w:b/>
        <w:bCs/>
      </w:rPr>
      <w:t>Biographical Sketch Format Page</w:t>
    </w:r>
  </w:p>
  <w:p w:rsidR="00B87943" w:rsidRDefault="00B87943" w:rsidP="00E84BA0">
    <w:pPr>
      <w:pStyle w:val="Footer"/>
      <w:tabs>
        <w:tab w:val="clear" w:pos="9360"/>
        <w:tab w:val="right" w:pos="7470"/>
      </w:tabs>
      <w:ind w:left="-153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E14C15" w:rsidRDefault="00B87943"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BA798A">
      <w:rPr>
        <w:rStyle w:val="PageNumber"/>
        <w:rFonts w:cs="Arial"/>
        <w:sz w:val="18"/>
        <w:szCs w:val="18"/>
        <w:lang w:val="fr-FR"/>
      </w:rPr>
      <w:t>4</w:t>
    </w:r>
    <w:r w:rsidRPr="00E14C15">
      <w:rPr>
        <w:lang w:val="fr-FR"/>
      </w:rPr>
      <w:tab/>
    </w:r>
    <w:r>
      <w:rPr>
        <w:b/>
        <w:bCs/>
      </w:rPr>
      <w:t>Resources Format Page</w:t>
    </w:r>
  </w:p>
  <w:p w:rsidR="00B87943" w:rsidRDefault="00B87943" w:rsidP="00E84BA0">
    <w:pPr>
      <w:pStyle w:val="Footer"/>
      <w:tabs>
        <w:tab w:val="clear" w:pos="9360"/>
        <w:tab w:val="right" w:pos="7470"/>
      </w:tabs>
      <w:ind w:left="-153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rsidP="00D70834">
    <w:pPr>
      <w:pStyle w:val="Footer"/>
      <w:rPr>
        <w:rFonts w:ascii="Arial" w:hAnsi="Arial" w:cs="Arial"/>
        <w:sz w:val="16"/>
        <w:szCs w:val="16"/>
      </w:rPr>
    </w:pPr>
  </w:p>
  <w:p w:rsidR="00B87943" w:rsidRDefault="00B87943"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B87943" w:rsidRDefault="00B87943" w:rsidP="00D70834">
    <w:pPr>
      <w:pStyle w:val="Footer"/>
      <w:rPr>
        <w:rFonts w:ascii="Arial" w:hAnsi="Arial" w:cs="Arial"/>
        <w:sz w:val="16"/>
        <w:szCs w:val="16"/>
      </w:rPr>
    </w:pPr>
  </w:p>
  <w:p w:rsidR="00B87943" w:rsidRPr="003D2C0A" w:rsidRDefault="00B87943" w:rsidP="00CD7F01">
    <w:pPr>
      <w:pStyle w:val="Footer"/>
      <w:tabs>
        <w:tab w:val="clear" w:pos="4680"/>
        <w:tab w:val="left" w:pos="3780"/>
        <w:tab w:val="left" w:pos="6390"/>
      </w:tabs>
      <w:rPr>
        <w:rFonts w:ascii="Arial" w:hAnsi="Arial" w:cs="Arial"/>
        <w:sz w:val="16"/>
        <w:szCs w:val="16"/>
      </w:rPr>
    </w:pPr>
    <w:r>
      <w:rPr>
        <w:rFonts w:ascii="Arial" w:hAnsi="Arial" w:cs="Arial"/>
        <w:sz w:val="16"/>
        <w:szCs w:val="16"/>
      </w:rPr>
      <w:tab/>
    </w:r>
    <w:r w:rsidRPr="00F333FF">
      <w:rPr>
        <w:rFonts w:ascii="Arial" w:hAnsi="Arial" w:cs="Arial"/>
        <w:b/>
        <w:sz w:val="16"/>
        <w:szCs w:val="16"/>
      </w:rPr>
      <w:t>Page</w:t>
    </w:r>
    <w:r w:rsidR="00E347BF" w:rsidRPr="00BA798A">
      <w:rPr>
        <w:rFonts w:ascii="Arial" w:hAnsi="Arial" w:cs="Arial"/>
        <w:sz w:val="18"/>
        <w:szCs w:val="18"/>
        <w:u w:val="single"/>
      </w:rPr>
      <w:fldChar w:fldCharType="begin"/>
    </w:r>
    <w:r w:rsidRPr="00BA798A">
      <w:rPr>
        <w:rFonts w:ascii="Arial" w:hAnsi="Arial" w:cs="Arial"/>
        <w:sz w:val="18"/>
        <w:szCs w:val="18"/>
        <w:u w:val="single"/>
      </w:rPr>
      <w:instrText xml:space="preserve"> PAGE   \* MERGEFORMAT </w:instrText>
    </w:r>
    <w:r w:rsidR="00E347BF" w:rsidRPr="00BA798A">
      <w:rPr>
        <w:rFonts w:ascii="Arial" w:hAnsi="Arial" w:cs="Arial"/>
        <w:sz w:val="18"/>
        <w:szCs w:val="18"/>
        <w:u w:val="single"/>
      </w:rPr>
      <w:fldChar w:fldCharType="separate"/>
    </w:r>
    <w:r w:rsidR="00CB5C9F">
      <w:rPr>
        <w:rFonts w:ascii="Arial" w:hAnsi="Arial" w:cs="Arial"/>
        <w:noProof/>
        <w:sz w:val="18"/>
        <w:szCs w:val="18"/>
        <w:u w:val="single"/>
      </w:rPr>
      <w:t>26</w:t>
    </w:r>
    <w:r w:rsidR="00E347BF" w:rsidRPr="00BA798A">
      <w:rPr>
        <w:rFonts w:ascii="Arial" w:hAnsi="Arial" w:cs="Arial"/>
        <w:sz w:val="18"/>
        <w:szCs w:val="18"/>
        <w:u w:val="single"/>
      </w:rPr>
      <w:fldChar w:fldCharType="end"/>
    </w:r>
    <w:r>
      <w:rPr>
        <w:rFonts w:ascii="Arial" w:hAnsi="Arial" w:cs="Arial"/>
        <w:sz w:val="16"/>
        <w:szCs w:val="16"/>
      </w:rPr>
      <w:tab/>
    </w:r>
    <w:r>
      <w:rPr>
        <w:rFonts w:ascii="Arial" w:hAnsi="Arial" w:cs="Arial"/>
        <w:b/>
        <w:sz w:val="16"/>
        <w:szCs w:val="16"/>
      </w:rPr>
      <w:t xml:space="preserve">Continuation Format </w:t>
    </w:r>
    <w:r w:rsidRPr="00BE4013">
      <w:rPr>
        <w:rFonts w:ascii="Arial" w:hAnsi="Arial" w:cs="Arial"/>
        <w:b/>
        <w:sz w:val="16"/>
        <w:szCs w:val="16"/>
      </w:rPr>
      <w:t>Page</w:t>
    </w:r>
    <w:r w:rsidR="00E347BF">
      <w:rPr>
        <w:rFonts w:ascii="Arial" w:hAnsi="Arial" w:cs="Arial"/>
        <w:sz w:val="16"/>
        <w:szCs w:val="16"/>
      </w:rPr>
    </w:r>
  </w:p>
  <w:p w:rsidR="00B87943" w:rsidRPr="003A1CE6" w:rsidRDefault="00B87943" w:rsidP="00116696">
    <w:pPr>
      <w:pStyle w:val="Footer"/>
      <w:tabs>
        <w:tab w:val="left" w:pos="8640"/>
      </w:tabs>
      <w:ind w:right="-9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037F" w:rsidRDefault="001E037F" w:rsidP="00E84BA0">
      <w:r>
        <w:separator/>
      </w:r>
    </w:p>
  </w:footnote>
  <w:footnote w:type="continuationSeparator" w:id="1">
    <w:p w:rsidR="001E037F" w:rsidRDefault="001E037F" w:rsidP="00E84B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rsidP="00DD079E">
    <w:pPr>
      <w:pStyle w:val="PIHeader"/>
      <w:tabs>
        <w:tab w:val="left" w:pos="7694"/>
      </w:tabs>
      <w:ind w:left="-900"/>
      <w:rPr>
        <w:sz w:val="18"/>
        <w:szCs w:val="18"/>
      </w:rPr>
    </w:pPr>
    <w:r w:rsidRPr="002C2C65">
      <w:rPr>
        <w:sz w:val="18"/>
        <w:szCs w:val="18"/>
      </w:rPr>
      <w:t>Program Director/Princi</w:t>
    </w:r>
    <w:r>
      <w:rPr>
        <w:sz w:val="18"/>
        <w:szCs w:val="18"/>
      </w:rPr>
      <w:t>pal Investigator (Boyd,Ann):  Manraj, Randy</w:t>
    </w:r>
  </w:p>
  <w:p w:rsidR="00B87943" w:rsidRPr="002C2C65" w:rsidRDefault="00B87943" w:rsidP="00D523FD">
    <w:pPr>
      <w:pStyle w:val="PIHeader"/>
      <w:tabs>
        <w:tab w:val="left" w:pos="7694"/>
      </w:tabs>
      <w:ind w:left="-900"/>
      <w:rPr>
        <w:sz w:val="18"/>
        <w:szCs w:val="18"/>
      </w:rPr>
    </w:pPr>
    <w:r>
      <w:rPr>
        <w:sz w:val="18"/>
        <w:szCs w:val="18"/>
      </w:rPr>
      <w:t>______________________________________________________________________________________________________</w:t>
    </w:r>
  </w:p>
  <w:p w:rsidR="00B87943" w:rsidRDefault="00B87943" w:rsidP="000B769C">
    <w:pPr>
      <w:pStyle w:val="Header"/>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Default="00B87943" w:rsidP="000B769C">
    <w:pPr>
      <w:pStyle w:val="Header"/>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9D2DC7" w:rsidRDefault="00B87943" w:rsidP="009D2DC7">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2C2C65" w:rsidRDefault="00B87943" w:rsidP="00E224AF">
    <w:pPr>
      <w:pStyle w:val="PIHeader"/>
      <w:tabs>
        <w:tab w:val="left" w:pos="7694"/>
      </w:tabs>
      <w:ind w:left="-900"/>
      <w:rPr>
        <w:sz w:val="18"/>
        <w:szCs w:val="18"/>
      </w:rPr>
    </w:pPr>
    <w:r w:rsidRPr="002C2C65">
      <w:rPr>
        <w:sz w:val="18"/>
        <w:szCs w:val="18"/>
      </w:rPr>
      <w:t>Program Director/Princi</w:t>
    </w:r>
    <w:r>
      <w:rPr>
        <w:sz w:val="18"/>
        <w:szCs w:val="18"/>
      </w:rPr>
      <w:t>pal Investigator (Manraj, Randy):  Manraj, Randy</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2C2C65" w:rsidRDefault="00B87943" w:rsidP="00376EDE">
    <w:pPr>
      <w:pStyle w:val="PIHeader"/>
      <w:tabs>
        <w:tab w:val="left" w:pos="7694"/>
      </w:tabs>
      <w:ind w:left="0"/>
      <w:rPr>
        <w:sz w:val="18"/>
        <w:szCs w:val="18"/>
      </w:rPr>
    </w:pPr>
    <w:r w:rsidRPr="002C2C65">
      <w:rPr>
        <w:sz w:val="18"/>
        <w:szCs w:val="18"/>
      </w:rPr>
      <w:t>Program Director/Principal Investigator (</w:t>
    </w:r>
    <w:r>
      <w:rPr>
        <w:sz w:val="18"/>
        <w:szCs w:val="18"/>
      </w:rPr>
      <w:t>Manraj, Randy</w:t>
    </w:r>
    <w:r w:rsidRPr="002C2C65">
      <w:rPr>
        <w:sz w:val="18"/>
        <w:szCs w:val="18"/>
      </w:rPr>
      <w:t>):</w:t>
    </w:r>
    <w:r>
      <w:rPr>
        <w:sz w:val="18"/>
        <w:szCs w:val="18"/>
      </w:rPr>
      <w:t xml:space="preserve">  Manraj, Randy</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10456C" w:rsidRDefault="00B87943" w:rsidP="0010456C">
    <w:pPr>
      <w:pStyle w:val="PIHeader"/>
      <w:tabs>
        <w:tab w:val="left" w:pos="7694"/>
      </w:tabs>
      <w:ind w:left="0"/>
      <w:rPr>
        <w:sz w:val="18"/>
        <w:szCs w:val="18"/>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7943" w:rsidRPr="002C2C65" w:rsidRDefault="00B87943" w:rsidP="00736D4D">
    <w:pPr>
      <w:pStyle w:val="PIHeader"/>
      <w:tabs>
        <w:tab w:val="left" w:pos="7694"/>
      </w:tabs>
      <w:ind w:left="-900"/>
      <w:rPr>
        <w:sz w:val="18"/>
        <w:szCs w:val="18"/>
      </w:rPr>
    </w:pPr>
    <w:r w:rsidRPr="002C2C65">
      <w:rPr>
        <w:sz w:val="18"/>
        <w:szCs w:val="18"/>
      </w:rPr>
      <w:t>Program Director/Princi</w:t>
    </w:r>
    <w:r>
      <w:rPr>
        <w:sz w:val="18"/>
        <w:szCs w:val="18"/>
      </w:rPr>
      <w:t>pal Investigator (Boyd, Ann):  Manraj, Randy</w:t>
    </w:r>
  </w:p>
  <w:p w:rsidR="00B87943" w:rsidRDefault="00B87943"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B87943" w:rsidRDefault="00B8794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0"/>
  </w:num>
  <w:num w:numId="2">
    <w:abstractNumId w:val="18"/>
  </w:num>
  <w:num w:numId="3">
    <w:abstractNumId w:val="7"/>
  </w:num>
  <w:num w:numId="4">
    <w:abstractNumId w:val="11"/>
  </w:num>
  <w:num w:numId="5">
    <w:abstractNumId w:val="16"/>
  </w:num>
  <w:num w:numId="6">
    <w:abstractNumId w:val="9"/>
  </w:num>
  <w:num w:numId="7">
    <w:abstractNumId w:val="13"/>
  </w:num>
  <w:num w:numId="8">
    <w:abstractNumId w:val="3"/>
  </w:num>
  <w:num w:numId="9">
    <w:abstractNumId w:val="6"/>
  </w:num>
  <w:num w:numId="10">
    <w:abstractNumId w:val="15"/>
  </w:num>
  <w:num w:numId="11">
    <w:abstractNumId w:val="19"/>
  </w:num>
  <w:num w:numId="12">
    <w:abstractNumId w:val="12"/>
  </w:num>
  <w:num w:numId="13">
    <w:abstractNumId w:val="14"/>
  </w:num>
  <w:num w:numId="14">
    <w:abstractNumId w:val="17"/>
  </w:num>
  <w:num w:numId="15">
    <w:abstractNumId w:val="1"/>
  </w:num>
  <w:num w:numId="16">
    <w:abstractNumId w:val="8"/>
  </w:num>
  <w:num w:numId="17">
    <w:abstractNumId w:val="5"/>
  </w:num>
  <w:num w:numId="18">
    <w:abstractNumId w:val="4"/>
  </w:num>
  <w:num w:numId="19">
    <w:abstractNumId w:val="0"/>
  </w:num>
  <w:num w:numId="2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6" w:nlCheck="1" w:checkStyle="1"/>
  <w:activeWritingStyle w:appName="MSWord" w:lang="fr-FR" w:vendorID="64" w:dllVersion="6" w:nlCheck="1" w:checkStyle="1"/>
  <w:activeWritingStyle w:appName="MSWord" w:lang="en-US" w:vendorID="64" w:dllVersion="4096" w:nlCheck="1" w:checkStyle="0"/>
  <w:activeWritingStyle w:appName="MSWord" w:lang="fr-FR" w:vendorID="64" w:dllVersion="4096" w:nlCheck="1" w:checkStyle="0"/>
  <w:activeWritingStyle w:appName="MSWord" w:lang="en-US" w:vendorID="64" w:dllVersion="131078" w:nlCheck="1" w:checkStyle="1"/>
  <w:stylePaneFormatFilter w:val="3F01"/>
  <w:defaultTabStop w:val="720"/>
  <w:drawingGridHorizontalSpacing w:val="120"/>
  <w:displayHorizontalDrawingGridEvery w:val="2"/>
  <w:noPunctuationKerning/>
  <w:characterSpacingControl w:val="doNotCompress"/>
  <w:hdrShapeDefaults>
    <o:shapedefaults v:ext="edit" spidmax="5122" style="mso-position-horizontal-relative:margin;mso-position-vertical-relative:margin" fill="f" fillcolor="white" stroke="f">
      <v:fill color="white" on="f"/>
      <v:stroke on="f"/>
      <v:shadow opacity=".5" offset="6pt,6pt"/>
    </o:shapedefaults>
  </w:hdrShapeDefaults>
  <w:footnotePr>
    <w:footnote w:id="0"/>
    <w:footnote w:id="1"/>
  </w:footnotePr>
  <w:endnotePr>
    <w:endnote w:id="0"/>
    <w:endnote w:id="1"/>
  </w:endnotePr>
  <w:compat/>
  <w:rsids>
    <w:rsidRoot w:val="00DF7EC5"/>
    <w:rsid w:val="0000004A"/>
    <w:rsid w:val="00004088"/>
    <w:rsid w:val="00004124"/>
    <w:rsid w:val="0000527B"/>
    <w:rsid w:val="00007DA9"/>
    <w:rsid w:val="000101EA"/>
    <w:rsid w:val="00010A25"/>
    <w:rsid w:val="00010CA2"/>
    <w:rsid w:val="00010FC6"/>
    <w:rsid w:val="00011399"/>
    <w:rsid w:val="00011E22"/>
    <w:rsid w:val="00011E42"/>
    <w:rsid w:val="000133A5"/>
    <w:rsid w:val="000146A0"/>
    <w:rsid w:val="00014F23"/>
    <w:rsid w:val="000153E2"/>
    <w:rsid w:val="000153EF"/>
    <w:rsid w:val="00015678"/>
    <w:rsid w:val="00015AAA"/>
    <w:rsid w:val="00016BDD"/>
    <w:rsid w:val="00017110"/>
    <w:rsid w:val="00020836"/>
    <w:rsid w:val="00021857"/>
    <w:rsid w:val="00022610"/>
    <w:rsid w:val="00022E45"/>
    <w:rsid w:val="00023029"/>
    <w:rsid w:val="00024278"/>
    <w:rsid w:val="00024EA6"/>
    <w:rsid w:val="0002590B"/>
    <w:rsid w:val="00026838"/>
    <w:rsid w:val="00027F56"/>
    <w:rsid w:val="0003069A"/>
    <w:rsid w:val="0003190E"/>
    <w:rsid w:val="00031ECF"/>
    <w:rsid w:val="00032CF2"/>
    <w:rsid w:val="000336EB"/>
    <w:rsid w:val="00035866"/>
    <w:rsid w:val="00035887"/>
    <w:rsid w:val="00036110"/>
    <w:rsid w:val="000364F1"/>
    <w:rsid w:val="00036529"/>
    <w:rsid w:val="00036810"/>
    <w:rsid w:val="000377F1"/>
    <w:rsid w:val="00040637"/>
    <w:rsid w:val="0004068A"/>
    <w:rsid w:val="000411A3"/>
    <w:rsid w:val="00044287"/>
    <w:rsid w:val="00045B90"/>
    <w:rsid w:val="00046B1F"/>
    <w:rsid w:val="00046D04"/>
    <w:rsid w:val="00046F87"/>
    <w:rsid w:val="00047D2F"/>
    <w:rsid w:val="000518A7"/>
    <w:rsid w:val="00053168"/>
    <w:rsid w:val="00053764"/>
    <w:rsid w:val="00053C20"/>
    <w:rsid w:val="000542EB"/>
    <w:rsid w:val="0005583A"/>
    <w:rsid w:val="000558AD"/>
    <w:rsid w:val="00056038"/>
    <w:rsid w:val="0005629E"/>
    <w:rsid w:val="00057202"/>
    <w:rsid w:val="0006018C"/>
    <w:rsid w:val="000603DF"/>
    <w:rsid w:val="00061F84"/>
    <w:rsid w:val="0006200D"/>
    <w:rsid w:val="000627FE"/>
    <w:rsid w:val="000637B5"/>
    <w:rsid w:val="00063F52"/>
    <w:rsid w:val="00064EE5"/>
    <w:rsid w:val="00065376"/>
    <w:rsid w:val="00065394"/>
    <w:rsid w:val="000659C5"/>
    <w:rsid w:val="000670D3"/>
    <w:rsid w:val="000679E5"/>
    <w:rsid w:val="00070280"/>
    <w:rsid w:val="000721D5"/>
    <w:rsid w:val="0007521A"/>
    <w:rsid w:val="0007543C"/>
    <w:rsid w:val="00077285"/>
    <w:rsid w:val="00077427"/>
    <w:rsid w:val="00077579"/>
    <w:rsid w:val="000776D4"/>
    <w:rsid w:val="00077E40"/>
    <w:rsid w:val="00080907"/>
    <w:rsid w:val="00080AEE"/>
    <w:rsid w:val="00080F46"/>
    <w:rsid w:val="0008224E"/>
    <w:rsid w:val="00082EA7"/>
    <w:rsid w:val="00084401"/>
    <w:rsid w:val="00084A4D"/>
    <w:rsid w:val="00084C92"/>
    <w:rsid w:val="00084E57"/>
    <w:rsid w:val="00087733"/>
    <w:rsid w:val="000902F8"/>
    <w:rsid w:val="0009166D"/>
    <w:rsid w:val="000918F2"/>
    <w:rsid w:val="00092949"/>
    <w:rsid w:val="00093D8B"/>
    <w:rsid w:val="00093E13"/>
    <w:rsid w:val="000947BF"/>
    <w:rsid w:val="00094D18"/>
    <w:rsid w:val="000953CD"/>
    <w:rsid w:val="000966D8"/>
    <w:rsid w:val="00096E74"/>
    <w:rsid w:val="00097FA5"/>
    <w:rsid w:val="000A0C5D"/>
    <w:rsid w:val="000A0F64"/>
    <w:rsid w:val="000A11B1"/>
    <w:rsid w:val="000A1B30"/>
    <w:rsid w:val="000A2C1D"/>
    <w:rsid w:val="000A41B5"/>
    <w:rsid w:val="000A43EF"/>
    <w:rsid w:val="000A7214"/>
    <w:rsid w:val="000B01D1"/>
    <w:rsid w:val="000B07BE"/>
    <w:rsid w:val="000B1E03"/>
    <w:rsid w:val="000B59D9"/>
    <w:rsid w:val="000B645C"/>
    <w:rsid w:val="000B71FF"/>
    <w:rsid w:val="000B769C"/>
    <w:rsid w:val="000C0432"/>
    <w:rsid w:val="000C1074"/>
    <w:rsid w:val="000C1BB0"/>
    <w:rsid w:val="000C3355"/>
    <w:rsid w:val="000C338C"/>
    <w:rsid w:val="000C3B5D"/>
    <w:rsid w:val="000C3D79"/>
    <w:rsid w:val="000C56D1"/>
    <w:rsid w:val="000C5CD2"/>
    <w:rsid w:val="000C68DC"/>
    <w:rsid w:val="000C7131"/>
    <w:rsid w:val="000C7685"/>
    <w:rsid w:val="000C7BA2"/>
    <w:rsid w:val="000D0EC7"/>
    <w:rsid w:val="000D10C7"/>
    <w:rsid w:val="000D28AA"/>
    <w:rsid w:val="000D28F0"/>
    <w:rsid w:val="000D40AB"/>
    <w:rsid w:val="000D4871"/>
    <w:rsid w:val="000D4BB7"/>
    <w:rsid w:val="000D7BAA"/>
    <w:rsid w:val="000D7E11"/>
    <w:rsid w:val="000D7FAA"/>
    <w:rsid w:val="000E0353"/>
    <w:rsid w:val="000E05BA"/>
    <w:rsid w:val="000E1DC3"/>
    <w:rsid w:val="000E25FC"/>
    <w:rsid w:val="000E3559"/>
    <w:rsid w:val="000E433E"/>
    <w:rsid w:val="000E5B77"/>
    <w:rsid w:val="000E5D91"/>
    <w:rsid w:val="000E6124"/>
    <w:rsid w:val="000E6A0A"/>
    <w:rsid w:val="000F0618"/>
    <w:rsid w:val="000F0937"/>
    <w:rsid w:val="000F1982"/>
    <w:rsid w:val="000F1A27"/>
    <w:rsid w:val="000F3265"/>
    <w:rsid w:val="000F3FD9"/>
    <w:rsid w:val="000F41C7"/>
    <w:rsid w:val="000F42F3"/>
    <w:rsid w:val="000F4363"/>
    <w:rsid w:val="000F4957"/>
    <w:rsid w:val="000F4F0E"/>
    <w:rsid w:val="000F5D9D"/>
    <w:rsid w:val="000F5FFE"/>
    <w:rsid w:val="000F6B43"/>
    <w:rsid w:val="000F6DAB"/>
    <w:rsid w:val="000F737D"/>
    <w:rsid w:val="000F7CC4"/>
    <w:rsid w:val="000F7D52"/>
    <w:rsid w:val="00101013"/>
    <w:rsid w:val="00101604"/>
    <w:rsid w:val="001037A9"/>
    <w:rsid w:val="00104461"/>
    <w:rsid w:val="0010456C"/>
    <w:rsid w:val="001054D6"/>
    <w:rsid w:val="00105CAE"/>
    <w:rsid w:val="00106E50"/>
    <w:rsid w:val="0010765C"/>
    <w:rsid w:val="00107D2C"/>
    <w:rsid w:val="00111655"/>
    <w:rsid w:val="00113287"/>
    <w:rsid w:val="00113E93"/>
    <w:rsid w:val="00113FE9"/>
    <w:rsid w:val="0011447A"/>
    <w:rsid w:val="00115F35"/>
    <w:rsid w:val="00116696"/>
    <w:rsid w:val="00116A73"/>
    <w:rsid w:val="00116A9D"/>
    <w:rsid w:val="001206D5"/>
    <w:rsid w:val="00120B48"/>
    <w:rsid w:val="001216ED"/>
    <w:rsid w:val="0012187A"/>
    <w:rsid w:val="00121EEC"/>
    <w:rsid w:val="001227E8"/>
    <w:rsid w:val="001228C7"/>
    <w:rsid w:val="00123336"/>
    <w:rsid w:val="00124279"/>
    <w:rsid w:val="00124555"/>
    <w:rsid w:val="0012493D"/>
    <w:rsid w:val="00125214"/>
    <w:rsid w:val="001252AA"/>
    <w:rsid w:val="00125E56"/>
    <w:rsid w:val="00125ECB"/>
    <w:rsid w:val="00126950"/>
    <w:rsid w:val="00127E1A"/>
    <w:rsid w:val="00130785"/>
    <w:rsid w:val="0013169F"/>
    <w:rsid w:val="00131C03"/>
    <w:rsid w:val="00132B05"/>
    <w:rsid w:val="00133A11"/>
    <w:rsid w:val="00134E6E"/>
    <w:rsid w:val="0013553E"/>
    <w:rsid w:val="00135CDC"/>
    <w:rsid w:val="00136394"/>
    <w:rsid w:val="00136BEF"/>
    <w:rsid w:val="001400B8"/>
    <w:rsid w:val="00140458"/>
    <w:rsid w:val="00140C4B"/>
    <w:rsid w:val="0014195C"/>
    <w:rsid w:val="00144407"/>
    <w:rsid w:val="00144D57"/>
    <w:rsid w:val="00145A7D"/>
    <w:rsid w:val="00146364"/>
    <w:rsid w:val="00146415"/>
    <w:rsid w:val="00147F95"/>
    <w:rsid w:val="001518D7"/>
    <w:rsid w:val="00152BB8"/>
    <w:rsid w:val="0015322C"/>
    <w:rsid w:val="00154277"/>
    <w:rsid w:val="00154D5A"/>
    <w:rsid w:val="0015522E"/>
    <w:rsid w:val="001562CF"/>
    <w:rsid w:val="00157297"/>
    <w:rsid w:val="00161334"/>
    <w:rsid w:val="0016244B"/>
    <w:rsid w:val="0016246E"/>
    <w:rsid w:val="00163401"/>
    <w:rsid w:val="001635D6"/>
    <w:rsid w:val="00164129"/>
    <w:rsid w:val="00164472"/>
    <w:rsid w:val="001650C4"/>
    <w:rsid w:val="00165407"/>
    <w:rsid w:val="0017164E"/>
    <w:rsid w:val="00171986"/>
    <w:rsid w:val="001726A3"/>
    <w:rsid w:val="001731A6"/>
    <w:rsid w:val="00173799"/>
    <w:rsid w:val="001741C1"/>
    <w:rsid w:val="00175ED8"/>
    <w:rsid w:val="00175FE4"/>
    <w:rsid w:val="001768DD"/>
    <w:rsid w:val="00176FDE"/>
    <w:rsid w:val="001774A2"/>
    <w:rsid w:val="001805D7"/>
    <w:rsid w:val="001806D5"/>
    <w:rsid w:val="001808A7"/>
    <w:rsid w:val="001810CB"/>
    <w:rsid w:val="00181A57"/>
    <w:rsid w:val="0018235D"/>
    <w:rsid w:val="00182DCB"/>
    <w:rsid w:val="0018454E"/>
    <w:rsid w:val="001849BC"/>
    <w:rsid w:val="00184D2A"/>
    <w:rsid w:val="001851C4"/>
    <w:rsid w:val="0018585C"/>
    <w:rsid w:val="00185992"/>
    <w:rsid w:val="00186084"/>
    <w:rsid w:val="00186CD6"/>
    <w:rsid w:val="00190AC9"/>
    <w:rsid w:val="00190CAC"/>
    <w:rsid w:val="00191232"/>
    <w:rsid w:val="0019178C"/>
    <w:rsid w:val="00191A4B"/>
    <w:rsid w:val="0019447C"/>
    <w:rsid w:val="00194923"/>
    <w:rsid w:val="00194F73"/>
    <w:rsid w:val="001951D5"/>
    <w:rsid w:val="00195656"/>
    <w:rsid w:val="00195C21"/>
    <w:rsid w:val="00197018"/>
    <w:rsid w:val="001972C5"/>
    <w:rsid w:val="001A0221"/>
    <w:rsid w:val="001A0350"/>
    <w:rsid w:val="001A05CF"/>
    <w:rsid w:val="001A07B0"/>
    <w:rsid w:val="001A0E0F"/>
    <w:rsid w:val="001A113F"/>
    <w:rsid w:val="001A1710"/>
    <w:rsid w:val="001A286F"/>
    <w:rsid w:val="001A2CBC"/>
    <w:rsid w:val="001A3A72"/>
    <w:rsid w:val="001A3F49"/>
    <w:rsid w:val="001A48EF"/>
    <w:rsid w:val="001A4BFB"/>
    <w:rsid w:val="001A6031"/>
    <w:rsid w:val="001A6E7C"/>
    <w:rsid w:val="001B1D9C"/>
    <w:rsid w:val="001B370C"/>
    <w:rsid w:val="001B38B7"/>
    <w:rsid w:val="001B5AF6"/>
    <w:rsid w:val="001B610D"/>
    <w:rsid w:val="001B7113"/>
    <w:rsid w:val="001B738E"/>
    <w:rsid w:val="001C0033"/>
    <w:rsid w:val="001C0097"/>
    <w:rsid w:val="001C0112"/>
    <w:rsid w:val="001C1DF2"/>
    <w:rsid w:val="001C1F13"/>
    <w:rsid w:val="001C2BF3"/>
    <w:rsid w:val="001C2F6E"/>
    <w:rsid w:val="001C3664"/>
    <w:rsid w:val="001C3FC3"/>
    <w:rsid w:val="001C4930"/>
    <w:rsid w:val="001C5A62"/>
    <w:rsid w:val="001C5F96"/>
    <w:rsid w:val="001C66BE"/>
    <w:rsid w:val="001D2439"/>
    <w:rsid w:val="001D2B1D"/>
    <w:rsid w:val="001D3406"/>
    <w:rsid w:val="001D3C1A"/>
    <w:rsid w:val="001D55AC"/>
    <w:rsid w:val="001D5B4B"/>
    <w:rsid w:val="001D5CC5"/>
    <w:rsid w:val="001D61E2"/>
    <w:rsid w:val="001D6228"/>
    <w:rsid w:val="001D6BE2"/>
    <w:rsid w:val="001D792B"/>
    <w:rsid w:val="001E004B"/>
    <w:rsid w:val="001E037F"/>
    <w:rsid w:val="001E18B4"/>
    <w:rsid w:val="001E1CE2"/>
    <w:rsid w:val="001E1CE6"/>
    <w:rsid w:val="001E1E9C"/>
    <w:rsid w:val="001E272A"/>
    <w:rsid w:val="001E28D5"/>
    <w:rsid w:val="001E29AB"/>
    <w:rsid w:val="001E2EDF"/>
    <w:rsid w:val="001E3DD5"/>
    <w:rsid w:val="001E54E6"/>
    <w:rsid w:val="001E59A7"/>
    <w:rsid w:val="001E5B9E"/>
    <w:rsid w:val="001E69A5"/>
    <w:rsid w:val="001E71E8"/>
    <w:rsid w:val="001E7618"/>
    <w:rsid w:val="001E7782"/>
    <w:rsid w:val="001F06F3"/>
    <w:rsid w:val="001F08B4"/>
    <w:rsid w:val="001F1AB2"/>
    <w:rsid w:val="001F3363"/>
    <w:rsid w:val="001F3612"/>
    <w:rsid w:val="001F49FC"/>
    <w:rsid w:val="001F50F7"/>
    <w:rsid w:val="001F5138"/>
    <w:rsid w:val="001F5DEB"/>
    <w:rsid w:val="001F6D5C"/>
    <w:rsid w:val="001F73DD"/>
    <w:rsid w:val="00200023"/>
    <w:rsid w:val="002007CD"/>
    <w:rsid w:val="00200CD1"/>
    <w:rsid w:val="0020134D"/>
    <w:rsid w:val="00203854"/>
    <w:rsid w:val="002039BB"/>
    <w:rsid w:val="00204D15"/>
    <w:rsid w:val="00206760"/>
    <w:rsid w:val="0020679A"/>
    <w:rsid w:val="00206998"/>
    <w:rsid w:val="00206C5E"/>
    <w:rsid w:val="00207794"/>
    <w:rsid w:val="00210809"/>
    <w:rsid w:val="0021122E"/>
    <w:rsid w:val="002116C8"/>
    <w:rsid w:val="00211AF7"/>
    <w:rsid w:val="00211C5C"/>
    <w:rsid w:val="002123BB"/>
    <w:rsid w:val="002129D6"/>
    <w:rsid w:val="00214A42"/>
    <w:rsid w:val="002162B1"/>
    <w:rsid w:val="0021653D"/>
    <w:rsid w:val="00217208"/>
    <w:rsid w:val="0021761D"/>
    <w:rsid w:val="00217FE6"/>
    <w:rsid w:val="00220883"/>
    <w:rsid w:val="00221159"/>
    <w:rsid w:val="0022118D"/>
    <w:rsid w:val="002211AB"/>
    <w:rsid w:val="002227BE"/>
    <w:rsid w:val="00222C2B"/>
    <w:rsid w:val="00222E59"/>
    <w:rsid w:val="002237FA"/>
    <w:rsid w:val="00223F19"/>
    <w:rsid w:val="0022473E"/>
    <w:rsid w:val="00224DEB"/>
    <w:rsid w:val="00225178"/>
    <w:rsid w:val="00226A52"/>
    <w:rsid w:val="00231231"/>
    <w:rsid w:val="0023142C"/>
    <w:rsid w:val="00231D08"/>
    <w:rsid w:val="002321CF"/>
    <w:rsid w:val="00232439"/>
    <w:rsid w:val="002334DB"/>
    <w:rsid w:val="002340FA"/>
    <w:rsid w:val="00234420"/>
    <w:rsid w:val="00234469"/>
    <w:rsid w:val="00234771"/>
    <w:rsid w:val="00234D6D"/>
    <w:rsid w:val="002355CA"/>
    <w:rsid w:val="00235C92"/>
    <w:rsid w:val="00237EAA"/>
    <w:rsid w:val="00237F3F"/>
    <w:rsid w:val="002400E3"/>
    <w:rsid w:val="0024036E"/>
    <w:rsid w:val="0024195C"/>
    <w:rsid w:val="00242619"/>
    <w:rsid w:val="00242BD5"/>
    <w:rsid w:val="002430A2"/>
    <w:rsid w:val="002433D6"/>
    <w:rsid w:val="00243507"/>
    <w:rsid w:val="002446D5"/>
    <w:rsid w:val="00244F0F"/>
    <w:rsid w:val="00245C09"/>
    <w:rsid w:val="002460E0"/>
    <w:rsid w:val="00250CA6"/>
    <w:rsid w:val="00251DF6"/>
    <w:rsid w:val="00252EF4"/>
    <w:rsid w:val="00252F13"/>
    <w:rsid w:val="00253524"/>
    <w:rsid w:val="00253C92"/>
    <w:rsid w:val="0025534D"/>
    <w:rsid w:val="00255D81"/>
    <w:rsid w:val="002561FE"/>
    <w:rsid w:val="00256560"/>
    <w:rsid w:val="00257CD7"/>
    <w:rsid w:val="002603FF"/>
    <w:rsid w:val="00260421"/>
    <w:rsid w:val="00260C1A"/>
    <w:rsid w:val="002622DA"/>
    <w:rsid w:val="0026314A"/>
    <w:rsid w:val="00264848"/>
    <w:rsid w:val="00264C9F"/>
    <w:rsid w:val="00265C20"/>
    <w:rsid w:val="00265E98"/>
    <w:rsid w:val="002664CF"/>
    <w:rsid w:val="002668D8"/>
    <w:rsid w:val="002669E5"/>
    <w:rsid w:val="00266E1F"/>
    <w:rsid w:val="00267722"/>
    <w:rsid w:val="002703EE"/>
    <w:rsid w:val="002704AF"/>
    <w:rsid w:val="002704DE"/>
    <w:rsid w:val="0027073A"/>
    <w:rsid w:val="00271E4B"/>
    <w:rsid w:val="00272045"/>
    <w:rsid w:val="002721E1"/>
    <w:rsid w:val="00272AA7"/>
    <w:rsid w:val="00272E99"/>
    <w:rsid w:val="00273A11"/>
    <w:rsid w:val="0027427F"/>
    <w:rsid w:val="002754E1"/>
    <w:rsid w:val="00275BAE"/>
    <w:rsid w:val="00275D88"/>
    <w:rsid w:val="00276EC2"/>
    <w:rsid w:val="00277D7C"/>
    <w:rsid w:val="00280143"/>
    <w:rsid w:val="00280CDF"/>
    <w:rsid w:val="00280F4F"/>
    <w:rsid w:val="00281B81"/>
    <w:rsid w:val="00282533"/>
    <w:rsid w:val="002827BB"/>
    <w:rsid w:val="00284D2E"/>
    <w:rsid w:val="0028615E"/>
    <w:rsid w:val="00286984"/>
    <w:rsid w:val="0029001E"/>
    <w:rsid w:val="00291C60"/>
    <w:rsid w:val="002920C2"/>
    <w:rsid w:val="00293041"/>
    <w:rsid w:val="0029338A"/>
    <w:rsid w:val="0029379F"/>
    <w:rsid w:val="00294C54"/>
    <w:rsid w:val="002954FA"/>
    <w:rsid w:val="00296DC6"/>
    <w:rsid w:val="002A2D96"/>
    <w:rsid w:val="002A3049"/>
    <w:rsid w:val="002A4360"/>
    <w:rsid w:val="002A4972"/>
    <w:rsid w:val="002A6F9F"/>
    <w:rsid w:val="002A7610"/>
    <w:rsid w:val="002A7675"/>
    <w:rsid w:val="002A7A70"/>
    <w:rsid w:val="002A7EDE"/>
    <w:rsid w:val="002B012D"/>
    <w:rsid w:val="002B25C4"/>
    <w:rsid w:val="002B26BB"/>
    <w:rsid w:val="002B2C11"/>
    <w:rsid w:val="002B2D63"/>
    <w:rsid w:val="002B4E1F"/>
    <w:rsid w:val="002B62D4"/>
    <w:rsid w:val="002C00A6"/>
    <w:rsid w:val="002C06A3"/>
    <w:rsid w:val="002C06F6"/>
    <w:rsid w:val="002C0849"/>
    <w:rsid w:val="002C1292"/>
    <w:rsid w:val="002C1EDA"/>
    <w:rsid w:val="002C21FC"/>
    <w:rsid w:val="002C2C65"/>
    <w:rsid w:val="002C2DA6"/>
    <w:rsid w:val="002C31E9"/>
    <w:rsid w:val="002C3352"/>
    <w:rsid w:val="002C4219"/>
    <w:rsid w:val="002C4451"/>
    <w:rsid w:val="002C4CDE"/>
    <w:rsid w:val="002C4DEF"/>
    <w:rsid w:val="002C5BE4"/>
    <w:rsid w:val="002C6E25"/>
    <w:rsid w:val="002C6FC7"/>
    <w:rsid w:val="002C7381"/>
    <w:rsid w:val="002C7E83"/>
    <w:rsid w:val="002D02D1"/>
    <w:rsid w:val="002D17D7"/>
    <w:rsid w:val="002D2652"/>
    <w:rsid w:val="002D33A6"/>
    <w:rsid w:val="002D3EEC"/>
    <w:rsid w:val="002D4219"/>
    <w:rsid w:val="002D4528"/>
    <w:rsid w:val="002D48C9"/>
    <w:rsid w:val="002D49AE"/>
    <w:rsid w:val="002D5764"/>
    <w:rsid w:val="002D5DED"/>
    <w:rsid w:val="002D642F"/>
    <w:rsid w:val="002E0E92"/>
    <w:rsid w:val="002E13E3"/>
    <w:rsid w:val="002E1B15"/>
    <w:rsid w:val="002E1B84"/>
    <w:rsid w:val="002E1D6A"/>
    <w:rsid w:val="002E24B8"/>
    <w:rsid w:val="002E2DA8"/>
    <w:rsid w:val="002E315B"/>
    <w:rsid w:val="002E33D6"/>
    <w:rsid w:val="002E3C03"/>
    <w:rsid w:val="002E4513"/>
    <w:rsid w:val="002E46F0"/>
    <w:rsid w:val="002E4EA5"/>
    <w:rsid w:val="002E5652"/>
    <w:rsid w:val="002E60A2"/>
    <w:rsid w:val="002E662E"/>
    <w:rsid w:val="002E7938"/>
    <w:rsid w:val="002F0057"/>
    <w:rsid w:val="002F02A9"/>
    <w:rsid w:val="002F0AAC"/>
    <w:rsid w:val="002F0BBC"/>
    <w:rsid w:val="002F1000"/>
    <w:rsid w:val="002F18F4"/>
    <w:rsid w:val="002F1BB0"/>
    <w:rsid w:val="002F3197"/>
    <w:rsid w:val="002F3378"/>
    <w:rsid w:val="002F366E"/>
    <w:rsid w:val="002F4087"/>
    <w:rsid w:val="002F4C24"/>
    <w:rsid w:val="002F4C5B"/>
    <w:rsid w:val="002F65C4"/>
    <w:rsid w:val="002F7A5D"/>
    <w:rsid w:val="003005D5"/>
    <w:rsid w:val="00300AB6"/>
    <w:rsid w:val="00300B6C"/>
    <w:rsid w:val="0030212C"/>
    <w:rsid w:val="0030284E"/>
    <w:rsid w:val="003031FF"/>
    <w:rsid w:val="0030320D"/>
    <w:rsid w:val="00303857"/>
    <w:rsid w:val="0030497A"/>
    <w:rsid w:val="0030522C"/>
    <w:rsid w:val="003054C9"/>
    <w:rsid w:val="003058E5"/>
    <w:rsid w:val="00307CB0"/>
    <w:rsid w:val="0031024F"/>
    <w:rsid w:val="0031029B"/>
    <w:rsid w:val="00311F5D"/>
    <w:rsid w:val="00312828"/>
    <w:rsid w:val="00313AF2"/>
    <w:rsid w:val="00315771"/>
    <w:rsid w:val="0031601C"/>
    <w:rsid w:val="003175CF"/>
    <w:rsid w:val="00317926"/>
    <w:rsid w:val="00317D70"/>
    <w:rsid w:val="00320819"/>
    <w:rsid w:val="00321AC3"/>
    <w:rsid w:val="00321C16"/>
    <w:rsid w:val="00323019"/>
    <w:rsid w:val="00324E67"/>
    <w:rsid w:val="00324EE2"/>
    <w:rsid w:val="0032556D"/>
    <w:rsid w:val="00333216"/>
    <w:rsid w:val="00333FEE"/>
    <w:rsid w:val="003340A0"/>
    <w:rsid w:val="0033412A"/>
    <w:rsid w:val="003347CB"/>
    <w:rsid w:val="00335129"/>
    <w:rsid w:val="003363A7"/>
    <w:rsid w:val="003365D5"/>
    <w:rsid w:val="00340842"/>
    <w:rsid w:val="00340C48"/>
    <w:rsid w:val="00341A62"/>
    <w:rsid w:val="00341BD4"/>
    <w:rsid w:val="003421C7"/>
    <w:rsid w:val="00342257"/>
    <w:rsid w:val="003434F8"/>
    <w:rsid w:val="003447D9"/>
    <w:rsid w:val="00345455"/>
    <w:rsid w:val="00345BAE"/>
    <w:rsid w:val="00345EBF"/>
    <w:rsid w:val="003462AA"/>
    <w:rsid w:val="0034672B"/>
    <w:rsid w:val="0034747D"/>
    <w:rsid w:val="00350312"/>
    <w:rsid w:val="0035110A"/>
    <w:rsid w:val="00351788"/>
    <w:rsid w:val="003533F2"/>
    <w:rsid w:val="0035396D"/>
    <w:rsid w:val="00354313"/>
    <w:rsid w:val="00355853"/>
    <w:rsid w:val="003569D6"/>
    <w:rsid w:val="00360385"/>
    <w:rsid w:val="003611A0"/>
    <w:rsid w:val="003615F2"/>
    <w:rsid w:val="00361875"/>
    <w:rsid w:val="003619DA"/>
    <w:rsid w:val="00361AC4"/>
    <w:rsid w:val="00361F0B"/>
    <w:rsid w:val="00362588"/>
    <w:rsid w:val="00362CAB"/>
    <w:rsid w:val="003631A8"/>
    <w:rsid w:val="0036399B"/>
    <w:rsid w:val="00364B42"/>
    <w:rsid w:val="00365924"/>
    <w:rsid w:val="00365EE0"/>
    <w:rsid w:val="00366FAA"/>
    <w:rsid w:val="0036742B"/>
    <w:rsid w:val="00367625"/>
    <w:rsid w:val="00367A70"/>
    <w:rsid w:val="003706C7"/>
    <w:rsid w:val="003718DA"/>
    <w:rsid w:val="003738FA"/>
    <w:rsid w:val="0037392B"/>
    <w:rsid w:val="00374193"/>
    <w:rsid w:val="00374B35"/>
    <w:rsid w:val="003755C4"/>
    <w:rsid w:val="003767D4"/>
    <w:rsid w:val="0037687C"/>
    <w:rsid w:val="00376EDE"/>
    <w:rsid w:val="00377F73"/>
    <w:rsid w:val="00381696"/>
    <w:rsid w:val="00381DA5"/>
    <w:rsid w:val="003827D9"/>
    <w:rsid w:val="0038439B"/>
    <w:rsid w:val="00384EF1"/>
    <w:rsid w:val="00385284"/>
    <w:rsid w:val="0038635F"/>
    <w:rsid w:val="003864D9"/>
    <w:rsid w:val="0038686F"/>
    <w:rsid w:val="003869C5"/>
    <w:rsid w:val="00390B14"/>
    <w:rsid w:val="003932ED"/>
    <w:rsid w:val="00393CC4"/>
    <w:rsid w:val="00393EC9"/>
    <w:rsid w:val="00394DC0"/>
    <w:rsid w:val="00395552"/>
    <w:rsid w:val="003966B9"/>
    <w:rsid w:val="00396803"/>
    <w:rsid w:val="0039703D"/>
    <w:rsid w:val="0039744B"/>
    <w:rsid w:val="00397ACD"/>
    <w:rsid w:val="003A0586"/>
    <w:rsid w:val="003A0A38"/>
    <w:rsid w:val="003A1997"/>
    <w:rsid w:val="003A1A6D"/>
    <w:rsid w:val="003A1CE6"/>
    <w:rsid w:val="003A4782"/>
    <w:rsid w:val="003A4922"/>
    <w:rsid w:val="003A558E"/>
    <w:rsid w:val="003A6626"/>
    <w:rsid w:val="003A6A0D"/>
    <w:rsid w:val="003A7A24"/>
    <w:rsid w:val="003B0554"/>
    <w:rsid w:val="003B2713"/>
    <w:rsid w:val="003B2A6B"/>
    <w:rsid w:val="003B347D"/>
    <w:rsid w:val="003B3BC2"/>
    <w:rsid w:val="003B4A21"/>
    <w:rsid w:val="003B4CC3"/>
    <w:rsid w:val="003C024A"/>
    <w:rsid w:val="003C13AF"/>
    <w:rsid w:val="003C3641"/>
    <w:rsid w:val="003C37DE"/>
    <w:rsid w:val="003C3DF1"/>
    <w:rsid w:val="003C60E7"/>
    <w:rsid w:val="003C6820"/>
    <w:rsid w:val="003C7F39"/>
    <w:rsid w:val="003D048D"/>
    <w:rsid w:val="003D0F51"/>
    <w:rsid w:val="003D259D"/>
    <w:rsid w:val="003D374A"/>
    <w:rsid w:val="003D60EC"/>
    <w:rsid w:val="003D7E5B"/>
    <w:rsid w:val="003E2241"/>
    <w:rsid w:val="003E45FB"/>
    <w:rsid w:val="003E5F76"/>
    <w:rsid w:val="003E6153"/>
    <w:rsid w:val="003E7F6A"/>
    <w:rsid w:val="003F035F"/>
    <w:rsid w:val="003F1E0F"/>
    <w:rsid w:val="003F1F70"/>
    <w:rsid w:val="003F20DF"/>
    <w:rsid w:val="003F29AB"/>
    <w:rsid w:val="003F41EE"/>
    <w:rsid w:val="003F6D77"/>
    <w:rsid w:val="004000DF"/>
    <w:rsid w:val="00404F76"/>
    <w:rsid w:val="00407EA4"/>
    <w:rsid w:val="00410AB5"/>
    <w:rsid w:val="00410D5D"/>
    <w:rsid w:val="004111D3"/>
    <w:rsid w:val="00411287"/>
    <w:rsid w:val="00411F20"/>
    <w:rsid w:val="00413318"/>
    <w:rsid w:val="00414B4D"/>
    <w:rsid w:val="004155B9"/>
    <w:rsid w:val="004156F3"/>
    <w:rsid w:val="00415DA6"/>
    <w:rsid w:val="004169CB"/>
    <w:rsid w:val="0041724B"/>
    <w:rsid w:val="00420A81"/>
    <w:rsid w:val="00421236"/>
    <w:rsid w:val="00421A50"/>
    <w:rsid w:val="00422341"/>
    <w:rsid w:val="004234F3"/>
    <w:rsid w:val="00424177"/>
    <w:rsid w:val="00424517"/>
    <w:rsid w:val="00425D9F"/>
    <w:rsid w:val="00426282"/>
    <w:rsid w:val="00426353"/>
    <w:rsid w:val="0042671A"/>
    <w:rsid w:val="00426CCA"/>
    <w:rsid w:val="00431F0D"/>
    <w:rsid w:val="0043299B"/>
    <w:rsid w:val="004348AB"/>
    <w:rsid w:val="00434B78"/>
    <w:rsid w:val="004352E0"/>
    <w:rsid w:val="00435CCE"/>
    <w:rsid w:val="00436A45"/>
    <w:rsid w:val="00442FD6"/>
    <w:rsid w:val="004433EC"/>
    <w:rsid w:val="00443527"/>
    <w:rsid w:val="004436C5"/>
    <w:rsid w:val="00444DC8"/>
    <w:rsid w:val="00445F86"/>
    <w:rsid w:val="0044614E"/>
    <w:rsid w:val="00447443"/>
    <w:rsid w:val="00447B61"/>
    <w:rsid w:val="00447E4B"/>
    <w:rsid w:val="00447FC2"/>
    <w:rsid w:val="00450562"/>
    <w:rsid w:val="004514F9"/>
    <w:rsid w:val="00451CC4"/>
    <w:rsid w:val="00451E70"/>
    <w:rsid w:val="00453178"/>
    <w:rsid w:val="0045323E"/>
    <w:rsid w:val="004533CB"/>
    <w:rsid w:val="00453A0C"/>
    <w:rsid w:val="0045441C"/>
    <w:rsid w:val="0045644D"/>
    <w:rsid w:val="00457A1B"/>
    <w:rsid w:val="00461DC6"/>
    <w:rsid w:val="00462240"/>
    <w:rsid w:val="0046426C"/>
    <w:rsid w:val="0046569B"/>
    <w:rsid w:val="00466067"/>
    <w:rsid w:val="0046629C"/>
    <w:rsid w:val="0046645B"/>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10E7"/>
    <w:rsid w:val="004840CB"/>
    <w:rsid w:val="004845EE"/>
    <w:rsid w:val="00486366"/>
    <w:rsid w:val="00486459"/>
    <w:rsid w:val="00486DF5"/>
    <w:rsid w:val="00487305"/>
    <w:rsid w:val="00491511"/>
    <w:rsid w:val="004945CB"/>
    <w:rsid w:val="0049568E"/>
    <w:rsid w:val="00495BD3"/>
    <w:rsid w:val="0049689D"/>
    <w:rsid w:val="00496BA8"/>
    <w:rsid w:val="00496D64"/>
    <w:rsid w:val="00496F63"/>
    <w:rsid w:val="004A008B"/>
    <w:rsid w:val="004A1B5C"/>
    <w:rsid w:val="004A2138"/>
    <w:rsid w:val="004A23E0"/>
    <w:rsid w:val="004A296C"/>
    <w:rsid w:val="004A2E73"/>
    <w:rsid w:val="004A334B"/>
    <w:rsid w:val="004A3C2B"/>
    <w:rsid w:val="004A3E85"/>
    <w:rsid w:val="004A43CF"/>
    <w:rsid w:val="004A46C0"/>
    <w:rsid w:val="004A49E7"/>
    <w:rsid w:val="004A4E5A"/>
    <w:rsid w:val="004A5230"/>
    <w:rsid w:val="004A6319"/>
    <w:rsid w:val="004B12D0"/>
    <w:rsid w:val="004B2127"/>
    <w:rsid w:val="004B227F"/>
    <w:rsid w:val="004B25A1"/>
    <w:rsid w:val="004B2CD6"/>
    <w:rsid w:val="004B2FCF"/>
    <w:rsid w:val="004B34C8"/>
    <w:rsid w:val="004B3984"/>
    <w:rsid w:val="004B39D2"/>
    <w:rsid w:val="004B45DD"/>
    <w:rsid w:val="004B545D"/>
    <w:rsid w:val="004B5EAF"/>
    <w:rsid w:val="004B698A"/>
    <w:rsid w:val="004B7424"/>
    <w:rsid w:val="004B7780"/>
    <w:rsid w:val="004C12BB"/>
    <w:rsid w:val="004C309E"/>
    <w:rsid w:val="004C5650"/>
    <w:rsid w:val="004C5A28"/>
    <w:rsid w:val="004C5AFE"/>
    <w:rsid w:val="004C5D86"/>
    <w:rsid w:val="004C6E10"/>
    <w:rsid w:val="004D0902"/>
    <w:rsid w:val="004D14CD"/>
    <w:rsid w:val="004D1587"/>
    <w:rsid w:val="004D1862"/>
    <w:rsid w:val="004D1D18"/>
    <w:rsid w:val="004D2691"/>
    <w:rsid w:val="004D27C1"/>
    <w:rsid w:val="004D2A96"/>
    <w:rsid w:val="004D33D6"/>
    <w:rsid w:val="004D37A9"/>
    <w:rsid w:val="004D3E34"/>
    <w:rsid w:val="004D41AF"/>
    <w:rsid w:val="004D44D0"/>
    <w:rsid w:val="004D4EB7"/>
    <w:rsid w:val="004D56D2"/>
    <w:rsid w:val="004D5CB4"/>
    <w:rsid w:val="004D5E99"/>
    <w:rsid w:val="004D6078"/>
    <w:rsid w:val="004D64C5"/>
    <w:rsid w:val="004D66A4"/>
    <w:rsid w:val="004D67E8"/>
    <w:rsid w:val="004D6BD7"/>
    <w:rsid w:val="004D6E85"/>
    <w:rsid w:val="004D7297"/>
    <w:rsid w:val="004E0802"/>
    <w:rsid w:val="004E08B6"/>
    <w:rsid w:val="004E329B"/>
    <w:rsid w:val="004E3B2D"/>
    <w:rsid w:val="004E58B1"/>
    <w:rsid w:val="004E5939"/>
    <w:rsid w:val="004E6085"/>
    <w:rsid w:val="004E6BCB"/>
    <w:rsid w:val="004E6F6A"/>
    <w:rsid w:val="004E716E"/>
    <w:rsid w:val="004E7BF2"/>
    <w:rsid w:val="004F0C23"/>
    <w:rsid w:val="004F163D"/>
    <w:rsid w:val="004F2D49"/>
    <w:rsid w:val="004F344A"/>
    <w:rsid w:val="004F6A1C"/>
    <w:rsid w:val="004F721D"/>
    <w:rsid w:val="004F7317"/>
    <w:rsid w:val="00500050"/>
    <w:rsid w:val="00500520"/>
    <w:rsid w:val="005008CD"/>
    <w:rsid w:val="00501162"/>
    <w:rsid w:val="00501CD7"/>
    <w:rsid w:val="00502AC2"/>
    <w:rsid w:val="00502BB5"/>
    <w:rsid w:val="00503081"/>
    <w:rsid w:val="00503898"/>
    <w:rsid w:val="00503E29"/>
    <w:rsid w:val="00504A65"/>
    <w:rsid w:val="005052DF"/>
    <w:rsid w:val="00505AA9"/>
    <w:rsid w:val="00505D75"/>
    <w:rsid w:val="00506404"/>
    <w:rsid w:val="00506934"/>
    <w:rsid w:val="0050740B"/>
    <w:rsid w:val="0050789A"/>
    <w:rsid w:val="00507BD6"/>
    <w:rsid w:val="005108C8"/>
    <w:rsid w:val="005118B2"/>
    <w:rsid w:val="00511DF4"/>
    <w:rsid w:val="00512D09"/>
    <w:rsid w:val="005132BC"/>
    <w:rsid w:val="005133DC"/>
    <w:rsid w:val="00513507"/>
    <w:rsid w:val="00513F1D"/>
    <w:rsid w:val="0051421B"/>
    <w:rsid w:val="00516A88"/>
    <w:rsid w:val="00516ADF"/>
    <w:rsid w:val="00517459"/>
    <w:rsid w:val="00517F53"/>
    <w:rsid w:val="005217DB"/>
    <w:rsid w:val="00521C3C"/>
    <w:rsid w:val="00522BA1"/>
    <w:rsid w:val="00522E7F"/>
    <w:rsid w:val="00523B4D"/>
    <w:rsid w:val="00524C0A"/>
    <w:rsid w:val="00526E6B"/>
    <w:rsid w:val="00526F8C"/>
    <w:rsid w:val="0052711A"/>
    <w:rsid w:val="005273DB"/>
    <w:rsid w:val="00527B39"/>
    <w:rsid w:val="00532160"/>
    <w:rsid w:val="00532DA4"/>
    <w:rsid w:val="005345C0"/>
    <w:rsid w:val="005345C2"/>
    <w:rsid w:val="005349DA"/>
    <w:rsid w:val="0053500E"/>
    <w:rsid w:val="0053537F"/>
    <w:rsid w:val="005359E4"/>
    <w:rsid w:val="005359EB"/>
    <w:rsid w:val="00536E2E"/>
    <w:rsid w:val="00536FF4"/>
    <w:rsid w:val="00540E15"/>
    <w:rsid w:val="00540E98"/>
    <w:rsid w:val="00541059"/>
    <w:rsid w:val="00542D59"/>
    <w:rsid w:val="0054433D"/>
    <w:rsid w:val="00544944"/>
    <w:rsid w:val="0054568A"/>
    <w:rsid w:val="005475BB"/>
    <w:rsid w:val="005479A6"/>
    <w:rsid w:val="00547FE5"/>
    <w:rsid w:val="00550FB7"/>
    <w:rsid w:val="00551288"/>
    <w:rsid w:val="0055196B"/>
    <w:rsid w:val="0055278C"/>
    <w:rsid w:val="005528BF"/>
    <w:rsid w:val="0055300D"/>
    <w:rsid w:val="005535E6"/>
    <w:rsid w:val="00553E4C"/>
    <w:rsid w:val="0055410F"/>
    <w:rsid w:val="00554760"/>
    <w:rsid w:val="00554B6C"/>
    <w:rsid w:val="0055508B"/>
    <w:rsid w:val="005551AF"/>
    <w:rsid w:val="00555A8D"/>
    <w:rsid w:val="0055644B"/>
    <w:rsid w:val="00557241"/>
    <w:rsid w:val="00557578"/>
    <w:rsid w:val="005578ED"/>
    <w:rsid w:val="00557C25"/>
    <w:rsid w:val="005607E6"/>
    <w:rsid w:val="00564349"/>
    <w:rsid w:val="00564492"/>
    <w:rsid w:val="005648EE"/>
    <w:rsid w:val="00565AAF"/>
    <w:rsid w:val="00565B80"/>
    <w:rsid w:val="00565FD9"/>
    <w:rsid w:val="0056601B"/>
    <w:rsid w:val="0056654C"/>
    <w:rsid w:val="00567A10"/>
    <w:rsid w:val="00570255"/>
    <w:rsid w:val="005737FD"/>
    <w:rsid w:val="005741EB"/>
    <w:rsid w:val="005744B8"/>
    <w:rsid w:val="00574660"/>
    <w:rsid w:val="005770AE"/>
    <w:rsid w:val="00577922"/>
    <w:rsid w:val="00580930"/>
    <w:rsid w:val="00580C0A"/>
    <w:rsid w:val="00581FC5"/>
    <w:rsid w:val="005833EE"/>
    <w:rsid w:val="00583AAE"/>
    <w:rsid w:val="00583C78"/>
    <w:rsid w:val="00584601"/>
    <w:rsid w:val="00584E18"/>
    <w:rsid w:val="00585564"/>
    <w:rsid w:val="00587D44"/>
    <w:rsid w:val="00587FB2"/>
    <w:rsid w:val="00590B8C"/>
    <w:rsid w:val="00591233"/>
    <w:rsid w:val="00591B8D"/>
    <w:rsid w:val="00591CCE"/>
    <w:rsid w:val="00591CEC"/>
    <w:rsid w:val="00591FC8"/>
    <w:rsid w:val="005921EE"/>
    <w:rsid w:val="00592341"/>
    <w:rsid w:val="00594A26"/>
    <w:rsid w:val="00595D26"/>
    <w:rsid w:val="00596E6C"/>
    <w:rsid w:val="0059758D"/>
    <w:rsid w:val="005976D3"/>
    <w:rsid w:val="005A0E77"/>
    <w:rsid w:val="005A28E4"/>
    <w:rsid w:val="005A2A47"/>
    <w:rsid w:val="005A3295"/>
    <w:rsid w:val="005A343B"/>
    <w:rsid w:val="005A38E9"/>
    <w:rsid w:val="005A3929"/>
    <w:rsid w:val="005A43A0"/>
    <w:rsid w:val="005A4833"/>
    <w:rsid w:val="005A5FC4"/>
    <w:rsid w:val="005A65E6"/>
    <w:rsid w:val="005A6A60"/>
    <w:rsid w:val="005A6C96"/>
    <w:rsid w:val="005B0068"/>
    <w:rsid w:val="005B025F"/>
    <w:rsid w:val="005B06C4"/>
    <w:rsid w:val="005B08EE"/>
    <w:rsid w:val="005B0FDA"/>
    <w:rsid w:val="005B1196"/>
    <w:rsid w:val="005B11F8"/>
    <w:rsid w:val="005B1B72"/>
    <w:rsid w:val="005B21F3"/>
    <w:rsid w:val="005B26FE"/>
    <w:rsid w:val="005B38B4"/>
    <w:rsid w:val="005B3990"/>
    <w:rsid w:val="005B3F5F"/>
    <w:rsid w:val="005B4A2D"/>
    <w:rsid w:val="005B4BB3"/>
    <w:rsid w:val="005B5D86"/>
    <w:rsid w:val="005B5DFE"/>
    <w:rsid w:val="005B6764"/>
    <w:rsid w:val="005B7489"/>
    <w:rsid w:val="005C041B"/>
    <w:rsid w:val="005C1831"/>
    <w:rsid w:val="005C18A2"/>
    <w:rsid w:val="005C31C3"/>
    <w:rsid w:val="005C416A"/>
    <w:rsid w:val="005C4624"/>
    <w:rsid w:val="005C5CAD"/>
    <w:rsid w:val="005C5FAB"/>
    <w:rsid w:val="005C760A"/>
    <w:rsid w:val="005D0566"/>
    <w:rsid w:val="005D061B"/>
    <w:rsid w:val="005D16CB"/>
    <w:rsid w:val="005D1728"/>
    <w:rsid w:val="005D1997"/>
    <w:rsid w:val="005D2F6A"/>
    <w:rsid w:val="005D4E2E"/>
    <w:rsid w:val="005D538F"/>
    <w:rsid w:val="005D6F15"/>
    <w:rsid w:val="005D7765"/>
    <w:rsid w:val="005E0490"/>
    <w:rsid w:val="005E04C8"/>
    <w:rsid w:val="005E05E7"/>
    <w:rsid w:val="005E1D46"/>
    <w:rsid w:val="005E2B1A"/>
    <w:rsid w:val="005E2CE5"/>
    <w:rsid w:val="005E39D8"/>
    <w:rsid w:val="005E3C6F"/>
    <w:rsid w:val="005E46DD"/>
    <w:rsid w:val="005E4B4C"/>
    <w:rsid w:val="005E56A5"/>
    <w:rsid w:val="005E68D6"/>
    <w:rsid w:val="005E6B5E"/>
    <w:rsid w:val="005E741A"/>
    <w:rsid w:val="005E791E"/>
    <w:rsid w:val="005F04A3"/>
    <w:rsid w:val="005F0851"/>
    <w:rsid w:val="005F199D"/>
    <w:rsid w:val="005F34A4"/>
    <w:rsid w:val="005F3A41"/>
    <w:rsid w:val="005F46A7"/>
    <w:rsid w:val="005F4DCB"/>
    <w:rsid w:val="005F4FE9"/>
    <w:rsid w:val="005F6094"/>
    <w:rsid w:val="005F6389"/>
    <w:rsid w:val="005F678A"/>
    <w:rsid w:val="005F6A88"/>
    <w:rsid w:val="005F6B8B"/>
    <w:rsid w:val="006001FA"/>
    <w:rsid w:val="0060294D"/>
    <w:rsid w:val="006035B7"/>
    <w:rsid w:val="00603C64"/>
    <w:rsid w:val="00603D84"/>
    <w:rsid w:val="00603D91"/>
    <w:rsid w:val="00604DCD"/>
    <w:rsid w:val="0060511A"/>
    <w:rsid w:val="00605E10"/>
    <w:rsid w:val="00606649"/>
    <w:rsid w:val="00610193"/>
    <w:rsid w:val="00610B4D"/>
    <w:rsid w:val="006117B9"/>
    <w:rsid w:val="0061232D"/>
    <w:rsid w:val="00612B7E"/>
    <w:rsid w:val="0061376A"/>
    <w:rsid w:val="00613E62"/>
    <w:rsid w:val="006141E8"/>
    <w:rsid w:val="006149A0"/>
    <w:rsid w:val="00615F4E"/>
    <w:rsid w:val="006169A3"/>
    <w:rsid w:val="00617865"/>
    <w:rsid w:val="00617FF5"/>
    <w:rsid w:val="00620BA1"/>
    <w:rsid w:val="00620E70"/>
    <w:rsid w:val="006211EE"/>
    <w:rsid w:val="006212AC"/>
    <w:rsid w:val="00621361"/>
    <w:rsid w:val="00621749"/>
    <w:rsid w:val="0062272C"/>
    <w:rsid w:val="00622AD6"/>
    <w:rsid w:val="006239C4"/>
    <w:rsid w:val="00623D93"/>
    <w:rsid w:val="00624203"/>
    <w:rsid w:val="00624396"/>
    <w:rsid w:val="006244B8"/>
    <w:rsid w:val="0062650A"/>
    <w:rsid w:val="006304E4"/>
    <w:rsid w:val="00630677"/>
    <w:rsid w:val="006314B7"/>
    <w:rsid w:val="0063282F"/>
    <w:rsid w:val="00632BD0"/>
    <w:rsid w:val="00633C69"/>
    <w:rsid w:val="00634366"/>
    <w:rsid w:val="00635943"/>
    <w:rsid w:val="006361BD"/>
    <w:rsid w:val="006374F0"/>
    <w:rsid w:val="00640CBD"/>
    <w:rsid w:val="006417F9"/>
    <w:rsid w:val="00641A22"/>
    <w:rsid w:val="00641B67"/>
    <w:rsid w:val="00647B2F"/>
    <w:rsid w:val="00647DAC"/>
    <w:rsid w:val="00650154"/>
    <w:rsid w:val="00650C18"/>
    <w:rsid w:val="00651BDF"/>
    <w:rsid w:val="00652B34"/>
    <w:rsid w:val="0065345B"/>
    <w:rsid w:val="006535D3"/>
    <w:rsid w:val="00653772"/>
    <w:rsid w:val="0065385C"/>
    <w:rsid w:val="00653E02"/>
    <w:rsid w:val="00653E26"/>
    <w:rsid w:val="0065537A"/>
    <w:rsid w:val="00655556"/>
    <w:rsid w:val="00655893"/>
    <w:rsid w:val="00655BC3"/>
    <w:rsid w:val="00656276"/>
    <w:rsid w:val="006567B9"/>
    <w:rsid w:val="006578C4"/>
    <w:rsid w:val="00657F55"/>
    <w:rsid w:val="00660628"/>
    <w:rsid w:val="00661A3C"/>
    <w:rsid w:val="00661E1F"/>
    <w:rsid w:val="0066219D"/>
    <w:rsid w:val="00662C4F"/>
    <w:rsid w:val="00665955"/>
    <w:rsid w:val="00667148"/>
    <w:rsid w:val="006671B8"/>
    <w:rsid w:val="00667A20"/>
    <w:rsid w:val="00671A5B"/>
    <w:rsid w:val="00672476"/>
    <w:rsid w:val="006725A1"/>
    <w:rsid w:val="006733E8"/>
    <w:rsid w:val="00673ABE"/>
    <w:rsid w:val="00673D17"/>
    <w:rsid w:val="00674A06"/>
    <w:rsid w:val="00674CF5"/>
    <w:rsid w:val="00675379"/>
    <w:rsid w:val="00675553"/>
    <w:rsid w:val="006758F0"/>
    <w:rsid w:val="00675F48"/>
    <w:rsid w:val="006771D3"/>
    <w:rsid w:val="00680B52"/>
    <w:rsid w:val="0068140E"/>
    <w:rsid w:val="00681C9D"/>
    <w:rsid w:val="00682C4A"/>
    <w:rsid w:val="00682E05"/>
    <w:rsid w:val="00682F2E"/>
    <w:rsid w:val="006836A7"/>
    <w:rsid w:val="00683E4D"/>
    <w:rsid w:val="00683F8D"/>
    <w:rsid w:val="006845DD"/>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378B"/>
    <w:rsid w:val="006A3E05"/>
    <w:rsid w:val="006A3E37"/>
    <w:rsid w:val="006A4896"/>
    <w:rsid w:val="006A533F"/>
    <w:rsid w:val="006A6015"/>
    <w:rsid w:val="006A6326"/>
    <w:rsid w:val="006B03D9"/>
    <w:rsid w:val="006B12DD"/>
    <w:rsid w:val="006B1A57"/>
    <w:rsid w:val="006B24D4"/>
    <w:rsid w:val="006B30B2"/>
    <w:rsid w:val="006B3FD7"/>
    <w:rsid w:val="006B559A"/>
    <w:rsid w:val="006B5884"/>
    <w:rsid w:val="006B6640"/>
    <w:rsid w:val="006B6719"/>
    <w:rsid w:val="006B75D6"/>
    <w:rsid w:val="006C03ED"/>
    <w:rsid w:val="006C066F"/>
    <w:rsid w:val="006C083D"/>
    <w:rsid w:val="006C11AF"/>
    <w:rsid w:val="006C1A66"/>
    <w:rsid w:val="006C2B39"/>
    <w:rsid w:val="006C2DFF"/>
    <w:rsid w:val="006C2F90"/>
    <w:rsid w:val="006C4987"/>
    <w:rsid w:val="006C49E4"/>
    <w:rsid w:val="006C579B"/>
    <w:rsid w:val="006C685E"/>
    <w:rsid w:val="006C6C37"/>
    <w:rsid w:val="006C704F"/>
    <w:rsid w:val="006D038B"/>
    <w:rsid w:val="006D07DF"/>
    <w:rsid w:val="006D0A44"/>
    <w:rsid w:val="006D13B8"/>
    <w:rsid w:val="006D180C"/>
    <w:rsid w:val="006D190E"/>
    <w:rsid w:val="006D2582"/>
    <w:rsid w:val="006D2BCB"/>
    <w:rsid w:val="006D2DF4"/>
    <w:rsid w:val="006D2EE6"/>
    <w:rsid w:val="006D4061"/>
    <w:rsid w:val="006D45FB"/>
    <w:rsid w:val="006D4CDB"/>
    <w:rsid w:val="006D5479"/>
    <w:rsid w:val="006D5CD1"/>
    <w:rsid w:val="006E0C4A"/>
    <w:rsid w:val="006E18C1"/>
    <w:rsid w:val="006E1A1F"/>
    <w:rsid w:val="006E1C90"/>
    <w:rsid w:val="006E2248"/>
    <w:rsid w:val="006E29D7"/>
    <w:rsid w:val="006E3F01"/>
    <w:rsid w:val="006E46A2"/>
    <w:rsid w:val="006E60BD"/>
    <w:rsid w:val="006E627B"/>
    <w:rsid w:val="006E70E0"/>
    <w:rsid w:val="006F0469"/>
    <w:rsid w:val="006F0CF5"/>
    <w:rsid w:val="006F1E83"/>
    <w:rsid w:val="006F1FD8"/>
    <w:rsid w:val="006F2D4E"/>
    <w:rsid w:val="006F2D6D"/>
    <w:rsid w:val="006F3991"/>
    <w:rsid w:val="006F3A54"/>
    <w:rsid w:val="006F553C"/>
    <w:rsid w:val="006F5CE6"/>
    <w:rsid w:val="006F619D"/>
    <w:rsid w:val="006F7E83"/>
    <w:rsid w:val="0070022C"/>
    <w:rsid w:val="007005DB"/>
    <w:rsid w:val="0070324D"/>
    <w:rsid w:val="00703EC9"/>
    <w:rsid w:val="007044A5"/>
    <w:rsid w:val="00704810"/>
    <w:rsid w:val="00705EFB"/>
    <w:rsid w:val="0070625C"/>
    <w:rsid w:val="007069FD"/>
    <w:rsid w:val="00706B3F"/>
    <w:rsid w:val="0070757E"/>
    <w:rsid w:val="00710297"/>
    <w:rsid w:val="007104C2"/>
    <w:rsid w:val="0071088A"/>
    <w:rsid w:val="00711163"/>
    <w:rsid w:val="00711D6D"/>
    <w:rsid w:val="00711FD9"/>
    <w:rsid w:val="00713A0D"/>
    <w:rsid w:val="00713FB6"/>
    <w:rsid w:val="00715794"/>
    <w:rsid w:val="007158F8"/>
    <w:rsid w:val="007161A1"/>
    <w:rsid w:val="0071635D"/>
    <w:rsid w:val="00716830"/>
    <w:rsid w:val="00716FE6"/>
    <w:rsid w:val="0071720A"/>
    <w:rsid w:val="00717DCD"/>
    <w:rsid w:val="00720027"/>
    <w:rsid w:val="007202E3"/>
    <w:rsid w:val="00720352"/>
    <w:rsid w:val="00720C86"/>
    <w:rsid w:val="00722252"/>
    <w:rsid w:val="007236B2"/>
    <w:rsid w:val="007246A3"/>
    <w:rsid w:val="007259B7"/>
    <w:rsid w:val="00725A85"/>
    <w:rsid w:val="00725FFF"/>
    <w:rsid w:val="007276F0"/>
    <w:rsid w:val="00727769"/>
    <w:rsid w:val="0072788F"/>
    <w:rsid w:val="00727E3C"/>
    <w:rsid w:val="00727ED9"/>
    <w:rsid w:val="00730844"/>
    <w:rsid w:val="00731475"/>
    <w:rsid w:val="00733EEF"/>
    <w:rsid w:val="00734123"/>
    <w:rsid w:val="00735038"/>
    <w:rsid w:val="007351F5"/>
    <w:rsid w:val="007354C0"/>
    <w:rsid w:val="007354E2"/>
    <w:rsid w:val="00735722"/>
    <w:rsid w:val="00735C41"/>
    <w:rsid w:val="00736D4D"/>
    <w:rsid w:val="0073712B"/>
    <w:rsid w:val="00737C33"/>
    <w:rsid w:val="00737E66"/>
    <w:rsid w:val="00740743"/>
    <w:rsid w:val="00740D2A"/>
    <w:rsid w:val="00741B40"/>
    <w:rsid w:val="00742B18"/>
    <w:rsid w:val="007433DB"/>
    <w:rsid w:val="00743B6B"/>
    <w:rsid w:val="00743CE5"/>
    <w:rsid w:val="00744330"/>
    <w:rsid w:val="0074459D"/>
    <w:rsid w:val="00744F1D"/>
    <w:rsid w:val="00744F6D"/>
    <w:rsid w:val="00746A5D"/>
    <w:rsid w:val="007475BA"/>
    <w:rsid w:val="0075052D"/>
    <w:rsid w:val="0075054D"/>
    <w:rsid w:val="007507FE"/>
    <w:rsid w:val="00750CD2"/>
    <w:rsid w:val="00751221"/>
    <w:rsid w:val="00751262"/>
    <w:rsid w:val="0075152D"/>
    <w:rsid w:val="007517F2"/>
    <w:rsid w:val="00751AB6"/>
    <w:rsid w:val="0075297F"/>
    <w:rsid w:val="00754B8D"/>
    <w:rsid w:val="00754DFD"/>
    <w:rsid w:val="00754ED6"/>
    <w:rsid w:val="007555E5"/>
    <w:rsid w:val="007562F1"/>
    <w:rsid w:val="007563D4"/>
    <w:rsid w:val="007567E0"/>
    <w:rsid w:val="007575F5"/>
    <w:rsid w:val="00762689"/>
    <w:rsid w:val="00762DE7"/>
    <w:rsid w:val="00762F99"/>
    <w:rsid w:val="007634A0"/>
    <w:rsid w:val="007649E7"/>
    <w:rsid w:val="00764BA2"/>
    <w:rsid w:val="00764FCA"/>
    <w:rsid w:val="00767AEA"/>
    <w:rsid w:val="007711C0"/>
    <w:rsid w:val="00771B71"/>
    <w:rsid w:val="00771FB2"/>
    <w:rsid w:val="0077225D"/>
    <w:rsid w:val="00772575"/>
    <w:rsid w:val="0077261E"/>
    <w:rsid w:val="00772D2E"/>
    <w:rsid w:val="00772DB9"/>
    <w:rsid w:val="00772FE5"/>
    <w:rsid w:val="007739A6"/>
    <w:rsid w:val="00773A94"/>
    <w:rsid w:val="00774A61"/>
    <w:rsid w:val="0077645F"/>
    <w:rsid w:val="007809BC"/>
    <w:rsid w:val="00781352"/>
    <w:rsid w:val="00781681"/>
    <w:rsid w:val="007822CC"/>
    <w:rsid w:val="0078269D"/>
    <w:rsid w:val="00783C3B"/>
    <w:rsid w:val="007863D7"/>
    <w:rsid w:val="0078741B"/>
    <w:rsid w:val="007874FD"/>
    <w:rsid w:val="00787848"/>
    <w:rsid w:val="00790953"/>
    <w:rsid w:val="0079096E"/>
    <w:rsid w:val="0079159E"/>
    <w:rsid w:val="00791949"/>
    <w:rsid w:val="0079227D"/>
    <w:rsid w:val="00792EA1"/>
    <w:rsid w:val="00793FE2"/>
    <w:rsid w:val="00794979"/>
    <w:rsid w:val="00795394"/>
    <w:rsid w:val="0079591E"/>
    <w:rsid w:val="00797078"/>
    <w:rsid w:val="00797A2A"/>
    <w:rsid w:val="00797AC3"/>
    <w:rsid w:val="00797B6A"/>
    <w:rsid w:val="007A04EF"/>
    <w:rsid w:val="007A0F10"/>
    <w:rsid w:val="007A1E55"/>
    <w:rsid w:val="007A20F2"/>
    <w:rsid w:val="007A2201"/>
    <w:rsid w:val="007A286F"/>
    <w:rsid w:val="007A328D"/>
    <w:rsid w:val="007A330E"/>
    <w:rsid w:val="007A390D"/>
    <w:rsid w:val="007A570F"/>
    <w:rsid w:val="007A59B0"/>
    <w:rsid w:val="007A5EC6"/>
    <w:rsid w:val="007A637D"/>
    <w:rsid w:val="007A6828"/>
    <w:rsid w:val="007A74C3"/>
    <w:rsid w:val="007A7BC6"/>
    <w:rsid w:val="007A7EBE"/>
    <w:rsid w:val="007B0247"/>
    <w:rsid w:val="007B13DD"/>
    <w:rsid w:val="007B161F"/>
    <w:rsid w:val="007B57A2"/>
    <w:rsid w:val="007B628B"/>
    <w:rsid w:val="007B7CC8"/>
    <w:rsid w:val="007C10D1"/>
    <w:rsid w:val="007C1B22"/>
    <w:rsid w:val="007C2107"/>
    <w:rsid w:val="007C24D8"/>
    <w:rsid w:val="007C35D6"/>
    <w:rsid w:val="007C42E9"/>
    <w:rsid w:val="007C44EA"/>
    <w:rsid w:val="007C4B49"/>
    <w:rsid w:val="007C55CC"/>
    <w:rsid w:val="007C57FB"/>
    <w:rsid w:val="007C72CE"/>
    <w:rsid w:val="007C7850"/>
    <w:rsid w:val="007D04B2"/>
    <w:rsid w:val="007D0A9C"/>
    <w:rsid w:val="007D1C12"/>
    <w:rsid w:val="007D4686"/>
    <w:rsid w:val="007D5677"/>
    <w:rsid w:val="007D5A08"/>
    <w:rsid w:val="007D5CB2"/>
    <w:rsid w:val="007D6D12"/>
    <w:rsid w:val="007D6FC8"/>
    <w:rsid w:val="007E1364"/>
    <w:rsid w:val="007E3C85"/>
    <w:rsid w:val="007E5C0A"/>
    <w:rsid w:val="007E66AE"/>
    <w:rsid w:val="007E67F0"/>
    <w:rsid w:val="007E73D1"/>
    <w:rsid w:val="007F0AA4"/>
    <w:rsid w:val="007F0C7D"/>
    <w:rsid w:val="007F155D"/>
    <w:rsid w:val="007F1946"/>
    <w:rsid w:val="007F198B"/>
    <w:rsid w:val="007F1B60"/>
    <w:rsid w:val="007F1D47"/>
    <w:rsid w:val="007F2692"/>
    <w:rsid w:val="007F4308"/>
    <w:rsid w:val="007F4C70"/>
    <w:rsid w:val="007F6425"/>
    <w:rsid w:val="007F7017"/>
    <w:rsid w:val="00803F35"/>
    <w:rsid w:val="0080443B"/>
    <w:rsid w:val="00804EBF"/>
    <w:rsid w:val="00805802"/>
    <w:rsid w:val="00805818"/>
    <w:rsid w:val="0081022B"/>
    <w:rsid w:val="008103C2"/>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693A"/>
    <w:rsid w:val="008176A3"/>
    <w:rsid w:val="008205AD"/>
    <w:rsid w:val="00820E40"/>
    <w:rsid w:val="00821263"/>
    <w:rsid w:val="00822195"/>
    <w:rsid w:val="008227F5"/>
    <w:rsid w:val="00822D99"/>
    <w:rsid w:val="008242F7"/>
    <w:rsid w:val="008248FF"/>
    <w:rsid w:val="008265FB"/>
    <w:rsid w:val="008266F1"/>
    <w:rsid w:val="00827156"/>
    <w:rsid w:val="00830FB0"/>
    <w:rsid w:val="00831015"/>
    <w:rsid w:val="00832284"/>
    <w:rsid w:val="00832FA1"/>
    <w:rsid w:val="00833E98"/>
    <w:rsid w:val="00835F91"/>
    <w:rsid w:val="008367DD"/>
    <w:rsid w:val="00837027"/>
    <w:rsid w:val="008400F0"/>
    <w:rsid w:val="00840A9B"/>
    <w:rsid w:val="00840F94"/>
    <w:rsid w:val="008412A1"/>
    <w:rsid w:val="008412D3"/>
    <w:rsid w:val="008420E0"/>
    <w:rsid w:val="0084217A"/>
    <w:rsid w:val="008424B1"/>
    <w:rsid w:val="0084301D"/>
    <w:rsid w:val="00843220"/>
    <w:rsid w:val="00843CA9"/>
    <w:rsid w:val="008443BB"/>
    <w:rsid w:val="008470E9"/>
    <w:rsid w:val="008474DD"/>
    <w:rsid w:val="00847C5F"/>
    <w:rsid w:val="00847FA8"/>
    <w:rsid w:val="00850709"/>
    <w:rsid w:val="0085099F"/>
    <w:rsid w:val="008511C8"/>
    <w:rsid w:val="0085178E"/>
    <w:rsid w:val="008519CB"/>
    <w:rsid w:val="00852C1E"/>
    <w:rsid w:val="00852C3D"/>
    <w:rsid w:val="00852F7B"/>
    <w:rsid w:val="008538E2"/>
    <w:rsid w:val="00853A72"/>
    <w:rsid w:val="00854A76"/>
    <w:rsid w:val="00854CCE"/>
    <w:rsid w:val="00856044"/>
    <w:rsid w:val="00856D4C"/>
    <w:rsid w:val="00856D78"/>
    <w:rsid w:val="0085759A"/>
    <w:rsid w:val="00860AD8"/>
    <w:rsid w:val="00861336"/>
    <w:rsid w:val="008619CF"/>
    <w:rsid w:val="00861D3E"/>
    <w:rsid w:val="00862242"/>
    <w:rsid w:val="00862BC4"/>
    <w:rsid w:val="00865000"/>
    <w:rsid w:val="0086599F"/>
    <w:rsid w:val="00866C6C"/>
    <w:rsid w:val="008679E0"/>
    <w:rsid w:val="00870679"/>
    <w:rsid w:val="00870F98"/>
    <w:rsid w:val="00871C47"/>
    <w:rsid w:val="00873442"/>
    <w:rsid w:val="00873D67"/>
    <w:rsid w:val="008740FA"/>
    <w:rsid w:val="00875E57"/>
    <w:rsid w:val="00877176"/>
    <w:rsid w:val="00881F09"/>
    <w:rsid w:val="00882FEB"/>
    <w:rsid w:val="0088363B"/>
    <w:rsid w:val="00884B58"/>
    <w:rsid w:val="00885FDC"/>
    <w:rsid w:val="00886E0B"/>
    <w:rsid w:val="00887C86"/>
    <w:rsid w:val="008906A6"/>
    <w:rsid w:val="008914DF"/>
    <w:rsid w:val="008919F8"/>
    <w:rsid w:val="00891E9C"/>
    <w:rsid w:val="00891EC8"/>
    <w:rsid w:val="008920BB"/>
    <w:rsid w:val="00892347"/>
    <w:rsid w:val="00892494"/>
    <w:rsid w:val="00893BBF"/>
    <w:rsid w:val="008943A6"/>
    <w:rsid w:val="0089484C"/>
    <w:rsid w:val="0089484D"/>
    <w:rsid w:val="0089491D"/>
    <w:rsid w:val="008955CF"/>
    <w:rsid w:val="008955E9"/>
    <w:rsid w:val="00895C33"/>
    <w:rsid w:val="008965B3"/>
    <w:rsid w:val="00897F3C"/>
    <w:rsid w:val="008A1147"/>
    <w:rsid w:val="008A1770"/>
    <w:rsid w:val="008A1F8A"/>
    <w:rsid w:val="008A21C5"/>
    <w:rsid w:val="008A255C"/>
    <w:rsid w:val="008A2D9A"/>
    <w:rsid w:val="008A4139"/>
    <w:rsid w:val="008A4814"/>
    <w:rsid w:val="008A5B83"/>
    <w:rsid w:val="008A6138"/>
    <w:rsid w:val="008A75EC"/>
    <w:rsid w:val="008B02E3"/>
    <w:rsid w:val="008B186B"/>
    <w:rsid w:val="008B46C9"/>
    <w:rsid w:val="008B499A"/>
    <w:rsid w:val="008B5EF6"/>
    <w:rsid w:val="008B766A"/>
    <w:rsid w:val="008C163F"/>
    <w:rsid w:val="008C2FA7"/>
    <w:rsid w:val="008C301A"/>
    <w:rsid w:val="008C547D"/>
    <w:rsid w:val="008C5AEF"/>
    <w:rsid w:val="008C5E9B"/>
    <w:rsid w:val="008C6FBE"/>
    <w:rsid w:val="008C707E"/>
    <w:rsid w:val="008D1334"/>
    <w:rsid w:val="008D23A9"/>
    <w:rsid w:val="008D262F"/>
    <w:rsid w:val="008D358F"/>
    <w:rsid w:val="008D3C99"/>
    <w:rsid w:val="008D4A13"/>
    <w:rsid w:val="008D592D"/>
    <w:rsid w:val="008D7172"/>
    <w:rsid w:val="008D7AA9"/>
    <w:rsid w:val="008D7EE4"/>
    <w:rsid w:val="008E0110"/>
    <w:rsid w:val="008E0303"/>
    <w:rsid w:val="008E081D"/>
    <w:rsid w:val="008E0F64"/>
    <w:rsid w:val="008E1BFA"/>
    <w:rsid w:val="008E2991"/>
    <w:rsid w:val="008E3D03"/>
    <w:rsid w:val="008E534B"/>
    <w:rsid w:val="008E6153"/>
    <w:rsid w:val="008E63A8"/>
    <w:rsid w:val="008E6CAD"/>
    <w:rsid w:val="008F024E"/>
    <w:rsid w:val="008F163C"/>
    <w:rsid w:val="008F1692"/>
    <w:rsid w:val="008F1CF5"/>
    <w:rsid w:val="008F231F"/>
    <w:rsid w:val="008F2EB6"/>
    <w:rsid w:val="008F3F70"/>
    <w:rsid w:val="008F67DC"/>
    <w:rsid w:val="008F691D"/>
    <w:rsid w:val="008F6966"/>
    <w:rsid w:val="008F7183"/>
    <w:rsid w:val="008F7645"/>
    <w:rsid w:val="00900D09"/>
    <w:rsid w:val="0090160E"/>
    <w:rsid w:val="0090193B"/>
    <w:rsid w:val="00901A1C"/>
    <w:rsid w:val="00903108"/>
    <w:rsid w:val="0090336B"/>
    <w:rsid w:val="00903AFC"/>
    <w:rsid w:val="00903E09"/>
    <w:rsid w:val="0090460A"/>
    <w:rsid w:val="00904E1A"/>
    <w:rsid w:val="009054B1"/>
    <w:rsid w:val="00905503"/>
    <w:rsid w:val="00906039"/>
    <w:rsid w:val="009106B7"/>
    <w:rsid w:val="00910D1F"/>
    <w:rsid w:val="00911136"/>
    <w:rsid w:val="009112C1"/>
    <w:rsid w:val="00911BE0"/>
    <w:rsid w:val="00912012"/>
    <w:rsid w:val="00912CFE"/>
    <w:rsid w:val="00912F5E"/>
    <w:rsid w:val="0091300B"/>
    <w:rsid w:val="009132D6"/>
    <w:rsid w:val="00913791"/>
    <w:rsid w:val="00914A72"/>
    <w:rsid w:val="009151CE"/>
    <w:rsid w:val="00917FA3"/>
    <w:rsid w:val="00920832"/>
    <w:rsid w:val="00920B37"/>
    <w:rsid w:val="009210AB"/>
    <w:rsid w:val="00922FF0"/>
    <w:rsid w:val="0092318D"/>
    <w:rsid w:val="009233C4"/>
    <w:rsid w:val="009243D2"/>
    <w:rsid w:val="00924CE2"/>
    <w:rsid w:val="00924E79"/>
    <w:rsid w:val="00924F01"/>
    <w:rsid w:val="00925597"/>
    <w:rsid w:val="009260D2"/>
    <w:rsid w:val="00926509"/>
    <w:rsid w:val="0092687D"/>
    <w:rsid w:val="00930343"/>
    <w:rsid w:val="00930763"/>
    <w:rsid w:val="00930876"/>
    <w:rsid w:val="0093296B"/>
    <w:rsid w:val="00932BA6"/>
    <w:rsid w:val="009336F6"/>
    <w:rsid w:val="00933988"/>
    <w:rsid w:val="00934D6A"/>
    <w:rsid w:val="00936D5C"/>
    <w:rsid w:val="009404D9"/>
    <w:rsid w:val="0094086B"/>
    <w:rsid w:val="00940EFB"/>
    <w:rsid w:val="00941B74"/>
    <w:rsid w:val="00942A69"/>
    <w:rsid w:val="0094319B"/>
    <w:rsid w:val="00943C6A"/>
    <w:rsid w:val="00943E03"/>
    <w:rsid w:val="00943E9F"/>
    <w:rsid w:val="00944775"/>
    <w:rsid w:val="00944A14"/>
    <w:rsid w:val="00944D76"/>
    <w:rsid w:val="009456D3"/>
    <w:rsid w:val="00946BCC"/>
    <w:rsid w:val="00950251"/>
    <w:rsid w:val="009503FA"/>
    <w:rsid w:val="00950F4F"/>
    <w:rsid w:val="00950F96"/>
    <w:rsid w:val="009514F2"/>
    <w:rsid w:val="0095231F"/>
    <w:rsid w:val="009540C4"/>
    <w:rsid w:val="0095452E"/>
    <w:rsid w:val="0095530E"/>
    <w:rsid w:val="00955D0B"/>
    <w:rsid w:val="009562AA"/>
    <w:rsid w:val="00956AF9"/>
    <w:rsid w:val="00957E61"/>
    <w:rsid w:val="0096014C"/>
    <w:rsid w:val="009604B8"/>
    <w:rsid w:val="00960577"/>
    <w:rsid w:val="009605E7"/>
    <w:rsid w:val="00960887"/>
    <w:rsid w:val="00963357"/>
    <w:rsid w:val="009635D2"/>
    <w:rsid w:val="00964B98"/>
    <w:rsid w:val="00965B74"/>
    <w:rsid w:val="00966552"/>
    <w:rsid w:val="00966D63"/>
    <w:rsid w:val="00967882"/>
    <w:rsid w:val="009706F6"/>
    <w:rsid w:val="009709E0"/>
    <w:rsid w:val="00970C13"/>
    <w:rsid w:val="00971481"/>
    <w:rsid w:val="009717E6"/>
    <w:rsid w:val="009717EB"/>
    <w:rsid w:val="00971E82"/>
    <w:rsid w:val="0097285C"/>
    <w:rsid w:val="00973074"/>
    <w:rsid w:val="00973969"/>
    <w:rsid w:val="009744BA"/>
    <w:rsid w:val="00974631"/>
    <w:rsid w:val="00976E36"/>
    <w:rsid w:val="00977BF4"/>
    <w:rsid w:val="0098014D"/>
    <w:rsid w:val="0098170A"/>
    <w:rsid w:val="00981A93"/>
    <w:rsid w:val="00981E56"/>
    <w:rsid w:val="009820EB"/>
    <w:rsid w:val="00982AB4"/>
    <w:rsid w:val="009835EC"/>
    <w:rsid w:val="00983B46"/>
    <w:rsid w:val="00984137"/>
    <w:rsid w:val="00985F6E"/>
    <w:rsid w:val="00986105"/>
    <w:rsid w:val="00986E5F"/>
    <w:rsid w:val="009876D1"/>
    <w:rsid w:val="0099022C"/>
    <w:rsid w:val="009904B9"/>
    <w:rsid w:val="00990D1A"/>
    <w:rsid w:val="00990DC3"/>
    <w:rsid w:val="009917A3"/>
    <w:rsid w:val="00992657"/>
    <w:rsid w:val="0099336C"/>
    <w:rsid w:val="00993A82"/>
    <w:rsid w:val="00993DF2"/>
    <w:rsid w:val="00993F3E"/>
    <w:rsid w:val="00994A48"/>
    <w:rsid w:val="009952C1"/>
    <w:rsid w:val="009956C7"/>
    <w:rsid w:val="0099664E"/>
    <w:rsid w:val="00996E69"/>
    <w:rsid w:val="009970D9"/>
    <w:rsid w:val="0099767B"/>
    <w:rsid w:val="00997BC1"/>
    <w:rsid w:val="00997FE1"/>
    <w:rsid w:val="009A07D6"/>
    <w:rsid w:val="009A0CA4"/>
    <w:rsid w:val="009A2113"/>
    <w:rsid w:val="009A3727"/>
    <w:rsid w:val="009A3B5C"/>
    <w:rsid w:val="009A42A7"/>
    <w:rsid w:val="009A4F07"/>
    <w:rsid w:val="009A732A"/>
    <w:rsid w:val="009A7FEF"/>
    <w:rsid w:val="009B110B"/>
    <w:rsid w:val="009B15DB"/>
    <w:rsid w:val="009B1D8D"/>
    <w:rsid w:val="009B33EC"/>
    <w:rsid w:val="009B3422"/>
    <w:rsid w:val="009B3826"/>
    <w:rsid w:val="009B3B74"/>
    <w:rsid w:val="009B4AC4"/>
    <w:rsid w:val="009B63AC"/>
    <w:rsid w:val="009B7863"/>
    <w:rsid w:val="009C0AAE"/>
    <w:rsid w:val="009C0C97"/>
    <w:rsid w:val="009C1A14"/>
    <w:rsid w:val="009C24E9"/>
    <w:rsid w:val="009C27F0"/>
    <w:rsid w:val="009C2BAF"/>
    <w:rsid w:val="009C2DEC"/>
    <w:rsid w:val="009C4A37"/>
    <w:rsid w:val="009C4D7E"/>
    <w:rsid w:val="009C5E6D"/>
    <w:rsid w:val="009C7662"/>
    <w:rsid w:val="009C795B"/>
    <w:rsid w:val="009D0506"/>
    <w:rsid w:val="009D1ACB"/>
    <w:rsid w:val="009D2B91"/>
    <w:rsid w:val="009D2DC7"/>
    <w:rsid w:val="009D32C4"/>
    <w:rsid w:val="009D42CB"/>
    <w:rsid w:val="009D4A82"/>
    <w:rsid w:val="009D6618"/>
    <w:rsid w:val="009D714B"/>
    <w:rsid w:val="009D765A"/>
    <w:rsid w:val="009D7D88"/>
    <w:rsid w:val="009E02D3"/>
    <w:rsid w:val="009E160F"/>
    <w:rsid w:val="009E16E3"/>
    <w:rsid w:val="009E3C1B"/>
    <w:rsid w:val="009E3DBE"/>
    <w:rsid w:val="009E470A"/>
    <w:rsid w:val="009E495E"/>
    <w:rsid w:val="009E4ECD"/>
    <w:rsid w:val="009E5376"/>
    <w:rsid w:val="009E5C7E"/>
    <w:rsid w:val="009E60E2"/>
    <w:rsid w:val="009E6A3B"/>
    <w:rsid w:val="009E6B1C"/>
    <w:rsid w:val="009E6C40"/>
    <w:rsid w:val="009F0B39"/>
    <w:rsid w:val="009F17B8"/>
    <w:rsid w:val="009F1BDE"/>
    <w:rsid w:val="009F28E7"/>
    <w:rsid w:val="009F33B9"/>
    <w:rsid w:val="009F3D83"/>
    <w:rsid w:val="009F41C2"/>
    <w:rsid w:val="009F4AC0"/>
    <w:rsid w:val="009F5C97"/>
    <w:rsid w:val="009F5F99"/>
    <w:rsid w:val="009F6983"/>
    <w:rsid w:val="00A021AB"/>
    <w:rsid w:val="00A02222"/>
    <w:rsid w:val="00A0238E"/>
    <w:rsid w:val="00A02DE4"/>
    <w:rsid w:val="00A03272"/>
    <w:rsid w:val="00A043C4"/>
    <w:rsid w:val="00A044CB"/>
    <w:rsid w:val="00A04856"/>
    <w:rsid w:val="00A11051"/>
    <w:rsid w:val="00A1264C"/>
    <w:rsid w:val="00A12D7E"/>
    <w:rsid w:val="00A13863"/>
    <w:rsid w:val="00A13D71"/>
    <w:rsid w:val="00A13FC1"/>
    <w:rsid w:val="00A142E1"/>
    <w:rsid w:val="00A14D90"/>
    <w:rsid w:val="00A1515F"/>
    <w:rsid w:val="00A1584E"/>
    <w:rsid w:val="00A173AF"/>
    <w:rsid w:val="00A20203"/>
    <w:rsid w:val="00A20AC0"/>
    <w:rsid w:val="00A20DB4"/>
    <w:rsid w:val="00A219EF"/>
    <w:rsid w:val="00A229B9"/>
    <w:rsid w:val="00A2352A"/>
    <w:rsid w:val="00A2371C"/>
    <w:rsid w:val="00A240E9"/>
    <w:rsid w:val="00A24D24"/>
    <w:rsid w:val="00A24E6A"/>
    <w:rsid w:val="00A253D6"/>
    <w:rsid w:val="00A25579"/>
    <w:rsid w:val="00A314C2"/>
    <w:rsid w:val="00A32B22"/>
    <w:rsid w:val="00A340B9"/>
    <w:rsid w:val="00A349B7"/>
    <w:rsid w:val="00A35EA1"/>
    <w:rsid w:val="00A377AE"/>
    <w:rsid w:val="00A378FB"/>
    <w:rsid w:val="00A37BD9"/>
    <w:rsid w:val="00A40C8C"/>
    <w:rsid w:val="00A41247"/>
    <w:rsid w:val="00A41CF8"/>
    <w:rsid w:val="00A41FCF"/>
    <w:rsid w:val="00A4267F"/>
    <w:rsid w:val="00A42CAB"/>
    <w:rsid w:val="00A43C5E"/>
    <w:rsid w:val="00A44000"/>
    <w:rsid w:val="00A451F2"/>
    <w:rsid w:val="00A45C00"/>
    <w:rsid w:val="00A47170"/>
    <w:rsid w:val="00A473BF"/>
    <w:rsid w:val="00A500D5"/>
    <w:rsid w:val="00A509BA"/>
    <w:rsid w:val="00A5111B"/>
    <w:rsid w:val="00A52424"/>
    <w:rsid w:val="00A53956"/>
    <w:rsid w:val="00A5563D"/>
    <w:rsid w:val="00A55FDC"/>
    <w:rsid w:val="00A56539"/>
    <w:rsid w:val="00A607F3"/>
    <w:rsid w:val="00A61258"/>
    <w:rsid w:val="00A61CBE"/>
    <w:rsid w:val="00A62BF8"/>
    <w:rsid w:val="00A65465"/>
    <w:rsid w:val="00A65D19"/>
    <w:rsid w:val="00A65EE3"/>
    <w:rsid w:val="00A66DC2"/>
    <w:rsid w:val="00A66E75"/>
    <w:rsid w:val="00A67672"/>
    <w:rsid w:val="00A71217"/>
    <w:rsid w:val="00A71CC2"/>
    <w:rsid w:val="00A71D90"/>
    <w:rsid w:val="00A72DE2"/>
    <w:rsid w:val="00A73179"/>
    <w:rsid w:val="00A744FD"/>
    <w:rsid w:val="00A749BC"/>
    <w:rsid w:val="00A74F93"/>
    <w:rsid w:val="00A756EC"/>
    <w:rsid w:val="00A75FD8"/>
    <w:rsid w:val="00A76FC5"/>
    <w:rsid w:val="00A775EE"/>
    <w:rsid w:val="00A778BE"/>
    <w:rsid w:val="00A77935"/>
    <w:rsid w:val="00A77F8F"/>
    <w:rsid w:val="00A8194A"/>
    <w:rsid w:val="00A8219B"/>
    <w:rsid w:val="00A825F7"/>
    <w:rsid w:val="00A83994"/>
    <w:rsid w:val="00A83C3C"/>
    <w:rsid w:val="00A84CF5"/>
    <w:rsid w:val="00A85B35"/>
    <w:rsid w:val="00A8670B"/>
    <w:rsid w:val="00A870B0"/>
    <w:rsid w:val="00A878EC"/>
    <w:rsid w:val="00A879F3"/>
    <w:rsid w:val="00A900DE"/>
    <w:rsid w:val="00A90D36"/>
    <w:rsid w:val="00A91C3D"/>
    <w:rsid w:val="00A91EF0"/>
    <w:rsid w:val="00A92405"/>
    <w:rsid w:val="00A92A37"/>
    <w:rsid w:val="00A92EC9"/>
    <w:rsid w:val="00A92F33"/>
    <w:rsid w:val="00A9513E"/>
    <w:rsid w:val="00A96F0C"/>
    <w:rsid w:val="00A97305"/>
    <w:rsid w:val="00AA1A4C"/>
    <w:rsid w:val="00AA1F2E"/>
    <w:rsid w:val="00AA2220"/>
    <w:rsid w:val="00AA22AB"/>
    <w:rsid w:val="00AA4124"/>
    <w:rsid w:val="00AA4FBF"/>
    <w:rsid w:val="00AA510C"/>
    <w:rsid w:val="00AA523B"/>
    <w:rsid w:val="00AA5932"/>
    <w:rsid w:val="00AA6A0A"/>
    <w:rsid w:val="00AA6F64"/>
    <w:rsid w:val="00AA7008"/>
    <w:rsid w:val="00AB34E3"/>
    <w:rsid w:val="00AB37F4"/>
    <w:rsid w:val="00AB502E"/>
    <w:rsid w:val="00AB71B9"/>
    <w:rsid w:val="00AB7BF3"/>
    <w:rsid w:val="00AC0FF4"/>
    <w:rsid w:val="00AC105F"/>
    <w:rsid w:val="00AC3151"/>
    <w:rsid w:val="00AC3651"/>
    <w:rsid w:val="00AC3656"/>
    <w:rsid w:val="00AC50C4"/>
    <w:rsid w:val="00AC5990"/>
    <w:rsid w:val="00AC5C15"/>
    <w:rsid w:val="00AC6E41"/>
    <w:rsid w:val="00AC785E"/>
    <w:rsid w:val="00AD143C"/>
    <w:rsid w:val="00AD1791"/>
    <w:rsid w:val="00AD306D"/>
    <w:rsid w:val="00AD5D34"/>
    <w:rsid w:val="00AD5F01"/>
    <w:rsid w:val="00AD60BC"/>
    <w:rsid w:val="00AD6B86"/>
    <w:rsid w:val="00AD7078"/>
    <w:rsid w:val="00AD7297"/>
    <w:rsid w:val="00AD79F7"/>
    <w:rsid w:val="00AD7C2F"/>
    <w:rsid w:val="00AE077D"/>
    <w:rsid w:val="00AE0FF6"/>
    <w:rsid w:val="00AE13BF"/>
    <w:rsid w:val="00AE197B"/>
    <w:rsid w:val="00AE2165"/>
    <w:rsid w:val="00AE4746"/>
    <w:rsid w:val="00AE4B06"/>
    <w:rsid w:val="00AE4FFB"/>
    <w:rsid w:val="00AE56CA"/>
    <w:rsid w:val="00AE7400"/>
    <w:rsid w:val="00AE758F"/>
    <w:rsid w:val="00AE7CE4"/>
    <w:rsid w:val="00AF01AF"/>
    <w:rsid w:val="00AF2A4D"/>
    <w:rsid w:val="00AF2D50"/>
    <w:rsid w:val="00AF3958"/>
    <w:rsid w:val="00AF524C"/>
    <w:rsid w:val="00AF5D65"/>
    <w:rsid w:val="00AF6734"/>
    <w:rsid w:val="00AF7997"/>
    <w:rsid w:val="00B00768"/>
    <w:rsid w:val="00B01014"/>
    <w:rsid w:val="00B022A5"/>
    <w:rsid w:val="00B023D2"/>
    <w:rsid w:val="00B02D69"/>
    <w:rsid w:val="00B05006"/>
    <w:rsid w:val="00B05837"/>
    <w:rsid w:val="00B05BA9"/>
    <w:rsid w:val="00B062B7"/>
    <w:rsid w:val="00B06416"/>
    <w:rsid w:val="00B0704F"/>
    <w:rsid w:val="00B07D94"/>
    <w:rsid w:val="00B106A4"/>
    <w:rsid w:val="00B115BA"/>
    <w:rsid w:val="00B1191C"/>
    <w:rsid w:val="00B126BB"/>
    <w:rsid w:val="00B1392C"/>
    <w:rsid w:val="00B13BBA"/>
    <w:rsid w:val="00B14025"/>
    <w:rsid w:val="00B1433F"/>
    <w:rsid w:val="00B14D79"/>
    <w:rsid w:val="00B14EA8"/>
    <w:rsid w:val="00B16331"/>
    <w:rsid w:val="00B16772"/>
    <w:rsid w:val="00B16874"/>
    <w:rsid w:val="00B172C6"/>
    <w:rsid w:val="00B17F2B"/>
    <w:rsid w:val="00B17FD9"/>
    <w:rsid w:val="00B20015"/>
    <w:rsid w:val="00B20544"/>
    <w:rsid w:val="00B20E15"/>
    <w:rsid w:val="00B21289"/>
    <w:rsid w:val="00B22820"/>
    <w:rsid w:val="00B22B2B"/>
    <w:rsid w:val="00B23A54"/>
    <w:rsid w:val="00B23E32"/>
    <w:rsid w:val="00B23F22"/>
    <w:rsid w:val="00B23F95"/>
    <w:rsid w:val="00B25931"/>
    <w:rsid w:val="00B26BC7"/>
    <w:rsid w:val="00B27662"/>
    <w:rsid w:val="00B27806"/>
    <w:rsid w:val="00B27926"/>
    <w:rsid w:val="00B27B20"/>
    <w:rsid w:val="00B30010"/>
    <w:rsid w:val="00B3037C"/>
    <w:rsid w:val="00B306C0"/>
    <w:rsid w:val="00B30B72"/>
    <w:rsid w:val="00B32218"/>
    <w:rsid w:val="00B34990"/>
    <w:rsid w:val="00B3533B"/>
    <w:rsid w:val="00B35BD1"/>
    <w:rsid w:val="00B367A8"/>
    <w:rsid w:val="00B37D99"/>
    <w:rsid w:val="00B40461"/>
    <w:rsid w:val="00B40A54"/>
    <w:rsid w:val="00B42FCD"/>
    <w:rsid w:val="00B459F2"/>
    <w:rsid w:val="00B45EF7"/>
    <w:rsid w:val="00B467B4"/>
    <w:rsid w:val="00B468F6"/>
    <w:rsid w:val="00B502B1"/>
    <w:rsid w:val="00B50AD2"/>
    <w:rsid w:val="00B5129E"/>
    <w:rsid w:val="00B52671"/>
    <w:rsid w:val="00B5367C"/>
    <w:rsid w:val="00B5382C"/>
    <w:rsid w:val="00B53E5B"/>
    <w:rsid w:val="00B54566"/>
    <w:rsid w:val="00B5483B"/>
    <w:rsid w:val="00B55CE5"/>
    <w:rsid w:val="00B56507"/>
    <w:rsid w:val="00B568BE"/>
    <w:rsid w:val="00B56D14"/>
    <w:rsid w:val="00B57E66"/>
    <w:rsid w:val="00B634D1"/>
    <w:rsid w:val="00B63515"/>
    <w:rsid w:val="00B63EC1"/>
    <w:rsid w:val="00B64632"/>
    <w:rsid w:val="00B65409"/>
    <w:rsid w:val="00B6560F"/>
    <w:rsid w:val="00B663EB"/>
    <w:rsid w:val="00B66934"/>
    <w:rsid w:val="00B66FA9"/>
    <w:rsid w:val="00B678D8"/>
    <w:rsid w:val="00B700A3"/>
    <w:rsid w:val="00B70A95"/>
    <w:rsid w:val="00B715C6"/>
    <w:rsid w:val="00B737AE"/>
    <w:rsid w:val="00B737B5"/>
    <w:rsid w:val="00B738DD"/>
    <w:rsid w:val="00B73F1F"/>
    <w:rsid w:val="00B74A12"/>
    <w:rsid w:val="00B753CB"/>
    <w:rsid w:val="00B7667C"/>
    <w:rsid w:val="00B76F5A"/>
    <w:rsid w:val="00B772D7"/>
    <w:rsid w:val="00B7766A"/>
    <w:rsid w:val="00B80744"/>
    <w:rsid w:val="00B818CE"/>
    <w:rsid w:val="00B82165"/>
    <w:rsid w:val="00B82268"/>
    <w:rsid w:val="00B83157"/>
    <w:rsid w:val="00B84086"/>
    <w:rsid w:val="00B8411B"/>
    <w:rsid w:val="00B841CF"/>
    <w:rsid w:val="00B8621B"/>
    <w:rsid w:val="00B8696D"/>
    <w:rsid w:val="00B86D50"/>
    <w:rsid w:val="00B87269"/>
    <w:rsid w:val="00B87943"/>
    <w:rsid w:val="00B90431"/>
    <w:rsid w:val="00B9056D"/>
    <w:rsid w:val="00B90861"/>
    <w:rsid w:val="00B91AE7"/>
    <w:rsid w:val="00B92A0F"/>
    <w:rsid w:val="00B92E30"/>
    <w:rsid w:val="00B94038"/>
    <w:rsid w:val="00B9530D"/>
    <w:rsid w:val="00BA105F"/>
    <w:rsid w:val="00BA17D6"/>
    <w:rsid w:val="00BA33D7"/>
    <w:rsid w:val="00BA35C3"/>
    <w:rsid w:val="00BA3674"/>
    <w:rsid w:val="00BA3FA2"/>
    <w:rsid w:val="00BA4496"/>
    <w:rsid w:val="00BA63FE"/>
    <w:rsid w:val="00BA6C2D"/>
    <w:rsid w:val="00BA798A"/>
    <w:rsid w:val="00BB015A"/>
    <w:rsid w:val="00BB05D4"/>
    <w:rsid w:val="00BB2566"/>
    <w:rsid w:val="00BB25D2"/>
    <w:rsid w:val="00BB349C"/>
    <w:rsid w:val="00BB471B"/>
    <w:rsid w:val="00BB4BEF"/>
    <w:rsid w:val="00BB5FAA"/>
    <w:rsid w:val="00BB7180"/>
    <w:rsid w:val="00BB75EC"/>
    <w:rsid w:val="00BB7ACC"/>
    <w:rsid w:val="00BB7F03"/>
    <w:rsid w:val="00BC05A4"/>
    <w:rsid w:val="00BC070B"/>
    <w:rsid w:val="00BC1A42"/>
    <w:rsid w:val="00BC1EAA"/>
    <w:rsid w:val="00BC2427"/>
    <w:rsid w:val="00BC4699"/>
    <w:rsid w:val="00BC52DA"/>
    <w:rsid w:val="00BC61E0"/>
    <w:rsid w:val="00BC729D"/>
    <w:rsid w:val="00BD01F1"/>
    <w:rsid w:val="00BD0845"/>
    <w:rsid w:val="00BD1B14"/>
    <w:rsid w:val="00BD25F2"/>
    <w:rsid w:val="00BD2AD8"/>
    <w:rsid w:val="00BD3AA4"/>
    <w:rsid w:val="00BD3C01"/>
    <w:rsid w:val="00BD3DD7"/>
    <w:rsid w:val="00BD5469"/>
    <w:rsid w:val="00BD6208"/>
    <w:rsid w:val="00BD653E"/>
    <w:rsid w:val="00BD70E6"/>
    <w:rsid w:val="00BE0E58"/>
    <w:rsid w:val="00BE0F79"/>
    <w:rsid w:val="00BE16BA"/>
    <w:rsid w:val="00BE1750"/>
    <w:rsid w:val="00BE1ED6"/>
    <w:rsid w:val="00BE1FF0"/>
    <w:rsid w:val="00BE2271"/>
    <w:rsid w:val="00BE2EF3"/>
    <w:rsid w:val="00BE4013"/>
    <w:rsid w:val="00BE513E"/>
    <w:rsid w:val="00BE5247"/>
    <w:rsid w:val="00BE5914"/>
    <w:rsid w:val="00BE5D85"/>
    <w:rsid w:val="00BE67D8"/>
    <w:rsid w:val="00BE6E2D"/>
    <w:rsid w:val="00BF00E7"/>
    <w:rsid w:val="00BF1D02"/>
    <w:rsid w:val="00BF229B"/>
    <w:rsid w:val="00BF2366"/>
    <w:rsid w:val="00BF26C7"/>
    <w:rsid w:val="00BF370B"/>
    <w:rsid w:val="00BF4597"/>
    <w:rsid w:val="00BF5605"/>
    <w:rsid w:val="00BF6921"/>
    <w:rsid w:val="00BF7298"/>
    <w:rsid w:val="00C01F4E"/>
    <w:rsid w:val="00C0368E"/>
    <w:rsid w:val="00C047C3"/>
    <w:rsid w:val="00C05246"/>
    <w:rsid w:val="00C054DA"/>
    <w:rsid w:val="00C06EA5"/>
    <w:rsid w:val="00C10CD4"/>
    <w:rsid w:val="00C12C74"/>
    <w:rsid w:val="00C13248"/>
    <w:rsid w:val="00C1351F"/>
    <w:rsid w:val="00C137C7"/>
    <w:rsid w:val="00C14F10"/>
    <w:rsid w:val="00C15541"/>
    <w:rsid w:val="00C15CD8"/>
    <w:rsid w:val="00C15DAE"/>
    <w:rsid w:val="00C200C6"/>
    <w:rsid w:val="00C2075C"/>
    <w:rsid w:val="00C217A8"/>
    <w:rsid w:val="00C219E6"/>
    <w:rsid w:val="00C22411"/>
    <w:rsid w:val="00C23203"/>
    <w:rsid w:val="00C23511"/>
    <w:rsid w:val="00C26615"/>
    <w:rsid w:val="00C26928"/>
    <w:rsid w:val="00C26D64"/>
    <w:rsid w:val="00C27B2A"/>
    <w:rsid w:val="00C27D15"/>
    <w:rsid w:val="00C30039"/>
    <w:rsid w:val="00C3033E"/>
    <w:rsid w:val="00C31512"/>
    <w:rsid w:val="00C31D10"/>
    <w:rsid w:val="00C32B15"/>
    <w:rsid w:val="00C337DB"/>
    <w:rsid w:val="00C3395E"/>
    <w:rsid w:val="00C34442"/>
    <w:rsid w:val="00C3452F"/>
    <w:rsid w:val="00C34BD9"/>
    <w:rsid w:val="00C35616"/>
    <w:rsid w:val="00C35ED3"/>
    <w:rsid w:val="00C36FB5"/>
    <w:rsid w:val="00C372B9"/>
    <w:rsid w:val="00C37735"/>
    <w:rsid w:val="00C379EA"/>
    <w:rsid w:val="00C40256"/>
    <w:rsid w:val="00C4026D"/>
    <w:rsid w:val="00C4059D"/>
    <w:rsid w:val="00C40A63"/>
    <w:rsid w:val="00C41A7C"/>
    <w:rsid w:val="00C42199"/>
    <w:rsid w:val="00C429F4"/>
    <w:rsid w:val="00C43411"/>
    <w:rsid w:val="00C43A4B"/>
    <w:rsid w:val="00C43AC1"/>
    <w:rsid w:val="00C43D26"/>
    <w:rsid w:val="00C44133"/>
    <w:rsid w:val="00C447B5"/>
    <w:rsid w:val="00C448E9"/>
    <w:rsid w:val="00C44BFC"/>
    <w:rsid w:val="00C4545C"/>
    <w:rsid w:val="00C455EB"/>
    <w:rsid w:val="00C475F8"/>
    <w:rsid w:val="00C51997"/>
    <w:rsid w:val="00C51DAD"/>
    <w:rsid w:val="00C52E3E"/>
    <w:rsid w:val="00C535D4"/>
    <w:rsid w:val="00C53840"/>
    <w:rsid w:val="00C54BE8"/>
    <w:rsid w:val="00C56451"/>
    <w:rsid w:val="00C56821"/>
    <w:rsid w:val="00C57427"/>
    <w:rsid w:val="00C60A34"/>
    <w:rsid w:val="00C6122C"/>
    <w:rsid w:val="00C619E1"/>
    <w:rsid w:val="00C6239B"/>
    <w:rsid w:val="00C63218"/>
    <w:rsid w:val="00C64D6C"/>
    <w:rsid w:val="00C651DB"/>
    <w:rsid w:val="00C658A2"/>
    <w:rsid w:val="00C6649B"/>
    <w:rsid w:val="00C66A85"/>
    <w:rsid w:val="00C67326"/>
    <w:rsid w:val="00C6779B"/>
    <w:rsid w:val="00C67A04"/>
    <w:rsid w:val="00C70B7A"/>
    <w:rsid w:val="00C711B3"/>
    <w:rsid w:val="00C71C38"/>
    <w:rsid w:val="00C7204C"/>
    <w:rsid w:val="00C73D14"/>
    <w:rsid w:val="00C75BAE"/>
    <w:rsid w:val="00C77C11"/>
    <w:rsid w:val="00C82914"/>
    <w:rsid w:val="00C832D7"/>
    <w:rsid w:val="00C84CAF"/>
    <w:rsid w:val="00C84D5F"/>
    <w:rsid w:val="00C84F38"/>
    <w:rsid w:val="00C8752A"/>
    <w:rsid w:val="00C90349"/>
    <w:rsid w:val="00C90948"/>
    <w:rsid w:val="00C937DF"/>
    <w:rsid w:val="00C93A5E"/>
    <w:rsid w:val="00C94A93"/>
    <w:rsid w:val="00C955A5"/>
    <w:rsid w:val="00C9656A"/>
    <w:rsid w:val="00CA11AF"/>
    <w:rsid w:val="00CA136C"/>
    <w:rsid w:val="00CA17C6"/>
    <w:rsid w:val="00CA1C29"/>
    <w:rsid w:val="00CA2830"/>
    <w:rsid w:val="00CA2A4B"/>
    <w:rsid w:val="00CA2D2D"/>
    <w:rsid w:val="00CA2F82"/>
    <w:rsid w:val="00CA32D6"/>
    <w:rsid w:val="00CA46C4"/>
    <w:rsid w:val="00CA48BD"/>
    <w:rsid w:val="00CA4BBD"/>
    <w:rsid w:val="00CA4DF7"/>
    <w:rsid w:val="00CA51A6"/>
    <w:rsid w:val="00CA67F5"/>
    <w:rsid w:val="00CA703A"/>
    <w:rsid w:val="00CA79E0"/>
    <w:rsid w:val="00CB03D5"/>
    <w:rsid w:val="00CB05A0"/>
    <w:rsid w:val="00CB0B92"/>
    <w:rsid w:val="00CB2769"/>
    <w:rsid w:val="00CB2B97"/>
    <w:rsid w:val="00CB3C2A"/>
    <w:rsid w:val="00CB5C9F"/>
    <w:rsid w:val="00CB5FC5"/>
    <w:rsid w:val="00CB6061"/>
    <w:rsid w:val="00CB6347"/>
    <w:rsid w:val="00CB78F9"/>
    <w:rsid w:val="00CB7D34"/>
    <w:rsid w:val="00CC08E9"/>
    <w:rsid w:val="00CC0B6E"/>
    <w:rsid w:val="00CC163F"/>
    <w:rsid w:val="00CC1ACA"/>
    <w:rsid w:val="00CC1F6E"/>
    <w:rsid w:val="00CC233B"/>
    <w:rsid w:val="00CC2353"/>
    <w:rsid w:val="00CC5D45"/>
    <w:rsid w:val="00CC70C3"/>
    <w:rsid w:val="00CC7B00"/>
    <w:rsid w:val="00CC7FCB"/>
    <w:rsid w:val="00CD06D4"/>
    <w:rsid w:val="00CD06EF"/>
    <w:rsid w:val="00CD0849"/>
    <w:rsid w:val="00CD0A52"/>
    <w:rsid w:val="00CD25DB"/>
    <w:rsid w:val="00CD2B94"/>
    <w:rsid w:val="00CD3051"/>
    <w:rsid w:val="00CD45FE"/>
    <w:rsid w:val="00CD5180"/>
    <w:rsid w:val="00CD5FC8"/>
    <w:rsid w:val="00CD5FD2"/>
    <w:rsid w:val="00CD7D56"/>
    <w:rsid w:val="00CD7F01"/>
    <w:rsid w:val="00CE02D6"/>
    <w:rsid w:val="00CE36D9"/>
    <w:rsid w:val="00CE4AC8"/>
    <w:rsid w:val="00CE4D08"/>
    <w:rsid w:val="00CE5A6B"/>
    <w:rsid w:val="00CE6402"/>
    <w:rsid w:val="00CE6766"/>
    <w:rsid w:val="00CE74C4"/>
    <w:rsid w:val="00CF03FD"/>
    <w:rsid w:val="00CF135F"/>
    <w:rsid w:val="00CF1ADC"/>
    <w:rsid w:val="00CF2438"/>
    <w:rsid w:val="00CF2B1E"/>
    <w:rsid w:val="00CF388D"/>
    <w:rsid w:val="00CF43B0"/>
    <w:rsid w:val="00CF5A0B"/>
    <w:rsid w:val="00CF61F9"/>
    <w:rsid w:val="00CF6DC5"/>
    <w:rsid w:val="00CF7481"/>
    <w:rsid w:val="00D008D8"/>
    <w:rsid w:val="00D017A4"/>
    <w:rsid w:val="00D02680"/>
    <w:rsid w:val="00D03258"/>
    <w:rsid w:val="00D04AC2"/>
    <w:rsid w:val="00D05A50"/>
    <w:rsid w:val="00D06293"/>
    <w:rsid w:val="00D0663A"/>
    <w:rsid w:val="00D06985"/>
    <w:rsid w:val="00D06A43"/>
    <w:rsid w:val="00D10433"/>
    <w:rsid w:val="00D114D0"/>
    <w:rsid w:val="00D11965"/>
    <w:rsid w:val="00D12BFF"/>
    <w:rsid w:val="00D15B58"/>
    <w:rsid w:val="00D15E03"/>
    <w:rsid w:val="00D17596"/>
    <w:rsid w:val="00D20BFC"/>
    <w:rsid w:val="00D20C47"/>
    <w:rsid w:val="00D211BB"/>
    <w:rsid w:val="00D224D7"/>
    <w:rsid w:val="00D22A2C"/>
    <w:rsid w:val="00D2398D"/>
    <w:rsid w:val="00D2469B"/>
    <w:rsid w:val="00D248BD"/>
    <w:rsid w:val="00D25284"/>
    <w:rsid w:val="00D26AEC"/>
    <w:rsid w:val="00D26F05"/>
    <w:rsid w:val="00D27107"/>
    <w:rsid w:val="00D27DA5"/>
    <w:rsid w:val="00D30E4D"/>
    <w:rsid w:val="00D31890"/>
    <w:rsid w:val="00D31C26"/>
    <w:rsid w:val="00D3239A"/>
    <w:rsid w:val="00D324B2"/>
    <w:rsid w:val="00D342AE"/>
    <w:rsid w:val="00D366AD"/>
    <w:rsid w:val="00D36C1B"/>
    <w:rsid w:val="00D40797"/>
    <w:rsid w:val="00D411FA"/>
    <w:rsid w:val="00D41524"/>
    <w:rsid w:val="00D418DB"/>
    <w:rsid w:val="00D4295F"/>
    <w:rsid w:val="00D453F0"/>
    <w:rsid w:val="00D466AD"/>
    <w:rsid w:val="00D46CA2"/>
    <w:rsid w:val="00D50074"/>
    <w:rsid w:val="00D508BD"/>
    <w:rsid w:val="00D51A90"/>
    <w:rsid w:val="00D52398"/>
    <w:rsid w:val="00D523FD"/>
    <w:rsid w:val="00D52B4D"/>
    <w:rsid w:val="00D540D0"/>
    <w:rsid w:val="00D545A8"/>
    <w:rsid w:val="00D5744F"/>
    <w:rsid w:val="00D600A4"/>
    <w:rsid w:val="00D60F8A"/>
    <w:rsid w:val="00D621B8"/>
    <w:rsid w:val="00D62FDF"/>
    <w:rsid w:val="00D63E28"/>
    <w:rsid w:val="00D63F8C"/>
    <w:rsid w:val="00D64561"/>
    <w:rsid w:val="00D64D8C"/>
    <w:rsid w:val="00D65A1E"/>
    <w:rsid w:val="00D6733E"/>
    <w:rsid w:val="00D67406"/>
    <w:rsid w:val="00D70834"/>
    <w:rsid w:val="00D71874"/>
    <w:rsid w:val="00D7422A"/>
    <w:rsid w:val="00D7530F"/>
    <w:rsid w:val="00D77797"/>
    <w:rsid w:val="00D80272"/>
    <w:rsid w:val="00D80D55"/>
    <w:rsid w:val="00D81AE8"/>
    <w:rsid w:val="00D81F9F"/>
    <w:rsid w:val="00D82C96"/>
    <w:rsid w:val="00D83568"/>
    <w:rsid w:val="00D8373F"/>
    <w:rsid w:val="00D83797"/>
    <w:rsid w:val="00D83C15"/>
    <w:rsid w:val="00D846DC"/>
    <w:rsid w:val="00D86844"/>
    <w:rsid w:val="00D86E3C"/>
    <w:rsid w:val="00D906EA"/>
    <w:rsid w:val="00D915D7"/>
    <w:rsid w:val="00D922DD"/>
    <w:rsid w:val="00D92AA1"/>
    <w:rsid w:val="00D92BEE"/>
    <w:rsid w:val="00D92D07"/>
    <w:rsid w:val="00D937AC"/>
    <w:rsid w:val="00D9475A"/>
    <w:rsid w:val="00D95C64"/>
    <w:rsid w:val="00D95DDF"/>
    <w:rsid w:val="00D9653D"/>
    <w:rsid w:val="00D96E1F"/>
    <w:rsid w:val="00D97140"/>
    <w:rsid w:val="00D97780"/>
    <w:rsid w:val="00D97EAA"/>
    <w:rsid w:val="00DA26B9"/>
    <w:rsid w:val="00DA26F3"/>
    <w:rsid w:val="00DA2FF2"/>
    <w:rsid w:val="00DA34F4"/>
    <w:rsid w:val="00DA3C15"/>
    <w:rsid w:val="00DA4D52"/>
    <w:rsid w:val="00DA609C"/>
    <w:rsid w:val="00DA6E14"/>
    <w:rsid w:val="00DA789B"/>
    <w:rsid w:val="00DA7A0F"/>
    <w:rsid w:val="00DA7ACE"/>
    <w:rsid w:val="00DB071C"/>
    <w:rsid w:val="00DB1A12"/>
    <w:rsid w:val="00DB1C3F"/>
    <w:rsid w:val="00DB2065"/>
    <w:rsid w:val="00DB2435"/>
    <w:rsid w:val="00DB2A60"/>
    <w:rsid w:val="00DB3ACB"/>
    <w:rsid w:val="00DB3EFE"/>
    <w:rsid w:val="00DB5974"/>
    <w:rsid w:val="00DB5A5B"/>
    <w:rsid w:val="00DB5B72"/>
    <w:rsid w:val="00DB64EB"/>
    <w:rsid w:val="00DB7E6D"/>
    <w:rsid w:val="00DC02B7"/>
    <w:rsid w:val="00DC18E8"/>
    <w:rsid w:val="00DC1A9E"/>
    <w:rsid w:val="00DC2B21"/>
    <w:rsid w:val="00DC2BD1"/>
    <w:rsid w:val="00DC355F"/>
    <w:rsid w:val="00DC3EA1"/>
    <w:rsid w:val="00DC65BC"/>
    <w:rsid w:val="00DC682B"/>
    <w:rsid w:val="00DC6A63"/>
    <w:rsid w:val="00DC6C69"/>
    <w:rsid w:val="00DC7607"/>
    <w:rsid w:val="00DD079E"/>
    <w:rsid w:val="00DD1921"/>
    <w:rsid w:val="00DD1A2E"/>
    <w:rsid w:val="00DD272D"/>
    <w:rsid w:val="00DD30CD"/>
    <w:rsid w:val="00DD42BB"/>
    <w:rsid w:val="00DD4305"/>
    <w:rsid w:val="00DD433E"/>
    <w:rsid w:val="00DD4EA1"/>
    <w:rsid w:val="00DD50CB"/>
    <w:rsid w:val="00DD601E"/>
    <w:rsid w:val="00DD62CA"/>
    <w:rsid w:val="00DD68D6"/>
    <w:rsid w:val="00DD7A12"/>
    <w:rsid w:val="00DE1CBE"/>
    <w:rsid w:val="00DE2013"/>
    <w:rsid w:val="00DE24CE"/>
    <w:rsid w:val="00DE2F6B"/>
    <w:rsid w:val="00DE3395"/>
    <w:rsid w:val="00DE4747"/>
    <w:rsid w:val="00DE4C85"/>
    <w:rsid w:val="00DE5C7D"/>
    <w:rsid w:val="00DE672F"/>
    <w:rsid w:val="00DE72B3"/>
    <w:rsid w:val="00DE7328"/>
    <w:rsid w:val="00DF0F23"/>
    <w:rsid w:val="00DF1049"/>
    <w:rsid w:val="00DF13D2"/>
    <w:rsid w:val="00DF152B"/>
    <w:rsid w:val="00DF1B18"/>
    <w:rsid w:val="00DF24C6"/>
    <w:rsid w:val="00DF2522"/>
    <w:rsid w:val="00DF381C"/>
    <w:rsid w:val="00DF434C"/>
    <w:rsid w:val="00DF45A0"/>
    <w:rsid w:val="00DF4B25"/>
    <w:rsid w:val="00DF6192"/>
    <w:rsid w:val="00DF73A1"/>
    <w:rsid w:val="00DF7EC5"/>
    <w:rsid w:val="00E002C2"/>
    <w:rsid w:val="00E015A5"/>
    <w:rsid w:val="00E0171C"/>
    <w:rsid w:val="00E017E5"/>
    <w:rsid w:val="00E01ACC"/>
    <w:rsid w:val="00E035F7"/>
    <w:rsid w:val="00E039C4"/>
    <w:rsid w:val="00E047A3"/>
    <w:rsid w:val="00E049AA"/>
    <w:rsid w:val="00E0516C"/>
    <w:rsid w:val="00E0516D"/>
    <w:rsid w:val="00E054FF"/>
    <w:rsid w:val="00E06E5B"/>
    <w:rsid w:val="00E07AF9"/>
    <w:rsid w:val="00E07B95"/>
    <w:rsid w:val="00E1274D"/>
    <w:rsid w:val="00E12C85"/>
    <w:rsid w:val="00E14C15"/>
    <w:rsid w:val="00E158C7"/>
    <w:rsid w:val="00E15D35"/>
    <w:rsid w:val="00E16061"/>
    <w:rsid w:val="00E1609B"/>
    <w:rsid w:val="00E16C08"/>
    <w:rsid w:val="00E17717"/>
    <w:rsid w:val="00E17838"/>
    <w:rsid w:val="00E17C6B"/>
    <w:rsid w:val="00E20E17"/>
    <w:rsid w:val="00E222DC"/>
    <w:rsid w:val="00E224AF"/>
    <w:rsid w:val="00E225CE"/>
    <w:rsid w:val="00E23C8E"/>
    <w:rsid w:val="00E23CB7"/>
    <w:rsid w:val="00E24427"/>
    <w:rsid w:val="00E24852"/>
    <w:rsid w:val="00E24C7D"/>
    <w:rsid w:val="00E25614"/>
    <w:rsid w:val="00E26FDB"/>
    <w:rsid w:val="00E27EC9"/>
    <w:rsid w:val="00E303A2"/>
    <w:rsid w:val="00E30419"/>
    <w:rsid w:val="00E30F54"/>
    <w:rsid w:val="00E3210A"/>
    <w:rsid w:val="00E32F87"/>
    <w:rsid w:val="00E33C8E"/>
    <w:rsid w:val="00E33F8B"/>
    <w:rsid w:val="00E347BF"/>
    <w:rsid w:val="00E34837"/>
    <w:rsid w:val="00E34B1A"/>
    <w:rsid w:val="00E35018"/>
    <w:rsid w:val="00E352C5"/>
    <w:rsid w:val="00E3547A"/>
    <w:rsid w:val="00E35C01"/>
    <w:rsid w:val="00E376EA"/>
    <w:rsid w:val="00E3793E"/>
    <w:rsid w:val="00E37D71"/>
    <w:rsid w:val="00E40BAB"/>
    <w:rsid w:val="00E419A4"/>
    <w:rsid w:val="00E42592"/>
    <w:rsid w:val="00E431F3"/>
    <w:rsid w:val="00E4361E"/>
    <w:rsid w:val="00E44AD2"/>
    <w:rsid w:val="00E44D38"/>
    <w:rsid w:val="00E45A6F"/>
    <w:rsid w:val="00E461A6"/>
    <w:rsid w:val="00E46EF1"/>
    <w:rsid w:val="00E4722A"/>
    <w:rsid w:val="00E47537"/>
    <w:rsid w:val="00E4775C"/>
    <w:rsid w:val="00E51C7D"/>
    <w:rsid w:val="00E5296F"/>
    <w:rsid w:val="00E53498"/>
    <w:rsid w:val="00E537F9"/>
    <w:rsid w:val="00E53B4F"/>
    <w:rsid w:val="00E54117"/>
    <w:rsid w:val="00E56888"/>
    <w:rsid w:val="00E56F8C"/>
    <w:rsid w:val="00E5739E"/>
    <w:rsid w:val="00E577DC"/>
    <w:rsid w:val="00E60A04"/>
    <w:rsid w:val="00E613A0"/>
    <w:rsid w:val="00E63846"/>
    <w:rsid w:val="00E65CD7"/>
    <w:rsid w:val="00E6629E"/>
    <w:rsid w:val="00E662D8"/>
    <w:rsid w:val="00E66856"/>
    <w:rsid w:val="00E66FCC"/>
    <w:rsid w:val="00E67B45"/>
    <w:rsid w:val="00E67DFD"/>
    <w:rsid w:val="00E708C1"/>
    <w:rsid w:val="00E72357"/>
    <w:rsid w:val="00E743E6"/>
    <w:rsid w:val="00E74839"/>
    <w:rsid w:val="00E7492C"/>
    <w:rsid w:val="00E751D5"/>
    <w:rsid w:val="00E759D5"/>
    <w:rsid w:val="00E75C79"/>
    <w:rsid w:val="00E762C1"/>
    <w:rsid w:val="00E763DE"/>
    <w:rsid w:val="00E77F58"/>
    <w:rsid w:val="00E80DA9"/>
    <w:rsid w:val="00E80F1B"/>
    <w:rsid w:val="00E815E2"/>
    <w:rsid w:val="00E81EE9"/>
    <w:rsid w:val="00E822F2"/>
    <w:rsid w:val="00E823A6"/>
    <w:rsid w:val="00E84786"/>
    <w:rsid w:val="00E84BA0"/>
    <w:rsid w:val="00E85310"/>
    <w:rsid w:val="00E85535"/>
    <w:rsid w:val="00E85C63"/>
    <w:rsid w:val="00E86056"/>
    <w:rsid w:val="00E86CF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52A"/>
    <w:rsid w:val="00EA1854"/>
    <w:rsid w:val="00EA193B"/>
    <w:rsid w:val="00EA2E63"/>
    <w:rsid w:val="00EA34EB"/>
    <w:rsid w:val="00EA38D5"/>
    <w:rsid w:val="00EA42CD"/>
    <w:rsid w:val="00EA5739"/>
    <w:rsid w:val="00EA5A9F"/>
    <w:rsid w:val="00EA6030"/>
    <w:rsid w:val="00EA66D9"/>
    <w:rsid w:val="00EA6DA8"/>
    <w:rsid w:val="00EA6FE0"/>
    <w:rsid w:val="00EB046B"/>
    <w:rsid w:val="00EB12E4"/>
    <w:rsid w:val="00EB14CB"/>
    <w:rsid w:val="00EB2E61"/>
    <w:rsid w:val="00EB2FA0"/>
    <w:rsid w:val="00EB40A7"/>
    <w:rsid w:val="00EB68ED"/>
    <w:rsid w:val="00EB7064"/>
    <w:rsid w:val="00EB7914"/>
    <w:rsid w:val="00EC0383"/>
    <w:rsid w:val="00EC075D"/>
    <w:rsid w:val="00EC0D93"/>
    <w:rsid w:val="00EC1181"/>
    <w:rsid w:val="00EC310A"/>
    <w:rsid w:val="00EC4A6C"/>
    <w:rsid w:val="00EC5E0F"/>
    <w:rsid w:val="00EC7D25"/>
    <w:rsid w:val="00ED03FF"/>
    <w:rsid w:val="00ED0E19"/>
    <w:rsid w:val="00ED16FC"/>
    <w:rsid w:val="00ED266F"/>
    <w:rsid w:val="00ED3A84"/>
    <w:rsid w:val="00ED3B1D"/>
    <w:rsid w:val="00ED3FC3"/>
    <w:rsid w:val="00ED709D"/>
    <w:rsid w:val="00ED7C79"/>
    <w:rsid w:val="00EE2040"/>
    <w:rsid w:val="00EE27C8"/>
    <w:rsid w:val="00EE3537"/>
    <w:rsid w:val="00EE3AB1"/>
    <w:rsid w:val="00EE3ED7"/>
    <w:rsid w:val="00EE44B7"/>
    <w:rsid w:val="00EE494A"/>
    <w:rsid w:val="00EE4D92"/>
    <w:rsid w:val="00EE5287"/>
    <w:rsid w:val="00EE55FD"/>
    <w:rsid w:val="00EE6134"/>
    <w:rsid w:val="00EE65C1"/>
    <w:rsid w:val="00EE6701"/>
    <w:rsid w:val="00EE6A45"/>
    <w:rsid w:val="00EE6BCA"/>
    <w:rsid w:val="00EE7BFB"/>
    <w:rsid w:val="00EF004F"/>
    <w:rsid w:val="00EF0259"/>
    <w:rsid w:val="00EF035A"/>
    <w:rsid w:val="00EF06E0"/>
    <w:rsid w:val="00EF1E66"/>
    <w:rsid w:val="00EF203F"/>
    <w:rsid w:val="00EF22E5"/>
    <w:rsid w:val="00EF2375"/>
    <w:rsid w:val="00EF2920"/>
    <w:rsid w:val="00EF4228"/>
    <w:rsid w:val="00EF68C9"/>
    <w:rsid w:val="00EF7AB7"/>
    <w:rsid w:val="00EF7D8C"/>
    <w:rsid w:val="00F00DBC"/>
    <w:rsid w:val="00F010A7"/>
    <w:rsid w:val="00F01F9F"/>
    <w:rsid w:val="00F0282E"/>
    <w:rsid w:val="00F05466"/>
    <w:rsid w:val="00F0599F"/>
    <w:rsid w:val="00F05AC9"/>
    <w:rsid w:val="00F05FE5"/>
    <w:rsid w:val="00F06384"/>
    <w:rsid w:val="00F07330"/>
    <w:rsid w:val="00F10729"/>
    <w:rsid w:val="00F10764"/>
    <w:rsid w:val="00F109C4"/>
    <w:rsid w:val="00F1136C"/>
    <w:rsid w:val="00F116C7"/>
    <w:rsid w:val="00F12007"/>
    <w:rsid w:val="00F1290D"/>
    <w:rsid w:val="00F14998"/>
    <w:rsid w:val="00F15566"/>
    <w:rsid w:val="00F15C5C"/>
    <w:rsid w:val="00F16AAC"/>
    <w:rsid w:val="00F17E09"/>
    <w:rsid w:val="00F20289"/>
    <w:rsid w:val="00F20F43"/>
    <w:rsid w:val="00F217EB"/>
    <w:rsid w:val="00F21C3C"/>
    <w:rsid w:val="00F21D8C"/>
    <w:rsid w:val="00F22775"/>
    <w:rsid w:val="00F22B40"/>
    <w:rsid w:val="00F2385D"/>
    <w:rsid w:val="00F23949"/>
    <w:rsid w:val="00F26B42"/>
    <w:rsid w:val="00F26C61"/>
    <w:rsid w:val="00F26E49"/>
    <w:rsid w:val="00F277A0"/>
    <w:rsid w:val="00F31114"/>
    <w:rsid w:val="00F328C2"/>
    <w:rsid w:val="00F32FEC"/>
    <w:rsid w:val="00F333FF"/>
    <w:rsid w:val="00F33CD2"/>
    <w:rsid w:val="00F34436"/>
    <w:rsid w:val="00F35565"/>
    <w:rsid w:val="00F35CBC"/>
    <w:rsid w:val="00F37B49"/>
    <w:rsid w:val="00F37B78"/>
    <w:rsid w:val="00F40EF6"/>
    <w:rsid w:val="00F40F58"/>
    <w:rsid w:val="00F437E3"/>
    <w:rsid w:val="00F43BA8"/>
    <w:rsid w:val="00F44199"/>
    <w:rsid w:val="00F442F4"/>
    <w:rsid w:val="00F44E92"/>
    <w:rsid w:val="00F45094"/>
    <w:rsid w:val="00F45294"/>
    <w:rsid w:val="00F45B78"/>
    <w:rsid w:val="00F45C7F"/>
    <w:rsid w:val="00F463A9"/>
    <w:rsid w:val="00F46A39"/>
    <w:rsid w:val="00F47F1D"/>
    <w:rsid w:val="00F51B43"/>
    <w:rsid w:val="00F51B7A"/>
    <w:rsid w:val="00F522A6"/>
    <w:rsid w:val="00F5341C"/>
    <w:rsid w:val="00F54899"/>
    <w:rsid w:val="00F54A0F"/>
    <w:rsid w:val="00F554ED"/>
    <w:rsid w:val="00F55F6E"/>
    <w:rsid w:val="00F56D06"/>
    <w:rsid w:val="00F56EA4"/>
    <w:rsid w:val="00F57478"/>
    <w:rsid w:val="00F60960"/>
    <w:rsid w:val="00F61AAB"/>
    <w:rsid w:val="00F630D0"/>
    <w:rsid w:val="00F637C6"/>
    <w:rsid w:val="00F63814"/>
    <w:rsid w:val="00F63AC6"/>
    <w:rsid w:val="00F654CB"/>
    <w:rsid w:val="00F66810"/>
    <w:rsid w:val="00F67381"/>
    <w:rsid w:val="00F679A5"/>
    <w:rsid w:val="00F67FF1"/>
    <w:rsid w:val="00F7041A"/>
    <w:rsid w:val="00F70476"/>
    <w:rsid w:val="00F71EEB"/>
    <w:rsid w:val="00F72BA8"/>
    <w:rsid w:val="00F732F2"/>
    <w:rsid w:val="00F739D1"/>
    <w:rsid w:val="00F7468A"/>
    <w:rsid w:val="00F75320"/>
    <w:rsid w:val="00F7573E"/>
    <w:rsid w:val="00F75A46"/>
    <w:rsid w:val="00F774AA"/>
    <w:rsid w:val="00F7760E"/>
    <w:rsid w:val="00F77AB0"/>
    <w:rsid w:val="00F816D7"/>
    <w:rsid w:val="00F827E4"/>
    <w:rsid w:val="00F82FE8"/>
    <w:rsid w:val="00F83B04"/>
    <w:rsid w:val="00F853F9"/>
    <w:rsid w:val="00F9016F"/>
    <w:rsid w:val="00F901CA"/>
    <w:rsid w:val="00F902A5"/>
    <w:rsid w:val="00F90C66"/>
    <w:rsid w:val="00F90D51"/>
    <w:rsid w:val="00F918B7"/>
    <w:rsid w:val="00F9271C"/>
    <w:rsid w:val="00F9399A"/>
    <w:rsid w:val="00F96057"/>
    <w:rsid w:val="00F96BFB"/>
    <w:rsid w:val="00F96C2F"/>
    <w:rsid w:val="00F96CFE"/>
    <w:rsid w:val="00FA0414"/>
    <w:rsid w:val="00FA0C31"/>
    <w:rsid w:val="00FA0E76"/>
    <w:rsid w:val="00FA0FEF"/>
    <w:rsid w:val="00FA17AB"/>
    <w:rsid w:val="00FA1A96"/>
    <w:rsid w:val="00FA1E77"/>
    <w:rsid w:val="00FA260C"/>
    <w:rsid w:val="00FA2848"/>
    <w:rsid w:val="00FA31A9"/>
    <w:rsid w:val="00FA4032"/>
    <w:rsid w:val="00FA42E5"/>
    <w:rsid w:val="00FA48BF"/>
    <w:rsid w:val="00FA4C89"/>
    <w:rsid w:val="00FA5180"/>
    <w:rsid w:val="00FA5AA4"/>
    <w:rsid w:val="00FA64DB"/>
    <w:rsid w:val="00FA6EB4"/>
    <w:rsid w:val="00FA716D"/>
    <w:rsid w:val="00FA770A"/>
    <w:rsid w:val="00FA7AD8"/>
    <w:rsid w:val="00FA7EE3"/>
    <w:rsid w:val="00FB0A0D"/>
    <w:rsid w:val="00FB1921"/>
    <w:rsid w:val="00FB2B35"/>
    <w:rsid w:val="00FB4961"/>
    <w:rsid w:val="00FB6245"/>
    <w:rsid w:val="00FB64AE"/>
    <w:rsid w:val="00FB79A1"/>
    <w:rsid w:val="00FB7FC4"/>
    <w:rsid w:val="00FC0595"/>
    <w:rsid w:val="00FC10CF"/>
    <w:rsid w:val="00FC161B"/>
    <w:rsid w:val="00FC164F"/>
    <w:rsid w:val="00FC1E65"/>
    <w:rsid w:val="00FC1ED1"/>
    <w:rsid w:val="00FC20A7"/>
    <w:rsid w:val="00FC2362"/>
    <w:rsid w:val="00FC37ED"/>
    <w:rsid w:val="00FC3B87"/>
    <w:rsid w:val="00FC4DB7"/>
    <w:rsid w:val="00FC53B9"/>
    <w:rsid w:val="00FC78FE"/>
    <w:rsid w:val="00FD1093"/>
    <w:rsid w:val="00FD1AB3"/>
    <w:rsid w:val="00FD1C5C"/>
    <w:rsid w:val="00FD1DD2"/>
    <w:rsid w:val="00FD267A"/>
    <w:rsid w:val="00FD2D32"/>
    <w:rsid w:val="00FD3331"/>
    <w:rsid w:val="00FD3584"/>
    <w:rsid w:val="00FD4DE5"/>
    <w:rsid w:val="00FD4F4D"/>
    <w:rsid w:val="00FD5FF8"/>
    <w:rsid w:val="00FD67EB"/>
    <w:rsid w:val="00FD7293"/>
    <w:rsid w:val="00FD7F10"/>
    <w:rsid w:val="00FE0200"/>
    <w:rsid w:val="00FE054E"/>
    <w:rsid w:val="00FE069E"/>
    <w:rsid w:val="00FE0E57"/>
    <w:rsid w:val="00FE12CD"/>
    <w:rsid w:val="00FE1346"/>
    <w:rsid w:val="00FE2645"/>
    <w:rsid w:val="00FE3D11"/>
    <w:rsid w:val="00FE57AD"/>
    <w:rsid w:val="00FE6FD3"/>
    <w:rsid w:val="00FE7FAF"/>
    <w:rsid w:val="00FF0226"/>
    <w:rsid w:val="00FF05DC"/>
    <w:rsid w:val="00FF0681"/>
    <w:rsid w:val="00FF1279"/>
    <w:rsid w:val="00FF3AA2"/>
    <w:rsid w:val="00FF4872"/>
    <w:rsid w:val="00FF4BAA"/>
    <w:rsid w:val="00FF5ED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uiPriority="99"/>
    <w:lsdException w:name="footer" w:locked="1" w:uiPriority="99"/>
    <w:lsdException w:name="caption" w:locked="1" w:qFormat="1"/>
    <w:lsdException w:name="page number" w:locked="1"/>
    <w:lsdException w:name="List Number" w:semiHidden="0" w:unhideWhenUsed="0"/>
    <w:lsdException w:name="List 4" w:semiHidden="0" w:unhideWhenUsed="0"/>
    <w:lsdException w:name="List 5" w:semiHidden="0" w:unhideWhenUsed="0"/>
    <w:lsdException w:name="Title" w:locked="1" w:semiHidden="0" w:unhideWhenUsed="0" w:qFormat="1"/>
    <w:lsdException w:name="Default Paragraph Font" w:locked="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locked="1" w:semiHidden="0" w:unhideWhenUsed="0" w:qFormat="1"/>
    <w:lsdException w:name="Emphasis" w:locked="1" w:semiHidden="0" w:unhideWhenUsed="0" w:qFormat="1"/>
    <w:lsdException w:name="No List" w:uiPriority="99"/>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pPr>
      <w:spacing w:after="240"/>
    </w:pPr>
  </w:style>
  <w:style w:type="paragraph" w:styleId="ListParagraph">
    <w:name w:val="List Paragraph"/>
    <w:basedOn w:val="Normal"/>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59"/>
    <w:rsid w:val="0051350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character" w:customStyle="1" w:styleId="UnresolvedMention">
    <w:name w:val="Unresolved Mention"/>
    <w:basedOn w:val="DefaultParagraphFont"/>
    <w:uiPriority w:val="99"/>
    <w:semiHidden/>
    <w:unhideWhenUsed/>
    <w:rsid w:val="004A43CF"/>
    <w:rPr>
      <w:color w:val="808080"/>
      <w:shd w:val="clear" w:color="auto" w:fill="E6E6E6"/>
    </w:rPr>
  </w:style>
</w:styles>
</file>

<file path=word/webSettings.xml><?xml version="1.0" encoding="utf-8"?>
<w:webSettings xmlns:r="http://schemas.openxmlformats.org/officeDocument/2006/relationships" xmlns:w="http://schemas.openxmlformats.org/wordprocessingml/2006/main">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pn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1"/>
    <w:family w:val="roman"/>
    <w:notTrueType/>
    <w:pitch w:val="variable"/>
    <w:sig w:usb0="00000000" w:usb1="00000000" w:usb2="00000000" w:usb3="00000000" w:csb0="0000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comments="0" w:formatting="0"/>
  <w:defaultTabStop w:val="720"/>
  <w:characterSpacingControl w:val="doNotCompress"/>
  <w:compat>
    <w:useFELayout/>
  </w:compat>
  <w:rsids>
    <w:rsidRoot w:val="00842EFD"/>
    <w:rsid w:val="00121AEA"/>
    <w:rsid w:val="001B2FD1"/>
    <w:rsid w:val="00240FED"/>
    <w:rsid w:val="00275ACA"/>
    <w:rsid w:val="002E3068"/>
    <w:rsid w:val="00484AAF"/>
    <w:rsid w:val="00586322"/>
    <w:rsid w:val="006025AC"/>
    <w:rsid w:val="006106E9"/>
    <w:rsid w:val="00696D01"/>
    <w:rsid w:val="006A23FC"/>
    <w:rsid w:val="006F3240"/>
    <w:rsid w:val="007A7E15"/>
    <w:rsid w:val="00842EFD"/>
    <w:rsid w:val="008A35AB"/>
    <w:rsid w:val="00966023"/>
    <w:rsid w:val="00A10BA7"/>
    <w:rsid w:val="00A459D4"/>
    <w:rsid w:val="00A61483"/>
    <w:rsid w:val="00AA7373"/>
    <w:rsid w:val="00B83418"/>
    <w:rsid w:val="00CD0251"/>
    <w:rsid w:val="00CF1BE9"/>
    <w:rsid w:val="00CF32F7"/>
    <w:rsid w:val="00D079CC"/>
    <w:rsid w:val="00DF6D64"/>
    <w:rsid w:val="00E443A4"/>
    <w:rsid w:val="00FB44B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5A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47803-F14C-4D8E-8CA7-EDF82F6C0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30</Pages>
  <Words>22066</Words>
  <Characters>125781</Characters>
  <Application>Microsoft Office Word</Application>
  <DocSecurity>0</DocSecurity>
  <Lines>1048</Lines>
  <Paragraphs>295</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147552</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Kevan</cp:lastModifiedBy>
  <cp:revision>25</cp:revision>
  <cp:lastPrinted>2012-01-17T21:36:00Z</cp:lastPrinted>
  <dcterms:created xsi:type="dcterms:W3CDTF">2018-10-18T23:29:00Z</dcterms:created>
  <dcterms:modified xsi:type="dcterms:W3CDTF">2018-11-07T16:00:00Z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zotero-version="5.0.54"&gt;&lt;session id="gQUT6Ene"/&gt;&lt;style id="http://www.zotero.org/styles/council-of-science-editors-author-date" hasBibliography="1" bibliographyStyleHasBeenSet="1"/&gt;&lt;prefs&gt;&lt;pref name="fieldType" value="Field"/&gt;&lt;pref </vt:lpwstr>
  </property>
  <property fmtid="{D5CDD505-2E9C-101B-9397-08002B2CF9AE}" pid="3" name="ZOTERO_PREF_2">
    <vt:lpwstr>name="delayCitationUpdates" value="true"/&gt;&lt;pref name="dontAskDelayCitationUpdates" value="true"/&gt;&lt;/prefs&gt;&lt;/data&gt;</vt:lpwstr>
  </property>
</Properties>
</file>